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6F34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Name of Journal: </w:t>
      </w:r>
      <w:r w:rsidRPr="00F04BAD">
        <w:rPr>
          <w:rFonts w:ascii="Book Antiqua" w:eastAsia="Book Antiqua" w:hAnsi="Book Antiqua" w:cs="Book Antiqua"/>
          <w:i/>
          <w:color w:val="000000" w:themeColor="text1"/>
        </w:rPr>
        <w:t>World Journal of Hepatology</w:t>
      </w:r>
    </w:p>
    <w:p w14:paraId="7C1FE29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Manuscript NO: </w:t>
      </w:r>
      <w:r w:rsidRPr="00F04BAD">
        <w:rPr>
          <w:rFonts w:ascii="Book Antiqua" w:eastAsia="Book Antiqua" w:hAnsi="Book Antiqua" w:cs="Book Antiqua"/>
          <w:color w:val="000000" w:themeColor="text1"/>
        </w:rPr>
        <w:t>64652</w:t>
      </w:r>
    </w:p>
    <w:p w14:paraId="6E4518C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Manuscript Type: </w:t>
      </w:r>
      <w:r w:rsidRPr="00F04BAD">
        <w:rPr>
          <w:rFonts w:ascii="Book Antiqua" w:eastAsia="Book Antiqua" w:hAnsi="Book Antiqua" w:cs="Book Antiqua"/>
          <w:color w:val="000000" w:themeColor="text1"/>
        </w:rPr>
        <w:t>REVIEW</w:t>
      </w:r>
    </w:p>
    <w:p w14:paraId="6BD4FE7B" w14:textId="77777777" w:rsidR="00A77B3E" w:rsidRPr="00F04BAD" w:rsidRDefault="00A77B3E">
      <w:pPr>
        <w:spacing w:line="360" w:lineRule="auto"/>
        <w:jc w:val="both"/>
        <w:rPr>
          <w:rFonts w:ascii="Book Antiqua" w:hAnsi="Book Antiqua"/>
          <w:color w:val="000000" w:themeColor="text1"/>
        </w:rPr>
      </w:pPr>
    </w:p>
    <w:p w14:paraId="6533B3A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Epigenetic mechanisms of liver tumor resistance to immunotherapy</w:t>
      </w:r>
    </w:p>
    <w:p w14:paraId="0B813C49" w14:textId="77777777" w:rsidR="00A77B3E" w:rsidRPr="00F04BAD" w:rsidRDefault="00A77B3E">
      <w:pPr>
        <w:spacing w:line="360" w:lineRule="auto"/>
        <w:jc w:val="both"/>
        <w:rPr>
          <w:rFonts w:ascii="Book Antiqua" w:hAnsi="Book Antiqua"/>
          <w:color w:val="000000" w:themeColor="text1"/>
        </w:rPr>
      </w:pPr>
    </w:p>
    <w:p w14:paraId="77F26BB9" w14:textId="77777777" w:rsidR="00A77B3E" w:rsidRPr="00F04BAD" w:rsidRDefault="00EE72EF">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Sanceau </w:t>
      </w:r>
      <w:r w:rsidRPr="00F04BAD">
        <w:rPr>
          <w:rFonts w:ascii="Book Antiqua" w:hAnsi="Book Antiqua" w:cs="Book Antiqua"/>
          <w:color w:val="000000" w:themeColor="text1"/>
          <w:lang w:eastAsia="zh-CN"/>
        </w:rPr>
        <w:t xml:space="preserve">J </w:t>
      </w:r>
      <w:r w:rsidRPr="00F04BAD">
        <w:rPr>
          <w:rFonts w:ascii="Book Antiqua" w:hAnsi="Book Antiqua" w:cs="Book Antiqua"/>
          <w:i/>
          <w:color w:val="000000" w:themeColor="text1"/>
          <w:lang w:eastAsia="zh-CN"/>
        </w:rPr>
        <w:t>et al</w:t>
      </w:r>
      <w:r w:rsidRPr="00F04BAD">
        <w:rPr>
          <w:rFonts w:ascii="Book Antiqua" w:hAnsi="Book Antiqua" w:cs="Book Antiqua"/>
          <w:color w:val="000000" w:themeColor="text1"/>
          <w:lang w:eastAsia="zh-CN"/>
        </w:rPr>
        <w:t xml:space="preserve">. </w:t>
      </w:r>
      <w:r w:rsidR="000D0918" w:rsidRPr="00F04BAD">
        <w:rPr>
          <w:rFonts w:ascii="Book Antiqua" w:eastAsia="Book Antiqua" w:hAnsi="Book Antiqua" w:cs="Book Antiqua"/>
          <w:color w:val="000000" w:themeColor="text1"/>
        </w:rPr>
        <w:t>Immunotherapy resistance in hepatocellular carcinoma</w:t>
      </w:r>
    </w:p>
    <w:p w14:paraId="2A1B82AF" w14:textId="77777777" w:rsidR="00A77B3E" w:rsidRPr="00F04BAD" w:rsidRDefault="00A77B3E">
      <w:pPr>
        <w:spacing w:line="360" w:lineRule="auto"/>
        <w:jc w:val="both"/>
        <w:rPr>
          <w:rFonts w:ascii="Book Antiqua" w:hAnsi="Book Antiqua"/>
          <w:color w:val="000000" w:themeColor="text1"/>
        </w:rPr>
      </w:pPr>
    </w:p>
    <w:p w14:paraId="7C712B6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Julie Sanceau, Angélique Gougelet</w:t>
      </w:r>
    </w:p>
    <w:p w14:paraId="1C9AA7E5" w14:textId="77777777" w:rsidR="00A77B3E" w:rsidRPr="00F04BAD" w:rsidRDefault="00A77B3E">
      <w:pPr>
        <w:spacing w:line="360" w:lineRule="auto"/>
        <w:jc w:val="both"/>
        <w:rPr>
          <w:rFonts w:ascii="Book Antiqua" w:hAnsi="Book Antiqua"/>
          <w:color w:val="000000" w:themeColor="text1"/>
        </w:rPr>
      </w:pPr>
    </w:p>
    <w:p w14:paraId="7427CCB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Julie Sanceau, Angélique Gougelet, </w:t>
      </w:r>
      <w:r w:rsidRPr="00F04BAD">
        <w:rPr>
          <w:rFonts w:ascii="Book Antiqua" w:eastAsia="Book Antiqua" w:hAnsi="Book Antiqua" w:cs="Book Antiqua"/>
          <w:color w:val="000000" w:themeColor="text1"/>
        </w:rPr>
        <w:t>Centre de Recherche des Cordeliers, Sorbonne Université, Inserm, Université de Paris, Paris 75006, France</w:t>
      </w:r>
    </w:p>
    <w:p w14:paraId="35E6529E" w14:textId="77777777" w:rsidR="00A77B3E" w:rsidRPr="00F04BAD" w:rsidRDefault="00A77B3E">
      <w:pPr>
        <w:spacing w:line="360" w:lineRule="auto"/>
        <w:jc w:val="both"/>
        <w:rPr>
          <w:rFonts w:ascii="Book Antiqua" w:hAnsi="Book Antiqua"/>
          <w:color w:val="000000" w:themeColor="text1"/>
        </w:rPr>
      </w:pPr>
    </w:p>
    <w:p w14:paraId="5FFC36D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Author contributions: </w:t>
      </w:r>
      <w:r w:rsidRPr="00F04BAD">
        <w:rPr>
          <w:rFonts w:ascii="Book Antiqua" w:eastAsia="Book Antiqua" w:hAnsi="Book Antiqua" w:cs="Book Antiqua"/>
          <w:color w:val="000000" w:themeColor="text1"/>
        </w:rPr>
        <w:t>Gougelet</w:t>
      </w:r>
      <w:r w:rsidR="00EE72EF" w:rsidRPr="00F04BAD">
        <w:rPr>
          <w:rFonts w:ascii="Book Antiqua" w:hAnsi="Book Antiqua" w:cs="Book Antiqua"/>
          <w:color w:val="000000" w:themeColor="text1"/>
          <w:lang w:eastAsia="zh-CN"/>
        </w:rPr>
        <w:t xml:space="preserve"> A</w:t>
      </w:r>
      <w:r w:rsidRPr="00F04BAD">
        <w:rPr>
          <w:rFonts w:ascii="Book Antiqua" w:eastAsia="Book Antiqua" w:hAnsi="Book Antiqua" w:cs="Book Antiqua"/>
          <w:color w:val="000000" w:themeColor="text1"/>
        </w:rPr>
        <w:t xml:space="preserve"> constructed and wrote the manuscript</w:t>
      </w:r>
      <w:r w:rsidR="00EE72EF"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Sanceau </w:t>
      </w:r>
      <w:r w:rsidR="00EE72EF" w:rsidRPr="00F04BAD">
        <w:rPr>
          <w:rFonts w:ascii="Book Antiqua" w:hAnsi="Book Antiqua" w:cs="Book Antiqua"/>
          <w:color w:val="000000" w:themeColor="text1"/>
          <w:lang w:eastAsia="zh-CN"/>
        </w:rPr>
        <w:t xml:space="preserve">J </w:t>
      </w:r>
      <w:r w:rsidRPr="00F04BAD">
        <w:rPr>
          <w:rFonts w:ascii="Book Antiqua" w:eastAsia="Book Antiqua" w:hAnsi="Book Antiqua" w:cs="Book Antiqua"/>
          <w:color w:val="000000" w:themeColor="text1"/>
        </w:rPr>
        <w:t>wrote the manuscript.</w:t>
      </w:r>
    </w:p>
    <w:p w14:paraId="69D1905A" w14:textId="77777777" w:rsidR="00A77B3E" w:rsidRPr="00F04BAD" w:rsidRDefault="00A77B3E">
      <w:pPr>
        <w:spacing w:line="360" w:lineRule="auto"/>
        <w:jc w:val="both"/>
        <w:rPr>
          <w:rFonts w:ascii="Book Antiqua" w:hAnsi="Book Antiqua"/>
          <w:color w:val="000000" w:themeColor="text1"/>
        </w:rPr>
      </w:pPr>
    </w:p>
    <w:p w14:paraId="279BC54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Supported by</w:t>
      </w:r>
      <w:r w:rsidR="00153510"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Ligue Nationale Contre le Cancer and the Agence Nationale de la Recherche</w:t>
      </w:r>
      <w:r w:rsidR="00153510" w:rsidRPr="00F04BAD">
        <w:rPr>
          <w:rFonts w:ascii="Book Antiqua" w:hAnsi="Book Antiqua" w:cs="Book Antiqua"/>
          <w:color w:val="000000" w:themeColor="text1"/>
          <w:lang w:eastAsia="zh-CN"/>
        </w:rPr>
        <w:t xml:space="preserve">, No. </w:t>
      </w:r>
      <w:r w:rsidRPr="00F04BAD">
        <w:rPr>
          <w:rFonts w:ascii="Book Antiqua" w:eastAsia="Book Antiqua" w:hAnsi="Book Antiqua" w:cs="Book Antiqua"/>
          <w:color w:val="000000" w:themeColor="text1"/>
        </w:rPr>
        <w:t>DLK1-EPILIV 2018-2021</w:t>
      </w:r>
      <w:r w:rsidR="00153510" w:rsidRPr="00F04BAD">
        <w:rPr>
          <w:rFonts w:ascii="Book Antiqua" w:hAnsi="Book Antiqua" w:cs="Book Antiqua"/>
          <w:color w:val="000000" w:themeColor="text1"/>
          <w:lang w:eastAsia="zh-CN"/>
        </w:rPr>
        <w:t xml:space="preserve"> (to </w:t>
      </w:r>
      <w:r w:rsidR="00153510" w:rsidRPr="00F04BAD">
        <w:rPr>
          <w:rFonts w:ascii="Book Antiqua" w:eastAsia="Book Antiqua" w:hAnsi="Book Antiqua" w:cs="Book Antiqua"/>
          <w:color w:val="000000" w:themeColor="text1"/>
        </w:rPr>
        <w:t>Gougelet</w:t>
      </w:r>
      <w:r w:rsidR="00153510" w:rsidRPr="00F04BAD">
        <w:rPr>
          <w:rFonts w:ascii="Book Antiqua" w:hAnsi="Book Antiqua" w:cs="Book Antiqua"/>
          <w:color w:val="000000" w:themeColor="text1"/>
          <w:lang w:eastAsia="zh-CN"/>
        </w:rPr>
        <w:t xml:space="preserve"> A</w:t>
      </w:r>
      <w:r w:rsidRPr="00F04BAD">
        <w:rPr>
          <w:rFonts w:ascii="Book Antiqua" w:eastAsia="Book Antiqua" w:hAnsi="Book Antiqua" w:cs="Book Antiqua"/>
          <w:color w:val="000000" w:themeColor="text1"/>
        </w:rPr>
        <w:t>)</w:t>
      </w:r>
      <w:r w:rsidR="00153510" w:rsidRPr="00F04BAD">
        <w:rPr>
          <w:rFonts w:ascii="Book Antiqua" w:hAnsi="Book Antiqua" w:cs="Book Antiqua"/>
          <w:color w:val="000000" w:themeColor="text1"/>
          <w:lang w:eastAsia="zh-CN"/>
        </w:rPr>
        <w:t xml:space="preserve">; and </w:t>
      </w:r>
      <w:r w:rsidRPr="00F04BAD">
        <w:rPr>
          <w:rFonts w:ascii="Book Antiqua" w:eastAsia="Book Antiqua" w:hAnsi="Book Antiqua" w:cs="Book Antiqua"/>
          <w:color w:val="000000" w:themeColor="text1"/>
        </w:rPr>
        <w:t>Université de Paris</w:t>
      </w:r>
      <w:r w:rsidR="00153510" w:rsidRPr="00F04BAD">
        <w:rPr>
          <w:rFonts w:ascii="Book Antiqua" w:hAnsi="Book Antiqua" w:cs="Book Antiqua"/>
          <w:color w:val="000000" w:themeColor="text1"/>
          <w:lang w:eastAsia="zh-CN"/>
        </w:rPr>
        <w:t xml:space="preserve"> (to </w:t>
      </w:r>
      <w:r w:rsidR="00153510" w:rsidRPr="00F04BAD">
        <w:rPr>
          <w:rFonts w:ascii="Book Antiqua" w:eastAsia="Book Antiqua" w:hAnsi="Book Antiqua" w:cs="Book Antiqua"/>
          <w:color w:val="000000" w:themeColor="text1"/>
        </w:rPr>
        <w:t xml:space="preserve">Sanceau </w:t>
      </w:r>
      <w:r w:rsidR="00153510" w:rsidRPr="00F04BAD">
        <w:rPr>
          <w:rFonts w:ascii="Book Antiqua" w:hAnsi="Book Antiqua" w:cs="Book Antiqua"/>
          <w:color w:val="000000" w:themeColor="text1"/>
          <w:lang w:eastAsia="zh-CN"/>
        </w:rPr>
        <w:t>J)</w:t>
      </w:r>
      <w:r w:rsidRPr="00F04BAD">
        <w:rPr>
          <w:rFonts w:ascii="Book Antiqua" w:eastAsia="Book Antiqua" w:hAnsi="Book Antiqua" w:cs="Book Antiqua"/>
          <w:color w:val="000000" w:themeColor="text1"/>
        </w:rPr>
        <w:t>.</w:t>
      </w:r>
    </w:p>
    <w:p w14:paraId="1DEB326C" w14:textId="77777777" w:rsidR="00A77B3E" w:rsidRPr="00F04BAD" w:rsidRDefault="00A77B3E">
      <w:pPr>
        <w:spacing w:line="360" w:lineRule="auto"/>
        <w:jc w:val="both"/>
        <w:rPr>
          <w:rFonts w:ascii="Book Antiqua" w:hAnsi="Book Antiqua"/>
          <w:color w:val="000000" w:themeColor="text1"/>
        </w:rPr>
      </w:pPr>
    </w:p>
    <w:p w14:paraId="62FA0A9C" w14:textId="15E9F7FA"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Correspond</w:t>
      </w:r>
      <w:r w:rsidR="00FC660A" w:rsidRPr="00F04BAD">
        <w:rPr>
          <w:rFonts w:ascii="Book Antiqua" w:eastAsia="Book Antiqua" w:hAnsi="Book Antiqua" w:cs="Book Antiqua"/>
          <w:b/>
          <w:bCs/>
          <w:color w:val="000000" w:themeColor="text1"/>
        </w:rPr>
        <w:t>ence to</w:t>
      </w:r>
      <w:r w:rsidRPr="00F04BAD">
        <w:rPr>
          <w:rFonts w:ascii="Book Antiqua" w:eastAsia="Book Antiqua" w:hAnsi="Book Antiqua" w:cs="Book Antiqua"/>
          <w:b/>
          <w:bCs/>
          <w:color w:val="000000" w:themeColor="text1"/>
        </w:rPr>
        <w:t xml:space="preserve">: Angélique Gougelet, PhD, Research Scientist, </w:t>
      </w:r>
      <w:r w:rsidRPr="00F04BAD">
        <w:rPr>
          <w:rFonts w:ascii="Book Antiqua" w:eastAsia="Book Antiqua" w:hAnsi="Book Antiqua" w:cs="Book Antiqua"/>
          <w:color w:val="000000" w:themeColor="text1"/>
        </w:rPr>
        <w:t>Centre de Recherche des Cordeliers, Sorbonne Université, Inserm, Université de Paris, 15 Rue de L'école de Médecine, Paris 75006, France. angelique.gougelet@inserm.fr</w:t>
      </w:r>
    </w:p>
    <w:p w14:paraId="2D75F769" w14:textId="77777777" w:rsidR="00A77B3E" w:rsidRPr="00F04BAD" w:rsidRDefault="00A77B3E">
      <w:pPr>
        <w:spacing w:line="360" w:lineRule="auto"/>
        <w:jc w:val="both"/>
        <w:rPr>
          <w:rFonts w:ascii="Book Antiqua" w:hAnsi="Book Antiqua"/>
          <w:color w:val="000000" w:themeColor="text1"/>
        </w:rPr>
      </w:pPr>
    </w:p>
    <w:p w14:paraId="21A150D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Received: </w:t>
      </w:r>
      <w:r w:rsidRPr="00F04BAD">
        <w:rPr>
          <w:rFonts w:ascii="Book Antiqua" w:eastAsia="Book Antiqua" w:hAnsi="Book Antiqua" w:cs="Book Antiqua"/>
          <w:color w:val="000000" w:themeColor="text1"/>
        </w:rPr>
        <w:t>February 23, 2021</w:t>
      </w:r>
    </w:p>
    <w:p w14:paraId="44A6E57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Revised: </w:t>
      </w:r>
      <w:r w:rsidRPr="00F04BAD">
        <w:rPr>
          <w:rFonts w:ascii="Book Antiqua" w:eastAsia="Book Antiqua" w:hAnsi="Book Antiqua" w:cs="Book Antiqua"/>
          <w:color w:val="000000" w:themeColor="text1"/>
        </w:rPr>
        <w:t>May 4, 2021</w:t>
      </w:r>
    </w:p>
    <w:p w14:paraId="51BE5AF3" w14:textId="7C0F649D"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8A620E" w:rsidRPr="00FD5C87">
        <w:rPr>
          <w:rFonts w:ascii="Book Antiqua" w:eastAsia="SimSun" w:hAnsi="Book Antiqua"/>
          <w:color w:val="000000" w:themeColor="text1"/>
        </w:rPr>
        <w:t>August 5, 2021</w:t>
      </w:r>
      <w:bookmarkEnd w:id="0"/>
      <w:bookmarkEnd w:id="1"/>
      <w:bookmarkEnd w:id="2"/>
    </w:p>
    <w:p w14:paraId="0EB4101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Published online: </w:t>
      </w:r>
    </w:p>
    <w:p w14:paraId="2CDB21B2" w14:textId="77777777" w:rsidR="00A77B3E" w:rsidRPr="00F04BAD" w:rsidRDefault="00A77B3E">
      <w:pPr>
        <w:spacing w:line="360" w:lineRule="auto"/>
        <w:jc w:val="both"/>
        <w:rPr>
          <w:rFonts w:ascii="Book Antiqua" w:hAnsi="Book Antiqua"/>
          <w:color w:val="000000" w:themeColor="text1"/>
        </w:rPr>
        <w:sectPr w:rsidR="00A77B3E" w:rsidRPr="00F04BAD">
          <w:footerReference w:type="default" r:id="rId6"/>
          <w:pgSz w:w="12240" w:h="15840"/>
          <w:pgMar w:top="1440" w:right="1440" w:bottom="1440" w:left="1440" w:header="720" w:footer="720" w:gutter="0"/>
          <w:cols w:space="720"/>
          <w:docGrid w:linePitch="360"/>
        </w:sectPr>
      </w:pPr>
    </w:p>
    <w:p w14:paraId="6DA8787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lastRenderedPageBreak/>
        <w:t>Abstract</w:t>
      </w:r>
    </w:p>
    <w:p w14:paraId="7323308B" w14:textId="6705B306" w:rsidR="00A77B3E" w:rsidRPr="00F04BAD" w:rsidRDefault="000D0918" w:rsidP="00B27E8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Hepatocellular carcinoma (HCC)</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is the most common primary liver tumor</w:t>
      </w:r>
      <w:r w:rsidR="00D7416C"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 which stands fourth </w:t>
      </w:r>
      <w:r w:rsidR="002100B9" w:rsidRPr="00FD5C87">
        <w:rPr>
          <w:rFonts w:ascii="Book Antiqua" w:eastAsia="Book Antiqua" w:hAnsi="Book Antiqua" w:cs="Book Antiqua"/>
          <w:color w:val="000000" w:themeColor="text1"/>
        </w:rPr>
        <w:t xml:space="preserve">in </w:t>
      </w:r>
      <w:r w:rsidRPr="00F04BAD">
        <w:rPr>
          <w:rFonts w:ascii="Book Antiqua" w:eastAsia="Book Antiqua" w:hAnsi="Book Antiqua" w:cs="Book Antiqua"/>
          <w:color w:val="000000" w:themeColor="text1"/>
        </w:rPr>
        <w:t>rank of cancer-related death</w:t>
      </w:r>
      <w:r w:rsidR="002100B9" w:rsidRPr="00FD5C87">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worldwide. The incidence of HCC is constantly increasing in correlation with the epidemic in diabetes and obesity, arguing for an urgent need </w:t>
      </w:r>
      <w:r w:rsidR="00495AAD" w:rsidRPr="00FD5C87">
        <w:rPr>
          <w:rFonts w:ascii="Book Antiqua" w:eastAsia="Book Antiqua" w:hAnsi="Book Antiqua" w:cs="Book Antiqua"/>
          <w:color w:val="000000" w:themeColor="text1"/>
        </w:rPr>
        <w:t>for</w:t>
      </w:r>
      <w:r w:rsidRPr="00F04BAD">
        <w:rPr>
          <w:rFonts w:ascii="Book Antiqua" w:eastAsia="Book Antiqua" w:hAnsi="Book Antiqua" w:cs="Book Antiqua"/>
          <w:color w:val="000000" w:themeColor="text1"/>
        </w:rPr>
        <w:t xml:space="preserve"> new treatments for this lethal cancer refractory to conventional treatments.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HCC is the paradigm of inflammation-associated cancer, since more than 80% of HCC emerge consecutively to cirrhosis associated with a vast remodeling of liver microenvironment. </w:t>
      </w:r>
      <w:r w:rsidR="00495AAD" w:rsidRPr="00FD5C87">
        <w:rPr>
          <w:rFonts w:ascii="Book Antiqua" w:eastAsia="Book Antiqua" w:hAnsi="Book Antiqua" w:cs="Book Antiqua"/>
          <w:color w:val="000000" w:themeColor="text1"/>
        </w:rPr>
        <w:t>In t</w:t>
      </w:r>
      <w:r w:rsidRPr="00F04BAD">
        <w:rPr>
          <w:rFonts w:ascii="Book Antiqua" w:eastAsia="Book Antiqua" w:hAnsi="Book Antiqua" w:cs="Book Antiqua"/>
          <w:color w:val="000000" w:themeColor="text1"/>
        </w:rPr>
        <w:t>he recent decade,</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immunomodulatory drugs have been developed and </w:t>
      </w:r>
      <w:r w:rsidR="00495AAD" w:rsidRPr="00FD5C87">
        <w:rPr>
          <w:rFonts w:ascii="Book Antiqua" w:eastAsia="Book Antiqua" w:hAnsi="Book Antiqua" w:cs="Book Antiqua"/>
          <w:color w:val="000000" w:themeColor="text1"/>
        </w:rPr>
        <w:t>have given</w:t>
      </w:r>
      <w:r w:rsidR="00495AAD"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impressive results in melanoma and later in several other cancers.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In the present review, we will discuss the recent advancements concerning the use of immunotherapies in HCC, in particular those targeting immune checkpoints, used alone or in combination with other anti-cancers agents. We will address why these drugs demonstrate unsatisfactory results in a high proportion of liver cancers and the mechanisms of resistance developed by HCC to evade immune response with a focus on the epigenetic-related mechanisms.</w:t>
      </w:r>
    </w:p>
    <w:p w14:paraId="280A3C4F" w14:textId="77777777" w:rsidR="00A77B3E" w:rsidRPr="00F04BAD" w:rsidRDefault="00A77B3E" w:rsidP="00B27E88">
      <w:pPr>
        <w:spacing w:line="360" w:lineRule="auto"/>
        <w:jc w:val="both"/>
        <w:rPr>
          <w:rFonts w:ascii="Book Antiqua" w:hAnsi="Book Antiqua"/>
          <w:color w:val="000000" w:themeColor="text1"/>
          <w:lang w:eastAsia="zh-CN"/>
        </w:rPr>
      </w:pPr>
    </w:p>
    <w:p w14:paraId="2BB86743" w14:textId="77777777" w:rsidR="00A77B3E" w:rsidRPr="00F04BAD" w:rsidRDefault="000D0918">
      <w:pPr>
        <w:spacing w:line="360" w:lineRule="auto"/>
        <w:jc w:val="both"/>
        <w:rPr>
          <w:rFonts w:ascii="Book Antiqua" w:hAnsi="Book Antiqua"/>
          <w:color w:val="000000" w:themeColor="text1"/>
          <w:lang w:eastAsia="zh-CN"/>
        </w:rPr>
      </w:pPr>
      <w:r w:rsidRPr="00F04BAD">
        <w:rPr>
          <w:rFonts w:ascii="Book Antiqua" w:eastAsia="Book Antiqua" w:hAnsi="Book Antiqua" w:cs="Book Antiqua"/>
          <w:b/>
          <w:bCs/>
          <w:color w:val="000000" w:themeColor="text1"/>
        </w:rPr>
        <w:t xml:space="preserve">Key Words: </w:t>
      </w:r>
      <w:r w:rsidR="00B27E88" w:rsidRPr="00F04BAD">
        <w:rPr>
          <w:rFonts w:ascii="Book Antiqua" w:hAnsi="Book Antiqua" w:cs="Book Antiqua"/>
          <w:color w:val="000000" w:themeColor="text1"/>
          <w:lang w:eastAsia="zh-CN"/>
        </w:rPr>
        <w:t>L</w:t>
      </w:r>
      <w:r w:rsidRPr="00F04BAD">
        <w:rPr>
          <w:rFonts w:ascii="Book Antiqua" w:eastAsia="Book Antiqua" w:hAnsi="Book Antiqua" w:cs="Book Antiqua"/>
          <w:color w:val="000000" w:themeColor="text1"/>
        </w:rPr>
        <w:t xml:space="preserve">iver cancer; </w:t>
      </w:r>
      <w:r w:rsidR="00B27E88" w:rsidRPr="00F04BAD">
        <w:rPr>
          <w:rFonts w:ascii="Book Antiqua" w:hAnsi="Book Antiqua" w:cs="Book Antiqua"/>
          <w:color w:val="000000" w:themeColor="text1"/>
          <w:lang w:eastAsia="zh-CN"/>
        </w:rPr>
        <w:t>I</w:t>
      </w:r>
      <w:r w:rsidRPr="00F04BAD">
        <w:rPr>
          <w:rFonts w:ascii="Book Antiqua" w:eastAsia="Book Antiqua" w:hAnsi="Book Antiqua" w:cs="Book Antiqua"/>
          <w:color w:val="000000" w:themeColor="text1"/>
        </w:rPr>
        <w:t xml:space="preserve">mmunotherapies; </w:t>
      </w:r>
      <w:r w:rsidR="00B27E88" w:rsidRPr="00F04BAD">
        <w:rPr>
          <w:rFonts w:ascii="Book Antiqua" w:hAnsi="Book Antiqua" w:cs="Book Antiqua"/>
          <w:color w:val="000000" w:themeColor="text1"/>
          <w:lang w:eastAsia="zh-CN"/>
        </w:rPr>
        <w:t>E</w:t>
      </w:r>
      <w:r w:rsidRPr="00F04BAD">
        <w:rPr>
          <w:rFonts w:ascii="Book Antiqua" w:eastAsia="Book Antiqua" w:hAnsi="Book Antiqua" w:cs="Book Antiqua"/>
          <w:color w:val="000000" w:themeColor="text1"/>
        </w:rPr>
        <w:t xml:space="preserve">pigenetics; </w:t>
      </w:r>
      <w:r w:rsidR="00B27E88" w:rsidRPr="00F04BAD">
        <w:rPr>
          <w:rFonts w:ascii="Book Antiqua" w:hAnsi="Book Antiqua" w:cs="Book Antiqua"/>
          <w:color w:val="000000" w:themeColor="text1"/>
          <w:lang w:eastAsia="zh-CN"/>
        </w:rPr>
        <w:t>R</w:t>
      </w:r>
      <w:r w:rsidRPr="00F04BAD">
        <w:rPr>
          <w:rFonts w:ascii="Book Antiqua" w:eastAsia="Book Antiqua" w:hAnsi="Book Antiqua" w:cs="Book Antiqua"/>
          <w:color w:val="000000" w:themeColor="text1"/>
        </w:rPr>
        <w:t>esistance</w:t>
      </w:r>
      <w:r w:rsidR="00B27E88" w:rsidRPr="00F04BAD">
        <w:rPr>
          <w:rFonts w:ascii="Book Antiqua" w:hAnsi="Book Antiqua" w:cs="Book Antiqua"/>
          <w:color w:val="000000" w:themeColor="text1"/>
          <w:lang w:eastAsia="zh-CN"/>
        </w:rPr>
        <w:t xml:space="preserve">; </w:t>
      </w:r>
      <w:r w:rsidR="00B27E88" w:rsidRPr="00F04BAD">
        <w:rPr>
          <w:rFonts w:ascii="Book Antiqua" w:eastAsia="Book Antiqua" w:hAnsi="Book Antiqua" w:cs="Book Antiqua"/>
          <w:color w:val="000000" w:themeColor="text1"/>
        </w:rPr>
        <w:t>Hepatocellular carcinoma</w:t>
      </w:r>
    </w:p>
    <w:p w14:paraId="5C5E3088" w14:textId="77777777" w:rsidR="00A77B3E" w:rsidRPr="00F04BAD" w:rsidRDefault="00A77B3E">
      <w:pPr>
        <w:spacing w:line="360" w:lineRule="auto"/>
        <w:jc w:val="both"/>
        <w:rPr>
          <w:rFonts w:ascii="Book Antiqua" w:hAnsi="Book Antiqua"/>
          <w:color w:val="000000" w:themeColor="text1"/>
        </w:rPr>
      </w:pPr>
    </w:p>
    <w:p w14:paraId="2478BE4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Sanceau J, Gougelet A. Epigenetic mechanisms of liver tumor resistance to immunotherapy. </w:t>
      </w:r>
      <w:r w:rsidRPr="00F04BAD">
        <w:rPr>
          <w:rFonts w:ascii="Book Antiqua" w:eastAsia="Book Antiqua" w:hAnsi="Book Antiqua" w:cs="Book Antiqua"/>
          <w:i/>
          <w:iCs/>
          <w:color w:val="000000" w:themeColor="text1"/>
        </w:rPr>
        <w:t>World J Hepatol</w:t>
      </w:r>
      <w:r w:rsidRPr="00F04BAD">
        <w:rPr>
          <w:rFonts w:ascii="Book Antiqua" w:eastAsia="Book Antiqua" w:hAnsi="Book Antiqua" w:cs="Book Antiqua"/>
          <w:color w:val="000000" w:themeColor="text1"/>
        </w:rPr>
        <w:t xml:space="preserve"> 2021; In press</w:t>
      </w:r>
    </w:p>
    <w:p w14:paraId="472880B6" w14:textId="77777777" w:rsidR="00A77B3E" w:rsidRPr="00F04BAD" w:rsidRDefault="00A77B3E">
      <w:pPr>
        <w:spacing w:line="360" w:lineRule="auto"/>
        <w:jc w:val="both"/>
        <w:rPr>
          <w:rFonts w:ascii="Book Antiqua" w:hAnsi="Book Antiqua"/>
          <w:color w:val="000000" w:themeColor="text1"/>
        </w:rPr>
      </w:pPr>
    </w:p>
    <w:p w14:paraId="77DE9490" w14:textId="60B1E4D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Core Tip: </w:t>
      </w:r>
      <w:r w:rsidRPr="00F04BAD">
        <w:rPr>
          <w:rFonts w:ascii="Book Antiqua" w:eastAsia="Book Antiqua" w:hAnsi="Book Antiqua" w:cs="Book Antiqua"/>
          <w:color w:val="000000" w:themeColor="text1"/>
        </w:rPr>
        <w:t xml:space="preserve">Although our understanding of hepatocellular carcinoma (HCC) pathogenesis has improved, this aggressive tumor is still devoid of effective treatments and remains a major health problem. Despite the justified hopes on immunotherapies, only a limited number of HCC patients respond to treatments. The characterization of the molecular mechanisms displayed by tumor cells to evade immune response will help to consider new combinations of therapies. </w:t>
      </w:r>
      <w:r w:rsidR="00495AAD" w:rsidRPr="00FD5C87">
        <w:rPr>
          <w:rFonts w:ascii="Book Antiqua" w:eastAsia="Book Antiqua" w:hAnsi="Book Antiqua" w:cs="Book Antiqua"/>
          <w:color w:val="000000" w:themeColor="text1"/>
        </w:rPr>
        <w:t>In</w:t>
      </w:r>
      <w:r w:rsidR="00495AAD"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 xml:space="preserve">recent years, </w:t>
      </w:r>
      <w:r w:rsidR="00495AAD" w:rsidRPr="00FD5C87">
        <w:rPr>
          <w:rFonts w:ascii="Book Antiqua" w:eastAsia="Book Antiqua" w:hAnsi="Book Antiqua" w:cs="Book Antiqua"/>
          <w:color w:val="000000" w:themeColor="text1"/>
        </w:rPr>
        <w:t xml:space="preserve">a </w:t>
      </w:r>
      <w:r w:rsidRPr="00F04BAD">
        <w:rPr>
          <w:rFonts w:ascii="Book Antiqua" w:eastAsia="Book Antiqua" w:hAnsi="Book Antiqua" w:cs="Book Antiqua"/>
          <w:color w:val="000000" w:themeColor="text1"/>
        </w:rPr>
        <w:t>growing body of evidence argue</w:t>
      </w:r>
      <w:r w:rsidR="00495AAD" w:rsidRPr="00FD5C87">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for a modulation of tumor immune privilege by several epigenetic events and renders drugs targeting these regulators as a partner of choice for immunotherapy combination strategies.</w:t>
      </w:r>
    </w:p>
    <w:p w14:paraId="30F65F56" w14:textId="77777777" w:rsidR="00A77B3E" w:rsidRPr="00F04BAD" w:rsidRDefault="00B27E88">
      <w:pPr>
        <w:spacing w:line="360" w:lineRule="auto"/>
        <w:jc w:val="both"/>
        <w:rPr>
          <w:rFonts w:ascii="Book Antiqua" w:hAnsi="Book Antiqua"/>
          <w:color w:val="000000" w:themeColor="text1"/>
        </w:rPr>
      </w:pPr>
      <w:r w:rsidRPr="00F04BAD">
        <w:rPr>
          <w:rFonts w:ascii="Book Antiqua" w:hAnsi="Book Antiqua"/>
          <w:color w:val="000000" w:themeColor="text1"/>
        </w:rPr>
        <w:br w:type="page"/>
      </w:r>
      <w:r w:rsidR="000D0918" w:rsidRPr="00F04BAD">
        <w:rPr>
          <w:rFonts w:ascii="Book Antiqua" w:eastAsia="Book Antiqua" w:hAnsi="Book Antiqua" w:cs="Book Antiqua"/>
          <w:b/>
          <w:caps/>
          <w:color w:val="000000" w:themeColor="text1"/>
          <w:u w:val="single"/>
        </w:rPr>
        <w:lastRenderedPageBreak/>
        <w:t>INTRODUCTION</w:t>
      </w:r>
    </w:p>
    <w:p w14:paraId="76B42601" w14:textId="41B9A1A4" w:rsidR="00A77B3E" w:rsidRPr="00F04BAD" w:rsidRDefault="000D0918" w:rsidP="00B27E88">
      <w:pPr>
        <w:spacing w:line="360" w:lineRule="auto"/>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Hepatocellular carcinoma (HCC) is the most commo</w:t>
      </w:r>
      <w:r w:rsidR="00B27E88" w:rsidRPr="00F04BAD">
        <w:rPr>
          <w:rFonts w:ascii="Book Antiqua" w:eastAsia="Book Antiqua" w:hAnsi="Book Antiqua" w:cs="Book Antiqua"/>
          <w:color w:val="000000" w:themeColor="text1"/>
        </w:rPr>
        <w:t>n primary liver tumor with 800</w:t>
      </w:r>
      <w:r w:rsidRPr="00F04BAD">
        <w:rPr>
          <w:rFonts w:ascii="Book Antiqua" w:eastAsia="Book Antiqua" w:hAnsi="Book Antiqua" w:cs="Book Antiqua"/>
          <w:color w:val="000000" w:themeColor="text1"/>
        </w:rPr>
        <w:t>000 newly diagnosed people per year in the world</w:t>
      </w:r>
      <w:r w:rsidRPr="00F04BAD">
        <w:rPr>
          <w:rFonts w:ascii="Book Antiqua" w:eastAsia="Book Antiqua" w:hAnsi="Book Antiqua" w:cs="Book Antiqua"/>
          <w:color w:val="000000" w:themeColor="text1"/>
          <w:vertAlign w:val="superscript"/>
        </w:rPr>
        <w:t>[1]</w:t>
      </w:r>
      <w:r w:rsidRPr="00F04BAD">
        <w:rPr>
          <w:rFonts w:ascii="Book Antiqua" w:eastAsia="Book Antiqua" w:hAnsi="Book Antiqua" w:cs="Book Antiqua"/>
          <w:color w:val="000000" w:themeColor="text1"/>
        </w:rPr>
        <w:t xml:space="preserve">. HCC also stands fourth </w:t>
      </w:r>
      <w:r w:rsidR="002100B9" w:rsidRPr="00FD5C87">
        <w:rPr>
          <w:rFonts w:ascii="Book Antiqua" w:eastAsia="Book Antiqua" w:hAnsi="Book Antiqua" w:cs="Book Antiqua"/>
          <w:color w:val="000000" w:themeColor="text1"/>
        </w:rPr>
        <w:t xml:space="preserve">in </w:t>
      </w:r>
      <w:r w:rsidRPr="00F04BAD">
        <w:rPr>
          <w:rFonts w:ascii="Book Antiqua" w:eastAsia="Book Antiqua" w:hAnsi="Book Antiqua" w:cs="Book Antiqua"/>
          <w:color w:val="000000" w:themeColor="text1"/>
        </w:rPr>
        <w:t>rank of death</w:t>
      </w:r>
      <w:r w:rsidR="002100B9" w:rsidRPr="00FD5C87">
        <w:rPr>
          <w:rFonts w:ascii="Book Antiqua" w:eastAsia="Book Antiqua" w:hAnsi="Book Antiqua" w:cs="Book Antiqua"/>
          <w:color w:val="000000" w:themeColor="text1"/>
        </w:rPr>
        <w:t xml:space="preserve">s </w:t>
      </w:r>
      <w:r w:rsidRPr="00F04BAD">
        <w:rPr>
          <w:rFonts w:ascii="Book Antiqua" w:eastAsia="Book Antiqua" w:hAnsi="Book Antiqua" w:cs="Book Antiqua"/>
          <w:color w:val="000000" w:themeColor="text1"/>
        </w:rPr>
        <w:t>related to cancer worldwi</w:t>
      </w:r>
      <w:r w:rsidR="00B27E88" w:rsidRPr="00F04BAD">
        <w:rPr>
          <w:rFonts w:ascii="Book Antiqua" w:eastAsia="Book Antiqua" w:hAnsi="Book Antiqua" w:cs="Book Antiqua"/>
          <w:color w:val="000000" w:themeColor="text1"/>
        </w:rPr>
        <w:t>de</w:t>
      </w:r>
      <w:r w:rsidR="002100B9" w:rsidRPr="00FD5C87">
        <w:rPr>
          <w:rFonts w:ascii="Book Antiqua" w:eastAsia="Book Antiqua" w:hAnsi="Book Antiqua" w:cs="Book Antiqua"/>
          <w:color w:val="000000" w:themeColor="text1"/>
        </w:rPr>
        <w:t>,</w:t>
      </w:r>
      <w:r w:rsidR="00B27E88" w:rsidRPr="00F04BAD">
        <w:rPr>
          <w:rFonts w:ascii="Book Antiqua" w:eastAsia="Book Antiqua" w:hAnsi="Book Antiqua" w:cs="Book Antiqua"/>
          <w:color w:val="000000" w:themeColor="text1"/>
        </w:rPr>
        <w:t xml:space="preserve"> accounting for more than 700</w:t>
      </w:r>
      <w:r w:rsidRPr="00F04BAD">
        <w:rPr>
          <w:rFonts w:ascii="Book Antiqua" w:eastAsia="Book Antiqua" w:hAnsi="Book Antiqua" w:cs="Book Antiqua"/>
          <w:color w:val="000000" w:themeColor="text1"/>
        </w:rPr>
        <w:t xml:space="preserve">000 deaths per year. Liver cancer incidence has tripled since the </w:t>
      </w:r>
      <w:r w:rsidR="002100B9" w:rsidRPr="00FD5C87">
        <w:rPr>
          <w:rFonts w:ascii="Book Antiqua" w:eastAsia="Book Antiqua" w:hAnsi="Book Antiqua" w:cs="Book Antiqua"/>
          <w:color w:val="000000" w:themeColor="text1"/>
        </w:rPr>
        <w:t>80s</w:t>
      </w:r>
      <w:r w:rsidR="002100B9"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and reaches a high incidence in western countries consequently to obesity and diabetes epidemic, supporting the need of novel effective strategies for this cancer refractory to the majority of conventional anticancer treatments. HCC is a complex disease but its mutational landscape has been extensively uncovered these two last decades with advances in deep-sequencing technologies. The most recurrent mutations identified in HCC are mutations in</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TERT</w:t>
      </w:r>
      <w:r w:rsidRPr="00F04BAD">
        <w:rPr>
          <w:rFonts w:ascii="Book Antiqua" w:eastAsia="Book Antiqua" w:hAnsi="Book Antiqua" w:cs="Book Antiqua"/>
          <w:color w:val="000000" w:themeColor="text1"/>
        </w:rPr>
        <w:t>,</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CTNNB1</w:t>
      </w:r>
      <w:r w:rsidR="00B27E88"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color w:val="000000" w:themeColor="text1"/>
        </w:rPr>
        <w:t>and</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TP53</w:t>
      </w:r>
      <w:r w:rsidRPr="00F04BAD">
        <w:rPr>
          <w:rFonts w:ascii="Book Antiqua" w:eastAsia="Book Antiqua" w:hAnsi="Book Antiqua" w:cs="Book Antiqua"/>
          <w:color w:val="000000" w:themeColor="text1"/>
          <w:vertAlign w:val="superscript"/>
        </w:rPr>
        <w:t>[2]</w:t>
      </w:r>
      <w:r w:rsidRPr="00F04BAD">
        <w:rPr>
          <w:rFonts w:ascii="Book Antiqua" w:eastAsia="Book Antiqua" w:hAnsi="Book Antiqua" w:cs="Book Antiqua"/>
          <w:color w:val="000000" w:themeColor="text1"/>
        </w:rPr>
        <w:t>, but other frequent mutations in epigenetic modifiers and chromatin remodelers are also encountered (</w:t>
      </w:r>
      <w:r w:rsidRPr="00F04BAD">
        <w:rPr>
          <w:rFonts w:ascii="Book Antiqua" w:eastAsia="Book Antiqua" w:hAnsi="Book Antiqua" w:cs="Book Antiqua"/>
          <w:i/>
          <w:color w:val="000000" w:themeColor="text1"/>
        </w:rPr>
        <w:t>e.g.</w:t>
      </w:r>
      <w:r w:rsidRPr="00F04BAD">
        <w:rPr>
          <w:rFonts w:ascii="Book Antiqua" w:eastAsia="Book Antiqua" w:hAnsi="Book Antiqua" w:cs="Book Antiqua"/>
          <w:color w:val="000000" w:themeColor="text1"/>
        </w:rPr>
        <w:t>,</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ARID1A, ARID2, MLL2</w:t>
      </w:r>
      <w:r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vertAlign w:val="superscript"/>
        </w:rPr>
        <w:t>[3,4]</w:t>
      </w:r>
      <w:r w:rsidRPr="00F04BAD">
        <w:rPr>
          <w:rFonts w:ascii="Book Antiqua" w:eastAsia="Book Antiqua" w:hAnsi="Book Antiqua" w:cs="Book Antiqua"/>
          <w:color w:val="000000" w:themeColor="text1"/>
        </w:rPr>
        <w:t>. Other crucial epigenetic modulators, the non-coding RNAs (ncRNAs), are also largely deregulated during hepatocarcinogenesis, reprogramming tumor cells but also modifying the surrounding cells and secondary sites of metastasis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via</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their secretion</w:t>
      </w:r>
      <w:r w:rsidRPr="00F04BAD">
        <w:rPr>
          <w:rFonts w:ascii="Book Antiqua" w:eastAsia="Book Antiqua" w:hAnsi="Book Antiqua" w:cs="Book Antiqua"/>
          <w:color w:val="000000" w:themeColor="text1"/>
          <w:vertAlign w:val="superscript"/>
        </w:rPr>
        <w:t>[5]</w:t>
      </w:r>
      <w:r w:rsidRPr="00F04BAD">
        <w:rPr>
          <w:rFonts w:ascii="Book Antiqua" w:eastAsia="Book Antiqua" w:hAnsi="Book Antiqua" w:cs="Book Antiqua"/>
          <w:color w:val="000000" w:themeColor="text1"/>
        </w:rPr>
        <w:t>.</w:t>
      </w:r>
    </w:p>
    <w:p w14:paraId="7822E44E" w14:textId="097AE567" w:rsidR="00A77B3E" w:rsidRPr="00F04BAD" w:rsidRDefault="000D0918" w:rsidP="00B27E8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Integrating outside and inside signals in time and space, the epigenetic regulations of gene expression is a crucial determinant of tumor cell fate regarding differentiation, proliferation, metabolism, migration and immunosurveillance. Epigenetic modifications are categorized into three main mechanisms: DNA methylation, histone modifications mainly on H3 and H4 histones (acetylation, methylation</w:t>
      </w:r>
      <w:r w:rsidRPr="00F04BAD">
        <w:rPr>
          <w:rFonts w:ascii="Book Antiqua" w:hAnsi="Book Antiqua" w:cs="Book Antiqua"/>
          <w:color w:val="000000" w:themeColor="text1"/>
          <w:lang w:eastAsia="zh-CN"/>
        </w:rPr>
        <w:t xml:space="preserve">, </w:t>
      </w:r>
      <w:r w:rsidRPr="00F04BAD">
        <w:rPr>
          <w:rFonts w:ascii="Book Antiqua" w:hAnsi="Book Antiqua" w:cs="Book Antiqua"/>
          <w:i/>
          <w:color w:val="000000" w:themeColor="text1"/>
          <w:lang w:eastAsia="zh-CN"/>
        </w:rPr>
        <w:t>etc.</w:t>
      </w:r>
      <w:r w:rsidRPr="00F04BAD">
        <w:rPr>
          <w:rFonts w:ascii="Book Antiqua" w:eastAsia="Book Antiqua" w:hAnsi="Book Antiqua" w:cs="Book Antiqua"/>
          <w:color w:val="000000" w:themeColor="text1"/>
        </w:rPr>
        <w:t>) and control by ncRNAs. There is a growing body of evidence that epigenetic modifiers play key roles during cancer, including in HCC. Therefore, they constitute attractive therapeutic options, alone or in combination with other anti-cancer agents, such as drugs targeting DNA methylation and histone acetylation, which have already been approved for hematological cancers</w:t>
      </w:r>
      <w:r w:rsidRPr="00F04BAD">
        <w:rPr>
          <w:rFonts w:ascii="Book Antiqua" w:eastAsia="Book Antiqua" w:hAnsi="Book Antiqua" w:cs="Book Antiqua"/>
          <w:color w:val="000000" w:themeColor="text1"/>
          <w:vertAlign w:val="superscript"/>
        </w:rPr>
        <w:t>[6]</w:t>
      </w:r>
      <w:r w:rsidRPr="00F04BAD">
        <w:rPr>
          <w:rFonts w:ascii="Book Antiqua" w:eastAsia="Book Antiqua" w:hAnsi="Book Antiqua" w:cs="Book Antiqua"/>
          <w:color w:val="000000" w:themeColor="text1"/>
        </w:rPr>
        <w:t>.</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These recent years, it has been extensively documented that </w:t>
      </w:r>
      <w:r w:rsidR="002100B9" w:rsidRPr="00FD5C87">
        <w:rPr>
          <w:rFonts w:ascii="Book Antiqua" w:eastAsia="Book Antiqua" w:hAnsi="Book Antiqua" w:cs="Book Antiqua"/>
          <w:color w:val="000000" w:themeColor="text1"/>
        </w:rPr>
        <w:t xml:space="preserve">the </w:t>
      </w:r>
      <w:r w:rsidRPr="00F04BAD">
        <w:rPr>
          <w:rFonts w:ascii="Book Antiqua" w:eastAsia="Book Antiqua" w:hAnsi="Book Antiqua" w:cs="Book Antiqua"/>
          <w:color w:val="000000" w:themeColor="text1"/>
        </w:rPr>
        <w:t>immune response is epigenetically controlled and play</w:t>
      </w:r>
      <w:r w:rsidR="002100B9" w:rsidRPr="00FD5C87">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critical roles in tumor immunosurveillance. Among others, epigenetic changes impact macrophage polarization, myeloid-derived suppressor cell (MDSC) function, genesis of cancer-associated fibroblasts </w:t>
      </w:r>
      <w:r w:rsidR="002100B9" w:rsidRPr="00FD5C87">
        <w:rPr>
          <w:rFonts w:ascii="Book Antiqua" w:eastAsia="Book Antiqua" w:hAnsi="Book Antiqua" w:cs="Book Antiqua"/>
          <w:color w:val="000000" w:themeColor="text1"/>
        </w:rPr>
        <w:t>and</w:t>
      </w:r>
      <w:r w:rsidRPr="00F04BAD">
        <w:rPr>
          <w:rFonts w:ascii="Book Antiqua" w:eastAsia="Book Antiqua" w:hAnsi="Book Antiqua" w:cs="Book Antiqua"/>
          <w:color w:val="000000" w:themeColor="text1"/>
        </w:rPr>
        <w:t xml:space="preserve"> function of T cell populations, either CD4+, CD8+ and T regulators</w:t>
      </w:r>
      <w:r w:rsidR="00697DB4" w:rsidRPr="00F04BAD">
        <w:rPr>
          <w:rFonts w:ascii="Book Antiqua" w:hAnsi="Book Antiqua" w:cs="Book Antiqua"/>
          <w:color w:val="000000" w:themeColor="text1"/>
          <w:lang w:eastAsia="zh-CN"/>
        </w:rPr>
        <w:t xml:space="preserve"> </w:t>
      </w:r>
      <w:r w:rsidR="00697DB4" w:rsidRPr="00F04BAD">
        <w:rPr>
          <w:rFonts w:ascii="Book Antiqua" w:eastAsia="Book Antiqua" w:hAnsi="Book Antiqua" w:cs="Book Antiqua"/>
          <w:color w:val="000000" w:themeColor="text1"/>
        </w:rPr>
        <w:t>(Treg</w:t>
      </w:r>
      <w:r w:rsidR="00537C11" w:rsidRPr="00F04BAD">
        <w:rPr>
          <w:rFonts w:ascii="Book Antiqua" w:eastAsia="Book Antiqua" w:hAnsi="Book Antiqua" w:cs="Book Antiqua"/>
          <w:color w:val="000000" w:themeColor="text1"/>
        </w:rPr>
        <w:t>s</w:t>
      </w:r>
      <w:r w:rsidR="00697DB4"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 Of note, subsets of inflammatory gene promoters have been found </w:t>
      </w:r>
      <w:r w:rsidRPr="00F04BAD">
        <w:rPr>
          <w:rFonts w:ascii="Book Antiqua" w:eastAsia="Book Antiqua" w:hAnsi="Book Antiqua" w:cs="Book Antiqua"/>
          <w:color w:val="000000" w:themeColor="text1"/>
        </w:rPr>
        <w:lastRenderedPageBreak/>
        <w:t>epigenetically deregulated in cancer. In particular, aberrant DNA methylation of interferon-γ (IFNγ) is associated with exhausted phenotype of T cells</w:t>
      </w:r>
      <w:r w:rsidRPr="00F04BAD">
        <w:rPr>
          <w:rFonts w:ascii="Book Antiqua" w:eastAsia="Book Antiqua" w:hAnsi="Book Antiqua" w:cs="Book Antiqua"/>
          <w:color w:val="000000" w:themeColor="text1"/>
          <w:vertAlign w:val="superscript"/>
        </w:rPr>
        <w:t>[7]</w:t>
      </w:r>
      <w:r w:rsidRPr="00F04BAD">
        <w:rPr>
          <w:rFonts w:ascii="Book Antiqua" w:eastAsia="Book Antiqua" w:hAnsi="Book Antiqua" w:cs="Book Antiqua"/>
          <w:color w:val="000000" w:themeColor="text1"/>
        </w:rPr>
        <w:t>.</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The cytokines involved in T</w:t>
      </w:r>
      <w:r w:rsidRPr="00F04BAD">
        <w:rPr>
          <w:rFonts w:ascii="Book Antiqua" w:eastAsia="Book Antiqua" w:hAnsi="Book Antiqua" w:cs="Book Antiqua"/>
          <w:color w:val="000000" w:themeColor="text1"/>
          <w:vertAlign w:val="subscript"/>
        </w:rPr>
        <w:t>H</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response have been found epigenetically inhibited by EZH2 (Enhancer of zeste homolog 2) and DNMT1 (DNA methyltransferase 1)</w:t>
      </w:r>
      <w:r w:rsidRPr="00F04BAD">
        <w:rPr>
          <w:rFonts w:ascii="Book Antiqua" w:eastAsia="Book Antiqua" w:hAnsi="Book Antiqua" w:cs="Book Antiqua"/>
          <w:color w:val="000000" w:themeColor="text1"/>
          <w:vertAlign w:val="superscript"/>
        </w:rPr>
        <w:t>[8]</w:t>
      </w:r>
      <w:r w:rsidR="00B27E88"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infiltration of CD8+ cells being inversely associated with the high expression of EZH2. In addition to cytokines, the expression of immune checkpoints such as the </w:t>
      </w:r>
      <w:r w:rsidR="00B27E88" w:rsidRPr="00F04BAD">
        <w:rPr>
          <w:rFonts w:ascii="Book Antiqua" w:hAnsi="Book Antiqua" w:cs="Book Antiqua"/>
          <w:color w:val="000000" w:themeColor="text1"/>
          <w:lang w:eastAsia="zh-CN"/>
        </w:rPr>
        <w:t>p</w:t>
      </w:r>
      <w:r w:rsidR="00B27E88" w:rsidRPr="00F04BAD">
        <w:rPr>
          <w:rFonts w:ascii="Book Antiqua" w:eastAsia="Book Antiqua" w:hAnsi="Book Antiqua" w:cs="Book Antiqua"/>
          <w:color w:val="000000" w:themeColor="text1"/>
        </w:rPr>
        <w:t>rogram cell death 1</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w:t>
      </w:r>
      <w:r w:rsidR="00B27E88" w:rsidRPr="00F04BAD">
        <w:rPr>
          <w:rFonts w:ascii="Book Antiqua" w:eastAsia="Book Antiqua" w:hAnsi="Book Antiqua" w:cs="Book Antiqua"/>
          <w:color w:val="000000" w:themeColor="text1"/>
        </w:rPr>
        <w:t>PD-1</w:t>
      </w:r>
      <w:r w:rsidRPr="00F04BAD">
        <w:rPr>
          <w:rFonts w:ascii="Book Antiqua" w:eastAsia="Book Antiqua" w:hAnsi="Book Antiqua" w:cs="Book Antiqua"/>
          <w:color w:val="000000" w:themeColor="text1"/>
        </w:rPr>
        <w:t>)/</w:t>
      </w:r>
      <w:r w:rsidR="00B27E88" w:rsidRPr="00F04BAD">
        <w:rPr>
          <w:rFonts w:ascii="Book Antiqua" w:hAnsi="Book Antiqua" w:cs="Book Antiqua"/>
          <w:color w:val="000000" w:themeColor="text1"/>
          <w:lang w:eastAsia="zh-CN"/>
        </w:rPr>
        <w:t>p</w:t>
      </w:r>
      <w:r w:rsidR="00B27E88" w:rsidRPr="00F04BAD">
        <w:rPr>
          <w:rFonts w:ascii="Book Antiqua" w:eastAsia="Book Antiqua" w:hAnsi="Book Antiqua" w:cs="Book Antiqua"/>
          <w:color w:val="000000" w:themeColor="text1"/>
        </w:rPr>
        <w:t>rogram cell death ligand 1</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w:t>
      </w:r>
      <w:r w:rsidR="00B27E88" w:rsidRPr="00F04BAD">
        <w:rPr>
          <w:rFonts w:ascii="Book Antiqua" w:eastAsia="Book Antiqua" w:hAnsi="Book Antiqua" w:cs="Book Antiqua"/>
          <w:color w:val="000000" w:themeColor="text1"/>
        </w:rPr>
        <w:t>PD-L1</w:t>
      </w:r>
      <w:r w:rsidRPr="00F04BAD">
        <w:rPr>
          <w:rFonts w:ascii="Book Antiqua" w:eastAsia="Book Antiqua" w:hAnsi="Book Antiqua" w:cs="Book Antiqua"/>
          <w:color w:val="000000" w:themeColor="text1"/>
        </w:rPr>
        <w:t>)</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axis is also regulated by epigenetic modifications. DNA methylation in the promoter region of</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CD274</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encoding PD-L1 predicts patient survival in multiple cancers.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EZH2 modifies its H3K27 trimethylation status in hepatoma cells</w:t>
      </w:r>
      <w:r w:rsidRPr="00F04BAD">
        <w:rPr>
          <w:rFonts w:ascii="Book Antiqua" w:eastAsia="Book Antiqua" w:hAnsi="Book Antiqua" w:cs="Book Antiqua"/>
          <w:color w:val="000000" w:themeColor="text1"/>
          <w:vertAlign w:val="superscript"/>
        </w:rPr>
        <w:t>[9]</w:t>
      </w:r>
      <w:r w:rsidRPr="00F04BAD">
        <w:rPr>
          <w:rFonts w:ascii="Book Antiqua" w:eastAsia="Book Antiqua" w:hAnsi="Book Antiqua" w:cs="Book Antiqua"/>
          <w:color w:val="000000" w:themeColor="text1"/>
        </w:rPr>
        <w:t>, while the BET protein BRD4 (</w:t>
      </w:r>
      <w:r w:rsidR="00B27E88" w:rsidRPr="00F04BAD">
        <w:rPr>
          <w:rFonts w:ascii="Book Antiqua" w:hAnsi="Book Antiqua" w:cs="Book Antiqua"/>
          <w:color w:val="000000" w:themeColor="text1"/>
          <w:lang w:eastAsia="zh-CN"/>
        </w:rPr>
        <w:t>b</w:t>
      </w:r>
      <w:r w:rsidRPr="00F04BAD">
        <w:rPr>
          <w:rFonts w:ascii="Book Antiqua" w:eastAsia="Book Antiqua" w:hAnsi="Book Antiqua" w:cs="Book Antiqua"/>
          <w:color w:val="000000" w:themeColor="text1"/>
        </w:rPr>
        <w:t>romodomain-containing protein 4), found overexpressed in HCC and enriched on super-enhancers driving oncogene expression</w:t>
      </w:r>
      <w:r w:rsidRPr="00F04BAD">
        <w:rPr>
          <w:rFonts w:ascii="Book Antiqua" w:eastAsia="Book Antiqua" w:hAnsi="Book Antiqua" w:cs="Book Antiqua"/>
          <w:color w:val="000000" w:themeColor="text1"/>
          <w:vertAlign w:val="superscript"/>
        </w:rPr>
        <w:t>[10]</w:t>
      </w:r>
      <w:r w:rsidRPr="00F04BAD">
        <w:rPr>
          <w:rFonts w:ascii="Book Antiqua" w:eastAsia="Book Antiqua" w:hAnsi="Book Antiqua" w:cs="Book Antiqua"/>
          <w:color w:val="000000" w:themeColor="text1"/>
        </w:rPr>
        <w:t>, suppressed PD-L1 expression</w:t>
      </w:r>
      <w:r w:rsidRPr="00F04BAD">
        <w:rPr>
          <w:rFonts w:ascii="Book Antiqua" w:eastAsia="Book Antiqua" w:hAnsi="Book Antiqua" w:cs="Book Antiqua"/>
          <w:color w:val="000000" w:themeColor="text1"/>
          <w:vertAlign w:val="superscript"/>
        </w:rPr>
        <w:t>[11]</w:t>
      </w:r>
      <w:r w:rsidRPr="00F04BAD">
        <w:rPr>
          <w:rFonts w:ascii="Book Antiqua" w:eastAsia="Book Antiqua" w:hAnsi="Book Antiqua" w:cs="Book Antiqua"/>
          <w:color w:val="000000" w:themeColor="text1"/>
        </w:rPr>
        <w:t>.</w:t>
      </w:r>
    </w:p>
    <w:p w14:paraId="6D9D6C8F" w14:textId="4ABF5C36" w:rsidR="00A77B3E" w:rsidRPr="00F04BAD" w:rsidRDefault="000D0918" w:rsidP="00B27E8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HCC is the paradigm of inflammation-associated cancer, since more than 80% of HCC emerge consecutively to cirrhosis associated with a vast remodeling of liver microenvironment. Immune cell remodeling is a consequence of chronic hepatitis or liver disease associated with alcohol consumption, genotoxic exposure or metabolic disorders</w:t>
      </w:r>
      <w:r w:rsidRPr="00F04BAD">
        <w:rPr>
          <w:rFonts w:ascii="Book Antiqua" w:eastAsia="Book Antiqua" w:hAnsi="Book Antiqua" w:cs="Book Antiqua"/>
          <w:color w:val="000000" w:themeColor="text1"/>
          <w:vertAlign w:val="superscript"/>
        </w:rPr>
        <w:t>[12]</w:t>
      </w:r>
      <w:r w:rsidRPr="00F04BAD">
        <w:rPr>
          <w:rFonts w:ascii="Book Antiqua" w:eastAsia="Book Antiqua" w:hAnsi="Book Antiqua" w:cs="Book Antiqua"/>
          <w:color w:val="000000" w:themeColor="text1"/>
        </w:rPr>
        <w:t xml:space="preserve">. Even if liver parenchyma harbors a specialized and protective immune system to manage its constant exposure to toxins and bacteria susceptible to trigger deleterious inflammation, the chronicity of hepatic injuries sensitizes to HCC. In liver cancers, as in </w:t>
      </w:r>
      <w:r w:rsidR="002D46AD" w:rsidRPr="00FD5C87">
        <w:rPr>
          <w:rFonts w:ascii="Book Antiqua" w:eastAsia="Book Antiqua" w:hAnsi="Book Antiqua" w:cs="Book Antiqua"/>
          <w:color w:val="000000" w:themeColor="text1"/>
        </w:rPr>
        <w:t xml:space="preserve">a </w:t>
      </w:r>
      <w:r w:rsidRPr="00F04BAD">
        <w:rPr>
          <w:rFonts w:ascii="Book Antiqua" w:eastAsia="Book Antiqua" w:hAnsi="Book Antiqua" w:cs="Book Antiqua"/>
          <w:color w:val="000000" w:themeColor="text1"/>
        </w:rPr>
        <w:t>number of other cancers, tumor microenvironment differs accordingly to the driven oncogenic mutations and thus impacts response to treatments, notably to immunomodulatory drugs</w:t>
      </w:r>
      <w:r w:rsidRPr="00F04BAD">
        <w:rPr>
          <w:rFonts w:ascii="Book Antiqua" w:eastAsia="Book Antiqua" w:hAnsi="Book Antiqua" w:cs="Book Antiqua"/>
          <w:color w:val="000000" w:themeColor="text1"/>
          <w:vertAlign w:val="superscript"/>
        </w:rPr>
        <w:t>[13]</w:t>
      </w:r>
      <w:r w:rsidRPr="00F04BAD">
        <w:rPr>
          <w:rFonts w:ascii="Book Antiqua" w:eastAsia="Book Antiqua" w:hAnsi="Book Antiqua" w:cs="Book Antiqua"/>
          <w:color w:val="000000" w:themeColor="text1"/>
        </w:rPr>
        <w:t>. Cancers with</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CTNNB1</w:t>
      </w:r>
      <w:r w:rsidR="00B27E88" w:rsidRPr="00F04BAD">
        <w:rPr>
          <w:rFonts w:ascii="Book Antiqua" w:hAnsi="Book Antiqua" w:cs="Book Antiqua"/>
          <w:iCs/>
          <w:color w:val="000000" w:themeColor="text1"/>
          <w:lang w:eastAsia="zh-CN"/>
        </w:rPr>
        <w:t xml:space="preserve"> </w:t>
      </w:r>
      <w:r w:rsidRPr="00F04BAD">
        <w:rPr>
          <w:rFonts w:ascii="Book Antiqua" w:eastAsia="Book Antiqua" w:hAnsi="Book Antiqua" w:cs="Book Antiqua"/>
          <w:color w:val="000000" w:themeColor="text1"/>
        </w:rPr>
        <w:t>mutations have been defined as cold tumors with lower immune cell infiltration and refractoriness to immune checkpoint inhibitors</w:t>
      </w:r>
      <w:r w:rsidR="00697DB4" w:rsidRPr="00F04BAD">
        <w:rPr>
          <w:rFonts w:ascii="Book Antiqua" w:hAnsi="Book Antiqua" w:cs="Book Antiqua"/>
          <w:color w:val="000000" w:themeColor="text1"/>
          <w:lang w:eastAsia="zh-CN"/>
        </w:rPr>
        <w:t xml:space="preserve"> </w:t>
      </w:r>
      <w:r w:rsidR="00697DB4" w:rsidRPr="00F04BAD">
        <w:rPr>
          <w:rFonts w:ascii="Book Antiqua" w:eastAsia="Book Antiqua" w:hAnsi="Book Antiqua" w:cs="Book Antiqua"/>
          <w:color w:val="000000" w:themeColor="text1"/>
        </w:rPr>
        <w:t>(ICIs)</w:t>
      </w:r>
      <w:r w:rsidRPr="00F04BAD">
        <w:rPr>
          <w:rFonts w:ascii="Book Antiqua" w:eastAsia="Book Antiqua" w:hAnsi="Book Antiqua" w:cs="Book Antiqua"/>
          <w:color w:val="000000" w:themeColor="text1"/>
          <w:vertAlign w:val="superscript"/>
        </w:rPr>
        <w:t>[14,15]</w:t>
      </w:r>
      <w:r w:rsidRPr="00F04BAD">
        <w:rPr>
          <w:rFonts w:ascii="Book Antiqua" w:eastAsia="Book Antiqua" w:hAnsi="Book Antiqua" w:cs="Book Antiqua"/>
          <w:color w:val="000000" w:themeColor="text1"/>
        </w:rPr>
        <w:t>. Indeed, the Wnt/β-catenin pathway plays a major role in the specification of a multitude of immune cells including macrophages, dendritic cells (DC) and lymphocytes</w:t>
      </w:r>
      <w:r w:rsidRPr="00F04BAD">
        <w:rPr>
          <w:rFonts w:ascii="Book Antiqua" w:eastAsia="Book Antiqua" w:hAnsi="Book Antiqua" w:cs="Book Antiqua"/>
          <w:color w:val="000000" w:themeColor="text1"/>
          <w:vertAlign w:val="superscript"/>
        </w:rPr>
        <w:t>[16]</w:t>
      </w:r>
      <w:r w:rsidRPr="00F04BAD">
        <w:rPr>
          <w:rFonts w:ascii="Book Antiqua" w:eastAsia="Book Antiqua" w:hAnsi="Book Antiqua" w:cs="Book Antiqua"/>
          <w:color w:val="000000" w:themeColor="text1"/>
        </w:rPr>
        <w:t>.</w:t>
      </w:r>
    </w:p>
    <w:p w14:paraId="4B5A9D43" w14:textId="77777777" w:rsidR="00A77B3E" w:rsidRPr="00F04BAD" w:rsidRDefault="000D0918" w:rsidP="00B27E8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 xml:space="preserve">In the present review, we will discuss the recent advances on immunotherapies in clinical practice, successfully used alone or in combination with other anti-cancers agents in several cancers. We will also address why these drugs demonstrate unsatisfactory results in a high proportion of liver cancers, which shown innate or acquired resistance </w:t>
      </w:r>
      <w:r w:rsidRPr="00F04BAD">
        <w:rPr>
          <w:rFonts w:ascii="Book Antiqua" w:eastAsia="Book Antiqua" w:hAnsi="Book Antiqua" w:cs="Book Antiqua"/>
          <w:color w:val="000000" w:themeColor="text1"/>
        </w:rPr>
        <w:lastRenderedPageBreak/>
        <w:t>to immunomodulatory agents. We will thus detail the mechanisms of resistance developed by HCC and particularly the epigenetic-related mechanisms.</w:t>
      </w:r>
    </w:p>
    <w:p w14:paraId="6E500228" w14:textId="77777777" w:rsidR="00A77B3E" w:rsidRPr="00F04BAD" w:rsidRDefault="00A77B3E" w:rsidP="00B27E88">
      <w:pPr>
        <w:spacing w:line="360" w:lineRule="auto"/>
        <w:jc w:val="both"/>
        <w:rPr>
          <w:rFonts w:ascii="Book Antiqua" w:hAnsi="Book Antiqua"/>
          <w:color w:val="000000" w:themeColor="text1"/>
          <w:lang w:eastAsia="zh-CN"/>
        </w:rPr>
      </w:pPr>
    </w:p>
    <w:p w14:paraId="0E6FAB2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aps/>
          <w:color w:val="000000" w:themeColor="text1"/>
          <w:u w:val="single"/>
        </w:rPr>
        <w:t>Mechanisms of T cell activation and attenuation</w:t>
      </w:r>
    </w:p>
    <w:p w14:paraId="6D068D86" w14:textId="45D8F81E"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T cell activation needs two signals from antigen presenting cells (APC). The initial signal is based on antigen recognition through interaction between T cell receptor (TCR) complexed to CD3 subunits on T lymphocytes and its cognate antigen/MHC (</w:t>
      </w:r>
      <w:r w:rsidR="00B27E88" w:rsidRPr="00F04BAD">
        <w:rPr>
          <w:rFonts w:ascii="Book Antiqua" w:hAnsi="Book Antiqua" w:cs="Book Antiqua"/>
          <w:color w:val="000000" w:themeColor="text1"/>
          <w:lang w:eastAsia="zh-CN"/>
        </w:rPr>
        <w:t>m</w:t>
      </w:r>
      <w:r w:rsidRPr="00F04BAD">
        <w:rPr>
          <w:rFonts w:ascii="Book Antiqua" w:eastAsia="Book Antiqua" w:hAnsi="Book Antiqua" w:cs="Book Antiqua"/>
          <w:color w:val="000000" w:themeColor="text1"/>
        </w:rPr>
        <w:t>ajor histocompa</w:t>
      </w:r>
      <w:r w:rsidR="002D46AD" w:rsidRPr="00FD5C87">
        <w:rPr>
          <w:rFonts w:ascii="Book Antiqua" w:eastAsia="Book Antiqua" w:hAnsi="Book Antiqua" w:cs="Book Antiqua"/>
          <w:color w:val="000000" w:themeColor="text1"/>
        </w:rPr>
        <w:t>ti</w:t>
      </w:r>
      <w:r w:rsidRPr="00F04BAD">
        <w:rPr>
          <w:rFonts w:ascii="Book Antiqua" w:eastAsia="Book Antiqua" w:hAnsi="Book Antiqua" w:cs="Book Antiqua"/>
          <w:color w:val="000000" w:themeColor="text1"/>
        </w:rPr>
        <w:t>bility complex) on APC (Figure 1). This interaction promotes CD3 phosphorylation on ITAM motifs (immunoreceptor tyrosine-based activation motifs) which serve as docking sites for the recruitment of ZAP-70 (TCR-ζ chain-associated 70-kDa tyrosine phosphoprotein) and subsequent phosphorylation by Lck (</w:t>
      </w:r>
      <w:r w:rsidR="00FD5C87" w:rsidRPr="00FD5C87">
        <w:rPr>
          <w:rFonts w:ascii="Book Antiqua" w:eastAsia="Book Antiqua" w:hAnsi="Book Antiqua" w:cs="Book Antiqua"/>
          <w:color w:val="000000" w:themeColor="text1"/>
        </w:rPr>
        <w:t>lymphocyte-specific protein tyrosine kinase</w:t>
      </w:r>
      <w:r w:rsidRPr="00F04BAD">
        <w:rPr>
          <w:rFonts w:ascii="Book Antiqua" w:eastAsia="Book Antiqua" w:hAnsi="Book Antiqua" w:cs="Book Antiqua"/>
          <w:color w:val="000000" w:themeColor="text1"/>
        </w:rPr>
        <w:t>) and autophosphorylation. Once fully activated ZAP-70 phosphorylates LAT (</w:t>
      </w:r>
      <w:r w:rsidR="00B27E88" w:rsidRPr="00F04BAD">
        <w:rPr>
          <w:rFonts w:ascii="Book Antiqua" w:hAnsi="Book Antiqua" w:cs="Book Antiqua"/>
          <w:color w:val="000000" w:themeColor="text1"/>
          <w:lang w:eastAsia="zh-CN"/>
        </w:rPr>
        <w:t>l</w:t>
      </w:r>
      <w:r w:rsidRPr="00F04BAD">
        <w:rPr>
          <w:rFonts w:ascii="Book Antiqua" w:eastAsia="Book Antiqua" w:hAnsi="Book Antiqua" w:cs="Book Antiqua"/>
          <w:color w:val="000000" w:themeColor="text1"/>
        </w:rPr>
        <w:t>inker of activated T cells) and SLP-76 (SH2 domain-containing leukocyte protein of 76 kDa), two adaptors for the assembly of the complete TCR signalosome. Secondary signals are required to fully activate L</w:t>
      </w:r>
      <w:r w:rsidR="002D46AD" w:rsidRPr="00FD5C87">
        <w:rPr>
          <w:rFonts w:ascii="Book Antiqua" w:eastAsia="Book Antiqua" w:hAnsi="Book Antiqua" w:cs="Book Antiqua"/>
          <w:color w:val="000000" w:themeColor="text1"/>
        </w:rPr>
        <w:t>A</w:t>
      </w:r>
      <w:r w:rsidRPr="00F04BAD">
        <w:rPr>
          <w:rFonts w:ascii="Book Antiqua" w:eastAsia="Book Antiqua" w:hAnsi="Book Antiqua" w:cs="Book Antiqua"/>
          <w:color w:val="000000" w:themeColor="text1"/>
        </w:rPr>
        <w:t>T. The costimulatory signals are mostly provided by members of the immunoglobulin superfamily such as CD80(B7-1)-CD86(B7-2) bound to CD28, ICOSL to ICOS (</w:t>
      </w:r>
      <w:r w:rsidR="00B27E88" w:rsidRPr="00F04BAD">
        <w:rPr>
          <w:rFonts w:ascii="Book Antiqua" w:hAnsi="Book Antiqua" w:cs="Book Antiqua"/>
          <w:color w:val="000000" w:themeColor="text1"/>
          <w:lang w:eastAsia="zh-CN"/>
        </w:rPr>
        <w:t>i</w:t>
      </w:r>
      <w:r w:rsidRPr="00F04BAD">
        <w:rPr>
          <w:rFonts w:ascii="Book Antiqua" w:eastAsia="Book Antiqua" w:hAnsi="Book Antiqua" w:cs="Book Antiqua"/>
          <w:color w:val="000000" w:themeColor="text1"/>
        </w:rPr>
        <w:t xml:space="preserve">nducible T-cell costimulator) (respectively on APC and T cell), </w:t>
      </w:r>
      <w:r w:rsidR="002F1107" w:rsidRPr="00F04BAD">
        <w:rPr>
          <w:rFonts w:ascii="Book Antiqua" w:eastAsia="Book Antiqua" w:hAnsi="Book Antiqua" w:cs="Book Antiqua"/>
          <w:color w:val="000000" w:themeColor="text1"/>
        </w:rPr>
        <w:t>or those of the</w:t>
      </w:r>
      <w:r w:rsidRPr="00F04BAD">
        <w:rPr>
          <w:rFonts w:ascii="Book Antiqua" w:eastAsia="Book Antiqua" w:hAnsi="Book Antiqua" w:cs="Book Antiqua"/>
          <w:color w:val="000000" w:themeColor="text1"/>
        </w:rPr>
        <w:t xml:space="preserve"> tumor necrosis factor (TNF) receptor superfamily (</w:t>
      </w:r>
      <w:r w:rsidRPr="00F04BAD">
        <w:rPr>
          <w:rFonts w:ascii="Book Antiqua" w:eastAsia="Book Antiqua" w:hAnsi="Book Antiqua" w:cs="Book Antiqua"/>
          <w:i/>
          <w:color w:val="000000" w:themeColor="text1"/>
        </w:rPr>
        <w:t>e.g.</w:t>
      </w:r>
      <w:r w:rsidRPr="00F04BAD">
        <w:rPr>
          <w:rFonts w:ascii="Book Antiqua" w:eastAsia="Book Antiqua" w:hAnsi="Book Antiqua" w:cs="Book Antiqua"/>
          <w:color w:val="000000" w:themeColor="text1"/>
        </w:rPr>
        <w:t>, OX40L-OX40, CD40/CD40L).</w:t>
      </w:r>
    </w:p>
    <w:p w14:paraId="2F704604" w14:textId="66BCCCF2" w:rsidR="00A77B3E" w:rsidRPr="00F04BAD" w:rsidRDefault="000D0918" w:rsidP="00B27E8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 xml:space="preserve">To avoid excessive immune response, co-inhibitory molecules, including CTLA-4 (cytotoxic T lymphocyte antigen 4), PD-1 and </w:t>
      </w:r>
      <w:r w:rsidR="00242775" w:rsidRPr="00F04BAD">
        <w:rPr>
          <w:rFonts w:ascii="Book Antiqua" w:eastAsia="Book Antiqua" w:hAnsi="Book Antiqua" w:cs="Book Antiqua"/>
          <w:color w:val="000000" w:themeColor="text1"/>
        </w:rPr>
        <w:t>LAG-3</w:t>
      </w:r>
      <w:r w:rsidRPr="00F04BAD">
        <w:rPr>
          <w:rFonts w:ascii="Book Antiqua" w:eastAsia="Book Antiqua" w:hAnsi="Book Antiqua" w:cs="Book Antiqua"/>
          <w:color w:val="000000" w:themeColor="text1"/>
        </w:rPr>
        <w:t xml:space="preserve"> (</w:t>
      </w:r>
      <w:r w:rsidR="00B27E88" w:rsidRPr="00F04BAD">
        <w:rPr>
          <w:rFonts w:ascii="Book Antiqua" w:hAnsi="Book Antiqua" w:cs="Book Antiqua"/>
          <w:color w:val="000000" w:themeColor="text1"/>
          <w:lang w:eastAsia="zh-CN"/>
        </w:rPr>
        <w:t>l</w:t>
      </w:r>
      <w:r w:rsidRPr="00F04BAD">
        <w:rPr>
          <w:rFonts w:ascii="Book Antiqua" w:eastAsia="Book Antiqua" w:hAnsi="Book Antiqua" w:cs="Book Antiqua"/>
          <w:color w:val="000000" w:themeColor="text1"/>
        </w:rPr>
        <w:t xml:space="preserve">ymphocyte-activation gene 3), act as negative immune counterweights (Figure 1). Inhibitory receptors mediate their negative regulation through inhibitory motifs located in their cytoplasmic tails such as </w:t>
      </w:r>
      <w:r w:rsidR="00B27E88" w:rsidRPr="00F04BAD">
        <w:rPr>
          <w:rFonts w:ascii="Book Antiqua" w:eastAsia="Book Antiqua" w:hAnsi="Book Antiqua" w:cs="Book Antiqua"/>
          <w:color w:val="000000" w:themeColor="text1"/>
        </w:rPr>
        <w:t xml:space="preserve">immunoreceptor-based inhibitory motif </w:t>
      </w:r>
      <w:r w:rsidRPr="00F04BAD">
        <w:rPr>
          <w:rFonts w:ascii="Book Antiqua" w:eastAsia="Book Antiqua" w:hAnsi="Book Antiqua" w:cs="Book Antiqua"/>
          <w:color w:val="000000" w:themeColor="text1"/>
        </w:rPr>
        <w:t>(</w:t>
      </w:r>
      <w:r w:rsidR="00B27E88" w:rsidRPr="00F04BAD">
        <w:rPr>
          <w:rFonts w:ascii="Book Antiqua" w:eastAsia="Book Antiqua" w:hAnsi="Book Antiqua" w:cs="Book Antiqua"/>
          <w:color w:val="000000" w:themeColor="text1"/>
        </w:rPr>
        <w:t>ITIM</w:t>
      </w:r>
      <w:r w:rsidRPr="00F04BAD">
        <w:rPr>
          <w:rFonts w:ascii="Book Antiqua" w:eastAsia="Book Antiqua" w:hAnsi="Book Antiqua" w:cs="Book Antiqua"/>
          <w:color w:val="000000" w:themeColor="text1"/>
        </w:rPr>
        <w:t>) to recruit phosphatases containing Src homology-2 domains, such as SHP-1 and SHP-2 (</w:t>
      </w:r>
      <w:r w:rsidR="00B27E88" w:rsidRPr="00F04BAD">
        <w:rPr>
          <w:rFonts w:ascii="Book Antiqua" w:hAnsi="Book Antiqua" w:cs="Book Antiqua"/>
          <w:color w:val="000000" w:themeColor="text1"/>
          <w:lang w:eastAsia="zh-CN"/>
        </w:rPr>
        <w:t>s</w:t>
      </w:r>
      <w:r w:rsidRPr="00F04BAD">
        <w:rPr>
          <w:rFonts w:ascii="Book Antiqua" w:eastAsia="Book Antiqua" w:hAnsi="Book Antiqua" w:cs="Book Antiqua"/>
          <w:color w:val="000000" w:themeColor="text1"/>
        </w:rPr>
        <w:t xml:space="preserve">mall heterodimer partner). The recruited phosphatases dephosphorylate several molecules involved in the TCR signaling such as the TCR itself or ZAP-70. This interrupts downstream cascades such as </w:t>
      </w:r>
      <w:r w:rsidR="00EB7892" w:rsidRPr="00F04BAD">
        <w:rPr>
          <w:rFonts w:ascii="Book Antiqua" w:eastAsia="Book Antiqua" w:hAnsi="Book Antiqua" w:cs="Book Antiqua"/>
          <w:color w:val="000000" w:themeColor="text1"/>
        </w:rPr>
        <w:t xml:space="preserve">the </w:t>
      </w:r>
      <w:r w:rsidRPr="00F04BAD">
        <w:rPr>
          <w:rFonts w:ascii="Book Antiqua" w:eastAsia="Book Antiqua" w:hAnsi="Book Antiqua" w:cs="Book Antiqua"/>
          <w:color w:val="000000" w:themeColor="text1"/>
        </w:rPr>
        <w:t>PI3K (phosphoinositide-3-kinase)/AKT and the rat sarcoma virus (Ras)/rapidly accelerated fibrosarcoma (Raf)/mitogen</w:t>
      </w:r>
      <w:r w:rsidRPr="00F04BAD">
        <w:rPr>
          <w:rFonts w:ascii="Book Antiqua" w:eastAsia="Book Antiqua" w:hAnsi="Book Antiqua" w:cs="Book Antiqua"/>
          <w:color w:val="000000" w:themeColor="text1"/>
        </w:rPr>
        <w:noBreakHyphen/>
        <w:t>activated protein kinase kinase (MEK)/extracellular signal</w:t>
      </w:r>
      <w:r w:rsidRPr="00F04BAD">
        <w:rPr>
          <w:rFonts w:ascii="Book Antiqua" w:eastAsia="Book Antiqua" w:hAnsi="Book Antiqua" w:cs="Book Antiqua"/>
          <w:color w:val="000000" w:themeColor="text1"/>
        </w:rPr>
        <w:noBreakHyphen/>
        <w:t xml:space="preserve">regulated kinase (ERK) and leads to reduction in T cell </w:t>
      </w:r>
      <w:r w:rsidRPr="00F04BAD">
        <w:rPr>
          <w:rFonts w:ascii="Book Antiqua" w:eastAsia="Book Antiqua" w:hAnsi="Book Antiqua" w:cs="Book Antiqua"/>
          <w:color w:val="000000" w:themeColor="text1"/>
        </w:rPr>
        <w:lastRenderedPageBreak/>
        <w:t xml:space="preserve">activation, proliferation, metabolism, differentiation, survival, and cytokine production. In addition, PD-1 as well as CTLA-4 are also able to directly regulate signaling pathways in lymphocytes such as </w:t>
      </w:r>
      <w:r w:rsidR="00EB7892" w:rsidRPr="00F04BAD">
        <w:rPr>
          <w:rFonts w:ascii="Book Antiqua" w:eastAsia="Book Antiqua" w:hAnsi="Book Antiqua" w:cs="Book Antiqua"/>
          <w:color w:val="000000" w:themeColor="text1"/>
        </w:rPr>
        <w:t xml:space="preserve">the </w:t>
      </w:r>
      <w:r w:rsidRPr="00F04BAD">
        <w:rPr>
          <w:rFonts w:ascii="Book Antiqua" w:eastAsia="Book Antiqua" w:hAnsi="Book Antiqua" w:cs="Book Antiqua"/>
          <w:color w:val="000000" w:themeColor="text1"/>
        </w:rPr>
        <w:t>PI3K and MAP kinase pathways</w:t>
      </w:r>
      <w:r w:rsidRPr="00F04BAD">
        <w:rPr>
          <w:rFonts w:ascii="Book Antiqua" w:eastAsia="Book Antiqua" w:hAnsi="Book Antiqua" w:cs="Book Antiqua"/>
          <w:color w:val="000000" w:themeColor="text1"/>
          <w:vertAlign w:val="superscript"/>
        </w:rPr>
        <w:t>[17-19]</w:t>
      </w:r>
      <w:r w:rsidRPr="00F04BAD">
        <w:rPr>
          <w:rFonts w:ascii="Book Antiqua" w:eastAsia="Book Antiqua" w:hAnsi="Book Antiqua" w:cs="Book Antiqua"/>
          <w:color w:val="000000" w:themeColor="text1"/>
        </w:rPr>
        <w:t>. While CTLA-4</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is the leading player of the </w:t>
      </w:r>
      <w:r w:rsidR="00697DB4" w:rsidRPr="00F04BAD">
        <w:rPr>
          <w:rFonts w:ascii="Book Antiqua" w:eastAsia="Book Antiqua" w:hAnsi="Book Antiqua" w:cs="Book Antiqua"/>
          <w:color w:val="000000" w:themeColor="text1"/>
        </w:rPr>
        <w:t>ICI</w:t>
      </w:r>
      <w:r w:rsidRPr="00F04BAD">
        <w:rPr>
          <w:rFonts w:ascii="Book Antiqua" w:eastAsia="Book Antiqua" w:hAnsi="Book Antiqua" w:cs="Book Antiqua"/>
          <w:color w:val="000000" w:themeColor="text1"/>
        </w:rPr>
        <w:t>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limiting priming of naive T cells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notably in lymph nodes, PD-1/PD-L1 interaction results in exhaustion of activated T cells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in peripheral tissues</w:t>
      </w:r>
      <w:r w:rsidR="00B27E88"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within the tumor microenvironment.</w:t>
      </w:r>
    </w:p>
    <w:p w14:paraId="013AD682" w14:textId="77777777" w:rsidR="00A77B3E" w:rsidRPr="00F04BAD" w:rsidRDefault="00A77B3E">
      <w:pPr>
        <w:spacing w:line="360" w:lineRule="auto"/>
        <w:jc w:val="both"/>
        <w:rPr>
          <w:rFonts w:ascii="Book Antiqua" w:hAnsi="Book Antiqua"/>
          <w:color w:val="000000" w:themeColor="text1"/>
        </w:rPr>
      </w:pPr>
    </w:p>
    <w:p w14:paraId="4943DE8A" w14:textId="77777777" w:rsidR="00A77B3E" w:rsidRPr="00F04BAD" w:rsidRDefault="000D0918">
      <w:pPr>
        <w:spacing w:line="360" w:lineRule="auto"/>
        <w:jc w:val="both"/>
        <w:rPr>
          <w:rFonts w:ascii="Book Antiqua" w:hAnsi="Book Antiqua"/>
          <w:b/>
          <w:color w:val="000000" w:themeColor="text1"/>
        </w:rPr>
      </w:pPr>
      <w:r w:rsidRPr="00F04BAD">
        <w:rPr>
          <w:rFonts w:ascii="Book Antiqua" w:eastAsia="Book Antiqua" w:hAnsi="Book Antiqua" w:cs="Book Antiqua"/>
          <w:b/>
          <w:i/>
          <w:iCs/>
          <w:color w:val="000000" w:themeColor="text1"/>
        </w:rPr>
        <w:t>PD-1/PD-L1 axis</w:t>
      </w:r>
    </w:p>
    <w:p w14:paraId="4BBD3F81" w14:textId="21D8795C"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PD-1</w:t>
      </w:r>
      <w:r w:rsidR="002D46AD" w:rsidRPr="00FD5C87">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 also known as CD279</w:t>
      </w:r>
      <w:r w:rsidR="002D46AD" w:rsidRPr="00FD5C87">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 is low or undetectable in naïve T cells and rapidly induced following TCR activation, in a process partially regulated by </w:t>
      </w:r>
      <w:r w:rsidR="00B27E88" w:rsidRPr="00F04BAD">
        <w:rPr>
          <w:rFonts w:ascii="Book Antiqua" w:eastAsia="Book Antiqua" w:hAnsi="Book Antiqua" w:cs="Book Antiqua"/>
          <w:color w:val="000000" w:themeColor="text1"/>
        </w:rPr>
        <w:t xml:space="preserve">transforming growth factors β </w:t>
      </w:r>
      <w:r w:rsidRPr="00F04BAD">
        <w:rPr>
          <w:rFonts w:ascii="Book Antiqua" w:eastAsia="Book Antiqua" w:hAnsi="Book Antiqua" w:cs="Book Antiqua"/>
          <w:color w:val="000000" w:themeColor="text1"/>
        </w:rPr>
        <w:t>(</w:t>
      </w:r>
      <w:r w:rsidR="00B27E88" w:rsidRPr="00F04BAD">
        <w:rPr>
          <w:rFonts w:ascii="Book Antiqua" w:eastAsia="Book Antiqua" w:hAnsi="Book Antiqua" w:cs="Book Antiqua"/>
          <w:color w:val="000000" w:themeColor="text1"/>
        </w:rPr>
        <w:t>TGF-β</w:t>
      </w:r>
      <w:r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vertAlign w:val="superscript"/>
        </w:rPr>
        <w:t>[20]</w:t>
      </w:r>
      <w:r w:rsidRPr="00F04BAD">
        <w:rPr>
          <w:rFonts w:ascii="Book Antiqua" w:eastAsia="Book Antiqua" w:hAnsi="Book Antiqua" w:cs="Book Antiqua"/>
          <w:color w:val="000000" w:themeColor="text1"/>
        </w:rPr>
        <w:t xml:space="preserve">. PD-1 is also expressed on other several cells such as B lymphocytes, natural killer (NK), macrophages, </w:t>
      </w:r>
      <w:r w:rsidR="00B27E88" w:rsidRPr="00F04BAD">
        <w:rPr>
          <w:rFonts w:ascii="Book Antiqua" w:eastAsia="Book Antiqua" w:hAnsi="Book Antiqua" w:cs="Book Antiqua"/>
          <w:color w:val="000000" w:themeColor="text1"/>
        </w:rPr>
        <w:t>DC</w:t>
      </w:r>
      <w:r w:rsidRPr="00F04BAD">
        <w:rPr>
          <w:rFonts w:ascii="Book Antiqua" w:eastAsia="Book Antiqua" w:hAnsi="Book Antiqua" w:cs="Book Antiqua"/>
          <w:color w:val="000000" w:themeColor="text1"/>
        </w:rPr>
        <w:t xml:space="preserve"> and monocytes and tumor-specific T cells. At the transcriptional level, PD-1 expression is regulated by </w:t>
      </w:r>
      <w:r w:rsidR="00697DB4" w:rsidRPr="00F04BAD">
        <w:rPr>
          <w:rFonts w:ascii="Book Antiqua" w:hAnsi="Book Antiqua" w:cs="Book Antiqua"/>
          <w:color w:val="000000" w:themeColor="text1"/>
          <w:lang w:eastAsia="zh-CN"/>
        </w:rPr>
        <w:t>n</w:t>
      </w:r>
      <w:r w:rsidR="00697DB4" w:rsidRPr="00F04BAD">
        <w:rPr>
          <w:rFonts w:ascii="Book Antiqua" w:eastAsia="Book Antiqua" w:hAnsi="Book Antiqua" w:cs="Book Antiqua"/>
          <w:color w:val="000000" w:themeColor="text1"/>
        </w:rPr>
        <w:t xml:space="preserve">uclear factor of activated T-cells </w:t>
      </w:r>
      <w:r w:rsidRPr="00F04BAD">
        <w:rPr>
          <w:rFonts w:ascii="Book Antiqua" w:eastAsia="Book Antiqua" w:hAnsi="Book Antiqua" w:cs="Book Antiqua"/>
          <w:color w:val="000000" w:themeColor="text1"/>
        </w:rPr>
        <w:t>(</w:t>
      </w:r>
      <w:r w:rsidR="00697DB4" w:rsidRPr="00F04BAD">
        <w:rPr>
          <w:rFonts w:ascii="Book Antiqua" w:eastAsia="Book Antiqua" w:hAnsi="Book Antiqua" w:cs="Book Antiqua"/>
          <w:color w:val="000000" w:themeColor="text1"/>
        </w:rPr>
        <w:t>NFAT</w:t>
      </w:r>
      <w:r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vertAlign w:val="superscript"/>
        </w:rPr>
        <w:t>[21]</w:t>
      </w:r>
      <w:r w:rsidRPr="00F04BAD">
        <w:rPr>
          <w:rFonts w:ascii="Book Antiqua" w:eastAsia="Book Antiqua" w:hAnsi="Book Antiqua" w:cs="Book Antiqua"/>
          <w:color w:val="000000" w:themeColor="text1"/>
        </w:rPr>
        <w:t xml:space="preserve">, </w:t>
      </w:r>
      <w:r w:rsidR="00697DB4" w:rsidRPr="00F04BAD">
        <w:rPr>
          <w:rFonts w:ascii="Book Antiqua" w:eastAsia="Book Antiqua" w:hAnsi="Book Antiqua" w:cs="Book Antiqua"/>
          <w:color w:val="000000" w:themeColor="text1"/>
        </w:rPr>
        <w:t xml:space="preserve">forkhead box O </w:t>
      </w:r>
      <w:r w:rsidRPr="00F04BAD">
        <w:rPr>
          <w:rFonts w:ascii="Book Antiqua" w:eastAsia="Book Antiqua" w:hAnsi="Book Antiqua" w:cs="Book Antiqua"/>
          <w:color w:val="000000" w:themeColor="text1"/>
        </w:rPr>
        <w:t>(</w:t>
      </w:r>
      <w:r w:rsidR="00697DB4" w:rsidRPr="00F04BAD">
        <w:rPr>
          <w:rFonts w:ascii="Book Antiqua" w:eastAsia="Book Antiqua" w:hAnsi="Book Antiqua" w:cs="Book Antiqua"/>
          <w:color w:val="000000" w:themeColor="text1"/>
        </w:rPr>
        <w:t>FOXO</w:t>
      </w:r>
      <w:r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vertAlign w:val="superscript"/>
        </w:rPr>
        <w:t>[22]</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interferon regulatory factor 9 (IRF9)</w:t>
      </w:r>
      <w:r w:rsidRPr="00F04BAD">
        <w:rPr>
          <w:rFonts w:ascii="Book Antiqua" w:eastAsia="Book Antiqua" w:hAnsi="Book Antiqua" w:cs="Book Antiqua"/>
          <w:color w:val="000000" w:themeColor="text1"/>
          <w:vertAlign w:val="superscript"/>
        </w:rPr>
        <w:t>[23]</w:t>
      </w:r>
      <w:r w:rsidRPr="00F04BAD">
        <w:rPr>
          <w:rFonts w:ascii="Book Antiqua" w:eastAsia="Book Antiqua" w:hAnsi="Book Antiqua" w:cs="Book Antiqua"/>
          <w:color w:val="000000" w:themeColor="text1"/>
        </w:rPr>
        <w:t>, STAT3/4 (</w:t>
      </w:r>
      <w:r w:rsidR="00697DB4" w:rsidRPr="00F04BAD">
        <w:rPr>
          <w:rFonts w:ascii="Book Antiqua" w:hAnsi="Book Antiqua" w:cs="Book Antiqua"/>
          <w:color w:val="000000" w:themeColor="text1"/>
          <w:lang w:eastAsia="zh-CN"/>
        </w:rPr>
        <w:t>s</w:t>
      </w:r>
      <w:r w:rsidRPr="00F04BAD">
        <w:rPr>
          <w:rFonts w:ascii="Book Antiqua" w:eastAsia="Book Antiqua" w:hAnsi="Book Antiqua" w:cs="Book Antiqua"/>
          <w:color w:val="000000" w:themeColor="text1"/>
        </w:rPr>
        <w:t>ignal transducer and activator of transcription 3 and 4) and CTCF (CCCTC- binding factor)</w:t>
      </w:r>
      <w:r w:rsidRPr="00F04BAD">
        <w:rPr>
          <w:rFonts w:ascii="Book Antiqua" w:eastAsia="Book Antiqua" w:hAnsi="Book Antiqua" w:cs="Book Antiqua"/>
          <w:color w:val="000000" w:themeColor="text1"/>
          <w:vertAlign w:val="superscript"/>
        </w:rPr>
        <w:t>[24]</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(Figure 2). PD-1 content is also dependent on </w:t>
      </w:r>
      <w:r w:rsidR="00697DB4" w:rsidRPr="00F04BAD">
        <w:rPr>
          <w:rFonts w:ascii="Book Antiqua" w:hAnsi="Book Antiqua" w:cs="Book Antiqua"/>
          <w:color w:val="000000" w:themeColor="text1"/>
          <w:lang w:eastAsia="zh-CN"/>
        </w:rPr>
        <w:t>m</w:t>
      </w:r>
      <w:r w:rsidR="00697DB4" w:rsidRPr="00F04BAD">
        <w:rPr>
          <w:rFonts w:ascii="Book Antiqua" w:eastAsia="Book Antiqua" w:hAnsi="Book Antiqua" w:cs="Book Antiqua"/>
          <w:color w:val="000000" w:themeColor="text1"/>
        </w:rPr>
        <w:t>icroRNAs (miRNAs)</w:t>
      </w:r>
      <w:r w:rsidRPr="00F04BAD">
        <w:rPr>
          <w:rFonts w:ascii="Book Antiqua" w:eastAsia="Book Antiqua" w:hAnsi="Book Antiqua" w:cs="Book Antiqua"/>
          <w:color w:val="000000" w:themeColor="text1"/>
        </w:rPr>
        <w:t xml:space="preserve"> such as miR-28</w:t>
      </w:r>
      <w:r w:rsidRPr="00F04BAD">
        <w:rPr>
          <w:rFonts w:ascii="Book Antiqua" w:eastAsia="Book Antiqua" w:hAnsi="Book Antiqua" w:cs="Book Antiqua"/>
          <w:color w:val="000000" w:themeColor="text1"/>
          <w:vertAlign w:val="superscript"/>
        </w:rPr>
        <w:t>[25]</w:t>
      </w:r>
      <w:r w:rsidRPr="00F04BAD">
        <w:rPr>
          <w:rFonts w:ascii="Book Antiqua" w:eastAsia="Book Antiqua" w:hAnsi="Book Antiqua" w:cs="Book Antiqua"/>
          <w:color w:val="000000" w:themeColor="text1"/>
        </w:rPr>
        <w:t>, miR-138 and miR-4717 in glioma</w:t>
      </w:r>
      <w:r w:rsidRPr="00F04BAD">
        <w:rPr>
          <w:rFonts w:ascii="Book Antiqua" w:eastAsia="Book Antiqua" w:hAnsi="Book Antiqua" w:cs="Book Antiqua"/>
          <w:color w:val="000000" w:themeColor="text1"/>
          <w:vertAlign w:val="superscript"/>
        </w:rPr>
        <w:t>[26]</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HCC respectively</w:t>
      </w:r>
      <w:r w:rsidRPr="00F04BAD">
        <w:rPr>
          <w:rFonts w:ascii="Book Antiqua" w:eastAsia="Book Antiqua" w:hAnsi="Book Antiqua" w:cs="Book Antiqua"/>
          <w:color w:val="000000" w:themeColor="text1"/>
          <w:vertAlign w:val="superscript"/>
        </w:rPr>
        <w:t>[27]</w:t>
      </w:r>
      <w:r w:rsidRPr="00F04BAD">
        <w:rPr>
          <w:rFonts w:ascii="Book Antiqua" w:eastAsia="Book Antiqua" w:hAnsi="Book Antiqua" w:cs="Book Antiqua"/>
          <w:color w:val="000000" w:themeColor="text1"/>
        </w:rPr>
        <w:t>. Differential level of the repressive H3K9me3 mark has been observed in the promoter region of PD-1 in colorectal cancer</w:t>
      </w:r>
      <w:r w:rsidRPr="00F04BAD">
        <w:rPr>
          <w:rFonts w:ascii="Book Antiqua" w:eastAsia="Book Antiqua" w:hAnsi="Book Antiqua" w:cs="Book Antiqua"/>
          <w:color w:val="000000" w:themeColor="text1"/>
          <w:vertAlign w:val="superscript"/>
        </w:rPr>
        <w:t>[28]</w:t>
      </w:r>
      <w:r w:rsidRPr="00F04BAD">
        <w:rPr>
          <w:rFonts w:ascii="Book Antiqua" w:eastAsia="Book Antiqua" w:hAnsi="Book Antiqua" w:cs="Book Antiqua"/>
          <w:color w:val="000000" w:themeColor="text1"/>
        </w:rPr>
        <w:t>.</w:t>
      </w:r>
    </w:p>
    <w:p w14:paraId="363A2855" w14:textId="44DD1975" w:rsidR="00A77B3E" w:rsidRPr="00F04BAD" w:rsidRDefault="000D0918" w:rsidP="00697DB4">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 xml:space="preserve">PD-1 triggers immunosuppressive signals upon binding to its ligands, PD-L1 (CD274 or B7-H1) and PD-L2 (CD273). A soluble form of PD-L1 (sPD-L1) is secreted in the blood and could competes for PD-1 binding with membranous PD-L1. PD-L2 is restricted to APCs and B lymphocytes, while PD-L1 is usually expressed by macrophages, </w:t>
      </w:r>
      <w:r w:rsidR="00B27E88" w:rsidRPr="00F04BAD">
        <w:rPr>
          <w:rFonts w:ascii="Book Antiqua" w:eastAsia="Book Antiqua" w:hAnsi="Book Antiqua" w:cs="Book Antiqua"/>
          <w:color w:val="000000" w:themeColor="text1"/>
        </w:rPr>
        <w:t>DC</w:t>
      </w:r>
      <w:r w:rsidRPr="00F04BAD">
        <w:rPr>
          <w:rFonts w:ascii="Book Antiqua" w:eastAsia="Book Antiqua" w:hAnsi="Book Antiqua" w:cs="Book Antiqua"/>
          <w:color w:val="000000" w:themeColor="text1"/>
        </w:rPr>
        <w:t>, epithelial cells, activated T cells and B cells. To escape anti-tumor response, PD-L1 expression is highly induced in tumor cells. This could result from genomic alterations such as amplification of translocation including in HCC</w:t>
      </w:r>
      <w:r w:rsidRPr="00F04BAD">
        <w:rPr>
          <w:rFonts w:ascii="Book Antiqua" w:eastAsia="Book Antiqua" w:hAnsi="Book Antiqua" w:cs="Book Antiqua"/>
          <w:color w:val="000000" w:themeColor="text1"/>
          <w:vertAlign w:val="superscript"/>
        </w:rPr>
        <w:t>[29]</w:t>
      </w:r>
      <w:r w:rsidRPr="00F04BAD">
        <w:rPr>
          <w:rFonts w:ascii="Book Antiqua" w:eastAsia="Book Antiqua" w:hAnsi="Book Antiqua" w:cs="Book Antiqua"/>
          <w:color w:val="000000" w:themeColor="text1"/>
        </w:rPr>
        <w:t>. Gain in PD-L1 copy number is also a frequent alteration across many cancers, which influence</w:t>
      </w:r>
      <w:r w:rsidR="00EB7892"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PD-L1 expression levels</w:t>
      </w:r>
      <w:r w:rsidR="00EB7892"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 xml:space="preserve">and </w:t>
      </w:r>
      <w:r w:rsidR="00EB7892" w:rsidRPr="00F04BAD">
        <w:rPr>
          <w:rFonts w:ascii="Book Antiqua" w:eastAsia="Book Antiqua" w:hAnsi="Book Antiqua" w:cs="Book Antiqua"/>
          <w:color w:val="000000" w:themeColor="text1"/>
        </w:rPr>
        <w:t xml:space="preserve">correlates </w:t>
      </w:r>
      <w:r w:rsidRPr="00F04BAD">
        <w:rPr>
          <w:rFonts w:ascii="Book Antiqua" w:eastAsia="Book Antiqua" w:hAnsi="Book Antiqua" w:cs="Book Antiqua"/>
          <w:color w:val="000000" w:themeColor="text1"/>
        </w:rPr>
        <w:t>with higher number of mutated genes</w:t>
      </w:r>
      <w:r w:rsidRPr="00F04BAD">
        <w:rPr>
          <w:rFonts w:ascii="Book Antiqua" w:eastAsia="Book Antiqua" w:hAnsi="Book Antiqua" w:cs="Book Antiqua"/>
          <w:color w:val="000000" w:themeColor="text1"/>
          <w:vertAlign w:val="superscript"/>
        </w:rPr>
        <w:t>[30]</w:t>
      </w:r>
      <w:r w:rsidRPr="00F04BAD">
        <w:rPr>
          <w:rFonts w:ascii="Book Antiqua" w:eastAsia="Book Antiqua" w:hAnsi="Book Antiqua" w:cs="Book Antiqua"/>
          <w:color w:val="000000" w:themeColor="text1"/>
        </w:rPr>
        <w:t>. Nevertheless, such a correlation is not observed in HCC.</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CD274</w:t>
      </w:r>
      <w:r w:rsidR="00697DB4"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color w:val="000000" w:themeColor="text1"/>
        </w:rPr>
        <w:t>expression is controlled by DNA methylation and could constitute a prognosis factor in colon</w:t>
      </w:r>
      <w:r w:rsidRPr="00F04BAD">
        <w:rPr>
          <w:rFonts w:ascii="Book Antiqua" w:eastAsia="Book Antiqua" w:hAnsi="Book Antiqua" w:cs="Book Antiqua"/>
          <w:color w:val="000000" w:themeColor="text1"/>
          <w:vertAlign w:val="superscript"/>
        </w:rPr>
        <w:t>[31]</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or prostate cancers</w:t>
      </w:r>
      <w:r w:rsidRPr="00F04BAD">
        <w:rPr>
          <w:rFonts w:ascii="Book Antiqua" w:eastAsia="Book Antiqua" w:hAnsi="Book Antiqua" w:cs="Book Antiqua"/>
          <w:color w:val="000000" w:themeColor="text1"/>
          <w:vertAlign w:val="superscript"/>
        </w:rPr>
        <w:t>[32]</w:t>
      </w:r>
      <w:r w:rsidRPr="00F04BAD">
        <w:rPr>
          <w:rFonts w:ascii="Book Antiqua" w:eastAsia="Book Antiqua" w:hAnsi="Book Antiqua" w:cs="Book Antiqua"/>
          <w:color w:val="000000" w:themeColor="text1"/>
        </w:rPr>
        <w:t xml:space="preserve">. Several </w:t>
      </w:r>
      <w:r w:rsidRPr="00F04BAD">
        <w:rPr>
          <w:rFonts w:ascii="Book Antiqua" w:eastAsia="Book Antiqua" w:hAnsi="Book Antiqua" w:cs="Book Antiqua"/>
          <w:color w:val="000000" w:themeColor="text1"/>
        </w:rPr>
        <w:lastRenderedPageBreak/>
        <w:t>signaling pathways are also well documented to induce PD-L1 expression in tumor microenvironment such as interferon signaling, PI3K-AKT, MEK-ERK, JAK-STAT, c-MYC and NF-kB (nuclear factor-kappa B)</w:t>
      </w:r>
      <w:r w:rsidRPr="00F04BAD">
        <w:rPr>
          <w:rFonts w:ascii="Book Antiqua" w:eastAsia="Book Antiqua" w:hAnsi="Book Antiqua" w:cs="Book Antiqua"/>
          <w:color w:val="000000" w:themeColor="text1"/>
          <w:vertAlign w:val="superscript"/>
        </w:rPr>
        <w:t>[33]</w:t>
      </w:r>
      <w:r w:rsidRPr="00F04BAD">
        <w:rPr>
          <w:rFonts w:ascii="Book Antiqua" w:eastAsia="Book Antiqua" w:hAnsi="Book Antiqua" w:cs="Book Antiqua"/>
          <w:color w:val="000000" w:themeColor="text1"/>
        </w:rPr>
        <w:t>. This transcriptional regulation is regulated by a plethora of cytokines and growth factors such as IFN-γ,</w:t>
      </w:r>
      <w:r w:rsidR="00697DB4" w:rsidRPr="00F04BAD">
        <w:rPr>
          <w:rFonts w:ascii="Book Antiqua" w:hAnsi="Book Antiqua" w:cs="Book Antiqua"/>
          <w:color w:val="000000" w:themeColor="text1"/>
          <w:lang w:eastAsia="zh-CN"/>
        </w:rPr>
        <w:t xml:space="preserve"> </w:t>
      </w:r>
      <w:bookmarkStart w:id="3" w:name="_Hlk58003126"/>
      <w:r w:rsidR="00697DB4" w:rsidRPr="00F04BAD">
        <w:rPr>
          <w:rFonts w:ascii="Book Antiqua" w:eastAsia="Book Antiqua" w:hAnsi="Book Antiqua" w:cs="Book Antiqua"/>
          <w:color w:val="000000" w:themeColor="text1"/>
        </w:rPr>
        <w:t>interleukin</w:t>
      </w:r>
      <w:bookmarkEnd w:id="3"/>
      <w:r w:rsidRPr="00F04BAD">
        <w:rPr>
          <w:rFonts w:ascii="Book Antiqua" w:eastAsia="Book Antiqua" w:hAnsi="Book Antiqua" w:cs="Book Antiqua"/>
          <w:color w:val="000000" w:themeColor="text1"/>
        </w:rPr>
        <w:t xml:space="preserve"> </w:t>
      </w:r>
      <w:r w:rsidR="00697DB4"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IL</w:t>
      </w:r>
      <w:r w:rsidR="00697DB4"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-6, IL-17, IL-25,</w:t>
      </w:r>
      <w:r w:rsidR="00697DB4"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color w:val="000000" w:themeColor="text1"/>
        </w:rPr>
        <w:t xml:space="preserve">TNF-α or </w:t>
      </w:r>
      <w:r w:rsidR="00697DB4" w:rsidRPr="00F04BAD">
        <w:rPr>
          <w:rFonts w:ascii="Book Antiqua" w:eastAsia="Book Antiqua" w:hAnsi="Book Antiqua" w:cs="Book Antiqua"/>
          <w:color w:val="000000" w:themeColor="text1"/>
        </w:rPr>
        <w:t xml:space="preserve">epidermal growth factor </w:t>
      </w:r>
      <w:r w:rsidRPr="00F04BAD">
        <w:rPr>
          <w:rFonts w:ascii="Book Antiqua" w:eastAsia="Book Antiqua" w:hAnsi="Book Antiqua" w:cs="Book Antiqua"/>
          <w:color w:val="000000" w:themeColor="text1"/>
        </w:rPr>
        <w:t>(</w:t>
      </w:r>
      <w:r w:rsidR="00697DB4" w:rsidRPr="00F04BAD">
        <w:rPr>
          <w:rFonts w:ascii="Book Antiqua" w:eastAsia="Book Antiqua" w:hAnsi="Book Antiqua" w:cs="Book Antiqua"/>
          <w:color w:val="000000" w:themeColor="text1"/>
        </w:rPr>
        <w:t>EGF</w:t>
      </w:r>
      <w:r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vertAlign w:val="superscript"/>
        </w:rPr>
        <w:t>[34]</w:t>
      </w:r>
      <w:r w:rsidRPr="00F04BAD">
        <w:rPr>
          <w:rFonts w:ascii="Book Antiqua" w:eastAsia="Book Antiqua" w:hAnsi="Book Antiqua" w:cs="Book Antiqua"/>
          <w:color w:val="000000" w:themeColor="text1"/>
        </w:rPr>
        <w:t xml:space="preserve">. PD-L1 expression is also regulated by several </w:t>
      </w:r>
      <w:r w:rsidR="00697DB4" w:rsidRPr="00F04BAD">
        <w:rPr>
          <w:rFonts w:ascii="Book Antiqua" w:eastAsia="Book Antiqua" w:hAnsi="Book Antiqua" w:cs="Book Antiqua"/>
          <w:color w:val="000000" w:themeColor="text1"/>
        </w:rPr>
        <w:t>miRNA</w:t>
      </w:r>
      <w:r w:rsidRPr="00F04BAD">
        <w:rPr>
          <w:rFonts w:ascii="Book Antiqua" w:eastAsia="Book Antiqua" w:hAnsi="Book Antiqua" w:cs="Book Antiqua"/>
          <w:color w:val="000000" w:themeColor="text1"/>
        </w:rPr>
        <w:t>s found implicated in cancers: miR-15/miR-16/miR-193a</w:t>
      </w:r>
      <w:r w:rsidRPr="00F04BAD">
        <w:rPr>
          <w:rFonts w:ascii="Book Antiqua" w:eastAsia="Book Antiqua" w:hAnsi="Book Antiqua" w:cs="Book Antiqua"/>
          <w:color w:val="000000" w:themeColor="text1"/>
          <w:vertAlign w:val="superscript"/>
        </w:rPr>
        <w:t>[35]</w:t>
      </w:r>
      <w:r w:rsidRPr="00F04BAD">
        <w:rPr>
          <w:rFonts w:ascii="Book Antiqua" w:eastAsia="Book Antiqua" w:hAnsi="Book Antiqua" w:cs="Book Antiqua"/>
          <w:color w:val="000000" w:themeColor="text1"/>
        </w:rPr>
        <w:t>, miR-17</w:t>
      </w:r>
      <w:r w:rsidRPr="00F04BAD">
        <w:rPr>
          <w:rFonts w:ascii="Book Antiqua" w:eastAsia="Book Antiqua" w:hAnsi="Book Antiqua" w:cs="Book Antiqua"/>
          <w:color w:val="000000" w:themeColor="text1"/>
          <w:vertAlign w:val="superscript"/>
        </w:rPr>
        <w:t>[36]</w:t>
      </w:r>
      <w:r w:rsidRPr="00F04BAD">
        <w:rPr>
          <w:rFonts w:ascii="Book Antiqua" w:eastAsia="Book Antiqua" w:hAnsi="Book Antiqua" w:cs="Book Antiqua"/>
          <w:color w:val="000000" w:themeColor="text1"/>
        </w:rPr>
        <w:t>, miR-34</w:t>
      </w:r>
      <w:r w:rsidRPr="00F04BAD">
        <w:rPr>
          <w:rFonts w:ascii="Book Antiqua" w:eastAsia="Book Antiqua" w:hAnsi="Book Antiqua" w:cs="Book Antiqua"/>
          <w:color w:val="000000" w:themeColor="text1"/>
          <w:vertAlign w:val="superscript"/>
        </w:rPr>
        <w:t>[37]</w:t>
      </w:r>
      <w:r w:rsidRPr="00F04BAD">
        <w:rPr>
          <w:rFonts w:ascii="Book Antiqua" w:eastAsia="Book Antiqua" w:hAnsi="Book Antiqua" w:cs="Book Antiqua"/>
          <w:color w:val="000000" w:themeColor="text1"/>
        </w:rPr>
        <w:t>, the miR-25/miR-93/miR-106b cluster</w:t>
      </w:r>
      <w:r w:rsidRPr="00F04BAD">
        <w:rPr>
          <w:rFonts w:ascii="Book Antiqua" w:eastAsia="Book Antiqua" w:hAnsi="Book Antiqua" w:cs="Book Antiqua"/>
          <w:color w:val="000000" w:themeColor="text1"/>
          <w:vertAlign w:val="superscript"/>
        </w:rPr>
        <w:t>[38]</w:t>
      </w:r>
      <w:r w:rsidRPr="00F04BAD">
        <w:rPr>
          <w:rFonts w:ascii="Book Antiqua" w:eastAsia="Book Antiqua" w:hAnsi="Book Antiqua" w:cs="Book Antiqua"/>
          <w:color w:val="000000" w:themeColor="text1"/>
        </w:rPr>
        <w:t>, miR-138-5p</w:t>
      </w:r>
      <w:r w:rsidRPr="00F04BAD">
        <w:rPr>
          <w:rFonts w:ascii="Book Antiqua" w:eastAsia="Book Antiqua" w:hAnsi="Book Antiqua" w:cs="Book Antiqua"/>
          <w:color w:val="000000" w:themeColor="text1"/>
          <w:vertAlign w:val="superscript"/>
        </w:rPr>
        <w:t>[39]</w:t>
      </w:r>
      <w:r w:rsidRPr="00F04BAD">
        <w:rPr>
          <w:rFonts w:ascii="Book Antiqua" w:eastAsia="Book Antiqua" w:hAnsi="Book Antiqua" w:cs="Book Antiqua"/>
          <w:color w:val="000000" w:themeColor="text1"/>
        </w:rPr>
        <w:t>, miR-140</w:t>
      </w:r>
      <w:r w:rsidRPr="00F04BAD">
        <w:rPr>
          <w:rFonts w:ascii="Book Antiqua" w:eastAsia="Book Antiqua" w:hAnsi="Book Antiqua" w:cs="Book Antiqua"/>
          <w:color w:val="000000" w:themeColor="text1"/>
          <w:vertAlign w:val="superscript"/>
        </w:rPr>
        <w:t>[40]</w:t>
      </w:r>
      <w:r w:rsidRPr="00F04BAD">
        <w:rPr>
          <w:rFonts w:ascii="Book Antiqua" w:eastAsia="Book Antiqua" w:hAnsi="Book Antiqua" w:cs="Book Antiqua"/>
          <w:color w:val="000000" w:themeColor="text1"/>
        </w:rPr>
        <w:t>, miR-142-5p</w:t>
      </w:r>
      <w:r w:rsidRPr="00F04BAD">
        <w:rPr>
          <w:rFonts w:ascii="Book Antiqua" w:eastAsia="Book Antiqua" w:hAnsi="Book Antiqua" w:cs="Book Antiqua"/>
          <w:color w:val="000000" w:themeColor="text1"/>
          <w:vertAlign w:val="superscript"/>
        </w:rPr>
        <w:t>[41]</w:t>
      </w:r>
      <w:r w:rsidRPr="00F04BAD">
        <w:rPr>
          <w:rFonts w:ascii="Book Antiqua" w:eastAsia="Book Antiqua" w:hAnsi="Book Antiqua" w:cs="Book Antiqua"/>
          <w:color w:val="000000" w:themeColor="text1"/>
        </w:rPr>
        <w:t>, miR-152</w:t>
      </w:r>
      <w:r w:rsidRPr="00F04BAD">
        <w:rPr>
          <w:rFonts w:ascii="Book Antiqua" w:eastAsia="Book Antiqua" w:hAnsi="Book Antiqua" w:cs="Book Antiqua"/>
          <w:color w:val="000000" w:themeColor="text1"/>
          <w:vertAlign w:val="superscript"/>
        </w:rPr>
        <w:t>[42]</w:t>
      </w:r>
      <w:r w:rsidRPr="00F04BAD">
        <w:rPr>
          <w:rFonts w:ascii="Book Antiqua" w:eastAsia="Book Antiqua" w:hAnsi="Book Antiqua" w:cs="Book Antiqua"/>
          <w:color w:val="000000" w:themeColor="text1"/>
        </w:rPr>
        <w:t>, miR-197</w:t>
      </w:r>
      <w:r w:rsidRPr="00F04BAD">
        <w:rPr>
          <w:rFonts w:ascii="Book Antiqua" w:eastAsia="Book Antiqua" w:hAnsi="Book Antiqua" w:cs="Book Antiqua"/>
          <w:color w:val="000000" w:themeColor="text1"/>
          <w:vertAlign w:val="superscript"/>
        </w:rPr>
        <w:t>[43]</w:t>
      </w:r>
      <w:r w:rsidRPr="00F04BAD">
        <w:rPr>
          <w:rFonts w:ascii="Book Antiqua" w:eastAsia="Book Antiqua" w:hAnsi="Book Antiqua" w:cs="Book Antiqua"/>
          <w:color w:val="000000" w:themeColor="text1"/>
        </w:rPr>
        <w:t>, miR-200</w:t>
      </w:r>
      <w:r w:rsidRPr="00F04BAD">
        <w:rPr>
          <w:rFonts w:ascii="Book Antiqua" w:eastAsia="Book Antiqua" w:hAnsi="Book Antiqua" w:cs="Book Antiqua"/>
          <w:color w:val="000000" w:themeColor="text1"/>
          <w:vertAlign w:val="superscript"/>
        </w:rPr>
        <w:t>[44]</w:t>
      </w:r>
      <w:r w:rsidRPr="00F04BAD">
        <w:rPr>
          <w:rFonts w:ascii="Book Antiqua" w:eastAsia="Book Antiqua" w:hAnsi="Book Antiqua" w:cs="Book Antiqua"/>
          <w:color w:val="000000" w:themeColor="text1"/>
        </w:rPr>
        <w:t>, miR-217</w:t>
      </w:r>
      <w:r w:rsidRPr="00F04BAD">
        <w:rPr>
          <w:rFonts w:ascii="Book Antiqua" w:eastAsia="Book Antiqua" w:hAnsi="Book Antiqua" w:cs="Book Antiqua"/>
          <w:color w:val="000000" w:themeColor="text1"/>
          <w:vertAlign w:val="superscript"/>
        </w:rPr>
        <w:t>[45]</w:t>
      </w:r>
      <w:r w:rsidRPr="00F04BAD">
        <w:rPr>
          <w:rFonts w:ascii="Book Antiqua" w:eastAsia="Book Antiqua" w:hAnsi="Book Antiqua" w:cs="Book Antiqua"/>
          <w:color w:val="000000" w:themeColor="text1"/>
        </w:rPr>
        <w:t>, miR-324-5p/miR-338-5p</w:t>
      </w:r>
      <w:r w:rsidRPr="00F04BAD">
        <w:rPr>
          <w:rFonts w:ascii="Book Antiqua" w:eastAsia="Book Antiqua" w:hAnsi="Book Antiqua" w:cs="Book Antiqua"/>
          <w:color w:val="000000" w:themeColor="text1"/>
          <w:vertAlign w:val="superscript"/>
        </w:rPr>
        <w:t>[46]</w:t>
      </w:r>
      <w:r w:rsidRPr="00F04BAD">
        <w:rPr>
          <w:rFonts w:ascii="Book Antiqua" w:eastAsia="Book Antiqua" w:hAnsi="Book Antiqua" w:cs="Book Antiqua"/>
          <w:color w:val="000000" w:themeColor="text1"/>
        </w:rPr>
        <w:t>, miR-424</w:t>
      </w:r>
      <w:r w:rsidRPr="00F04BAD">
        <w:rPr>
          <w:rFonts w:ascii="Book Antiqua" w:eastAsia="Book Antiqua" w:hAnsi="Book Antiqua" w:cs="Book Antiqua"/>
          <w:color w:val="000000" w:themeColor="text1"/>
          <w:vertAlign w:val="superscript"/>
        </w:rPr>
        <w:t>[47]</w:t>
      </w:r>
      <w:r w:rsidRPr="00F04BAD">
        <w:rPr>
          <w:rFonts w:ascii="Book Antiqua" w:eastAsia="Book Antiqua" w:hAnsi="Book Antiqua" w:cs="Book Antiqua"/>
          <w:color w:val="000000" w:themeColor="text1"/>
        </w:rPr>
        <w:t>, miR-513</w:t>
      </w:r>
      <w:r w:rsidRPr="00F04BAD">
        <w:rPr>
          <w:rFonts w:ascii="Book Antiqua" w:eastAsia="Book Antiqua" w:hAnsi="Book Antiqua" w:cs="Book Antiqua"/>
          <w:color w:val="000000" w:themeColor="text1"/>
          <w:vertAlign w:val="superscript"/>
        </w:rPr>
        <w:t>[48]</w:t>
      </w:r>
      <w:r w:rsidRPr="00F04BAD">
        <w:rPr>
          <w:rFonts w:ascii="Book Antiqua" w:eastAsia="Book Antiqua" w:hAnsi="Book Antiqua" w:cs="Book Antiqua"/>
          <w:color w:val="000000" w:themeColor="text1"/>
        </w:rPr>
        <w:t>, and miR-570 in HCC</w:t>
      </w:r>
      <w:r w:rsidRPr="00F04BAD">
        <w:rPr>
          <w:rFonts w:ascii="Book Antiqua" w:eastAsia="Book Antiqua" w:hAnsi="Book Antiqua" w:cs="Book Antiqua"/>
          <w:color w:val="000000" w:themeColor="text1"/>
          <w:vertAlign w:val="superscript"/>
        </w:rPr>
        <w:t>[49]</w:t>
      </w:r>
      <w:r w:rsidRPr="00F04BAD">
        <w:rPr>
          <w:rFonts w:ascii="Book Antiqua" w:eastAsia="Book Antiqua" w:hAnsi="Book Antiqua" w:cs="Book Antiqua"/>
          <w:color w:val="000000" w:themeColor="text1"/>
        </w:rPr>
        <w:t>.</w:t>
      </w:r>
    </w:p>
    <w:p w14:paraId="702A1101" w14:textId="77777777" w:rsidR="00A77B3E" w:rsidRPr="00F04BAD" w:rsidRDefault="00A77B3E">
      <w:pPr>
        <w:spacing w:line="360" w:lineRule="auto"/>
        <w:jc w:val="both"/>
        <w:rPr>
          <w:rFonts w:ascii="Book Antiqua" w:hAnsi="Book Antiqua"/>
          <w:color w:val="000000" w:themeColor="text1"/>
        </w:rPr>
      </w:pPr>
    </w:p>
    <w:p w14:paraId="18DB422F" w14:textId="77777777" w:rsidR="00A77B3E" w:rsidRPr="00F04BAD" w:rsidRDefault="000D0918">
      <w:pPr>
        <w:spacing w:line="360" w:lineRule="auto"/>
        <w:jc w:val="both"/>
        <w:rPr>
          <w:rFonts w:ascii="Book Antiqua" w:hAnsi="Book Antiqua"/>
          <w:b/>
          <w:color w:val="000000" w:themeColor="text1"/>
        </w:rPr>
      </w:pPr>
      <w:r w:rsidRPr="00F04BAD">
        <w:rPr>
          <w:rFonts w:ascii="Book Antiqua" w:eastAsia="Book Antiqua" w:hAnsi="Book Antiqua" w:cs="Book Antiqua"/>
          <w:b/>
          <w:i/>
          <w:iCs/>
          <w:color w:val="000000" w:themeColor="text1"/>
        </w:rPr>
        <w:t>CTLA4/CD80-CD86 axis</w:t>
      </w:r>
    </w:p>
    <w:p w14:paraId="2E86D16D" w14:textId="44F5FC76"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CTLA-4 is a CD28 homolog which interacts with CD80 and CD86 with higher affinity and avidity than CD28. Therefore, CTLA-4 enters in competition and prevents the stimulatory signals induced by CD28:CD80/CD86 complexes. Membranous CTLA-4 expression is very low in resting T cells, consequently to clathrin-dependent recycling, and increases following T-cell activation</w:t>
      </w:r>
      <w:r w:rsidRPr="00F04BAD">
        <w:rPr>
          <w:rFonts w:ascii="Book Antiqua" w:eastAsia="Book Antiqua" w:hAnsi="Book Antiqua" w:cs="Book Antiqua"/>
          <w:color w:val="000000" w:themeColor="text1"/>
          <w:vertAlign w:val="superscript"/>
        </w:rPr>
        <w:t>[50]</w:t>
      </w:r>
      <w:r w:rsidRPr="00F04BAD">
        <w:rPr>
          <w:rFonts w:ascii="Book Antiqua" w:eastAsia="Book Antiqua" w:hAnsi="Book Antiqua" w:cs="Book Antiqua"/>
          <w:color w:val="000000" w:themeColor="text1"/>
        </w:rPr>
        <w:t>. CTLA-4 is thus mostly localized in intracellular compartments such as lysosomal and endosomal vesicles and the trans Golgi network. CTLA-4 expression is also regulated at the transcriptional level by NFAT</w:t>
      </w:r>
      <w:r w:rsidRPr="00F04BAD">
        <w:rPr>
          <w:rFonts w:ascii="Book Antiqua" w:eastAsia="Book Antiqua" w:hAnsi="Book Antiqua" w:cs="Book Antiqua"/>
          <w:color w:val="000000" w:themeColor="text1"/>
          <w:vertAlign w:val="superscript"/>
        </w:rPr>
        <w:t>[51]</w:t>
      </w:r>
      <w:r w:rsidRPr="00F04BAD">
        <w:rPr>
          <w:rFonts w:ascii="Book Antiqua" w:eastAsia="Book Antiqua" w:hAnsi="Book Antiqua" w:cs="Book Antiqua"/>
          <w:color w:val="000000" w:themeColor="text1"/>
        </w:rPr>
        <w:t>. Importantly, CTLA-4 expression has also been detected on tumor cells, including melanoma, colon and renal cancers</w:t>
      </w:r>
      <w:r w:rsidRPr="00F04BAD">
        <w:rPr>
          <w:rFonts w:ascii="Book Antiqua" w:eastAsia="Book Antiqua" w:hAnsi="Book Antiqua" w:cs="Book Antiqua"/>
          <w:color w:val="000000" w:themeColor="text1"/>
          <w:vertAlign w:val="superscript"/>
        </w:rPr>
        <w:t>[52]</w:t>
      </w:r>
      <w:r w:rsidRPr="00F04BAD">
        <w:rPr>
          <w:rFonts w:ascii="Book Antiqua" w:eastAsia="Book Antiqua" w:hAnsi="Book Antiqua" w:cs="Book Antiqua"/>
          <w:color w:val="000000" w:themeColor="text1"/>
        </w:rPr>
        <w:t>. In cancer cells, notably in melanoma, CTLA-4 expression is regulated by IFN-γ signaling pathway and DNA methylation</w:t>
      </w:r>
      <w:r w:rsidRPr="00F04BAD">
        <w:rPr>
          <w:rFonts w:ascii="Book Antiqua" w:eastAsia="Book Antiqua" w:hAnsi="Book Antiqua" w:cs="Book Antiqua"/>
          <w:color w:val="000000" w:themeColor="text1"/>
          <w:vertAlign w:val="superscript"/>
        </w:rPr>
        <w:t>[53]</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but also induced by β-catenin binding on a lymphoid enhancer factor-1 (LEF-1) binding site in its promoter region</w:t>
      </w:r>
      <w:r w:rsidRPr="00F04BAD">
        <w:rPr>
          <w:rFonts w:ascii="Book Antiqua" w:eastAsia="Book Antiqua" w:hAnsi="Book Antiqua" w:cs="Book Antiqua"/>
          <w:color w:val="000000" w:themeColor="text1"/>
          <w:vertAlign w:val="superscript"/>
        </w:rPr>
        <w:t>[54]</w:t>
      </w:r>
      <w:r w:rsidRPr="00F04BAD">
        <w:rPr>
          <w:rFonts w:ascii="Book Antiqua" w:eastAsia="Book Antiqua" w:hAnsi="Book Antiqua" w:cs="Book Antiqua"/>
          <w:color w:val="000000" w:themeColor="text1"/>
        </w:rPr>
        <w:t>. In line with these regulations,</w:t>
      </w:r>
      <w:r w:rsidR="00697DB4" w:rsidRPr="00F04BAD">
        <w:rPr>
          <w:rFonts w:ascii="Book Antiqua" w:hAnsi="Book Antiqua" w:cs="Book Antiqua"/>
          <w:color w:val="000000" w:themeColor="text1"/>
          <w:lang w:eastAsia="zh-CN"/>
        </w:rPr>
        <w:t xml:space="preserve"> </w:t>
      </w:r>
      <w:r w:rsidR="002D46AD" w:rsidRPr="00FD5C87">
        <w:rPr>
          <w:rFonts w:ascii="Book Antiqua" w:hAnsi="Book Antiqua" w:cs="Book Antiqua"/>
          <w:color w:val="000000" w:themeColor="text1"/>
          <w:lang w:eastAsia="zh-CN"/>
        </w:rPr>
        <w:t xml:space="preserve">the </w:t>
      </w:r>
      <w:r w:rsidRPr="00F04BAD">
        <w:rPr>
          <w:rFonts w:ascii="Book Antiqua" w:eastAsia="Book Antiqua" w:hAnsi="Book Antiqua" w:cs="Book Antiqua"/>
          <w:i/>
          <w:iCs/>
          <w:color w:val="000000" w:themeColor="text1"/>
        </w:rPr>
        <w:t>CTLA4</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gene displays several SNPs (single-nucleotide polymorphism) associated with disease and cancer in its promoter as well as </w:t>
      </w:r>
      <w:r w:rsidR="00635290" w:rsidRPr="00F04BAD">
        <w:rPr>
          <w:rFonts w:ascii="Book Antiqua" w:eastAsia="Book Antiqua" w:hAnsi="Book Antiqua" w:cs="Book Antiqua"/>
          <w:color w:val="000000" w:themeColor="text1"/>
        </w:rPr>
        <w:t xml:space="preserve">in </w:t>
      </w:r>
      <w:r w:rsidRPr="00F04BAD">
        <w:rPr>
          <w:rFonts w:ascii="Book Antiqua" w:eastAsia="Book Antiqua" w:hAnsi="Book Antiqua" w:cs="Book Antiqua"/>
          <w:color w:val="000000" w:themeColor="text1"/>
        </w:rPr>
        <w:t>its first exon. In particular, the</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CTLA-4</w:t>
      </w:r>
      <w:r w:rsidR="00697DB4" w:rsidRPr="00F04BAD">
        <w:rPr>
          <w:rFonts w:ascii="Book Antiqua" w:hAnsi="Book Antiqua" w:cs="Book Antiqua"/>
          <w:color w:val="000000" w:themeColor="text1"/>
          <w:lang w:eastAsia="zh-CN"/>
        </w:rPr>
        <w:t xml:space="preserve"> </w:t>
      </w:r>
      <w:r w:rsidR="00697DB4" w:rsidRPr="00F04BAD">
        <w:rPr>
          <w:rFonts w:ascii="Book Antiqua" w:eastAsia="Book Antiqua" w:hAnsi="Book Antiqua" w:cs="Book Antiqua"/>
          <w:i/>
          <w:iCs/>
          <w:color w:val="000000" w:themeColor="text1"/>
        </w:rPr>
        <w:t>318C</w:t>
      </w:r>
      <w:r w:rsidR="002D46AD" w:rsidRPr="00FD5C87">
        <w:rPr>
          <w:rFonts w:ascii="Book Antiqua" w:eastAsia="Book Antiqua" w:hAnsi="Book Antiqua" w:cs="Book Antiqua"/>
          <w:i/>
          <w:iCs/>
          <w:color w:val="000000" w:themeColor="text1"/>
        </w:rPr>
        <w:t xml:space="preserve"> </w:t>
      </w:r>
      <w:r w:rsidR="00697DB4" w:rsidRPr="00F04BAD">
        <w:rPr>
          <w:rFonts w:ascii="Book Antiqua" w:eastAsia="Book Antiqua" w:hAnsi="Book Antiqua" w:cs="Book Antiqua"/>
          <w:i/>
          <w:iCs/>
          <w:color w:val="000000" w:themeColor="text1"/>
        </w:rPr>
        <w:t>&gt;</w:t>
      </w:r>
      <w:r w:rsidR="002D46AD" w:rsidRPr="00FD5C87">
        <w:rPr>
          <w:rFonts w:ascii="Book Antiqua" w:eastAsia="Book Antiqua" w:hAnsi="Book Antiqua" w:cs="Book Antiqua"/>
          <w:i/>
          <w:iCs/>
          <w:color w:val="000000" w:themeColor="text1"/>
        </w:rPr>
        <w:t xml:space="preserve"> </w:t>
      </w:r>
      <w:r w:rsidRPr="00F04BAD">
        <w:rPr>
          <w:rFonts w:ascii="Book Antiqua" w:eastAsia="Book Antiqua" w:hAnsi="Book Antiqua" w:cs="Book Antiqua"/>
          <w:i/>
          <w:iCs/>
          <w:color w:val="000000" w:themeColor="text1"/>
        </w:rPr>
        <w:t>T</w:t>
      </w:r>
      <w:r w:rsidR="00697DB4" w:rsidRPr="00F04BAD">
        <w:rPr>
          <w:rFonts w:ascii="Book Antiqua" w:hAnsi="Book Antiqua" w:cs="Book Antiqua"/>
          <w:iCs/>
          <w:color w:val="000000" w:themeColor="text1"/>
          <w:lang w:eastAsia="zh-CN"/>
        </w:rPr>
        <w:t xml:space="preserve"> </w:t>
      </w:r>
      <w:r w:rsidRPr="00F04BAD">
        <w:rPr>
          <w:rFonts w:ascii="Book Antiqua" w:eastAsia="Book Antiqua" w:hAnsi="Book Antiqua" w:cs="Book Antiqua"/>
          <w:color w:val="000000" w:themeColor="text1"/>
        </w:rPr>
        <w:t>SNP creates a LEF-1 binding site in its promoter and increase CTLA-4 expression and antitumor activity</w:t>
      </w:r>
      <w:r w:rsidRPr="00F04BAD">
        <w:rPr>
          <w:rFonts w:ascii="Book Antiqua" w:eastAsia="Book Antiqua" w:hAnsi="Book Antiqua" w:cs="Book Antiqua"/>
          <w:color w:val="000000" w:themeColor="text1"/>
          <w:vertAlign w:val="superscript"/>
        </w:rPr>
        <w:t>[55]</w:t>
      </w:r>
      <w:r w:rsidRPr="00F04BAD">
        <w:rPr>
          <w:rFonts w:ascii="Book Antiqua" w:eastAsia="Book Antiqua" w:hAnsi="Book Antiqua" w:cs="Book Antiqua"/>
          <w:color w:val="000000" w:themeColor="text1"/>
        </w:rPr>
        <w:t>. CTLA-4 expression is also epigenetically regulated with lower level of repressive H3K27me3 mark detected in CTLA-4 promoter in colorectal cancers</w:t>
      </w:r>
      <w:r w:rsidRPr="00F04BAD">
        <w:rPr>
          <w:rFonts w:ascii="Book Antiqua" w:eastAsia="Book Antiqua" w:hAnsi="Book Antiqua" w:cs="Book Antiqua"/>
          <w:color w:val="000000" w:themeColor="text1"/>
          <w:vertAlign w:val="superscript"/>
        </w:rPr>
        <w:t>[28]</w:t>
      </w:r>
      <w:r w:rsidRPr="00F04BAD">
        <w:rPr>
          <w:rFonts w:ascii="Book Antiqua" w:eastAsia="Book Antiqua" w:hAnsi="Book Antiqua" w:cs="Book Antiqua"/>
          <w:color w:val="000000" w:themeColor="text1"/>
        </w:rPr>
        <w:t>. CTLA-4 expression is also post-transcriptionally regulated by miR-9/miR-155</w:t>
      </w:r>
      <w:r w:rsidRPr="00F04BAD">
        <w:rPr>
          <w:rFonts w:ascii="Book Antiqua" w:eastAsia="Book Antiqua" w:hAnsi="Book Antiqua" w:cs="Book Antiqua"/>
          <w:color w:val="000000" w:themeColor="text1"/>
          <w:vertAlign w:val="superscript"/>
        </w:rPr>
        <w:t>[56]</w:t>
      </w:r>
      <w:r w:rsidRPr="00F04BAD">
        <w:rPr>
          <w:rFonts w:ascii="Book Antiqua" w:eastAsia="Book Antiqua" w:hAnsi="Book Antiqua" w:cs="Book Antiqua"/>
          <w:color w:val="000000" w:themeColor="text1"/>
        </w:rPr>
        <w:t>, miR-138</w:t>
      </w:r>
      <w:r w:rsidRPr="00F04BAD">
        <w:rPr>
          <w:rFonts w:ascii="Book Antiqua" w:eastAsia="Book Antiqua" w:hAnsi="Book Antiqua" w:cs="Book Antiqua"/>
          <w:color w:val="000000" w:themeColor="text1"/>
          <w:vertAlign w:val="superscript"/>
        </w:rPr>
        <w:t>[26]</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miR-487a-3p</w:t>
      </w:r>
      <w:r w:rsidRPr="00F04BAD">
        <w:rPr>
          <w:rFonts w:ascii="Book Antiqua" w:eastAsia="Book Antiqua" w:hAnsi="Book Antiqua" w:cs="Book Antiqua"/>
          <w:color w:val="000000" w:themeColor="text1"/>
          <w:vertAlign w:val="superscript"/>
        </w:rPr>
        <w:t>[57]</w:t>
      </w:r>
      <w:r w:rsidRPr="00F04BAD">
        <w:rPr>
          <w:rFonts w:ascii="Book Antiqua" w:eastAsia="Book Antiqua" w:hAnsi="Book Antiqua" w:cs="Book Antiqua"/>
          <w:color w:val="000000" w:themeColor="text1"/>
        </w:rPr>
        <w:t>.</w:t>
      </w:r>
    </w:p>
    <w:p w14:paraId="051D1FF6" w14:textId="108BA353" w:rsidR="00A77B3E" w:rsidRPr="00F04BAD" w:rsidRDefault="000D0918" w:rsidP="00697DB4">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Regarding CTLA-4 </w:t>
      </w:r>
      <w:r w:rsidR="00635290" w:rsidRPr="00F04BAD">
        <w:rPr>
          <w:rFonts w:ascii="Book Antiqua" w:eastAsia="Book Antiqua" w:hAnsi="Book Antiqua" w:cs="Book Antiqua"/>
          <w:color w:val="000000" w:themeColor="text1"/>
        </w:rPr>
        <w:t>l</w:t>
      </w:r>
      <w:r w:rsidRPr="00F04BAD">
        <w:rPr>
          <w:rFonts w:ascii="Book Antiqua" w:eastAsia="Book Antiqua" w:hAnsi="Book Antiqua" w:cs="Book Antiqua"/>
          <w:color w:val="000000" w:themeColor="text1"/>
        </w:rPr>
        <w:t xml:space="preserve">igands, contrary to PD-L1, CD80 and CD86 are restricted to lymphoid cells. While CD80 is generally poorly detected on resting cells and upregulated after activating signals, CD86 is ubiquitously expressed on </w:t>
      </w:r>
      <w:r w:rsidR="00B27E88" w:rsidRPr="00F04BAD">
        <w:rPr>
          <w:rFonts w:ascii="Book Antiqua" w:eastAsia="Book Antiqua" w:hAnsi="Book Antiqua" w:cs="Book Antiqua"/>
          <w:color w:val="000000" w:themeColor="text1"/>
        </w:rPr>
        <w:t>DC</w:t>
      </w:r>
      <w:r w:rsidR="00BC5687"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monocytes and activated B cells and induced at high levels upon activation. The regulation of these molecules is less detailed. In </w:t>
      </w:r>
      <w:r w:rsidR="00B27E88" w:rsidRPr="00F04BAD">
        <w:rPr>
          <w:rFonts w:ascii="Book Antiqua" w:eastAsia="Book Antiqua" w:hAnsi="Book Antiqua" w:cs="Book Antiqua"/>
          <w:color w:val="000000" w:themeColor="text1"/>
        </w:rPr>
        <w:t>DC</w:t>
      </w:r>
      <w:r w:rsidR="00BC5687"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CD80 expression is reduced in response to miR-424</w:t>
      </w:r>
      <w:r w:rsidRPr="00F04BAD">
        <w:rPr>
          <w:rFonts w:ascii="Book Antiqua" w:eastAsia="Book Antiqua" w:hAnsi="Book Antiqua" w:cs="Book Antiqua"/>
          <w:color w:val="000000" w:themeColor="text1"/>
          <w:vertAlign w:val="superscript"/>
        </w:rPr>
        <w:t>[47]</w:t>
      </w:r>
      <w:r w:rsidRPr="00F04BAD">
        <w:rPr>
          <w:rFonts w:ascii="Book Antiqua" w:eastAsia="Book Antiqua" w:hAnsi="Book Antiqua" w:cs="Book Antiqua"/>
          <w:color w:val="000000" w:themeColor="text1"/>
        </w:rPr>
        <w:t>. Low levels of CD80 and CD86 ha</w:t>
      </w:r>
      <w:r w:rsidR="00BC5687" w:rsidRPr="00F04BAD">
        <w:rPr>
          <w:rFonts w:ascii="Book Antiqua" w:eastAsia="Book Antiqua" w:hAnsi="Book Antiqua" w:cs="Book Antiqua"/>
          <w:color w:val="000000" w:themeColor="text1"/>
        </w:rPr>
        <w:t>ve</w:t>
      </w:r>
      <w:r w:rsidRPr="00F04BAD">
        <w:rPr>
          <w:rFonts w:ascii="Book Antiqua" w:eastAsia="Book Antiqua" w:hAnsi="Book Antiqua" w:cs="Book Antiqua"/>
          <w:color w:val="000000" w:themeColor="text1"/>
        </w:rPr>
        <w:t xml:space="preserve"> been detected on melanoma and colon cancer cells, where low level of CD80 expression favors tumor growth</w:t>
      </w:r>
      <w:r w:rsidRPr="00F04BAD">
        <w:rPr>
          <w:rFonts w:ascii="Book Antiqua" w:eastAsia="Book Antiqua" w:hAnsi="Book Antiqua" w:cs="Book Antiqua"/>
          <w:color w:val="000000" w:themeColor="text1"/>
          <w:vertAlign w:val="superscript"/>
        </w:rPr>
        <w:t>[58]</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but also on HCC cells, </w:t>
      </w:r>
      <w:r w:rsidR="005C247B" w:rsidRPr="00FD5C87">
        <w:rPr>
          <w:rFonts w:ascii="Book Antiqua" w:eastAsia="Book Antiqua" w:hAnsi="Book Antiqua" w:cs="Book Antiqua"/>
          <w:color w:val="000000" w:themeColor="text1"/>
        </w:rPr>
        <w:t xml:space="preserve">as shown by </w:t>
      </w:r>
      <w:r w:rsidRPr="00F04BAD">
        <w:rPr>
          <w:rFonts w:ascii="Book Antiqua" w:eastAsia="Book Antiqua" w:hAnsi="Book Antiqua" w:cs="Book Antiqua"/>
          <w:color w:val="000000" w:themeColor="text1"/>
        </w:rPr>
        <w:t>a pioneer study supporting the potential of CTLA-4 axis targeting as anticancer therapy</w:t>
      </w:r>
      <w:r w:rsidRPr="00F04BAD">
        <w:rPr>
          <w:rFonts w:ascii="Book Antiqua" w:eastAsia="Book Antiqua" w:hAnsi="Book Antiqua" w:cs="Book Antiqua"/>
          <w:color w:val="000000" w:themeColor="text1"/>
          <w:vertAlign w:val="superscript"/>
        </w:rPr>
        <w:t>[59]</w:t>
      </w:r>
      <w:r w:rsidRPr="00F04BAD">
        <w:rPr>
          <w:rFonts w:ascii="Book Antiqua" w:eastAsia="Book Antiqua" w:hAnsi="Book Antiqua" w:cs="Book Antiqua"/>
          <w:color w:val="000000" w:themeColor="text1"/>
        </w:rPr>
        <w:t>.</w:t>
      </w:r>
    </w:p>
    <w:p w14:paraId="495FE048" w14:textId="77777777" w:rsidR="00A77B3E" w:rsidRPr="00F04BAD" w:rsidRDefault="00A77B3E">
      <w:pPr>
        <w:spacing w:line="360" w:lineRule="auto"/>
        <w:jc w:val="both"/>
        <w:rPr>
          <w:rFonts w:ascii="Book Antiqua" w:hAnsi="Book Antiqua"/>
          <w:color w:val="000000" w:themeColor="text1"/>
        </w:rPr>
      </w:pPr>
    </w:p>
    <w:p w14:paraId="7E2C01A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aps/>
          <w:color w:val="000000" w:themeColor="text1"/>
          <w:u w:val="single"/>
        </w:rPr>
        <w:t>Mechanisms of immune escape and immunotherapy</w:t>
      </w:r>
    </w:p>
    <w:p w14:paraId="7949035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The goal of immunotherapies is to boost ability of the immune system to detect tumors and limit their progression. They might counteract the evasion mechanisms mediated by the suppressive molecules rolled out by tumor cells. Different therapeutic strategies have been developed but </w:t>
      </w:r>
      <w:r w:rsidR="00697DB4" w:rsidRPr="00F04BAD">
        <w:rPr>
          <w:rFonts w:ascii="Book Antiqua" w:eastAsia="Book Antiqua" w:hAnsi="Book Antiqua" w:cs="Book Antiqua"/>
          <w:color w:val="000000" w:themeColor="text1"/>
        </w:rPr>
        <w:t>ICIs</w:t>
      </w:r>
      <w:r w:rsidRPr="00F04BAD">
        <w:rPr>
          <w:rFonts w:ascii="Book Antiqua" w:eastAsia="Book Antiqua" w:hAnsi="Book Antiqua" w:cs="Book Antiqua"/>
          <w:color w:val="000000" w:themeColor="text1"/>
        </w:rPr>
        <w:t>, designed to block the co-inhibitory signals of T-cell activation (</w:t>
      </w:r>
      <w:r w:rsidRPr="00F04BAD">
        <w:rPr>
          <w:rFonts w:ascii="Book Antiqua" w:eastAsia="Book Antiqua" w:hAnsi="Book Antiqua" w:cs="Book Antiqua"/>
          <w:i/>
          <w:color w:val="000000" w:themeColor="text1"/>
        </w:rPr>
        <w:t>e.g.</w:t>
      </w:r>
      <w:r w:rsidRPr="00F04BAD">
        <w:rPr>
          <w:rFonts w:ascii="Book Antiqua" w:eastAsia="Book Antiqua" w:hAnsi="Book Antiqua" w:cs="Book Antiqua"/>
          <w:color w:val="000000" w:themeColor="text1"/>
        </w:rPr>
        <w:t>, CTLA-4, PD-1 and PD-L1), are the preferred methods in clinical practice. These drugs have given very impressive results with cancers of bad prognosis and with few therapeutic options, such as melanoma, and have been rapidly tested in several other tumors with high clinical efficacy in most cases.</w:t>
      </w:r>
    </w:p>
    <w:p w14:paraId="0111208F" w14:textId="77777777" w:rsidR="00A77B3E" w:rsidRPr="00F04BAD" w:rsidRDefault="00A77B3E">
      <w:pPr>
        <w:spacing w:line="360" w:lineRule="auto"/>
        <w:jc w:val="both"/>
        <w:rPr>
          <w:rFonts w:ascii="Book Antiqua" w:hAnsi="Book Antiqua"/>
          <w:color w:val="000000" w:themeColor="text1"/>
        </w:rPr>
      </w:pPr>
    </w:p>
    <w:p w14:paraId="091AB13E" w14:textId="77777777" w:rsidR="00A77B3E" w:rsidRPr="00F04BAD" w:rsidRDefault="000D0918">
      <w:pPr>
        <w:spacing w:line="360" w:lineRule="auto"/>
        <w:jc w:val="both"/>
        <w:rPr>
          <w:rFonts w:ascii="Book Antiqua" w:hAnsi="Book Antiqua"/>
          <w:b/>
          <w:color w:val="000000" w:themeColor="text1"/>
          <w:lang w:eastAsia="zh-CN"/>
        </w:rPr>
      </w:pPr>
      <w:r w:rsidRPr="00F04BAD">
        <w:rPr>
          <w:rFonts w:ascii="Book Antiqua" w:eastAsia="Book Antiqua" w:hAnsi="Book Antiqua" w:cs="Book Antiqua"/>
          <w:b/>
          <w:i/>
          <w:iCs/>
          <w:color w:val="000000" w:themeColor="text1"/>
        </w:rPr>
        <w:t>Mechanisms of tumor immune evasion</w:t>
      </w:r>
    </w:p>
    <w:p w14:paraId="600E6034" w14:textId="58055023" w:rsidR="00A77B3E" w:rsidRPr="00F04BAD" w:rsidRDefault="000D0918">
      <w:pPr>
        <w:spacing w:line="360" w:lineRule="auto"/>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Tumor development and progression is a complex process resulting from the interplay between cancer cells and its surrounding environment including endothelial cells, fibroblasts</w:t>
      </w:r>
      <w:r w:rsidR="005C247B" w:rsidRPr="00FD5C87">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 and a plethora of immune cells with suppressive, regulatory, killing and either anti or pro-inflammatory functions.</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All types of immune cells are present in the tumor or in the invasive margin, including macrophages, DCs, mast cells, NK cells, naive and memory lymphocytes, B cells, and effector T cells </w:t>
      </w:r>
      <w:r w:rsidR="00697DB4" w:rsidRPr="00F04BAD">
        <w:rPr>
          <w:rFonts w:ascii="Book Antiqua" w:hAnsi="Book Antiqua" w:cs="Book Antiqua"/>
          <w:color w:val="000000" w:themeColor="text1"/>
          <w:lang w:eastAsia="zh-CN"/>
        </w:rPr>
        <w:t>(</w:t>
      </w:r>
      <w:r w:rsidRPr="00F04BAD">
        <w:rPr>
          <w:rFonts w:ascii="Book Antiqua" w:eastAsia="Book Antiqua" w:hAnsi="Book Antiqua" w:cs="Book Antiqua"/>
          <w:i/>
          <w:color w:val="000000" w:themeColor="text1"/>
        </w:rPr>
        <w:t>e.g.</w:t>
      </w:r>
      <w:r w:rsidRPr="00F04BAD">
        <w:rPr>
          <w:rFonts w:ascii="Book Antiqua" w:eastAsia="Book Antiqua" w:hAnsi="Book Antiqua" w:cs="Book Antiqua"/>
          <w:color w:val="000000" w:themeColor="text1"/>
        </w:rPr>
        <w:t>, Th1, Th2, Th17, Treg and cytotoxic T cells</w:t>
      </w:r>
      <w:r w:rsidR="00697DB4"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Therefore, the strength of anti-tumor immune response is governed by the level and the composition of immune cell infiltrated in the tumors and the degree of T cell activation.</w:t>
      </w:r>
    </w:p>
    <w:p w14:paraId="228D9794" w14:textId="2CE29AC6" w:rsidR="00A77B3E" w:rsidRPr="00F04BAD" w:rsidRDefault="000D0918" w:rsidP="00697DB4">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As previously mentioned, tumor cells are able to express co-inhibitory ligands such as PD-L1 or PD-L2, and sometimes inhibitory receptors such as PD-1 including in HCC</w:t>
      </w:r>
      <w:r w:rsidRPr="00F04BAD">
        <w:rPr>
          <w:rFonts w:ascii="Book Antiqua" w:eastAsia="Book Antiqua" w:hAnsi="Book Antiqua" w:cs="Book Antiqua"/>
          <w:color w:val="000000" w:themeColor="text1"/>
          <w:vertAlign w:val="superscript"/>
        </w:rPr>
        <w:t>[60,61]</w:t>
      </w:r>
      <w:r w:rsidRPr="00F04BAD">
        <w:rPr>
          <w:rFonts w:ascii="Book Antiqua" w:eastAsia="Book Antiqua" w:hAnsi="Book Antiqua" w:cs="Book Antiqua"/>
          <w:color w:val="000000" w:themeColor="text1"/>
        </w:rPr>
        <w:t>. This prevents T cell activation and modulates the activity of recruited immune cells, which express the cognate molecules and play suppressive activities such as tumor-associated macrophages (TAM), myeloid-derived suppressive cells or Treg</w:t>
      </w:r>
      <w:r w:rsidR="00537C11"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vertAlign w:val="superscript"/>
        </w:rPr>
        <w:t>[62]</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(Figure 3). Accumulation of suppressive cells and T dysfunction are also sustained by several molecules secreted by tumor cells such as PGE2 (</w:t>
      </w:r>
      <w:r w:rsidR="00697DB4" w:rsidRPr="00F04BAD">
        <w:rPr>
          <w:rFonts w:ascii="Book Antiqua" w:hAnsi="Book Antiqua" w:cs="Book Antiqua"/>
          <w:color w:val="000000" w:themeColor="text1"/>
          <w:lang w:eastAsia="zh-CN"/>
        </w:rPr>
        <w:t>p</w:t>
      </w:r>
      <w:r w:rsidRPr="00F04BAD">
        <w:rPr>
          <w:rFonts w:ascii="Book Antiqua" w:eastAsia="Book Antiqua" w:hAnsi="Book Antiqua" w:cs="Book Antiqua"/>
          <w:color w:val="000000" w:themeColor="text1"/>
        </w:rPr>
        <w:t>rostaglandin E2), COX2 (cyclooxygenase 2), nitric oxide, TGF</w:t>
      </w:r>
      <w:r w:rsidR="00B27E88" w:rsidRPr="00F04BAD">
        <w:rPr>
          <w:rFonts w:ascii="Book Antiqua" w:eastAsia="Book Antiqua" w:hAnsi="Book Antiqua" w:cs="Book Antiqua"/>
          <w:color w:val="000000" w:themeColor="text1"/>
        </w:rPr>
        <w:t>-β</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IL-10</w:t>
      </w:r>
      <w:r w:rsidRPr="00F04BAD">
        <w:rPr>
          <w:rFonts w:ascii="Book Antiqua" w:eastAsia="Book Antiqua" w:hAnsi="Book Antiqua" w:cs="Book Antiqua"/>
          <w:color w:val="000000" w:themeColor="text1"/>
          <w:vertAlign w:val="superscript"/>
        </w:rPr>
        <w:t>[63]</w:t>
      </w:r>
      <w:r w:rsidRPr="00F04BAD">
        <w:rPr>
          <w:rFonts w:ascii="Book Antiqua" w:eastAsia="Book Antiqua" w:hAnsi="Book Antiqua" w:cs="Book Antiqua"/>
          <w:color w:val="000000" w:themeColor="text1"/>
        </w:rPr>
        <w:t>. Additionally, multiple cancers are associated with chronic inflammation, particularly HCC related to hepatitis infection. Chronic disease results in an ineffective T response and T cell exhaustion mostly due to persistent inflammatory signals, antigen exposure and suppressive cytokines such as IL-10 and TGF</w:t>
      </w:r>
      <w:r w:rsidR="00B27E88" w:rsidRPr="00F04BAD">
        <w:rPr>
          <w:rFonts w:ascii="Book Antiqua" w:eastAsia="Book Antiqua" w:hAnsi="Book Antiqua" w:cs="Book Antiqua"/>
          <w:color w:val="000000" w:themeColor="text1"/>
        </w:rPr>
        <w:t>-β</w:t>
      </w:r>
      <w:r w:rsidRPr="00F04BAD">
        <w:rPr>
          <w:rFonts w:ascii="Book Antiqua" w:eastAsia="Book Antiqua" w:hAnsi="Book Antiqua" w:cs="Book Antiqua"/>
          <w:color w:val="000000" w:themeColor="text1"/>
        </w:rPr>
        <w:t>. It has also been described that chronic disease modifies PD-1 promoter status in exhausted T cells that remains demethylated and poised to facilitate its rapid expression</w:t>
      </w:r>
      <w:r w:rsidRPr="00F04BAD">
        <w:rPr>
          <w:rFonts w:ascii="Book Antiqua" w:eastAsia="Book Antiqua" w:hAnsi="Book Antiqua" w:cs="Book Antiqua"/>
          <w:color w:val="000000" w:themeColor="text1"/>
          <w:vertAlign w:val="superscript"/>
        </w:rPr>
        <w:t>[64,65]</w:t>
      </w:r>
      <w:r w:rsidRPr="00F04BAD">
        <w:rPr>
          <w:rFonts w:ascii="Book Antiqua" w:eastAsia="Book Antiqua" w:hAnsi="Book Antiqua" w:cs="Book Antiqua"/>
          <w:color w:val="000000" w:themeColor="text1"/>
        </w:rPr>
        <w:t>. Progressively, exhausted T cells lose their proliferative capacity and effector function related to decrease in IL-2, TNF-α and IFN-γ.</w:t>
      </w:r>
    </w:p>
    <w:p w14:paraId="2CFCBB1E" w14:textId="77777777" w:rsidR="00A77B3E" w:rsidRPr="00F04BAD" w:rsidRDefault="000D0918" w:rsidP="00697DB4">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Tumor cells are also able to modify T cell expansion through metabolic alterations. In particular, an overexpr</w:t>
      </w:r>
      <w:r w:rsidR="00697DB4" w:rsidRPr="00F04BAD">
        <w:rPr>
          <w:rFonts w:ascii="Book Antiqua" w:eastAsia="Book Antiqua" w:hAnsi="Book Antiqua" w:cs="Book Antiqua"/>
          <w:color w:val="000000" w:themeColor="text1"/>
        </w:rPr>
        <w:t>ession of IDO (indoleamine-2,3-</w:t>
      </w:r>
      <w:r w:rsidRPr="00F04BAD">
        <w:rPr>
          <w:rFonts w:ascii="Book Antiqua" w:eastAsia="Book Antiqua" w:hAnsi="Book Antiqua" w:cs="Book Antiqua"/>
          <w:color w:val="000000" w:themeColor="text1"/>
        </w:rPr>
        <w:t>dioxygenase), an enzyme involved in tryptophan conversion, is frequently observed in tumors</w:t>
      </w:r>
      <w:r w:rsidRPr="00F04BAD">
        <w:rPr>
          <w:rFonts w:ascii="Book Antiqua" w:eastAsia="Book Antiqua" w:hAnsi="Book Antiqua" w:cs="Book Antiqua"/>
          <w:color w:val="000000" w:themeColor="text1"/>
          <w:vertAlign w:val="superscript"/>
        </w:rPr>
        <w:t>[66]</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as well as overexpression in arginase, particularly in MDSC</w:t>
      </w:r>
      <w:r w:rsidRPr="00F04BAD">
        <w:rPr>
          <w:rFonts w:ascii="Book Antiqua" w:eastAsia="Book Antiqua" w:hAnsi="Book Antiqua" w:cs="Book Antiqua"/>
          <w:color w:val="000000" w:themeColor="text1"/>
          <w:vertAlign w:val="superscript"/>
        </w:rPr>
        <w:t>[67]</w:t>
      </w:r>
      <w:r w:rsidRPr="00F04BAD">
        <w:rPr>
          <w:rFonts w:ascii="Book Antiqua" w:eastAsia="Book Antiqua" w:hAnsi="Book Antiqua" w:cs="Book Antiqua"/>
          <w:color w:val="000000" w:themeColor="text1"/>
        </w:rPr>
        <w:t>. The depletion of tryptophan and arginine in tumor microenvironment reduces T cell proliferation</w:t>
      </w:r>
      <w:r w:rsidRPr="00F04BAD">
        <w:rPr>
          <w:rFonts w:ascii="Book Antiqua" w:eastAsia="Book Antiqua" w:hAnsi="Book Antiqua" w:cs="Book Antiqua"/>
          <w:color w:val="000000" w:themeColor="text1"/>
          <w:vertAlign w:val="superscript"/>
        </w:rPr>
        <w:t>[68,69]</w:t>
      </w:r>
      <w:r w:rsidRPr="00F04BAD">
        <w:rPr>
          <w:rFonts w:ascii="Book Antiqua" w:eastAsia="Book Antiqua" w:hAnsi="Book Antiqua" w:cs="Book Antiqua"/>
          <w:color w:val="000000" w:themeColor="text1"/>
        </w:rPr>
        <w:t>.</w:t>
      </w:r>
    </w:p>
    <w:p w14:paraId="76A34A22" w14:textId="77777777" w:rsidR="00A77B3E" w:rsidRPr="00F04BAD" w:rsidRDefault="000D0918" w:rsidP="00697DB4">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Tumor immune privilege is also the consequence of decrease in the expression of recognition molecules including MHC, tumor-associated antigens (TAA) and tumor-specific antigens. It is well described that changes in antigens expressed by tumor cells are detected by the immune system, which further develop autoantibodies against TAAs as reporters to control the transformation process. The typical antigen with autoantibodies identified in cancer is p53</w:t>
      </w:r>
      <w:r w:rsidRPr="00F04BAD">
        <w:rPr>
          <w:rFonts w:ascii="Book Antiqua" w:eastAsia="Book Antiqua" w:hAnsi="Book Antiqua" w:cs="Book Antiqua"/>
          <w:color w:val="000000" w:themeColor="text1"/>
          <w:vertAlign w:val="superscript"/>
        </w:rPr>
        <w:t>[70]</w:t>
      </w:r>
      <w:r w:rsidRPr="00F04BAD">
        <w:rPr>
          <w:rFonts w:ascii="Book Antiqua" w:eastAsia="Book Antiqua" w:hAnsi="Book Antiqua" w:cs="Book Antiqua"/>
          <w:color w:val="000000" w:themeColor="text1"/>
        </w:rPr>
        <w:t>. Antigens in HCC could be categorized from cancer testis origin such as SSX-2 (synovial sarcoma, X breakpoint 2) and MAGE (</w:t>
      </w:r>
      <w:r w:rsidR="00697DB4" w:rsidRPr="00F04BAD">
        <w:rPr>
          <w:rFonts w:ascii="Book Antiqua" w:eastAsia="Book Antiqua" w:hAnsi="Book Antiqua" w:cs="Book Antiqua"/>
          <w:color w:val="000000" w:themeColor="text1"/>
        </w:rPr>
        <w:t>melanoma antigen ge</w:t>
      </w:r>
      <w:r w:rsidRPr="00F04BAD">
        <w:rPr>
          <w:rFonts w:ascii="Book Antiqua" w:eastAsia="Book Antiqua" w:hAnsi="Book Antiqua" w:cs="Book Antiqua"/>
          <w:color w:val="000000" w:themeColor="text1"/>
        </w:rPr>
        <w:t xml:space="preserve">ne), or oncofetal antigens such as α-fetoprotein and glypican 3 or overexpressed tumor antigens such as annexin A2 and epithelial cell adhesion molecule. They constitute promising targets for adoptive cell therapies such as chimeric antigen </w:t>
      </w:r>
      <w:r w:rsidRPr="00F04BAD">
        <w:rPr>
          <w:rFonts w:ascii="Book Antiqua" w:eastAsia="Book Antiqua" w:hAnsi="Book Antiqua" w:cs="Book Antiqua"/>
          <w:color w:val="000000" w:themeColor="text1"/>
        </w:rPr>
        <w:lastRenderedPageBreak/>
        <w:t xml:space="preserve">receptor T cells or </w:t>
      </w:r>
      <w:r w:rsidR="00697DB4" w:rsidRPr="00F04BAD">
        <w:rPr>
          <w:rFonts w:ascii="Book Antiqua" w:eastAsia="Book Antiqua" w:hAnsi="Book Antiqua" w:cs="Book Antiqua"/>
          <w:color w:val="000000" w:themeColor="text1"/>
        </w:rPr>
        <w:t xml:space="preserve">tumor-infiltrating lymphocytes </w:t>
      </w:r>
      <w:r w:rsidRPr="00F04BAD">
        <w:rPr>
          <w:rFonts w:ascii="Book Antiqua" w:eastAsia="Book Antiqua" w:hAnsi="Book Antiqua" w:cs="Book Antiqua"/>
          <w:color w:val="000000" w:themeColor="text1"/>
        </w:rPr>
        <w:t>(</w:t>
      </w:r>
      <w:r w:rsidR="00697DB4" w:rsidRPr="00F04BAD">
        <w:rPr>
          <w:rFonts w:ascii="Book Antiqua" w:eastAsia="Book Antiqua" w:hAnsi="Book Antiqua" w:cs="Book Antiqua"/>
          <w:color w:val="000000" w:themeColor="text1"/>
        </w:rPr>
        <w:t>TILs</w:t>
      </w:r>
      <w:r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vertAlign w:val="superscript"/>
        </w:rPr>
        <w:t>[71]</w:t>
      </w:r>
      <w:r w:rsidRPr="00F04BAD">
        <w:rPr>
          <w:rFonts w:ascii="Book Antiqua" w:eastAsia="Book Antiqua" w:hAnsi="Book Antiqua" w:cs="Book Antiqua"/>
          <w:color w:val="000000" w:themeColor="text1"/>
        </w:rPr>
        <w:t>. A higher expression of TAAs in HCC patients is correlated with higher immune infiltration and better prognosis</w:t>
      </w:r>
      <w:r w:rsidRPr="00F04BAD">
        <w:rPr>
          <w:rFonts w:ascii="Book Antiqua" w:eastAsia="Book Antiqua" w:hAnsi="Book Antiqua" w:cs="Book Antiqua"/>
          <w:color w:val="000000" w:themeColor="text1"/>
          <w:vertAlign w:val="superscript"/>
        </w:rPr>
        <w:t>[72]</w:t>
      </w:r>
      <w:r w:rsidRPr="00F04BAD">
        <w:rPr>
          <w:rFonts w:ascii="Book Antiqua" w:eastAsia="Book Antiqua" w:hAnsi="Book Antiqua" w:cs="Book Antiqua"/>
          <w:color w:val="000000" w:themeColor="text1"/>
        </w:rPr>
        <w:t>. The loss or modification of antigens promote immune evasion</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via</w:t>
      </w:r>
      <w:r w:rsidR="00697DB4"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 defect of tumor recognition.</w:t>
      </w:r>
      <w:r w:rsidR="00697DB4" w:rsidRPr="00F04BAD">
        <w:rPr>
          <w:rFonts w:ascii="Book Antiqua" w:hAnsi="Book Antiqua" w:cs="Book Antiqua"/>
          <w:color w:val="000000" w:themeColor="text1"/>
          <w:lang w:eastAsia="zh-CN"/>
        </w:rPr>
        <w:t xml:space="preserve"> </w:t>
      </w:r>
      <w:r w:rsidR="00697DB4" w:rsidRPr="00F04BAD">
        <w:rPr>
          <w:rFonts w:ascii="Book Antiqua" w:hAnsi="Book Antiqua" w:cs="Book Antiqua"/>
          <w:color w:val="000000" w:themeColor="text1"/>
          <w:shd w:val="clear" w:color="auto" w:fill="FFFFFF"/>
          <w:lang w:eastAsia="zh-CN"/>
        </w:rPr>
        <w:t>S</w:t>
      </w:r>
      <w:r w:rsidRPr="00F04BAD">
        <w:rPr>
          <w:rFonts w:ascii="Book Antiqua" w:eastAsia="Book Antiqua" w:hAnsi="Book Antiqua" w:cs="Book Antiqua"/>
          <w:color w:val="000000" w:themeColor="text1"/>
          <w:shd w:val="clear" w:color="auto" w:fill="FFFFFF"/>
        </w:rPr>
        <w:t xml:space="preserve">hedding of </w:t>
      </w:r>
      <w:r w:rsidR="00697DB4" w:rsidRPr="00F04BAD">
        <w:rPr>
          <w:rFonts w:ascii="Book Antiqua" w:eastAsia="Book Antiqua" w:hAnsi="Book Antiqua" w:cs="Book Antiqua"/>
          <w:color w:val="000000" w:themeColor="text1"/>
          <w:shd w:val="clear" w:color="auto" w:fill="FFFFFF"/>
        </w:rPr>
        <w:t xml:space="preserve">natural killer group 2D </w:t>
      </w:r>
      <w:r w:rsidRPr="00F04BAD">
        <w:rPr>
          <w:rFonts w:ascii="Book Antiqua" w:eastAsia="Book Antiqua" w:hAnsi="Book Antiqua" w:cs="Book Antiqua"/>
          <w:color w:val="000000" w:themeColor="text1"/>
          <w:shd w:val="clear" w:color="auto" w:fill="FFFFFF"/>
        </w:rPr>
        <w:t>(</w:t>
      </w:r>
      <w:r w:rsidR="00697DB4" w:rsidRPr="00F04BAD">
        <w:rPr>
          <w:rFonts w:ascii="Book Antiqua" w:eastAsia="Book Antiqua" w:hAnsi="Book Antiqua" w:cs="Book Antiqua"/>
          <w:color w:val="000000" w:themeColor="text1"/>
          <w:shd w:val="clear" w:color="auto" w:fill="FFFFFF"/>
        </w:rPr>
        <w:t>NKG2D</w:t>
      </w:r>
      <w:r w:rsidRPr="00F04BAD">
        <w:rPr>
          <w:rFonts w:ascii="Book Antiqua" w:eastAsia="Book Antiqua" w:hAnsi="Book Antiqua" w:cs="Book Antiqua"/>
          <w:color w:val="000000" w:themeColor="text1"/>
          <w:shd w:val="clear" w:color="auto" w:fill="FFFFFF"/>
        </w:rPr>
        <w:t>) ligands into the tumor microenvironment is another way to evade immune recognition. Following proteolysis by matrix metalloproteinases, tumor cell death or exosome secretion, the soluble form of NKG2D ligand induces internalization and degradation of NKG2D and decrease the subsequent cytotoxic effects of T cells</w:t>
      </w:r>
      <w:r w:rsidRPr="00F04BAD">
        <w:rPr>
          <w:rFonts w:ascii="Book Antiqua" w:eastAsia="Book Antiqua" w:hAnsi="Book Antiqua" w:cs="Book Antiqua"/>
          <w:color w:val="000000" w:themeColor="text1"/>
          <w:shd w:val="clear" w:color="auto" w:fill="FFFFFF"/>
          <w:vertAlign w:val="superscript"/>
        </w:rPr>
        <w:t>[73]</w:t>
      </w:r>
      <w:r w:rsidRPr="00F04BAD">
        <w:rPr>
          <w:rFonts w:ascii="Book Antiqua" w:eastAsia="Book Antiqua" w:hAnsi="Book Antiqua" w:cs="Book Antiqua"/>
          <w:color w:val="000000" w:themeColor="text1"/>
          <w:shd w:val="clear" w:color="auto" w:fill="FFFFFF"/>
        </w:rPr>
        <w:t>.</w:t>
      </w:r>
    </w:p>
    <w:p w14:paraId="715FEB31" w14:textId="77777777" w:rsidR="00A77B3E" w:rsidRPr="00F04BAD" w:rsidRDefault="000D0918" w:rsidP="000D0918">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Independently from tumor microenvironment, tumor cells resist to destruction through additional mutations in oncogenes (</w:t>
      </w:r>
      <w:r w:rsidRPr="00F04BAD">
        <w:rPr>
          <w:rFonts w:ascii="Book Antiqua" w:eastAsia="Book Antiqua" w:hAnsi="Book Antiqua" w:cs="Book Antiqua"/>
          <w:i/>
          <w:iCs/>
          <w:color w:val="000000" w:themeColor="text1"/>
        </w:rPr>
        <w:t>BRAF, EGFR, HER2</w:t>
      </w:r>
      <w:r w:rsidRPr="00F04BAD">
        <w:rPr>
          <w:rFonts w:ascii="Book Antiqua" w:hAnsi="Book Antiqua" w:cs="Book Antiqua"/>
          <w:iCs/>
          <w:color w:val="000000" w:themeColor="text1"/>
          <w:lang w:eastAsia="zh-CN"/>
        </w:rPr>
        <w:t>,</w:t>
      </w:r>
      <w:r w:rsidRPr="00F04BAD">
        <w:rPr>
          <w:rFonts w:ascii="Book Antiqua" w:hAnsi="Book Antiqua" w:cs="Book Antiqua"/>
          <w:i/>
          <w:color w:val="000000" w:themeColor="text1"/>
          <w:lang w:eastAsia="zh-CN"/>
        </w:rPr>
        <w:t xml:space="preserve"> etc.</w:t>
      </w:r>
      <w:r w:rsidRPr="00F04BAD">
        <w:rPr>
          <w:rFonts w:ascii="Book Antiqua" w:eastAsia="Book Antiqua" w:hAnsi="Book Antiqua" w:cs="Book Antiqua"/>
          <w:color w:val="000000" w:themeColor="text1"/>
        </w:rPr>
        <w:t xml:space="preserve">) that give proliferative advantage. Inversely, mutations in tumor suppressive molecules in particular in damage sensors and pro-apoptotic actors </w:t>
      </w:r>
      <w:r w:rsidRPr="00F04BAD">
        <w:rPr>
          <w:rFonts w:ascii="Book Antiqua" w:hAnsi="Book Antiqua" w:cs="Book Antiqua"/>
          <w:color w:val="000000" w:themeColor="text1"/>
          <w:lang w:eastAsia="zh-CN"/>
        </w:rPr>
        <w:t>(</w:t>
      </w:r>
      <w:r w:rsidRPr="00F04BAD">
        <w:rPr>
          <w:rFonts w:ascii="Book Antiqua" w:eastAsia="Book Antiqua" w:hAnsi="Book Antiqua" w:cs="Book Antiqua"/>
          <w:i/>
          <w:iCs/>
          <w:color w:val="000000" w:themeColor="text1"/>
        </w:rPr>
        <w:t>TP53, BCL2</w:t>
      </w:r>
      <w:r w:rsidRPr="00F04BAD">
        <w:rPr>
          <w:rFonts w:ascii="Book Antiqua" w:hAnsi="Book Antiqua" w:cs="Book Antiqua"/>
          <w:color w:val="000000" w:themeColor="text1"/>
          <w:lang w:eastAsia="zh-CN"/>
        </w:rPr>
        <w:t>,</w:t>
      </w:r>
      <w:r w:rsidRPr="00F04BAD">
        <w:rPr>
          <w:rFonts w:ascii="Book Antiqua" w:hAnsi="Book Antiqua" w:cs="Book Antiqua"/>
          <w:i/>
          <w:color w:val="000000" w:themeColor="text1"/>
          <w:lang w:eastAsia="zh-CN"/>
        </w:rPr>
        <w:t xml:space="preserve"> etc.</w:t>
      </w:r>
      <w:r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also limits the cytotoxic activity of the immune system</w:t>
      </w:r>
      <w:r w:rsidRPr="00F04BAD">
        <w:rPr>
          <w:rFonts w:ascii="Book Antiqua" w:eastAsia="Book Antiqua" w:hAnsi="Book Antiqua" w:cs="Book Antiqua"/>
          <w:color w:val="000000" w:themeColor="text1"/>
          <w:vertAlign w:val="superscript"/>
        </w:rPr>
        <w:t>[74]</w:t>
      </w:r>
      <w:r w:rsidRPr="00F04BAD">
        <w:rPr>
          <w:rFonts w:ascii="Book Antiqua" w:eastAsia="Book Antiqua" w:hAnsi="Book Antiqua" w:cs="Book Antiqua"/>
          <w:color w:val="000000" w:themeColor="text1"/>
        </w:rPr>
        <w:t>.</w:t>
      </w:r>
    </w:p>
    <w:p w14:paraId="07CEA5EC" w14:textId="77777777" w:rsidR="00A77B3E" w:rsidRPr="00F04BAD" w:rsidRDefault="00A77B3E">
      <w:pPr>
        <w:spacing w:line="360" w:lineRule="auto"/>
        <w:jc w:val="both"/>
        <w:rPr>
          <w:rFonts w:ascii="Book Antiqua" w:hAnsi="Book Antiqua"/>
          <w:color w:val="000000" w:themeColor="text1"/>
        </w:rPr>
      </w:pPr>
    </w:p>
    <w:p w14:paraId="1DC01099" w14:textId="77777777" w:rsidR="00A77B3E" w:rsidRPr="00F04BAD" w:rsidRDefault="000D0918">
      <w:pPr>
        <w:spacing w:line="360" w:lineRule="auto"/>
        <w:jc w:val="both"/>
        <w:rPr>
          <w:rFonts w:ascii="Book Antiqua" w:hAnsi="Book Antiqua"/>
          <w:b/>
          <w:color w:val="000000" w:themeColor="text1"/>
        </w:rPr>
      </w:pPr>
      <w:r w:rsidRPr="00F04BAD">
        <w:rPr>
          <w:rFonts w:ascii="Book Antiqua" w:eastAsia="Book Antiqua" w:hAnsi="Book Antiqua" w:cs="Book Antiqua"/>
          <w:b/>
          <w:i/>
          <w:iCs/>
          <w:color w:val="000000" w:themeColor="text1"/>
        </w:rPr>
        <w:t>Tumor-infiltrating immune cells</w:t>
      </w:r>
    </w:p>
    <w:p w14:paraId="6C498A75" w14:textId="77777777" w:rsidR="00A77B3E" w:rsidRPr="00F04BAD" w:rsidRDefault="000D0918">
      <w:pPr>
        <w:spacing w:line="360" w:lineRule="auto"/>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Tumor immune response and subsequent efficacy of ICI treatment is also highly dependent on the immune cell spectrum and its localization within or around the tumors. Indeed, pathological characterization of various solid tumors has shown a great diversity in immune cell types and density between tumors, which could be dependent on driver oncogenes. Three groups have been characterized either as immune desert, immune excluded or inflamed tumors – each group being associated with differential response to ICIs</w:t>
      </w:r>
      <w:r w:rsidRPr="00F04BAD">
        <w:rPr>
          <w:rFonts w:ascii="Book Antiqua" w:eastAsia="Book Antiqua" w:hAnsi="Book Antiqua" w:cs="Book Antiqua"/>
          <w:color w:val="000000" w:themeColor="text1"/>
          <w:vertAlign w:val="superscript"/>
        </w:rPr>
        <w:t>[75]</w:t>
      </w:r>
      <w:r w:rsidRPr="00F04BAD">
        <w:rPr>
          <w:rFonts w:ascii="Book Antiqua" w:eastAsia="Book Antiqua" w:hAnsi="Book Antiqua" w:cs="Book Antiqua"/>
          <w:color w:val="000000" w:themeColor="text1"/>
        </w:rPr>
        <w:t>.</w:t>
      </w:r>
    </w:p>
    <w:p w14:paraId="5C519247" w14:textId="699CB87B" w:rsidR="00A77B3E" w:rsidRPr="00F04BAD" w:rsidRDefault="000D0918" w:rsidP="000D0918">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The inflamed tumors are characterized by the presence of CD8+ and CD4+ T cells with suppressive cells including macrophages, MDSC and Treg that promote T cell dysfunction and exhaustion</w:t>
      </w:r>
      <w:r w:rsidRPr="00F04BAD">
        <w:rPr>
          <w:rFonts w:ascii="Book Antiqua" w:eastAsia="Book Antiqua" w:hAnsi="Book Antiqua" w:cs="Book Antiqua"/>
          <w:color w:val="000000" w:themeColor="text1"/>
          <w:vertAlign w:val="superscript"/>
        </w:rPr>
        <w:t>[76]</w:t>
      </w:r>
      <w:r w:rsidRPr="00F04BAD">
        <w:rPr>
          <w:rFonts w:ascii="Book Antiqua" w:eastAsia="Book Antiqua" w:hAnsi="Book Antiqua" w:cs="Book Antiqua"/>
          <w:color w:val="000000" w:themeColor="text1"/>
        </w:rPr>
        <w:t xml:space="preserve">. In immune-excluded tumors, aggregates of immune cells are at the tumor boundaries. Immune cells are not recruited in the vicinity of tumors consequently to physical hindrance associated with dense and stiff extracellular matrix fibers, defect in neo-vasculature, hypoxia, low level of chemo-attractive molecules for T cells such as C-X-C motif chemokine ligand 9 (CXCL9) and CXCL10, insufficient level of antigens or exposure to microbes or virus. In immune desert or cold tumors, there is a </w:t>
      </w:r>
      <w:r w:rsidRPr="00F04BAD">
        <w:rPr>
          <w:rFonts w:ascii="Book Antiqua" w:eastAsia="Book Antiqua" w:hAnsi="Book Antiqua" w:cs="Book Antiqua"/>
          <w:color w:val="000000" w:themeColor="text1"/>
        </w:rPr>
        <w:lastRenderedPageBreak/>
        <w:t>low density of immune cells inside and outside the tumors. Treg</w:t>
      </w:r>
      <w:r w:rsidR="00537C11"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MDSC</w:t>
      </w:r>
      <w:r w:rsidR="00537C11"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and macrophages interplay to inhibit </w:t>
      </w:r>
      <w:r w:rsidR="00B27E88" w:rsidRPr="00F04BAD">
        <w:rPr>
          <w:rFonts w:ascii="Book Antiqua" w:eastAsia="Book Antiqua" w:hAnsi="Book Antiqua" w:cs="Book Antiqua"/>
          <w:color w:val="000000" w:themeColor="text1"/>
        </w:rPr>
        <w:t>DC</w:t>
      </w:r>
      <w:r w:rsidRPr="00F04BAD">
        <w:rPr>
          <w:rFonts w:ascii="Book Antiqua" w:eastAsia="Book Antiqua" w:hAnsi="Book Antiqua" w:cs="Book Antiqua"/>
          <w:color w:val="000000" w:themeColor="text1"/>
        </w:rPr>
        <w:t xml:space="preserve"> maturation and impair T cell expansion and activation. Growing body of data have show</w:t>
      </w:r>
      <w:r w:rsidR="00414104" w:rsidRPr="00F04BAD">
        <w:rPr>
          <w:rFonts w:ascii="Book Antiqua" w:eastAsia="Book Antiqua" w:hAnsi="Book Antiqua" w:cs="Book Antiqua"/>
          <w:color w:val="000000" w:themeColor="text1"/>
        </w:rPr>
        <w:t>n</w:t>
      </w:r>
      <w:r w:rsidRPr="00F04BAD">
        <w:rPr>
          <w:rFonts w:ascii="Book Antiqua" w:eastAsia="Book Antiqua" w:hAnsi="Book Antiqua" w:cs="Book Antiqua"/>
          <w:color w:val="000000" w:themeColor="text1"/>
        </w:rPr>
        <w:t xml:space="preserve"> that EMT (epithelial-to-mesenchymal transition) and mesenchymal traits of tumor cells favor immune exclusion and resistance to ICI</w:t>
      </w:r>
      <w:r w:rsidR="00FD3ED7" w:rsidRPr="00F04BAD">
        <w:rPr>
          <w:rFonts w:ascii="Book Antiqua" w:hAnsi="Book Antiqua" w:cs="Book Antiqua"/>
          <w:color w:val="000000" w:themeColor="text1"/>
          <w:lang w:eastAsia="zh-CN"/>
        </w:rPr>
        <w:t>s</w:t>
      </w:r>
      <w:r w:rsidRPr="00F04BAD">
        <w:rPr>
          <w:rFonts w:ascii="Book Antiqua" w:eastAsia="Book Antiqua" w:hAnsi="Book Antiqua" w:cs="Book Antiqua"/>
          <w:color w:val="000000" w:themeColor="text1"/>
          <w:vertAlign w:val="superscript"/>
        </w:rPr>
        <w:t>[77]</w:t>
      </w:r>
      <w:r w:rsidRPr="00F04BAD">
        <w:rPr>
          <w:rFonts w:ascii="Book Antiqua" w:eastAsia="Book Antiqua" w:hAnsi="Book Antiqua" w:cs="Book Antiqua"/>
          <w:color w:val="000000" w:themeColor="text1"/>
        </w:rPr>
        <w:t>.</w:t>
      </w:r>
    </w:p>
    <w:p w14:paraId="40659DA9" w14:textId="5CA49AC1" w:rsidR="00A77B3E" w:rsidRPr="00F04BAD" w:rsidRDefault="000D0918" w:rsidP="000D091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In 2017, a new molecular HCC classification has been proposed on the basis of immune traits, with approximately 30% of HCCs enriched in TILs and defined as HCC immune class</w:t>
      </w:r>
      <w:r w:rsidRPr="00F04BAD">
        <w:rPr>
          <w:rFonts w:ascii="Book Antiqua" w:eastAsia="Book Antiqua" w:hAnsi="Book Antiqua" w:cs="Book Antiqua"/>
          <w:color w:val="000000" w:themeColor="text1"/>
          <w:vertAlign w:val="superscript"/>
        </w:rPr>
        <w:t>[15]</w:t>
      </w:r>
      <w:r w:rsidRPr="00F04BAD">
        <w:rPr>
          <w:rFonts w:ascii="Book Antiqua" w:eastAsia="Book Antiqua" w:hAnsi="Book Antiqua" w:cs="Book Antiqua"/>
          <w:color w:val="000000" w:themeColor="text1"/>
        </w:rPr>
        <w:t>. Thirty percent of patients inversely showed exclusion of TILs and frequent mutations in</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CTNNB1</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gene. This subgroup of tumors are resistant in first-intention to ICIs</w:t>
      </w:r>
      <w:r w:rsidRPr="00F04BAD">
        <w:rPr>
          <w:rFonts w:ascii="Book Antiqua" w:eastAsia="Book Antiqua" w:hAnsi="Book Antiqua" w:cs="Book Antiqua"/>
          <w:color w:val="000000" w:themeColor="text1"/>
          <w:vertAlign w:val="superscript"/>
        </w:rPr>
        <w:t>[13]</w:t>
      </w:r>
      <w:r w:rsidRPr="00F04BAD">
        <w:rPr>
          <w:rFonts w:ascii="Book Antiqua" w:eastAsia="Book Antiqua" w:hAnsi="Book Antiqua" w:cs="Book Antiqua"/>
          <w:color w:val="000000" w:themeColor="text1"/>
        </w:rPr>
        <w:t>, as it was previously observed in melanoma</w:t>
      </w:r>
      <w:r w:rsidRPr="00F04BAD">
        <w:rPr>
          <w:rFonts w:ascii="Book Antiqua" w:eastAsia="Book Antiqua" w:hAnsi="Book Antiqua" w:cs="Book Antiqua"/>
          <w:color w:val="000000" w:themeColor="text1"/>
          <w:vertAlign w:val="superscript"/>
        </w:rPr>
        <w:t>[78]</w:t>
      </w:r>
      <w:r w:rsidRPr="00F04BAD">
        <w:rPr>
          <w:rFonts w:ascii="Book Antiqua" w:eastAsia="Book Antiqua" w:hAnsi="Book Antiqua" w:cs="Book Antiqua"/>
          <w:color w:val="000000" w:themeColor="text1"/>
        </w:rPr>
        <w:t>. This was confirmed with a hydrodynamic mouse model of HCC in which β-catenin activation promotes immune evasion and resistance to anti-PD-1 therapy</w:t>
      </w:r>
      <w:r w:rsidRPr="00F04BAD">
        <w:rPr>
          <w:rFonts w:ascii="Book Antiqua" w:eastAsia="Book Antiqua" w:hAnsi="Book Antiqua" w:cs="Book Antiqua"/>
          <w:color w:val="000000" w:themeColor="text1"/>
          <w:vertAlign w:val="superscript"/>
        </w:rPr>
        <w:t>[79]</w:t>
      </w:r>
      <w:r w:rsidRPr="00F04BAD">
        <w:rPr>
          <w:rFonts w:ascii="Book Antiqua" w:eastAsia="Book Antiqua" w:hAnsi="Book Antiqua" w:cs="Book Antiqua"/>
          <w:color w:val="000000" w:themeColor="text1"/>
        </w:rPr>
        <w:t>.</w:t>
      </w:r>
    </w:p>
    <w:p w14:paraId="155E3D81" w14:textId="77777777" w:rsidR="00A77B3E" w:rsidRPr="00F04BAD" w:rsidRDefault="000D0918" w:rsidP="000D0918">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In addition to CD8 T cells, the distribution pattern of myeloid cells has also been associated with HCC prognosis. A recent work of Wu and collaborators proposed a myeloid response score (MRS) associated with T cell activity and which could serve as a prognosis signature</w:t>
      </w:r>
      <w:r w:rsidRPr="00F04BAD">
        <w:rPr>
          <w:rFonts w:ascii="Book Antiqua" w:eastAsia="Book Antiqua" w:hAnsi="Book Antiqua" w:cs="Book Antiqua"/>
          <w:color w:val="000000" w:themeColor="text1"/>
          <w:vertAlign w:val="superscript"/>
        </w:rPr>
        <w:t>[80]</w:t>
      </w:r>
      <w:r w:rsidRPr="00F04BAD">
        <w:rPr>
          <w:rFonts w:ascii="Book Antiqua" w:eastAsia="Book Antiqua" w:hAnsi="Book Antiqua" w:cs="Book Antiqua"/>
          <w:color w:val="000000" w:themeColor="text1"/>
        </w:rPr>
        <w:t>. HCC were classified as HCCs with low, intermediate, and high MRS, which displayed patterns of immunocompetent, immunodeficient, and immunosuppressive microenvironment. MRS</w:t>
      </w:r>
      <w:r w:rsidRPr="00F04BAD">
        <w:rPr>
          <w:rFonts w:ascii="Book Antiqua" w:eastAsia="Book Antiqua" w:hAnsi="Book Antiqua" w:cs="Book Antiqua"/>
          <w:color w:val="000000" w:themeColor="text1"/>
          <w:vertAlign w:val="superscript"/>
        </w:rPr>
        <w:t>low</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tumors</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present an intratumor contexture equivalent to the peritumor tissue containing CD169+CD163+CD14+CD11b</w:t>
      </w:r>
      <w:r w:rsidRPr="00F04BAD">
        <w:rPr>
          <w:rFonts w:ascii="Book Antiqua" w:eastAsia="Book Antiqua" w:hAnsi="Book Antiqua" w:cs="Book Antiqua"/>
          <w:color w:val="000000" w:themeColor="text1"/>
          <w:vertAlign w:val="superscript"/>
        </w:rPr>
        <w:t>low/-</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macrophages with antitumor activity and CD8+ T cells. Inversely, as compared to non-tumor tissue MRS</w:t>
      </w:r>
      <w:r w:rsidRPr="00F04BAD">
        <w:rPr>
          <w:rFonts w:ascii="Book Antiqua" w:eastAsia="Book Antiqua" w:hAnsi="Book Antiqua" w:cs="Book Antiqua"/>
          <w:color w:val="000000" w:themeColor="text1"/>
          <w:vertAlign w:val="superscript"/>
        </w:rPr>
        <w:t>high</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tumors are enriched in CD11b+CD15+ polymorphonuclear leukocytes and CD169-CD11b+CD163+ myeloid cells associated with pro-tumoral activation of TAM. These tumors are also characterized by gene signatures related to immunosuppression.</w:t>
      </w:r>
    </w:p>
    <w:p w14:paraId="5B6A40EC" w14:textId="3C5E2445" w:rsidR="00A77B3E" w:rsidRPr="00F04BAD" w:rsidRDefault="000D0918" w:rsidP="000D091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The expression of co-inhibitory molecules within the tumor is an important prognosis factor. HCC with high expression of PD-L1 on tumor/immune cells in immunohistochemistry together with high expression of PD-1 on lymphocytes also exhibit markers of aggressiveness such as poor differentiation and vascular invasion</w:t>
      </w:r>
      <w:r w:rsidRPr="00F04BAD">
        <w:rPr>
          <w:rFonts w:ascii="Book Antiqua" w:eastAsia="Book Antiqua" w:hAnsi="Book Antiqua" w:cs="Book Antiqua"/>
          <w:color w:val="000000" w:themeColor="text1"/>
          <w:vertAlign w:val="superscript"/>
        </w:rPr>
        <w:t>[81]</w:t>
      </w:r>
      <w:r w:rsidRPr="00F04BAD">
        <w:rPr>
          <w:rFonts w:ascii="Book Antiqua" w:eastAsia="Book Antiqua" w:hAnsi="Book Antiqua" w:cs="Book Antiqua"/>
          <w:color w:val="000000" w:themeColor="text1"/>
        </w:rPr>
        <w:t>. In addition, if PD-L1 is overexpressed by HCC cells</w:t>
      </w:r>
      <w:r w:rsidR="008C397D"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 xml:space="preserve"> this predicts early recurrence. Importantly, in this study, no correlation between glutamine synthetase, a direct positive </w:t>
      </w:r>
      <w:r w:rsidRPr="00F04BAD">
        <w:rPr>
          <w:rFonts w:ascii="Book Antiqua" w:eastAsia="Book Antiqua" w:hAnsi="Book Antiqua" w:cs="Book Antiqua"/>
          <w:color w:val="000000" w:themeColor="text1"/>
        </w:rPr>
        <w:lastRenderedPageBreak/>
        <w:t xml:space="preserve">target of the β-catenin, and PD-L1 </w:t>
      </w:r>
      <w:r w:rsidR="008C397D" w:rsidRPr="00F04BAD">
        <w:rPr>
          <w:rFonts w:ascii="Book Antiqua" w:eastAsia="Book Antiqua" w:hAnsi="Book Antiqua" w:cs="Book Antiqua"/>
          <w:color w:val="000000" w:themeColor="text1"/>
        </w:rPr>
        <w:t>l</w:t>
      </w:r>
      <w:r w:rsidRPr="00F04BAD">
        <w:rPr>
          <w:rFonts w:ascii="Book Antiqua" w:eastAsia="Book Antiqua" w:hAnsi="Book Antiqua" w:cs="Book Antiqua"/>
          <w:color w:val="000000" w:themeColor="text1"/>
        </w:rPr>
        <w:t>abeling was observed meaning that the immunosuppressive activity of the Wnt/β-catenin could thus be linked to an immune checkpoint other than PD-L1/PD-1 axis. Another study performing cytometry analysis on HCC tumors confirmed that PD-L1 was both expressed by tumor cells and immune cells and mostly on CD68+ myeloid cells</w:t>
      </w:r>
      <w:r w:rsidRPr="00F04BAD">
        <w:rPr>
          <w:rFonts w:ascii="Book Antiqua" w:eastAsia="Book Antiqua" w:hAnsi="Book Antiqua" w:cs="Book Antiqua"/>
          <w:color w:val="000000" w:themeColor="text1"/>
          <w:vertAlign w:val="superscript"/>
        </w:rPr>
        <w:t>[82]</w:t>
      </w:r>
      <w:r w:rsidRPr="00F04BAD">
        <w:rPr>
          <w:rFonts w:ascii="Book Antiqua" w:eastAsia="Book Antiqua" w:hAnsi="Book Antiqua" w:cs="Book Antiqua"/>
          <w:color w:val="000000" w:themeColor="text1"/>
        </w:rPr>
        <w:t>. The presence of PD-L1 on tumor cells correlates with tumor progression, while PD-L1+ macrophages play a protective role in HCC associated with immune response and T activation signature. Recently, a TCGA analysis showed that a high correlation between all negative checkpoints such as PD-L1, PD-1, CTLA-4, LAG-3 and T infiltration in tumors is associated with an immunosuppressive and exhausted tumor microenvironment</w:t>
      </w:r>
      <w:r w:rsidRPr="00F04BAD">
        <w:rPr>
          <w:rFonts w:ascii="Book Antiqua" w:eastAsia="Book Antiqua" w:hAnsi="Book Antiqua" w:cs="Book Antiqua"/>
          <w:color w:val="000000" w:themeColor="text1"/>
          <w:vertAlign w:val="superscript"/>
        </w:rPr>
        <w:t>[83]</w:t>
      </w:r>
      <w:r w:rsidRPr="00F04BAD">
        <w:rPr>
          <w:rFonts w:ascii="Book Antiqua" w:eastAsia="Book Antiqua" w:hAnsi="Book Antiqua" w:cs="Book Antiqua"/>
          <w:color w:val="000000" w:themeColor="text1"/>
        </w:rPr>
        <w:t>. Nevertheless, the application of ICIs would be of survival benefit for these patients.</w:t>
      </w:r>
    </w:p>
    <w:p w14:paraId="16498D61" w14:textId="77777777" w:rsidR="00A77B3E" w:rsidRPr="00F04BAD" w:rsidRDefault="00A77B3E">
      <w:pPr>
        <w:spacing w:line="360" w:lineRule="auto"/>
        <w:jc w:val="both"/>
        <w:rPr>
          <w:rFonts w:ascii="Book Antiqua" w:hAnsi="Book Antiqua"/>
          <w:color w:val="000000" w:themeColor="text1"/>
        </w:rPr>
      </w:pPr>
    </w:p>
    <w:p w14:paraId="1EC18E7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aps/>
          <w:color w:val="000000" w:themeColor="text1"/>
          <w:u w:val="single"/>
        </w:rPr>
        <w:t>Immunotherapy successes and limitations in HCC</w:t>
      </w:r>
    </w:p>
    <w:p w14:paraId="0282547B" w14:textId="0A0AB402" w:rsidR="00A77B3E" w:rsidRPr="00F04BAD" w:rsidRDefault="000D0918">
      <w:pPr>
        <w:spacing w:line="360" w:lineRule="auto"/>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Development of immune checkpoints inhibitors constitutes a major breakthrough in oncology that leads to revisit therapeutic strategies and clinical practice for various cancers particularly those of poor prognosis with few therapeutic options, following impressive results obtained in melanoma. ICIs have resulted in increased patient survival in melanoma, kidney and non-small cell lung cancer as well as Hodgkin’s lymphoma in comparison with conventional chemotherapies. Other cancers present a more heterogenous response to ICIs such as ovarian, breast, pancreatic and liver cancers. More promising data have been obtained with combination of treatments including ICI</w:t>
      </w:r>
      <w:r w:rsidR="00AD46A0"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Microsatellite instability has been evidenced as a biomarker for ICI response</w:t>
      </w:r>
      <w:r w:rsidRPr="00F04BAD">
        <w:rPr>
          <w:rFonts w:ascii="Book Antiqua" w:eastAsia="Book Antiqua" w:hAnsi="Book Antiqua" w:cs="Book Antiqua"/>
          <w:color w:val="000000" w:themeColor="text1"/>
          <w:vertAlign w:val="superscript"/>
        </w:rPr>
        <w:t>[84]</w:t>
      </w:r>
      <w:r w:rsidRPr="00F04BAD">
        <w:rPr>
          <w:rFonts w:ascii="Book Antiqua" w:eastAsia="Book Antiqua" w:hAnsi="Book Antiqua" w:cs="Book Antiqua"/>
          <w:color w:val="000000" w:themeColor="text1"/>
        </w:rPr>
        <w:t>-tumors with a low mutation rate having less neoantigens and thus being less immunogenic. Another biomarker is TMB (Tumor mutational burden) has been recently found correlated with ICI sensitivity</w:t>
      </w:r>
      <w:r w:rsidRPr="00F04BAD">
        <w:rPr>
          <w:rFonts w:ascii="Book Antiqua" w:eastAsia="Book Antiqua" w:hAnsi="Book Antiqua" w:cs="Book Antiqua"/>
          <w:color w:val="000000" w:themeColor="text1"/>
          <w:vertAlign w:val="superscript"/>
        </w:rPr>
        <w:t>[85]</w:t>
      </w:r>
      <w:r w:rsidRPr="00F04BAD">
        <w:rPr>
          <w:rFonts w:ascii="Book Antiqua" w:hAnsi="Book Antiqua" w:cs="Book Antiqua"/>
          <w:color w:val="000000" w:themeColor="text1"/>
          <w:lang w:eastAsia="zh-CN"/>
        </w:rPr>
        <w:t>.</w:t>
      </w:r>
    </w:p>
    <w:p w14:paraId="5CEF947A" w14:textId="025F9D2A" w:rsidR="00A77B3E" w:rsidRPr="00F04BAD" w:rsidRDefault="000D0918" w:rsidP="000D0918">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Anti-CTLA-4 therapy is the first generation of ICI since antitumor regression after blocking co-inhibitory molecules was firstly evidenced with the anti-CTLA-4 antibody ipilimumab in melanoma</w:t>
      </w:r>
      <w:r w:rsidRPr="00F04BAD">
        <w:rPr>
          <w:rFonts w:ascii="Book Antiqua" w:eastAsia="Book Antiqua" w:hAnsi="Book Antiqua" w:cs="Book Antiqua"/>
          <w:color w:val="000000" w:themeColor="text1"/>
          <w:vertAlign w:val="superscript"/>
        </w:rPr>
        <w:t>[86]</w:t>
      </w:r>
      <w:r w:rsidRPr="00F04BAD">
        <w:rPr>
          <w:rFonts w:ascii="Book Antiqua" w:eastAsia="Book Antiqua" w:hAnsi="Book Antiqua" w:cs="Book Antiqua"/>
          <w:color w:val="000000" w:themeColor="text1"/>
        </w:rPr>
        <w:t>. It was the first ICI approved by</w:t>
      </w:r>
      <w:r w:rsidR="005C247B" w:rsidRPr="00FD5C87">
        <w:rPr>
          <w:rFonts w:ascii="Book Antiqua" w:eastAsia="Book Antiqua" w:hAnsi="Book Antiqua" w:cs="Book Antiqua"/>
          <w:color w:val="000000" w:themeColor="text1"/>
        </w:rPr>
        <w:t xml:space="preserve"> the</w:t>
      </w:r>
      <w:r w:rsidRPr="00F04BAD">
        <w:rPr>
          <w:rFonts w:ascii="Book Antiqua" w:eastAsia="Book Antiqua" w:hAnsi="Book Antiqua" w:cs="Book Antiqua"/>
          <w:color w:val="000000" w:themeColor="text1"/>
        </w:rPr>
        <w:t xml:space="preserve"> Food and Drug Administration</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FDA</w:t>
      </w:r>
      <w:r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for the treatment of advanced melanoma. Therapeutic strategies against PD-1 are the second generation of ICI with nivolumab and pembrolizumab lately </w:t>
      </w:r>
      <w:r w:rsidRPr="00F04BAD">
        <w:rPr>
          <w:rFonts w:ascii="Book Antiqua" w:eastAsia="Book Antiqua" w:hAnsi="Book Antiqua" w:cs="Book Antiqua"/>
          <w:color w:val="000000" w:themeColor="text1"/>
        </w:rPr>
        <w:lastRenderedPageBreak/>
        <w:t>approved by FDA for advanced melanoma</w:t>
      </w:r>
      <w:r w:rsidRPr="00F04BAD">
        <w:rPr>
          <w:rFonts w:ascii="Book Antiqua" w:eastAsia="Book Antiqua" w:hAnsi="Book Antiqua" w:cs="Book Antiqua"/>
          <w:color w:val="000000" w:themeColor="text1"/>
          <w:vertAlign w:val="superscript"/>
        </w:rPr>
        <w:t>[87]</w:t>
      </w:r>
      <w:r w:rsidRPr="00F04BAD">
        <w:rPr>
          <w:rFonts w:ascii="Book Antiqua" w:eastAsia="Book Antiqua" w:hAnsi="Book Antiqua" w:cs="Book Antiqua"/>
          <w:color w:val="000000" w:themeColor="text1"/>
        </w:rPr>
        <w:t>. Since then, the impacts of both therapies have been explored in various cancers and several others surface molecules have been targeted: inhibitory co-receptors such as VISTA (V-domain Ig suppressor of T cell activation)</w:t>
      </w:r>
      <w:r w:rsidRPr="00F04BAD">
        <w:rPr>
          <w:rFonts w:ascii="Book Antiqua" w:eastAsia="Book Antiqua" w:hAnsi="Book Antiqua" w:cs="Book Antiqua"/>
          <w:color w:val="000000" w:themeColor="text1"/>
          <w:vertAlign w:val="superscript"/>
        </w:rPr>
        <w:t>[88]</w:t>
      </w:r>
      <w:r w:rsidRPr="00F04BAD">
        <w:rPr>
          <w:rFonts w:ascii="Book Antiqua" w:eastAsia="Book Antiqua" w:hAnsi="Book Antiqua" w:cs="Book Antiqua"/>
          <w:color w:val="000000" w:themeColor="text1"/>
        </w:rPr>
        <w:t>, TIGIT (T Cell Immunoreceptor With Ig And ITIM Domains)</w:t>
      </w:r>
      <w:r w:rsidRPr="00F04BAD">
        <w:rPr>
          <w:rFonts w:ascii="Book Antiqua" w:eastAsia="Book Antiqua" w:hAnsi="Book Antiqua" w:cs="Book Antiqua"/>
          <w:color w:val="000000" w:themeColor="text1"/>
          <w:vertAlign w:val="superscript"/>
        </w:rPr>
        <w:t>[89]</w:t>
      </w:r>
      <w:r w:rsidRPr="00F04BAD">
        <w:rPr>
          <w:rFonts w:ascii="Book Antiqua" w:eastAsia="Book Antiqua" w:hAnsi="Book Antiqua" w:cs="Book Antiqua"/>
          <w:color w:val="000000" w:themeColor="text1"/>
        </w:rPr>
        <w:t>, TIM-3 (T cell immunoglobulin and mucin domain-containing protein 3)</w:t>
      </w:r>
      <w:r w:rsidRPr="00F04BAD">
        <w:rPr>
          <w:rFonts w:ascii="Book Antiqua" w:eastAsia="Book Antiqua" w:hAnsi="Book Antiqua" w:cs="Book Antiqua"/>
          <w:color w:val="000000" w:themeColor="text1"/>
          <w:vertAlign w:val="superscript"/>
        </w:rPr>
        <w:t>[90]</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LAG-3</w:t>
      </w:r>
      <w:r w:rsidRPr="00F04BAD">
        <w:rPr>
          <w:rFonts w:ascii="Book Antiqua" w:eastAsia="Book Antiqua" w:hAnsi="Book Antiqua" w:cs="Book Antiqua"/>
          <w:color w:val="000000" w:themeColor="text1"/>
          <w:vertAlign w:val="superscript"/>
        </w:rPr>
        <w:t>[91]</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or costimulatory receptors like CD28, OX40</w:t>
      </w:r>
      <w:r w:rsidRPr="00F04BAD">
        <w:rPr>
          <w:rFonts w:ascii="Book Antiqua" w:eastAsia="Book Antiqua" w:hAnsi="Book Antiqua" w:cs="Book Antiqua"/>
          <w:color w:val="000000" w:themeColor="text1"/>
          <w:vertAlign w:val="superscript"/>
        </w:rPr>
        <w:t>[92]</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or GITR (glucocorticoid-induced TNFR-related protein)</w:t>
      </w:r>
      <w:r w:rsidRPr="00F04BAD">
        <w:rPr>
          <w:rFonts w:ascii="Book Antiqua" w:eastAsia="Book Antiqua" w:hAnsi="Book Antiqua" w:cs="Book Antiqua"/>
          <w:color w:val="000000" w:themeColor="text1"/>
          <w:vertAlign w:val="superscript"/>
        </w:rPr>
        <w:t>[93]</w:t>
      </w:r>
      <w:r w:rsidRPr="00F04BAD">
        <w:rPr>
          <w:rFonts w:ascii="Book Antiqua" w:eastAsia="Book Antiqua" w:hAnsi="Book Antiqua" w:cs="Book Antiqua"/>
          <w:color w:val="000000" w:themeColor="text1"/>
        </w:rPr>
        <w:t>.</w:t>
      </w:r>
    </w:p>
    <w:p w14:paraId="6E1FE316" w14:textId="23FAAA72" w:rsidR="00A77B3E" w:rsidRPr="00F04BAD" w:rsidRDefault="000D0918" w:rsidP="000D091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Ipilimumab was the first blocking antibody to significantly promote a regression of lesions in metastatic melanoma with a complete remission in some patients</w:t>
      </w:r>
      <w:r w:rsidRPr="00F04BAD">
        <w:rPr>
          <w:rFonts w:ascii="Book Antiqua" w:eastAsia="Book Antiqua" w:hAnsi="Book Antiqua" w:cs="Book Antiqua"/>
          <w:color w:val="000000" w:themeColor="text1"/>
          <w:vertAlign w:val="superscript"/>
        </w:rPr>
        <w:t>[94]</w:t>
      </w:r>
      <w:r w:rsidRPr="00F04BAD">
        <w:rPr>
          <w:rFonts w:ascii="Book Antiqua" w:eastAsia="Book Antiqua" w:hAnsi="Book Antiqua" w:cs="Book Antiqua"/>
          <w:color w:val="000000" w:themeColor="text1"/>
        </w:rPr>
        <w:t xml:space="preserve">. A </w:t>
      </w:r>
      <w:r w:rsidR="008C037B" w:rsidRPr="00FD5C87">
        <w:rPr>
          <w:rFonts w:ascii="Book Antiqua" w:eastAsia="Book Antiqua" w:hAnsi="Book Antiqua" w:cs="Book Antiqua"/>
          <w:color w:val="000000" w:themeColor="text1"/>
        </w:rPr>
        <w:t>3-</w:t>
      </w:r>
      <w:r w:rsidRPr="00F04BAD">
        <w:rPr>
          <w:rFonts w:ascii="Book Antiqua" w:eastAsia="Book Antiqua" w:hAnsi="Book Antiqua" w:cs="Book Antiqua"/>
          <w:color w:val="000000" w:themeColor="text1"/>
        </w:rPr>
        <w:t>year overall survival (OS) rate of around 20% was observed</w:t>
      </w:r>
      <w:r w:rsidRPr="00F04BAD">
        <w:rPr>
          <w:rFonts w:ascii="Book Antiqua" w:eastAsia="Book Antiqua" w:hAnsi="Book Antiqua" w:cs="Book Antiqua"/>
          <w:color w:val="000000" w:themeColor="text1"/>
          <w:vertAlign w:val="superscript"/>
        </w:rPr>
        <w:t>[95]</w:t>
      </w:r>
      <w:r w:rsidRPr="00F04BAD">
        <w:rPr>
          <w:rFonts w:ascii="Book Antiqua" w:eastAsia="Book Antiqua" w:hAnsi="Book Antiqua" w:cs="Book Antiqua"/>
          <w:color w:val="000000" w:themeColor="text1"/>
        </w:rPr>
        <w:t xml:space="preserve">. In HCC, the first anti-CTLA-4 tested was </w:t>
      </w:r>
      <w:r w:rsidR="00F5364C" w:rsidRPr="00F04BAD">
        <w:rPr>
          <w:rFonts w:ascii="Book Antiqua" w:hAnsi="Book Antiqua" w:cs="Book Antiqua"/>
          <w:color w:val="000000" w:themeColor="text1"/>
          <w:lang w:eastAsia="zh-CN"/>
        </w:rPr>
        <w:t>t</w:t>
      </w:r>
      <w:r w:rsidRPr="00F04BAD">
        <w:rPr>
          <w:rFonts w:ascii="Book Antiqua" w:eastAsia="Book Antiqua" w:hAnsi="Book Antiqua" w:cs="Book Antiqua"/>
          <w:color w:val="000000" w:themeColor="text1"/>
        </w:rPr>
        <w:t xml:space="preserve">remelimumab, a fully human IgG2 monoclonal antibody. Response rates were more modest in advanced </w:t>
      </w:r>
      <w:r w:rsidRPr="00F04BAD">
        <w:rPr>
          <w:rFonts w:ascii="Book Antiqua" w:hAnsi="Book Antiqua" w:cs="Book Antiqua"/>
          <w:color w:val="000000" w:themeColor="text1"/>
          <w:lang w:eastAsia="zh-CN"/>
        </w:rPr>
        <w:t>h</w:t>
      </w:r>
      <w:r w:rsidRPr="00F04BAD">
        <w:rPr>
          <w:rFonts w:ascii="Book Antiqua" w:eastAsia="Book Antiqua" w:hAnsi="Book Antiqua" w:cs="Book Antiqua"/>
          <w:color w:val="000000" w:themeColor="text1"/>
        </w:rPr>
        <w:t xml:space="preserve">epatitis </w:t>
      </w:r>
      <w:r w:rsidRPr="00F04BAD">
        <w:rPr>
          <w:rFonts w:ascii="Book Antiqua" w:hAnsi="Book Antiqua" w:cs="Book Antiqua"/>
          <w:color w:val="000000" w:themeColor="text1"/>
          <w:lang w:eastAsia="zh-CN"/>
        </w:rPr>
        <w:t>C</w:t>
      </w:r>
      <w:r w:rsidRPr="00F04BAD">
        <w:rPr>
          <w:rFonts w:ascii="Book Antiqua" w:eastAsia="Book Antiqua" w:hAnsi="Book Antiqua" w:cs="Book Antiqua"/>
          <w:color w:val="000000" w:themeColor="text1"/>
        </w:rPr>
        <w:t xml:space="preserve"> </w:t>
      </w:r>
      <w:r w:rsidRPr="00F04BAD">
        <w:rPr>
          <w:rFonts w:ascii="Book Antiqua" w:hAnsi="Book Antiqua" w:cs="Book Antiqua"/>
          <w:color w:val="000000" w:themeColor="text1"/>
          <w:lang w:eastAsia="zh-CN"/>
        </w:rPr>
        <w:t>v</w:t>
      </w:r>
      <w:r w:rsidRPr="00F04BAD">
        <w:rPr>
          <w:rFonts w:ascii="Book Antiqua" w:eastAsia="Book Antiqua" w:hAnsi="Book Antiqua" w:cs="Book Antiqua"/>
          <w:color w:val="000000" w:themeColor="text1"/>
        </w:rPr>
        <w:t xml:space="preserve">irus-related HCC, with a median OS of 8.2 mo and survival rate of 43% at </w:t>
      </w:r>
      <w:r w:rsidR="008C037B" w:rsidRPr="00FD5C87">
        <w:rPr>
          <w:rFonts w:ascii="Book Antiqua" w:eastAsia="Book Antiqua" w:hAnsi="Book Antiqua" w:cs="Book Antiqua"/>
          <w:color w:val="000000" w:themeColor="text1"/>
        </w:rPr>
        <w:t>1</w:t>
      </w:r>
      <w:r w:rsidR="008C037B"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year</w:t>
      </w:r>
      <w:r w:rsidRPr="00F04BAD">
        <w:rPr>
          <w:rFonts w:ascii="Book Antiqua" w:eastAsia="Book Antiqua" w:hAnsi="Book Antiqua" w:cs="Book Antiqua"/>
          <w:color w:val="000000" w:themeColor="text1"/>
          <w:vertAlign w:val="superscript"/>
        </w:rPr>
        <w:t>[96]</w:t>
      </w:r>
      <w:r w:rsidRPr="00F04BAD">
        <w:rPr>
          <w:rFonts w:ascii="Book Antiqua" w:eastAsia="Book Antiqua" w:hAnsi="Book Antiqua" w:cs="Book Antiqua"/>
          <w:color w:val="000000" w:themeColor="text1"/>
        </w:rPr>
        <w:t xml:space="preserve">. Another study conducted on </w:t>
      </w:r>
      <w:r w:rsidRPr="00F04BAD">
        <w:rPr>
          <w:rFonts w:ascii="Book Antiqua" w:hAnsi="Book Antiqua" w:cs="Book Antiqua"/>
          <w:color w:val="000000" w:themeColor="text1"/>
          <w:lang w:eastAsia="zh-CN"/>
        </w:rPr>
        <w:t>h</w:t>
      </w:r>
      <w:r w:rsidRPr="00F04BAD">
        <w:rPr>
          <w:rFonts w:ascii="Book Antiqua" w:eastAsia="Book Antiqua" w:hAnsi="Book Antiqua" w:cs="Book Antiqua"/>
          <w:color w:val="000000" w:themeColor="text1"/>
        </w:rPr>
        <w:t xml:space="preserve">epatitis B </w:t>
      </w:r>
      <w:r w:rsidRPr="00F04BAD">
        <w:rPr>
          <w:rFonts w:ascii="Book Antiqua" w:hAnsi="Book Antiqua" w:cs="Book Antiqua"/>
          <w:color w:val="000000" w:themeColor="text1"/>
          <w:lang w:eastAsia="zh-CN"/>
        </w:rPr>
        <w:t>v</w:t>
      </w:r>
      <w:r w:rsidRPr="00F04BAD">
        <w:rPr>
          <w:rFonts w:ascii="Book Antiqua" w:eastAsia="Book Antiqua" w:hAnsi="Book Antiqua" w:cs="Book Antiqua"/>
          <w:color w:val="000000" w:themeColor="text1"/>
        </w:rPr>
        <w:t xml:space="preserve">irus and </w:t>
      </w:r>
      <w:r w:rsidRPr="00F04BAD">
        <w:rPr>
          <w:rFonts w:ascii="Book Antiqua" w:hAnsi="Book Antiqua" w:cs="Book Antiqua"/>
          <w:color w:val="000000" w:themeColor="text1"/>
          <w:lang w:eastAsia="zh-CN"/>
        </w:rPr>
        <w:t>h</w:t>
      </w:r>
      <w:r w:rsidRPr="00F04BAD">
        <w:rPr>
          <w:rFonts w:ascii="Book Antiqua" w:eastAsia="Book Antiqua" w:hAnsi="Book Antiqua" w:cs="Book Antiqua"/>
          <w:color w:val="000000" w:themeColor="text1"/>
        </w:rPr>
        <w:t xml:space="preserve">epatitis </w:t>
      </w:r>
      <w:r w:rsidRPr="00F04BAD">
        <w:rPr>
          <w:rFonts w:ascii="Book Antiqua" w:hAnsi="Book Antiqua" w:cs="Book Antiqua"/>
          <w:color w:val="000000" w:themeColor="text1"/>
          <w:lang w:eastAsia="zh-CN"/>
        </w:rPr>
        <w:t>C</w:t>
      </w:r>
      <w:r w:rsidRPr="00F04BAD">
        <w:rPr>
          <w:rFonts w:ascii="Book Antiqua" w:eastAsia="Book Antiqua" w:hAnsi="Book Antiqua" w:cs="Book Antiqua"/>
          <w:color w:val="000000" w:themeColor="text1"/>
        </w:rPr>
        <w:t xml:space="preserve"> </w:t>
      </w:r>
      <w:r w:rsidRPr="00F04BAD">
        <w:rPr>
          <w:rFonts w:ascii="Book Antiqua" w:hAnsi="Book Antiqua" w:cs="Book Antiqua"/>
          <w:color w:val="000000" w:themeColor="text1"/>
          <w:lang w:eastAsia="zh-CN"/>
        </w:rPr>
        <w:t>v</w:t>
      </w:r>
      <w:r w:rsidRPr="00F04BAD">
        <w:rPr>
          <w:rFonts w:ascii="Book Antiqua" w:eastAsia="Book Antiqua" w:hAnsi="Book Antiqua" w:cs="Book Antiqua"/>
          <w:color w:val="000000" w:themeColor="text1"/>
        </w:rPr>
        <w:t>irus-associated HCC combined tremelimumab with tumor ablation at day 36</w:t>
      </w:r>
      <w:r w:rsidRPr="00F04BAD">
        <w:rPr>
          <w:rFonts w:ascii="Book Antiqua" w:eastAsia="Book Antiqua" w:hAnsi="Book Antiqua" w:cs="Book Antiqua"/>
          <w:color w:val="000000" w:themeColor="text1"/>
          <w:vertAlign w:val="superscript"/>
        </w:rPr>
        <w:t>[97]</w:t>
      </w:r>
      <w:r w:rsidRPr="00F04BAD">
        <w:rPr>
          <w:rFonts w:ascii="Book Antiqua" w:eastAsia="Book Antiqua" w:hAnsi="Book Antiqua" w:cs="Book Antiqua"/>
          <w:color w:val="000000" w:themeColor="text1"/>
        </w:rPr>
        <w:t xml:space="preserve">. </w:t>
      </w:r>
      <w:r w:rsidR="005C247B" w:rsidRPr="00FD5C87">
        <w:rPr>
          <w:rFonts w:ascii="Book Antiqua" w:eastAsia="Book Antiqua" w:hAnsi="Book Antiqua" w:cs="Book Antiqua"/>
          <w:color w:val="000000" w:themeColor="text1"/>
        </w:rPr>
        <w:t>Twenty-six percent</w:t>
      </w:r>
      <w:r w:rsidRPr="00F04BAD">
        <w:rPr>
          <w:rFonts w:ascii="Book Antiqua" w:eastAsia="Book Antiqua" w:hAnsi="Book Antiqua" w:cs="Book Antiqua"/>
          <w:color w:val="000000" w:themeColor="text1"/>
        </w:rPr>
        <w:t xml:space="preserve"> of patients achieved a partial response with an OS of 12.3 mo. Inversely to melanoma, extensive studies were not conducted in HCC with anti-CTLA-4 antibodies as monotherapies. Ipilimumab is now approved, in combination with the anti-PD-1 nivolumab for previously treated advanced HCC, as detailed below.</w:t>
      </w:r>
    </w:p>
    <w:p w14:paraId="5857C0DF" w14:textId="6269A4AA"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The significant results obtained with anti-CTLA-4 therapies are also accompanied with severe adverse events. Dogmas that patients with immune-related adverse events have higher response rates have not been confirmed. Adverse events are mainly immune-related such as rash, thyroiditis and frequent complications of the gastrointestinal tract, including aphthous ulcers, esophagitis, gastritis, diarrhea and colitis in around 20% of patients</w:t>
      </w:r>
      <w:r w:rsidRPr="00F04BAD">
        <w:rPr>
          <w:rFonts w:ascii="Book Antiqua" w:eastAsia="Book Antiqua" w:hAnsi="Book Antiqua" w:cs="Book Antiqua"/>
          <w:color w:val="000000" w:themeColor="text1"/>
          <w:vertAlign w:val="superscript"/>
        </w:rPr>
        <w:t>[98]</w:t>
      </w:r>
      <w:r w:rsidRPr="00F04BAD">
        <w:rPr>
          <w:rFonts w:ascii="Book Antiqua" w:eastAsia="Book Antiqua" w:hAnsi="Book Antiqua" w:cs="Book Antiqua"/>
          <w:color w:val="000000" w:themeColor="text1"/>
        </w:rPr>
        <w:t>. These adverse effects could be linked to high expression of CTLA-4 on mucosal Tregs</w:t>
      </w:r>
      <w:r w:rsidRPr="00F04BAD">
        <w:rPr>
          <w:rFonts w:ascii="Book Antiqua" w:eastAsia="Book Antiqua" w:hAnsi="Book Antiqua" w:cs="Book Antiqua"/>
          <w:color w:val="000000" w:themeColor="text1"/>
          <w:vertAlign w:val="superscript"/>
        </w:rPr>
        <w:t>[99]</w:t>
      </w:r>
      <w:r w:rsidRPr="00F04BAD">
        <w:rPr>
          <w:rFonts w:ascii="Book Antiqua" w:eastAsia="Book Antiqua" w:hAnsi="Book Antiqua" w:cs="Book Antiqua"/>
          <w:color w:val="000000" w:themeColor="text1"/>
        </w:rPr>
        <w:t>. Liver toxicity with ICI-related hepatitis is also a severe adverse effect of anti-CTLA-4 treatment that could be life-threatening in case of delayed management</w:t>
      </w:r>
      <w:r w:rsidRPr="00F04BAD">
        <w:rPr>
          <w:rFonts w:ascii="Book Antiqua" w:eastAsia="Book Antiqua" w:hAnsi="Book Antiqua" w:cs="Book Antiqua"/>
          <w:color w:val="000000" w:themeColor="text1"/>
          <w:vertAlign w:val="superscript"/>
        </w:rPr>
        <w:t>[100]</w:t>
      </w:r>
      <w:r w:rsidRPr="00F04BAD">
        <w:rPr>
          <w:rFonts w:ascii="Book Antiqua" w:eastAsia="Book Antiqua" w:hAnsi="Book Antiqua" w:cs="Book Antiqua"/>
          <w:color w:val="000000" w:themeColor="text1"/>
        </w:rPr>
        <w:t>. Oral glucocorticoids or additional immunosuppressants are usually administered to those patients. After adverse effects, an important question is to restart treatment or not. The decision depends on the severity of the complications and the cancer status</w:t>
      </w:r>
      <w:r w:rsidRPr="00F04BAD">
        <w:rPr>
          <w:rFonts w:ascii="Book Antiqua" w:eastAsia="Book Antiqua" w:hAnsi="Book Antiqua" w:cs="Book Antiqua"/>
          <w:color w:val="000000" w:themeColor="text1"/>
          <w:vertAlign w:val="superscript"/>
        </w:rPr>
        <w:t>[101]</w:t>
      </w:r>
      <w:r w:rsidRPr="00F04BAD">
        <w:rPr>
          <w:rFonts w:ascii="Book Antiqua" w:eastAsia="Book Antiqua" w:hAnsi="Book Antiqua" w:cs="Book Antiqua"/>
          <w:color w:val="000000" w:themeColor="text1"/>
        </w:rPr>
        <w:t xml:space="preserve">. Importantly, retreated patients could develop the same adverse event </w:t>
      </w:r>
      <w:r w:rsidRPr="00F04BAD">
        <w:rPr>
          <w:rFonts w:ascii="Book Antiqua" w:eastAsia="Book Antiqua" w:hAnsi="Book Antiqua" w:cs="Book Antiqua"/>
          <w:color w:val="000000" w:themeColor="text1"/>
        </w:rPr>
        <w:lastRenderedPageBreak/>
        <w:t xml:space="preserve">and others new complications. However, an alternative ICI could be administered to patients with adverse effects, </w:t>
      </w:r>
      <w:r w:rsidRPr="00F04BAD">
        <w:rPr>
          <w:rFonts w:ascii="Book Antiqua" w:eastAsia="Book Antiqua" w:hAnsi="Book Antiqua" w:cs="Book Antiqua"/>
          <w:i/>
          <w:color w:val="000000" w:themeColor="text1"/>
        </w:rPr>
        <w:t>i.e.</w:t>
      </w:r>
      <w:r w:rsidRPr="00F04BAD">
        <w:rPr>
          <w:rFonts w:ascii="Book Antiqua" w:eastAsia="Book Antiqua" w:hAnsi="Book Antiqua" w:cs="Book Antiqua"/>
          <w:color w:val="000000" w:themeColor="text1"/>
        </w:rPr>
        <w:t xml:space="preserve"> anti-PD-1 is safety after deleterious ipilimumab treatment in melanoma patients</w:t>
      </w:r>
      <w:r w:rsidRPr="00F04BAD">
        <w:rPr>
          <w:rFonts w:ascii="Book Antiqua" w:eastAsia="Book Antiqua" w:hAnsi="Book Antiqua" w:cs="Book Antiqua"/>
          <w:color w:val="000000" w:themeColor="text1"/>
          <w:vertAlign w:val="superscript"/>
        </w:rPr>
        <w:t>[102]</w:t>
      </w:r>
      <w:r w:rsidRPr="00F04BAD">
        <w:rPr>
          <w:rFonts w:ascii="Book Antiqua" w:eastAsia="Book Antiqua" w:hAnsi="Book Antiqua" w:cs="Book Antiqua"/>
          <w:color w:val="000000" w:themeColor="text1"/>
        </w:rPr>
        <w:t>.</w:t>
      </w:r>
    </w:p>
    <w:p w14:paraId="398F0AD9" w14:textId="77777777" w:rsidR="00A77B3E" w:rsidRPr="00F04BAD" w:rsidRDefault="000D0918" w:rsidP="000D0918">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 xml:space="preserve">To limit those toxicities, targeting </w:t>
      </w:r>
      <w:r w:rsidR="00697DB4" w:rsidRPr="00F04BAD">
        <w:rPr>
          <w:rFonts w:ascii="Book Antiqua" w:eastAsia="Book Antiqua" w:hAnsi="Book Antiqua" w:cs="Book Antiqua"/>
          <w:color w:val="000000" w:themeColor="text1"/>
        </w:rPr>
        <w:t>TIL</w:t>
      </w:r>
      <w:r w:rsidRPr="00F04BAD">
        <w:rPr>
          <w:rFonts w:ascii="Book Antiqua" w:eastAsia="Book Antiqua" w:hAnsi="Book Antiqua" w:cs="Book Antiqua"/>
          <w:color w:val="000000" w:themeColor="text1"/>
        </w:rPr>
        <w:t>s rather than peripheral populations will be preferred with antibodies against the PD-1/PD-L1 axis, which exhibit less severe adverse events</w:t>
      </w:r>
      <w:r w:rsidRPr="00F04BAD">
        <w:rPr>
          <w:rFonts w:ascii="Book Antiqua" w:eastAsia="Book Antiqua" w:hAnsi="Book Antiqua" w:cs="Book Antiqua"/>
          <w:color w:val="000000" w:themeColor="text1"/>
          <w:vertAlign w:val="superscript"/>
        </w:rPr>
        <w:t>[103]</w:t>
      </w:r>
      <w:r w:rsidRPr="00F04BAD">
        <w:rPr>
          <w:rFonts w:ascii="Book Antiqua" w:eastAsia="Book Antiqua" w:hAnsi="Book Antiqua" w:cs="Book Antiqua"/>
          <w:color w:val="000000" w:themeColor="text1"/>
        </w:rPr>
        <w:t>. In addition to fewer immune related adverse events, PD-1/PD-L1 inhibitors also produced greater anticancer activity. Since PD-1 is more broadly expressed than CTLA-4, on tumor cells in particular, and its expression is also induced by chronic antigen exposure, anti-PD-1 antibodies may exert additional anti-tumor effects and exhibits superior clinical activity and safety when compared to anti-CTLA4</w:t>
      </w:r>
      <w:r w:rsidRPr="00F04BAD">
        <w:rPr>
          <w:rFonts w:ascii="Book Antiqua" w:eastAsia="Book Antiqua" w:hAnsi="Book Antiqua" w:cs="Book Antiqua"/>
          <w:color w:val="000000" w:themeColor="text1"/>
          <w:vertAlign w:val="superscript"/>
        </w:rPr>
        <w:t>[104]</w:t>
      </w:r>
      <w:r w:rsidRPr="00F04BAD">
        <w:rPr>
          <w:rFonts w:ascii="Book Antiqua" w:eastAsia="Book Antiqua" w:hAnsi="Book Antiqua" w:cs="Book Antiqua"/>
          <w:color w:val="000000" w:themeColor="text1"/>
        </w:rPr>
        <w:t>. The rationale of combining anti-CTLA-4 with anti-PD-1 therapies is also supported by the differential immune patterns observed in individual monotherapies</w:t>
      </w:r>
      <w:r w:rsidRPr="00F04BAD">
        <w:rPr>
          <w:rFonts w:ascii="Book Antiqua" w:eastAsia="Book Antiqua" w:hAnsi="Book Antiqua" w:cs="Book Antiqua"/>
          <w:color w:val="000000" w:themeColor="text1"/>
          <w:vertAlign w:val="superscript"/>
        </w:rPr>
        <w:t>[105]</w:t>
      </w:r>
      <w:r w:rsidRPr="00F04BAD">
        <w:rPr>
          <w:rFonts w:ascii="Book Antiqua" w:hAnsi="Book Antiqua" w:cs="Book Antiqua"/>
          <w:color w:val="000000" w:themeColor="text1"/>
          <w:lang w:eastAsia="zh-CN"/>
        </w:rPr>
        <w:t>.</w:t>
      </w:r>
    </w:p>
    <w:p w14:paraId="3F9FE685" w14:textId="7C45498B" w:rsidR="00A77B3E" w:rsidRPr="00F04BAD" w:rsidRDefault="000D0918" w:rsidP="000D091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shd w:val="clear" w:color="auto" w:fill="FFFFFF"/>
        </w:rPr>
        <w:t>Another important decision is the selection of anti-PD-1 or anti-PD-L1 therapies. Indeed, PD-L1 inhibition preserves the interaction between PD-1 and its other ligand PD-L2, while it blocks its interactions with CD80, an alternative interaction that has been recently reported to promote T-cell responses</w:t>
      </w:r>
      <w:r w:rsidRPr="00F04BAD">
        <w:rPr>
          <w:rFonts w:ascii="Book Antiqua" w:eastAsia="Book Antiqua" w:hAnsi="Book Antiqua" w:cs="Book Antiqua"/>
          <w:color w:val="000000" w:themeColor="text1"/>
          <w:shd w:val="clear" w:color="auto" w:fill="FFFFFF"/>
          <w:vertAlign w:val="superscript"/>
        </w:rPr>
        <w:t>[106]</w:t>
      </w:r>
      <w:r w:rsidRPr="00F04BAD">
        <w:rPr>
          <w:rFonts w:ascii="Book Antiqua" w:eastAsia="Book Antiqua" w:hAnsi="Book Antiqua" w:cs="Book Antiqua"/>
          <w:color w:val="000000" w:themeColor="text1"/>
          <w:shd w:val="clear" w:color="auto" w:fill="FFFFFF"/>
        </w:rPr>
        <w:t>. Conversely, PD-1 inhibition blocks the interaction of PD-1 with its two ligands but preserves anti-tumor PD-L1/CD80 complexes.</w:t>
      </w:r>
      <w:r w:rsidRPr="00F04BAD">
        <w:rPr>
          <w:rFonts w:ascii="Book Antiqua" w:hAnsi="Book Antiqua" w:cs="Book Antiqua"/>
          <w:color w:val="000000" w:themeColor="text1"/>
          <w:shd w:val="clear" w:color="auto" w:fill="FFFFFF"/>
          <w:lang w:eastAsia="zh-CN"/>
        </w:rPr>
        <w:t xml:space="preserve"> </w:t>
      </w:r>
      <w:r w:rsidRPr="00F04BAD">
        <w:rPr>
          <w:rFonts w:ascii="Book Antiqua" w:eastAsia="Book Antiqua" w:hAnsi="Book Antiqua" w:cs="Book Antiqua"/>
          <w:color w:val="000000" w:themeColor="text1"/>
          <w:shd w:val="clear" w:color="auto" w:fill="FFFFFF"/>
        </w:rPr>
        <w:t>Therefore, these antibodies may drive differential anti-tumor immune response. For instance, in non-small-cell lung carcinoma, anti-PD-1 therapies exert better anti-tumor response, while anti-PD-L1 antibodies demonstrate less severe adverse effects</w:t>
      </w:r>
      <w:r w:rsidRPr="00F04BAD">
        <w:rPr>
          <w:rFonts w:ascii="Book Antiqua" w:eastAsia="Book Antiqua" w:hAnsi="Book Antiqua" w:cs="Book Antiqua"/>
          <w:color w:val="000000" w:themeColor="text1"/>
          <w:shd w:val="clear" w:color="auto" w:fill="FFFFFF"/>
          <w:vertAlign w:val="superscript"/>
        </w:rPr>
        <w:t>[107]</w:t>
      </w:r>
      <w:r w:rsidRPr="00F04BAD">
        <w:rPr>
          <w:rFonts w:ascii="Book Antiqua" w:eastAsia="Book Antiqua" w:hAnsi="Book Antiqua" w:cs="Book Antiqua"/>
          <w:color w:val="000000" w:themeColor="text1"/>
          <w:shd w:val="clear" w:color="auto" w:fill="FFFFFF"/>
        </w:rPr>
        <w:t>.</w:t>
      </w:r>
      <w:r w:rsidRPr="00F04BAD">
        <w:rPr>
          <w:rFonts w:ascii="Book Antiqua" w:hAnsi="Book Antiqua" w:cs="Book Antiqua"/>
          <w:color w:val="000000" w:themeColor="text1"/>
          <w:shd w:val="clear" w:color="auto" w:fill="FFFFFF"/>
          <w:lang w:eastAsia="zh-CN"/>
        </w:rPr>
        <w:t xml:space="preserve"> </w:t>
      </w:r>
      <w:r w:rsidRPr="00F04BAD">
        <w:rPr>
          <w:rFonts w:ascii="Book Antiqua" w:eastAsia="Book Antiqua" w:hAnsi="Book Antiqua" w:cs="Book Antiqua"/>
          <w:color w:val="000000" w:themeColor="text1"/>
          <w:shd w:val="clear" w:color="auto" w:fill="FFFFFF"/>
        </w:rPr>
        <w:t>In HCC, three drugs are currently authorized</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in the U</w:t>
      </w:r>
      <w:r w:rsidRPr="00F04BAD">
        <w:rPr>
          <w:rFonts w:ascii="Book Antiqua" w:hAnsi="Book Antiqua" w:cs="Book Antiqua"/>
          <w:color w:val="000000" w:themeColor="text1"/>
          <w:lang w:eastAsia="zh-CN"/>
        </w:rPr>
        <w:t>nited States</w:t>
      </w:r>
      <w:r w:rsidRPr="00F04BAD">
        <w:rPr>
          <w:rFonts w:ascii="Book Antiqua" w:eastAsia="Book Antiqua" w:hAnsi="Book Antiqua" w:cs="Book Antiqua"/>
          <w:color w:val="000000" w:themeColor="text1"/>
          <w:shd w:val="clear" w:color="auto" w:fill="FFFFFF"/>
        </w:rPr>
        <w:t xml:space="preserve">: the two anti-PD1 </w:t>
      </w:r>
      <w:r w:rsidR="00183528" w:rsidRPr="00F04BAD">
        <w:rPr>
          <w:rFonts w:ascii="Book Antiqua" w:eastAsia="Book Antiqua" w:hAnsi="Book Antiqua" w:cs="Book Antiqua"/>
          <w:color w:val="000000" w:themeColor="text1"/>
          <w:shd w:val="clear" w:color="auto" w:fill="FFFFFF"/>
        </w:rPr>
        <w:t>n</w:t>
      </w:r>
      <w:r w:rsidRPr="00F04BAD">
        <w:rPr>
          <w:rFonts w:ascii="Book Antiqua" w:eastAsia="Book Antiqua" w:hAnsi="Book Antiqua" w:cs="Book Antiqua"/>
          <w:color w:val="000000" w:themeColor="text1"/>
          <w:shd w:val="clear" w:color="auto" w:fill="FFFFFF"/>
        </w:rPr>
        <w:t>ivolumab and</w:t>
      </w:r>
      <w:r w:rsidRPr="00F04BAD">
        <w:rPr>
          <w:rFonts w:ascii="Book Antiqua" w:hAnsi="Book Antiqua" w:cs="Book Antiqua"/>
          <w:color w:val="000000" w:themeColor="text1"/>
          <w:shd w:val="clear" w:color="auto" w:fill="FFFFFF"/>
          <w:lang w:eastAsia="zh-CN"/>
        </w:rPr>
        <w:t xml:space="preserve"> </w:t>
      </w:r>
      <w:r w:rsidR="00183528" w:rsidRPr="00F04BAD">
        <w:rPr>
          <w:rFonts w:ascii="Book Antiqua" w:eastAsia="Book Antiqua" w:hAnsi="Book Antiqua" w:cs="Book Antiqua"/>
          <w:color w:val="000000" w:themeColor="text1"/>
        </w:rPr>
        <w:t>p</w:t>
      </w:r>
      <w:r w:rsidRPr="00F04BAD">
        <w:rPr>
          <w:rFonts w:ascii="Book Antiqua" w:eastAsia="Book Antiqua" w:hAnsi="Book Antiqua" w:cs="Book Antiqua"/>
          <w:color w:val="000000" w:themeColor="text1"/>
        </w:rPr>
        <w:t xml:space="preserve">embrolizumab for advanced HCC and one anti-PD-L1, </w:t>
      </w:r>
      <w:r w:rsidR="00183528" w:rsidRPr="00F04BAD">
        <w:rPr>
          <w:rFonts w:ascii="Book Antiqua" w:eastAsia="Book Antiqua" w:hAnsi="Book Antiqua" w:cs="Book Antiqua"/>
          <w:color w:val="000000" w:themeColor="text1"/>
        </w:rPr>
        <w:t>a</w:t>
      </w:r>
      <w:r w:rsidRPr="00F04BAD">
        <w:rPr>
          <w:rFonts w:ascii="Book Antiqua" w:eastAsia="Book Antiqua" w:hAnsi="Book Antiqua" w:cs="Book Antiqua"/>
          <w:color w:val="000000" w:themeColor="text1"/>
        </w:rPr>
        <w:t>tezolizumab approved in combination with the anti-</w:t>
      </w:r>
      <w:r w:rsidRPr="00F04BAD">
        <w:rPr>
          <w:rFonts w:ascii="Book Antiqua" w:hAnsi="Book Antiqua" w:cs="Book Antiqua"/>
          <w:color w:val="000000" w:themeColor="text1"/>
          <w:lang w:eastAsia="zh-CN"/>
        </w:rPr>
        <w:t>v</w:t>
      </w:r>
      <w:r w:rsidRPr="00F04BAD">
        <w:rPr>
          <w:rFonts w:ascii="Book Antiqua" w:eastAsia="Book Antiqua" w:hAnsi="Book Antiqua" w:cs="Book Antiqua"/>
          <w:color w:val="000000" w:themeColor="text1"/>
        </w:rPr>
        <w:t xml:space="preserve">ascular endothelial growth factor </w:t>
      </w:r>
      <w:r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anti-VEGF</w:t>
      </w:r>
      <w:r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bevacizumab. Nivolumab and pembrolizumab approval has been accelerated by FDA after promising results obtained in preclinical studies on sorafenib refractory HCCs, respectively in Checkmate 040</w:t>
      </w:r>
      <w:r w:rsidRPr="00F04BAD">
        <w:rPr>
          <w:rFonts w:ascii="Book Antiqua" w:eastAsia="Book Antiqua" w:hAnsi="Book Antiqua" w:cs="Book Antiqua"/>
          <w:color w:val="000000" w:themeColor="text1"/>
          <w:vertAlign w:val="superscript"/>
        </w:rPr>
        <w:t>[108]</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KEYNOTE-224</w:t>
      </w:r>
      <w:r w:rsidRPr="00F04BAD">
        <w:rPr>
          <w:rFonts w:ascii="Book Antiqua" w:eastAsia="Book Antiqua" w:hAnsi="Book Antiqua" w:cs="Book Antiqua"/>
          <w:color w:val="000000" w:themeColor="text1"/>
          <w:vertAlign w:val="superscript"/>
        </w:rPr>
        <w:t>[109]</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(20% of overall response rate and 60% of disease control rate). However, in phase </w:t>
      </w:r>
      <w:r w:rsidR="005C247B" w:rsidRPr="00FD5C87">
        <w:rPr>
          <w:rFonts w:ascii="Book Antiqua" w:eastAsia="Book Antiqua" w:hAnsi="Book Antiqua" w:cs="Book Antiqua"/>
          <w:color w:val="000000" w:themeColor="text1"/>
        </w:rPr>
        <w:t>3</w:t>
      </w:r>
      <w:r w:rsidRPr="00F04BAD">
        <w:rPr>
          <w:rFonts w:ascii="Book Antiqua" w:eastAsia="Book Antiqua" w:hAnsi="Book Antiqua" w:cs="Book Antiqua"/>
          <w:color w:val="000000" w:themeColor="text1"/>
        </w:rPr>
        <w:t xml:space="preserve"> trials both agents did not achieve statistical significancy according to the registered statistical plan (CheckMate-459</w:t>
      </w:r>
      <w:r w:rsidRPr="00F04BAD">
        <w:rPr>
          <w:rFonts w:ascii="Book Antiqua" w:eastAsia="Book Antiqua" w:hAnsi="Book Antiqua" w:cs="Book Antiqua"/>
          <w:color w:val="000000" w:themeColor="text1"/>
          <w:vertAlign w:val="superscript"/>
        </w:rPr>
        <w:t>[110]</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KEYNOTE-240</w:t>
      </w:r>
      <w:r w:rsidRPr="00F04BAD">
        <w:rPr>
          <w:rFonts w:ascii="Book Antiqua" w:eastAsia="Book Antiqua" w:hAnsi="Book Antiqua" w:cs="Book Antiqua"/>
          <w:color w:val="000000" w:themeColor="text1"/>
          <w:vertAlign w:val="superscript"/>
        </w:rPr>
        <w:t>[111]</w:t>
      </w:r>
      <w:r w:rsidRPr="00F04BAD">
        <w:rPr>
          <w:rFonts w:ascii="Book Antiqua" w:eastAsia="Book Antiqua" w:hAnsi="Book Antiqua" w:cs="Book Antiqua"/>
          <w:color w:val="000000" w:themeColor="text1"/>
        </w:rPr>
        <w:t xml:space="preserve">). New phase </w:t>
      </w:r>
      <w:r w:rsidR="005C247B" w:rsidRPr="00FD5C87">
        <w:rPr>
          <w:rFonts w:ascii="Book Antiqua" w:eastAsia="Book Antiqua" w:hAnsi="Book Antiqua" w:cs="Book Antiqua"/>
          <w:color w:val="000000" w:themeColor="text1"/>
        </w:rPr>
        <w:t>3</w:t>
      </w:r>
      <w:r w:rsidRPr="00F04BAD">
        <w:rPr>
          <w:rFonts w:ascii="Book Antiqua" w:eastAsia="Book Antiqua" w:hAnsi="Book Antiqua" w:cs="Book Antiqua"/>
          <w:color w:val="000000" w:themeColor="text1"/>
        </w:rPr>
        <w:t xml:space="preserve"> trials are conducted for these two drugs as an adjuvant in CheckMate-9DX for nivolumab (NCT03383458), and for </w:t>
      </w:r>
      <w:r w:rsidRPr="00F04BAD">
        <w:rPr>
          <w:rFonts w:ascii="Book Antiqua" w:eastAsia="Book Antiqua" w:hAnsi="Book Antiqua" w:cs="Book Antiqua"/>
          <w:color w:val="000000" w:themeColor="text1"/>
        </w:rPr>
        <w:lastRenderedPageBreak/>
        <w:t xml:space="preserve">pembrolizumab KEYNOTE-937 (NCT03867084) or in second-line with pembrolizumab KEYNOTE-394 (NCT03062358). New anti-PD-1 antibodies are also currently under investigation. The anti-PD-1 tislelizumab, an antibody designed to limit FcγR-mediated phagocytosis, demonstrated a good antitumor activity in a phase </w:t>
      </w:r>
      <w:r w:rsidR="005C247B" w:rsidRPr="00FD5C87">
        <w:rPr>
          <w:rFonts w:ascii="Book Antiqua" w:eastAsia="Book Antiqua" w:hAnsi="Book Antiqua" w:cs="Book Antiqua"/>
          <w:color w:val="000000" w:themeColor="text1"/>
        </w:rPr>
        <w:t>1</w:t>
      </w:r>
      <w:r w:rsidRPr="00F04BAD">
        <w:rPr>
          <w:rFonts w:ascii="Book Antiqua" w:eastAsia="Book Antiqua" w:hAnsi="Book Antiqua" w:cs="Book Antiqua"/>
          <w:color w:val="000000" w:themeColor="text1"/>
        </w:rPr>
        <w:t xml:space="preserve"> trial </w:t>
      </w:r>
      <w:bookmarkStart w:id="4" w:name="_Hlk61967700"/>
      <w:r w:rsidRPr="00F04BAD">
        <w:rPr>
          <w:rFonts w:ascii="Book Antiqua" w:eastAsia="Book Antiqua" w:hAnsi="Book Antiqua" w:cs="Book Antiqua"/>
          <w:bCs/>
          <w:color w:val="000000" w:themeColor="text1"/>
        </w:rPr>
        <w:t>—</w:t>
      </w:r>
      <w:bookmarkEnd w:id="4"/>
      <w:r w:rsidRPr="00F04BAD">
        <w:rPr>
          <w:rFonts w:ascii="Book Antiqua" w:eastAsia="Book Antiqua" w:hAnsi="Book Antiqua" w:cs="Book Antiqua"/>
          <w:color w:val="000000" w:themeColor="text1"/>
        </w:rPr>
        <w:t xml:space="preserve"> a phase </w:t>
      </w:r>
      <w:r w:rsidR="005C247B" w:rsidRPr="00FD5C87">
        <w:rPr>
          <w:rFonts w:ascii="Book Antiqua" w:eastAsia="Book Antiqua" w:hAnsi="Book Antiqua" w:cs="Book Antiqua"/>
          <w:color w:val="000000" w:themeColor="text1"/>
        </w:rPr>
        <w:t xml:space="preserve">3 </w:t>
      </w:r>
      <w:r w:rsidRPr="00F04BAD">
        <w:rPr>
          <w:rFonts w:ascii="Book Antiqua" w:eastAsia="Book Antiqua" w:hAnsi="Book Antiqua" w:cs="Book Antiqua"/>
          <w:color w:val="000000" w:themeColor="text1"/>
        </w:rPr>
        <w:t>trial is ongoing in various solid cancers including non-small cell lung cancer, esophageal squamous cell carcinoma and HCC (RATIONALE 301)</w:t>
      </w:r>
      <w:r w:rsidRPr="00F04BAD">
        <w:rPr>
          <w:rFonts w:ascii="Book Antiqua" w:eastAsia="Book Antiqua" w:hAnsi="Book Antiqua" w:cs="Book Antiqua"/>
          <w:color w:val="000000" w:themeColor="text1"/>
          <w:vertAlign w:val="superscript"/>
        </w:rPr>
        <w:t>[112]</w:t>
      </w:r>
      <w:r w:rsidRPr="00F04BAD">
        <w:rPr>
          <w:rFonts w:ascii="Book Antiqua" w:eastAsia="Book Antiqua" w:hAnsi="Book Antiqua" w:cs="Book Antiqua"/>
          <w:color w:val="000000" w:themeColor="text1"/>
        </w:rPr>
        <w:t>. Camrelizumab is also an alternative, which has been tested in China on 220 patients from multiple centers. At a median follow-up at 12.5 mo, the objective response rate</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shd w:val="clear" w:color="auto" w:fill="FFFFFF"/>
        </w:rPr>
        <w:t>(ORR)</w:t>
      </w:r>
      <w:r w:rsidRPr="00F04BAD">
        <w:rPr>
          <w:rFonts w:ascii="Book Antiqua" w:hAnsi="Book Antiqua" w:cs="Book Antiqua"/>
          <w:color w:val="000000" w:themeColor="text1"/>
          <w:shd w:val="clear" w:color="auto" w:fill="FFFFFF"/>
          <w:lang w:eastAsia="zh-CN"/>
        </w:rPr>
        <w:t xml:space="preserve"> </w:t>
      </w:r>
      <w:r w:rsidRPr="00F04BAD">
        <w:rPr>
          <w:rFonts w:ascii="Book Antiqua" w:eastAsia="Book Antiqua" w:hAnsi="Book Antiqua" w:cs="Book Antiqua"/>
          <w:color w:val="000000" w:themeColor="text1"/>
        </w:rPr>
        <w:t>was 14.7% and 6-mo</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OS rate was 74.4%. No complete response was observed, 17.6% of patients present partial response and 23.1% a stable disease. The median progression free survival </w:t>
      </w:r>
      <w:r w:rsidR="009D41BD" w:rsidRPr="00F04BAD">
        <w:rPr>
          <w:rFonts w:ascii="Book Antiqua" w:eastAsia="Book Antiqua" w:hAnsi="Book Antiqua" w:cs="Book Antiqua"/>
          <w:color w:val="000000" w:themeColor="text1"/>
        </w:rPr>
        <w:t>(PFS)</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was only of 2.6 mo, shorter than other ICIs. Grade 3 and 4 adverse events occurred in 22% of patients</w:t>
      </w:r>
      <w:r w:rsidRPr="00F04BAD">
        <w:rPr>
          <w:rFonts w:ascii="Book Antiqua" w:eastAsia="Book Antiqua" w:hAnsi="Book Antiqua" w:cs="Book Antiqua"/>
          <w:color w:val="000000" w:themeColor="text1"/>
          <w:vertAlign w:val="superscript"/>
        </w:rPr>
        <w:t>[113]</w:t>
      </w:r>
      <w:r w:rsidRPr="00F04BAD">
        <w:rPr>
          <w:rFonts w:ascii="Book Antiqua" w:eastAsia="Book Antiqua" w:hAnsi="Book Antiqua" w:cs="Book Antiqua"/>
          <w:color w:val="000000" w:themeColor="text1"/>
        </w:rPr>
        <w:t>.</w:t>
      </w:r>
    </w:p>
    <w:p w14:paraId="745B654A" w14:textId="299FEE73" w:rsidR="00A77B3E" w:rsidRPr="00F04BAD" w:rsidRDefault="000D0918" w:rsidP="000D0918">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shd w:val="clear" w:color="auto" w:fill="FFFFFF"/>
        </w:rPr>
        <w:t xml:space="preserve">Strategies combining anti-PD-1/PD-L1 with anti-CTLA-4 antibodies have been evaluated in various cancers and in </w:t>
      </w:r>
      <w:r w:rsidR="005C247B" w:rsidRPr="00FD5C87">
        <w:rPr>
          <w:rFonts w:ascii="Book Antiqua" w:eastAsia="Book Antiqua" w:hAnsi="Book Antiqua" w:cs="Book Antiqua"/>
          <w:color w:val="000000" w:themeColor="text1"/>
          <w:shd w:val="clear" w:color="auto" w:fill="FFFFFF"/>
        </w:rPr>
        <w:t>M</w:t>
      </w:r>
      <w:r w:rsidRPr="00F04BAD">
        <w:rPr>
          <w:rFonts w:ascii="Book Antiqua" w:eastAsia="Book Antiqua" w:hAnsi="Book Antiqua" w:cs="Book Antiqua"/>
          <w:color w:val="000000" w:themeColor="text1"/>
          <w:shd w:val="clear" w:color="auto" w:fill="FFFFFF"/>
        </w:rPr>
        <w:t>arch 2020 FDA have granted approval for nivolumab/ipilimumab (1 and 3 mg/kg) in advanced HCC patients who have priorly received sorafenib. In Checkmate-040, at a median follow-up of 30.7 mo, the combination arm demonstrated 29% ORR. The median duration of response was 21.7 mo. No adverse effects were observed for 79% of patients. An ORR of 31% with 7 complete response</w:t>
      </w:r>
      <w:r w:rsidR="005C247B" w:rsidRPr="00FD5C87">
        <w:rPr>
          <w:rFonts w:ascii="Book Antiqua" w:eastAsia="Book Antiqua" w:hAnsi="Book Antiqua" w:cs="Book Antiqua"/>
          <w:color w:val="000000" w:themeColor="text1"/>
          <w:shd w:val="clear" w:color="auto" w:fill="FFFFFF"/>
        </w:rPr>
        <w:t>s</w:t>
      </w:r>
      <w:r w:rsidRPr="00F04BAD">
        <w:rPr>
          <w:rFonts w:ascii="Book Antiqua" w:eastAsia="Book Antiqua" w:hAnsi="Book Antiqua" w:cs="Book Antiqua"/>
          <w:color w:val="000000" w:themeColor="text1"/>
          <w:shd w:val="clear" w:color="auto" w:fill="FFFFFF"/>
        </w:rPr>
        <w:t xml:space="preserve"> was provided by Blinded independent central review per RECIST</w:t>
      </w:r>
      <w:r w:rsidRPr="00F04BAD">
        <w:rPr>
          <w:rFonts w:ascii="Book Antiqua" w:eastAsia="Book Antiqua" w:hAnsi="Book Antiqua" w:cs="Book Antiqua"/>
          <w:color w:val="000000" w:themeColor="text1"/>
          <w:shd w:val="clear" w:color="auto" w:fill="FFFFFF"/>
          <w:vertAlign w:val="superscript"/>
        </w:rPr>
        <w:t>[114]</w:t>
      </w:r>
      <w:r w:rsidRPr="00F04BAD">
        <w:rPr>
          <w:rFonts w:ascii="Book Antiqua" w:eastAsia="Book Antiqua" w:hAnsi="Book Antiqua" w:cs="Book Antiqua"/>
          <w:color w:val="000000" w:themeColor="text1"/>
          <w:shd w:val="clear" w:color="auto" w:fill="FFFFFF"/>
        </w:rPr>
        <w:t>.</w:t>
      </w:r>
      <w:r w:rsidRPr="00F04BAD">
        <w:rPr>
          <w:rFonts w:ascii="Book Antiqua" w:hAnsi="Book Antiqua" w:cs="Book Antiqua"/>
          <w:color w:val="000000" w:themeColor="text1"/>
          <w:shd w:val="clear" w:color="auto" w:fill="FFFFFF"/>
          <w:lang w:eastAsia="zh-CN"/>
        </w:rPr>
        <w:t xml:space="preserve"> </w:t>
      </w:r>
      <w:r w:rsidRPr="00F04BAD">
        <w:rPr>
          <w:rFonts w:ascii="Book Antiqua" w:eastAsia="Book Antiqua" w:hAnsi="Book Antiqua" w:cs="Book Antiqua"/>
          <w:color w:val="000000" w:themeColor="text1"/>
          <w:shd w:val="clear" w:color="auto" w:fill="FFFFFF"/>
        </w:rPr>
        <w:t>Nonetheless, it has been shown that a combination of ipilimumab and nivolumab leads to higher incidence of ICI-related hepatitis in different cancers including melanoma with 6</w:t>
      </w:r>
      <w:r w:rsidRPr="00F04BAD">
        <w:rPr>
          <w:rFonts w:ascii="Book Antiqua" w:hAnsi="Book Antiqua" w:cs="Book Antiqua"/>
          <w:color w:val="000000" w:themeColor="text1"/>
          <w:shd w:val="clear" w:color="auto" w:fill="FFFFFF"/>
          <w:lang w:eastAsia="zh-CN"/>
        </w:rPr>
        <w:t>%</w:t>
      </w:r>
      <w:r w:rsidRPr="00F04BAD">
        <w:rPr>
          <w:rFonts w:ascii="Book Antiqua" w:eastAsia="Book Antiqua" w:hAnsi="Book Antiqua" w:cs="Book Antiqua"/>
          <w:color w:val="000000" w:themeColor="text1"/>
          <w:shd w:val="clear" w:color="auto" w:fill="FFFFFF"/>
        </w:rPr>
        <w:t xml:space="preserve"> to 9% as compared to 1% in single therapies</w:t>
      </w:r>
      <w:r w:rsidRPr="00F04BAD">
        <w:rPr>
          <w:rFonts w:ascii="Book Antiqua" w:eastAsia="Book Antiqua" w:hAnsi="Book Antiqua" w:cs="Book Antiqua"/>
          <w:color w:val="000000" w:themeColor="text1"/>
          <w:shd w:val="clear" w:color="auto" w:fill="FFFFFF"/>
          <w:vertAlign w:val="superscript"/>
        </w:rPr>
        <w:t>[115]</w:t>
      </w:r>
      <w:r w:rsidRPr="00F04BAD">
        <w:rPr>
          <w:rFonts w:ascii="Book Antiqua" w:eastAsia="Book Antiqua" w:hAnsi="Book Antiqua" w:cs="Book Antiqua"/>
          <w:color w:val="000000" w:themeColor="text1"/>
          <w:shd w:val="clear" w:color="auto" w:fill="FFFFFF"/>
        </w:rPr>
        <w:t>. Rapid diagnosis and management are thus crucial for better outcomes.</w:t>
      </w:r>
      <w:r w:rsidRPr="00F04BAD">
        <w:rPr>
          <w:rFonts w:ascii="Book Antiqua" w:hAnsi="Book Antiqua" w:cs="Book Antiqua"/>
          <w:color w:val="000000" w:themeColor="text1"/>
          <w:shd w:val="clear" w:color="auto" w:fill="FFFFFF"/>
          <w:lang w:eastAsia="zh-CN"/>
        </w:rPr>
        <w:t xml:space="preserve"> </w:t>
      </w:r>
      <w:r w:rsidRPr="00F04BAD">
        <w:rPr>
          <w:rFonts w:ascii="Book Antiqua" w:eastAsia="Book Antiqua" w:hAnsi="Book Antiqua" w:cs="Book Antiqua"/>
          <w:color w:val="000000" w:themeColor="text1"/>
        </w:rPr>
        <w:t xml:space="preserve">Another PD-1/CTLA-4 blocking strategy combining durvalumab with tremelimumab is currently under investigation in a randomized, multi-center phase </w:t>
      </w:r>
      <w:r w:rsidR="003177F2" w:rsidRPr="00FD5C87">
        <w:rPr>
          <w:rFonts w:ascii="Book Antiqua" w:eastAsia="Book Antiqua" w:hAnsi="Book Antiqua" w:cs="Book Antiqua"/>
          <w:color w:val="000000" w:themeColor="text1"/>
        </w:rPr>
        <w:t>3</w:t>
      </w:r>
      <w:r w:rsidRPr="00F04BAD">
        <w:rPr>
          <w:rFonts w:ascii="Book Antiqua" w:eastAsia="Book Antiqua" w:hAnsi="Book Antiqua" w:cs="Book Antiqua"/>
          <w:color w:val="000000" w:themeColor="text1"/>
        </w:rPr>
        <w:t xml:space="preserve"> study called HIMALAYA (NCT03298451) to compare combination against durvalumab or sorafenib alone as a first-line therapy for advanced HCC.</w:t>
      </w:r>
    </w:p>
    <w:p w14:paraId="7149B414" w14:textId="776CED8C" w:rsidR="00A77B3E" w:rsidRPr="00F04BAD" w:rsidRDefault="000D0918" w:rsidP="000D091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 xml:space="preserve">Another combination of ICI successfully tested in HCC is atezolizumab plus bevacizumab (anti-VEGF) in first-line in patients with unresectable HCC. A phase III trial (IMbrave150) showed improved progression-free survival of 6.8 </w:t>
      </w:r>
      <w:r w:rsidRPr="00F04BAD">
        <w:rPr>
          <w:rFonts w:ascii="Book Antiqua" w:hAnsi="Book Antiqua" w:cs="Book Antiqua"/>
          <w:color w:val="000000" w:themeColor="text1"/>
          <w:lang w:eastAsia="zh-CN"/>
        </w:rPr>
        <w:t xml:space="preserve">mo </w:t>
      </w:r>
      <w:r w:rsidRPr="00F04BAD">
        <w:rPr>
          <w:rFonts w:ascii="Book Antiqua" w:eastAsia="Book Antiqua" w:hAnsi="Book Antiqua" w:cs="Book Antiqua"/>
          <w:i/>
          <w:iCs/>
          <w:color w:val="000000" w:themeColor="text1"/>
        </w:rPr>
        <w:t>vs</w:t>
      </w:r>
      <w:r w:rsidRPr="00F04BAD">
        <w:rPr>
          <w:rFonts w:ascii="Book Antiqua" w:eastAsia="Book Antiqua" w:hAnsi="Book Antiqua" w:cs="Book Antiqua"/>
          <w:color w:val="000000" w:themeColor="text1"/>
        </w:rPr>
        <w:t xml:space="preserve"> 4.3 mo for </w:t>
      </w:r>
      <w:r w:rsidRPr="00F04BAD">
        <w:rPr>
          <w:rFonts w:ascii="Book Antiqua" w:eastAsia="Book Antiqua" w:hAnsi="Book Antiqua" w:cs="Book Antiqua"/>
          <w:color w:val="000000" w:themeColor="text1"/>
        </w:rPr>
        <w:lastRenderedPageBreak/>
        <w:t xml:space="preserve">sorafenib with an OS at 12 mo of 67.2% </w:t>
      </w:r>
      <w:r w:rsidRPr="00F04BAD">
        <w:rPr>
          <w:rFonts w:ascii="Book Antiqua" w:eastAsia="Book Antiqua" w:hAnsi="Book Antiqua" w:cs="Book Antiqua"/>
          <w:i/>
          <w:iCs/>
          <w:color w:val="000000" w:themeColor="text1"/>
        </w:rPr>
        <w:t>vs</w:t>
      </w:r>
      <w:r w:rsidRPr="00F04BAD">
        <w:rPr>
          <w:rFonts w:ascii="Book Antiqua" w:eastAsia="Book Antiqua" w:hAnsi="Book Antiqua" w:cs="Book Antiqua"/>
          <w:color w:val="000000" w:themeColor="text1"/>
        </w:rPr>
        <w:t xml:space="preserve"> 54.6%</w:t>
      </w:r>
      <w:r w:rsidRPr="00F04BAD">
        <w:rPr>
          <w:rFonts w:ascii="Book Antiqua" w:eastAsia="Book Antiqua" w:hAnsi="Book Antiqua" w:cs="Book Antiqua"/>
          <w:color w:val="000000" w:themeColor="text1"/>
          <w:vertAlign w:val="superscript"/>
        </w:rPr>
        <w:t>[116]</w:t>
      </w:r>
      <w:r w:rsidRPr="00F04BAD">
        <w:rPr>
          <w:rFonts w:ascii="Book Antiqua" w:eastAsia="Book Antiqua" w:hAnsi="Book Antiqua" w:cs="Book Antiqua"/>
          <w:color w:val="000000" w:themeColor="text1"/>
        </w:rPr>
        <w:t>. Hypertension, a typical adverse effect of bevacizumab, occurred in 15.2% of patients receiving the combination therapy.</w:t>
      </w:r>
    </w:p>
    <w:p w14:paraId="338E4832" w14:textId="1AA47D65" w:rsidR="00A77B3E" w:rsidRPr="00F04BAD" w:rsidRDefault="000D0918" w:rsidP="000D0918">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Another intensively tested strategy is to combine ICI</w:t>
      </w:r>
      <w:r w:rsidR="00AD46A0"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with locoregional treatment, which have demonstrated synergistic activities. Tumor destruction by locoregional treatments releases TAAs promoting immune cell priming, which could be even more enhanced by ICI</w:t>
      </w:r>
      <w:r w:rsidR="00AD46A0"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Phase </w:t>
      </w:r>
      <w:r w:rsidR="005C247B" w:rsidRPr="00FD5C87">
        <w:rPr>
          <w:rFonts w:ascii="Book Antiqua" w:eastAsia="Book Antiqua" w:hAnsi="Book Antiqua" w:cs="Book Antiqua"/>
          <w:color w:val="000000" w:themeColor="text1"/>
        </w:rPr>
        <w:t>1</w:t>
      </w:r>
      <w:r w:rsidRPr="00F04BAD">
        <w:rPr>
          <w:rFonts w:ascii="Book Antiqua" w:eastAsia="Book Antiqua" w:hAnsi="Book Antiqua" w:cs="Book Antiqua"/>
          <w:color w:val="000000" w:themeColor="text1"/>
        </w:rPr>
        <w:t xml:space="preserve">, </w:t>
      </w:r>
      <w:r w:rsidR="005C247B" w:rsidRPr="00FD5C87">
        <w:rPr>
          <w:rFonts w:ascii="Book Antiqua" w:eastAsia="Book Antiqua" w:hAnsi="Book Antiqua" w:cs="Book Antiqua"/>
          <w:color w:val="000000" w:themeColor="text1"/>
        </w:rPr>
        <w:t>2</w:t>
      </w:r>
      <w:r w:rsidRPr="00F04BAD">
        <w:rPr>
          <w:rFonts w:ascii="Book Antiqua" w:eastAsia="Book Antiqua" w:hAnsi="Book Antiqua" w:cs="Book Antiqua"/>
          <w:color w:val="000000" w:themeColor="text1"/>
        </w:rPr>
        <w:t xml:space="preserve"> and </w:t>
      </w:r>
      <w:r w:rsidR="005C247B" w:rsidRPr="00FD5C87">
        <w:rPr>
          <w:rFonts w:ascii="Book Antiqua" w:eastAsia="Book Antiqua" w:hAnsi="Book Antiqua" w:cs="Book Antiqua"/>
          <w:color w:val="000000" w:themeColor="text1"/>
        </w:rPr>
        <w:t>3</w:t>
      </w:r>
      <w:r w:rsidRPr="00F04BAD">
        <w:rPr>
          <w:rFonts w:ascii="Book Antiqua" w:eastAsia="Book Antiqua" w:hAnsi="Book Antiqua" w:cs="Book Antiqua"/>
          <w:color w:val="000000" w:themeColor="text1"/>
        </w:rPr>
        <w:t xml:space="preserve"> clinical trials are now conducted with anti-PD-1 or anti-PD-L1, alone or combined with anti-CTLA-4 or anti-angiogenic agents, together with transarterial chemoembolization, hepatic artery infusion chemotherapy or external beam radiation therapy</w:t>
      </w:r>
      <w:r w:rsidRPr="00F04BAD">
        <w:rPr>
          <w:rFonts w:ascii="Book Antiqua" w:eastAsia="Book Antiqua" w:hAnsi="Book Antiqua" w:cs="Book Antiqua"/>
          <w:color w:val="000000" w:themeColor="text1"/>
          <w:vertAlign w:val="superscript"/>
        </w:rPr>
        <w:t>[117]</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(Table 1). Until now, the combination of ICI</w:t>
      </w:r>
      <w:r w:rsidR="00AD46A0"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with tyrosine kinase inhibitors such as sorafenib was not concluding. Three phase </w:t>
      </w:r>
      <w:r w:rsidR="005C247B" w:rsidRPr="00FD5C87">
        <w:rPr>
          <w:rFonts w:ascii="Book Antiqua" w:eastAsia="Book Antiqua" w:hAnsi="Book Antiqua" w:cs="Book Antiqua"/>
          <w:color w:val="000000" w:themeColor="text1"/>
        </w:rPr>
        <w:t>3</w:t>
      </w:r>
      <w:r w:rsidRPr="00F04BAD">
        <w:rPr>
          <w:rFonts w:ascii="Book Antiqua" w:eastAsia="Book Antiqua" w:hAnsi="Book Antiqua" w:cs="Book Antiqua"/>
          <w:color w:val="000000" w:themeColor="text1"/>
        </w:rPr>
        <w:t xml:space="preserve"> clinical trials are now conducted to evaluate the benefit of such combinations (NCT04194775, NCT04344158, NCT03755791). However, these recent years, combination of epigenetic drugs with ICIs have emerged as potent therapeutic avenues in hematologic and solid tumors, a point that we will develop in the next paragraph.</w:t>
      </w:r>
    </w:p>
    <w:p w14:paraId="7474736A" w14:textId="77777777" w:rsidR="00A77B3E" w:rsidRPr="00F04BAD" w:rsidRDefault="00A77B3E">
      <w:pPr>
        <w:spacing w:line="360" w:lineRule="auto"/>
        <w:jc w:val="both"/>
        <w:rPr>
          <w:rFonts w:ascii="Book Antiqua" w:hAnsi="Book Antiqua"/>
          <w:color w:val="000000" w:themeColor="text1"/>
        </w:rPr>
      </w:pPr>
    </w:p>
    <w:p w14:paraId="327C8DC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aps/>
          <w:color w:val="000000" w:themeColor="text1"/>
          <w:u w:val="single"/>
        </w:rPr>
        <w:t>Epigenetics and HCC</w:t>
      </w:r>
    </w:p>
    <w:p w14:paraId="6F574D2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These recent decades, epigenetic mechanisms have emerged as crucial decision-makers of cell fate determination and deregulations of epigenetic mechanisms could lead to modifications of gene transcription in the cell, which could favor the initiation and progression of cancers. Conventionally, the epigenetic code is divided into three major mechanisms: </w:t>
      </w:r>
      <w:r w:rsidR="00B27E88" w:rsidRPr="00F04BAD">
        <w:rPr>
          <w:rFonts w:ascii="Book Antiqua" w:eastAsia="Book Antiqua" w:hAnsi="Book Antiqua" w:cs="Book Antiqua"/>
          <w:color w:val="000000" w:themeColor="text1"/>
        </w:rPr>
        <w:t>ncRNA</w:t>
      </w:r>
      <w:r w:rsidRPr="00F04BAD">
        <w:rPr>
          <w:rFonts w:ascii="Book Antiqua" w:eastAsia="Book Antiqua" w:hAnsi="Book Antiqua" w:cs="Book Antiqua"/>
          <w:color w:val="000000" w:themeColor="text1"/>
        </w:rPr>
        <w:t xml:space="preserve"> driven-regulations, DNA methylation and histone modifications mainly occurring on H3 and H4 histones.</w:t>
      </w:r>
      <w:r w:rsidR="009D41BD" w:rsidRPr="00F04BAD">
        <w:rPr>
          <w:rFonts w:ascii="Book Antiqua" w:hAnsi="Book Antiqua" w:cs="Book Antiqua"/>
          <w:b/>
          <w:bCs/>
          <w:color w:val="000000" w:themeColor="text1"/>
          <w:lang w:eastAsia="zh-CN"/>
        </w:rPr>
        <w:t xml:space="preserve"> </w:t>
      </w:r>
      <w:r w:rsidRPr="00F04BAD">
        <w:rPr>
          <w:rFonts w:ascii="Book Antiqua" w:eastAsia="Book Antiqua" w:hAnsi="Book Antiqua" w:cs="Book Antiqua"/>
          <w:color w:val="000000" w:themeColor="text1"/>
        </w:rPr>
        <w:t>Many studies have been focusing on miRNA implications in HCC but few data are currently available concerning the clinical used of ncRNA-based therapies in combination with ICIs. We will thus develop the promising results obtained regarding approaches targeting DNA methylation and histone modifiers in HCC, alone or in combination with ICIs (</w:t>
      </w:r>
      <w:r w:rsidR="009D41BD" w:rsidRPr="00F04BAD">
        <w:rPr>
          <w:rFonts w:ascii="Book Antiqua" w:hAnsi="Book Antiqua" w:cs="Book Antiqua"/>
          <w:color w:val="000000" w:themeColor="text1"/>
          <w:lang w:eastAsia="zh-CN"/>
        </w:rPr>
        <w:t>F</w:t>
      </w:r>
      <w:r w:rsidRPr="00F04BAD">
        <w:rPr>
          <w:rFonts w:ascii="Book Antiqua" w:eastAsia="Book Antiqua" w:hAnsi="Book Antiqua" w:cs="Book Antiqua"/>
          <w:color w:val="000000" w:themeColor="text1"/>
        </w:rPr>
        <w:t>igure 4).</w:t>
      </w:r>
    </w:p>
    <w:p w14:paraId="0338A14D" w14:textId="77777777" w:rsidR="00A77B3E" w:rsidRPr="00F04BAD" w:rsidRDefault="00A77B3E">
      <w:pPr>
        <w:spacing w:line="360" w:lineRule="auto"/>
        <w:jc w:val="both"/>
        <w:rPr>
          <w:rFonts w:ascii="Book Antiqua" w:hAnsi="Book Antiqua"/>
          <w:color w:val="000000" w:themeColor="text1"/>
        </w:rPr>
      </w:pPr>
    </w:p>
    <w:p w14:paraId="2E90B475" w14:textId="77777777" w:rsidR="00A77B3E" w:rsidRPr="00F04BAD" w:rsidRDefault="000D0918">
      <w:pPr>
        <w:spacing w:line="360" w:lineRule="auto"/>
        <w:jc w:val="both"/>
        <w:rPr>
          <w:rFonts w:ascii="Book Antiqua" w:hAnsi="Book Antiqua"/>
          <w:i/>
          <w:color w:val="000000" w:themeColor="text1"/>
        </w:rPr>
      </w:pPr>
      <w:r w:rsidRPr="00F04BAD">
        <w:rPr>
          <w:rFonts w:ascii="Book Antiqua" w:eastAsia="Book Antiqua" w:hAnsi="Book Antiqua" w:cs="Book Antiqua"/>
          <w:b/>
          <w:bCs/>
          <w:i/>
          <w:color w:val="000000" w:themeColor="text1"/>
        </w:rPr>
        <w:t>DNA methylation and DNMT inhibitors</w:t>
      </w:r>
    </w:p>
    <w:p w14:paraId="0067A9C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DNA methylation in somatic cells is regulated by DNA methyltransferases that add, in CpG dinucleotide, a CH</w:t>
      </w:r>
      <w:r w:rsidRPr="00F04BAD">
        <w:rPr>
          <w:rFonts w:ascii="Book Antiqua" w:eastAsia="Book Antiqua" w:hAnsi="Book Antiqua" w:cs="Book Antiqua"/>
          <w:color w:val="000000" w:themeColor="text1"/>
          <w:vertAlign w:val="subscript"/>
        </w:rPr>
        <w:t>3</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group on the 5’ position of the pyrimidine ring in cytosine </w:t>
      </w:r>
      <w:r w:rsidRPr="00F04BAD">
        <w:rPr>
          <w:rFonts w:ascii="Book Antiqua" w:eastAsia="Book Antiqua" w:hAnsi="Book Antiqua" w:cs="Book Antiqua"/>
          <w:color w:val="000000" w:themeColor="text1"/>
        </w:rPr>
        <w:lastRenderedPageBreak/>
        <w:t>residue. This modification in methylation will monitor the binding of transcription factors and DNA accessibility in the DNA regulatory region, inevitably leading to modulate gene transcription</w:t>
      </w:r>
      <w:r w:rsidRPr="00F04BAD">
        <w:rPr>
          <w:rFonts w:ascii="Book Antiqua" w:eastAsia="Book Antiqua" w:hAnsi="Book Antiqua" w:cs="Book Antiqua"/>
          <w:color w:val="000000" w:themeColor="text1"/>
          <w:vertAlign w:val="superscript"/>
        </w:rPr>
        <w:t>[118]</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The DNMT family is composed of DNMT1, DNMT2, DNMT3A, DNMT3B and DNMT3L. DNMT1 is known to act mainly as a “maintenance” methyltransferase during DNA synthesis and DNMT3A and DNMT3B act as “</w:t>
      </w:r>
      <w:r w:rsidRPr="00F04BAD">
        <w:rPr>
          <w:rFonts w:ascii="Book Antiqua" w:eastAsia="Book Antiqua" w:hAnsi="Book Antiqua" w:cs="Book Antiqua"/>
          <w:i/>
          <w:iCs/>
          <w:color w:val="000000" w:themeColor="text1"/>
        </w:rPr>
        <w:t>de novo</w:t>
      </w:r>
      <w:r w:rsidRPr="00F04BAD">
        <w:rPr>
          <w:rFonts w:ascii="Book Antiqua" w:eastAsia="Book Antiqua" w:hAnsi="Book Antiqua" w:cs="Book Antiqua"/>
          <w:color w:val="000000" w:themeColor="text1"/>
        </w:rPr>
        <w:t>” methyltransferase during development. But DNMT1 can also act as a “</w:t>
      </w:r>
      <w:r w:rsidRPr="00F04BAD">
        <w:rPr>
          <w:rFonts w:ascii="Book Antiqua" w:eastAsia="Book Antiqua" w:hAnsi="Book Antiqua" w:cs="Book Antiqua"/>
          <w:i/>
          <w:iCs/>
          <w:color w:val="000000" w:themeColor="text1"/>
        </w:rPr>
        <w:t>de novo</w:t>
      </w:r>
      <w:r w:rsidRPr="00F04BAD">
        <w:rPr>
          <w:rFonts w:ascii="Book Antiqua" w:eastAsia="Book Antiqua" w:hAnsi="Book Antiqua" w:cs="Book Antiqua"/>
          <w:color w:val="000000" w:themeColor="text1"/>
        </w:rPr>
        <w:t>” methyltransferase for genomic DNA and DNMT3A and DNMT3B can also act as “maintenance” methyltransferase during replication</w:t>
      </w:r>
      <w:r w:rsidRPr="00F04BAD">
        <w:rPr>
          <w:rFonts w:ascii="Book Antiqua" w:eastAsia="Book Antiqua" w:hAnsi="Book Antiqua" w:cs="Book Antiqua"/>
          <w:color w:val="000000" w:themeColor="text1"/>
          <w:vertAlign w:val="superscript"/>
        </w:rPr>
        <w:t>[119,120]</w:t>
      </w:r>
      <w:r w:rsidRPr="00F04BAD">
        <w:rPr>
          <w:rFonts w:ascii="Book Antiqua" w:eastAsia="Book Antiqua" w:hAnsi="Book Antiqua" w:cs="Book Antiqua"/>
          <w:color w:val="000000" w:themeColor="text1"/>
        </w:rPr>
        <w:t>. The catalytically inactive DNMT3L stimulates the activity of the DNMT3A and DNMT3B enzymes by a direct binding to their respective catalytic domains. Overexpression of DNMTs and their mutations in a variety of tumors, including HCC, modify DNA methylation profiles</w:t>
      </w:r>
      <w:r w:rsidRPr="00F04BAD">
        <w:rPr>
          <w:rFonts w:ascii="Book Antiqua" w:eastAsia="Book Antiqua" w:hAnsi="Book Antiqua" w:cs="Book Antiqua"/>
          <w:color w:val="000000" w:themeColor="text1"/>
          <w:vertAlign w:val="superscript"/>
        </w:rPr>
        <w:t>[121]</w:t>
      </w:r>
      <w:r w:rsidRPr="00F04BAD">
        <w:rPr>
          <w:rFonts w:ascii="Book Antiqua" w:eastAsia="Book Antiqua" w:hAnsi="Book Antiqua" w:cs="Book Antiqua"/>
          <w:color w:val="000000" w:themeColor="text1"/>
        </w:rPr>
        <w:t>. Inversely, modification of enzymes involved in DMA demethylation such as TETs (Ten-eleven translocation) is also frequently observed</w:t>
      </w:r>
      <w:r w:rsidRPr="00F04BAD">
        <w:rPr>
          <w:rFonts w:ascii="Book Antiqua" w:eastAsia="Book Antiqua" w:hAnsi="Book Antiqua" w:cs="Book Antiqua"/>
          <w:color w:val="000000" w:themeColor="text1"/>
          <w:vertAlign w:val="superscript"/>
        </w:rPr>
        <w:t>[122]</w:t>
      </w:r>
      <w:r w:rsidRPr="00F04BAD">
        <w:rPr>
          <w:rFonts w:ascii="Book Antiqua" w:eastAsia="Book Antiqua" w:hAnsi="Book Antiqua" w:cs="Book Antiqua"/>
          <w:color w:val="000000" w:themeColor="text1"/>
        </w:rPr>
        <w:t>. DNA hypomethylation associated with genome instability and locus-specific hypermethylation of CpG islands are an epigenetic hallmark of cancer, associated with uncontrolled cell proliferation and survival leading to tumor growth. In HCC, DNA methylation is increasingly altered from cirrhosis to preneoplastic lesions and to HCC, without etiology differences, and could be associated with tumor recurrence and survival</w:t>
      </w:r>
      <w:r w:rsidRPr="00F04BAD">
        <w:rPr>
          <w:rFonts w:ascii="Book Antiqua" w:eastAsia="Book Antiqua" w:hAnsi="Book Antiqua" w:cs="Book Antiqua"/>
          <w:color w:val="000000" w:themeColor="text1"/>
          <w:vertAlign w:val="superscript"/>
        </w:rPr>
        <w:t>[123-125]</w:t>
      </w:r>
      <w:r w:rsidRPr="00F04BAD">
        <w:rPr>
          <w:rFonts w:ascii="Book Antiqua" w:eastAsia="Book Antiqua" w:hAnsi="Book Antiqua" w:cs="Book Antiqua"/>
          <w:color w:val="000000" w:themeColor="text1"/>
        </w:rPr>
        <w:t>. Promoter hypermethylation related to gene silencing is also often observed on tumor-suppressor genes and regulators of cell proliferation and survival such as</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APC,</w:t>
      </w:r>
      <w:r w:rsidR="009D41BD"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i/>
          <w:iCs/>
          <w:color w:val="000000" w:themeColor="text1"/>
        </w:rPr>
        <w:t>CDH1, CDKN1A</w:t>
      </w:r>
      <w:r w:rsidR="009D41BD"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color w:val="000000" w:themeColor="text1"/>
        </w:rPr>
        <w:t>and</w:t>
      </w:r>
      <w:r w:rsidR="009D41BD"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i/>
          <w:iCs/>
          <w:color w:val="000000" w:themeColor="text1"/>
        </w:rPr>
        <w:t>CDKN2A</w:t>
      </w:r>
      <w:r w:rsidRPr="00F04BAD">
        <w:rPr>
          <w:rFonts w:ascii="Book Antiqua" w:eastAsia="Book Antiqua" w:hAnsi="Book Antiqua" w:cs="Book Antiqua"/>
          <w:color w:val="000000" w:themeColor="text1"/>
          <w:vertAlign w:val="superscript"/>
        </w:rPr>
        <w:t>[126]</w:t>
      </w:r>
      <w:r w:rsidRPr="00F04BAD">
        <w:rPr>
          <w:rFonts w:ascii="Book Antiqua" w:eastAsia="Book Antiqua" w:hAnsi="Book Antiqua" w:cs="Book Antiqua"/>
          <w:color w:val="000000" w:themeColor="text1"/>
        </w:rPr>
        <w:t>.</w:t>
      </w:r>
    </w:p>
    <w:p w14:paraId="23E9D7EB" w14:textId="77777777" w:rsidR="00A77B3E" w:rsidRPr="00F04BAD" w:rsidRDefault="000D0918" w:rsidP="009D41BD">
      <w:pPr>
        <w:spacing w:line="360" w:lineRule="auto"/>
        <w:ind w:firstLineChars="100" w:firstLine="240"/>
        <w:jc w:val="both"/>
        <w:rPr>
          <w:rFonts w:ascii="Book Antiqua" w:hAnsi="Book Antiqua"/>
          <w:color w:val="000000" w:themeColor="text1"/>
        </w:rPr>
      </w:pPr>
      <w:r w:rsidRPr="00F04BAD">
        <w:rPr>
          <w:rFonts w:ascii="Book Antiqua" w:eastAsia="Book Antiqua" w:hAnsi="Book Antiqua" w:cs="Book Antiqua"/>
          <w:color w:val="000000" w:themeColor="text1"/>
        </w:rPr>
        <w:t>To counteract the tumoral effect of DNA methylation, several DNMT inhibitors (DNMTi) have been extensively studied and under clinical trials for hematologic cancers and increasingly tested in solid tumors. First generation DNMTis like 5-azacytidine (5-aza) and decitabine, can be incorporated into DNA and favor DNMT1 degradation by irreversible binding leading to DNA demethylations. Patients with advanced HCC treated with decitabine show significant clinical benefit from this treatment and a favorable toxicity profile</w:t>
      </w:r>
      <w:r w:rsidRPr="00F04BAD">
        <w:rPr>
          <w:rFonts w:ascii="Book Antiqua" w:eastAsia="Book Antiqua" w:hAnsi="Book Antiqua" w:cs="Book Antiqua"/>
          <w:color w:val="000000" w:themeColor="text1"/>
          <w:vertAlign w:val="superscript"/>
        </w:rPr>
        <w:t>[127]</w:t>
      </w:r>
      <w:r w:rsidRPr="00F04BAD">
        <w:rPr>
          <w:rFonts w:ascii="Book Antiqua" w:eastAsia="Book Antiqua" w:hAnsi="Book Antiqua" w:cs="Book Antiqua"/>
          <w:color w:val="000000" w:themeColor="text1"/>
        </w:rPr>
        <w:t>. Second generation DNMTis that are more stable</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in vivo</w:t>
      </w:r>
      <w:r w:rsidRPr="00F04BAD">
        <w:rPr>
          <w:rFonts w:ascii="Book Antiqua" w:eastAsia="Book Antiqua" w:hAnsi="Book Antiqua" w:cs="Book Antiqua"/>
          <w:color w:val="000000" w:themeColor="text1"/>
        </w:rPr>
        <w:t>, have shown interesting results. Zebularine treatment is potentially less toxic, since it does not incorporate into DNA, and gives promising results on an HCC mouse model with high degree of CpG methylation</w:t>
      </w:r>
      <w:r w:rsidRPr="00F04BAD">
        <w:rPr>
          <w:rFonts w:ascii="Book Antiqua" w:eastAsia="Book Antiqua" w:hAnsi="Book Antiqua" w:cs="Book Antiqua"/>
          <w:color w:val="000000" w:themeColor="text1"/>
          <w:vertAlign w:val="superscript"/>
        </w:rPr>
        <w:t>[128]</w:t>
      </w:r>
      <w:r w:rsidRPr="00F04BAD">
        <w:rPr>
          <w:rFonts w:ascii="Book Antiqua" w:eastAsia="Book Antiqua" w:hAnsi="Book Antiqua" w:cs="Book Antiqua"/>
          <w:color w:val="000000" w:themeColor="text1"/>
        </w:rPr>
        <w:t xml:space="preserve">. Guadecitabine was also successfully tested under </w:t>
      </w:r>
      <w:r w:rsidRPr="00F04BAD">
        <w:rPr>
          <w:rFonts w:ascii="Book Antiqua" w:eastAsia="Book Antiqua" w:hAnsi="Book Antiqua" w:cs="Book Antiqua"/>
          <w:color w:val="000000" w:themeColor="text1"/>
        </w:rPr>
        <w:lastRenderedPageBreak/>
        <w:t xml:space="preserve">the clinical trial NCT01752933 on patients which were not responsive to sorafenib with an average </w:t>
      </w:r>
      <w:r w:rsidR="009D41BD" w:rsidRPr="00F04BAD">
        <w:rPr>
          <w:rFonts w:ascii="Book Antiqua" w:eastAsia="Book Antiqua" w:hAnsi="Book Antiqua" w:cs="Book Antiqua"/>
          <w:color w:val="000000" w:themeColor="text1"/>
        </w:rPr>
        <w:t>PFS</w:t>
      </w:r>
      <w:r w:rsidRPr="00F04BAD">
        <w:rPr>
          <w:rFonts w:ascii="Book Antiqua" w:eastAsia="Book Antiqua" w:hAnsi="Book Antiqua" w:cs="Book Antiqua"/>
          <w:color w:val="000000" w:themeColor="text1"/>
        </w:rPr>
        <w:t xml:space="preserve"> of 2.7 mo and an OS of 8 mo</w:t>
      </w:r>
      <w:r w:rsidRPr="00F04BAD">
        <w:rPr>
          <w:rFonts w:ascii="Book Antiqua" w:eastAsia="Book Antiqua" w:hAnsi="Book Antiqua" w:cs="Book Antiqua"/>
          <w:color w:val="000000" w:themeColor="text1"/>
          <w:vertAlign w:val="superscript"/>
        </w:rPr>
        <w:t>[129]</w:t>
      </w:r>
      <w:r w:rsidRPr="00F04BAD">
        <w:rPr>
          <w:rFonts w:ascii="Book Antiqua" w:eastAsia="Book Antiqua" w:hAnsi="Book Antiqua" w:cs="Book Antiqua"/>
          <w:color w:val="000000" w:themeColor="text1"/>
        </w:rPr>
        <w:t>. Interestingly, guadecitabine promotes an innate immune response through reactivation of epigenetically silenced endogenous retroviruses and thus could improve ICI sensitivity</w:t>
      </w:r>
      <w:r w:rsidRPr="00F04BAD">
        <w:rPr>
          <w:rFonts w:ascii="Book Antiqua" w:eastAsia="Book Antiqua" w:hAnsi="Book Antiqua" w:cs="Book Antiqua"/>
          <w:color w:val="000000" w:themeColor="text1"/>
          <w:vertAlign w:val="superscript"/>
        </w:rPr>
        <w:t>[130]</w:t>
      </w:r>
      <w:r w:rsidRPr="00F04BAD">
        <w:rPr>
          <w:rFonts w:ascii="Book Antiqua" w:eastAsia="Book Antiqua" w:hAnsi="Book Antiqua" w:cs="Book Antiqua"/>
          <w:color w:val="000000" w:themeColor="text1"/>
        </w:rPr>
        <w:t>.</w:t>
      </w:r>
    </w:p>
    <w:p w14:paraId="5D0D1FEC" w14:textId="77777777" w:rsidR="00A77B3E" w:rsidRPr="00F04BAD" w:rsidRDefault="00A77B3E">
      <w:pPr>
        <w:spacing w:line="360" w:lineRule="auto"/>
        <w:jc w:val="both"/>
        <w:rPr>
          <w:rFonts w:ascii="Book Antiqua" w:hAnsi="Book Antiqua"/>
          <w:color w:val="000000" w:themeColor="text1"/>
        </w:rPr>
      </w:pPr>
    </w:p>
    <w:p w14:paraId="5B8E88E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aps/>
          <w:color w:val="000000" w:themeColor="text1"/>
          <w:u w:val="single"/>
        </w:rPr>
        <w:t>Histone modifications and targeting drugs</w:t>
      </w:r>
    </w:p>
    <w:p w14:paraId="06263260" w14:textId="28E202AE"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Another central epigenetic mechanism is the posttranslational modifications of histones, which control gene expression by modulating chromatin accessibility. Histone-modifying enzymes target specific residues on histone tails by acetylation, phosphorylation or methylation. Other modifications of histone residue exist but are less common, such as ubiquitination, citrullination, ADP-ribosylation, butylation</w:t>
      </w:r>
      <w:r w:rsidRPr="00F04BAD">
        <w:rPr>
          <w:rFonts w:ascii="Book Antiqua" w:eastAsia="Book Antiqua" w:hAnsi="Book Antiqua" w:cs="Book Antiqua"/>
          <w:color w:val="000000" w:themeColor="text1"/>
          <w:vertAlign w:val="superscript"/>
        </w:rPr>
        <w:t>[131]</w:t>
      </w:r>
      <w:r w:rsidRPr="00F04BAD">
        <w:rPr>
          <w:rFonts w:ascii="Book Antiqua" w:eastAsia="Book Antiqua" w:hAnsi="Book Antiqua" w:cs="Book Antiqua"/>
          <w:color w:val="000000" w:themeColor="text1"/>
        </w:rPr>
        <w:t>. First, histone acetylation is based on a reversible addition of an acetyl group on histone lysine residues that are added by histone acetyltransferases (HATs) and removed by histone deacetylases (HDACs) (</w:t>
      </w:r>
      <w:r w:rsidR="009D41BD" w:rsidRPr="00F04BAD">
        <w:rPr>
          <w:rFonts w:ascii="Book Antiqua" w:hAnsi="Book Antiqua" w:cs="Book Antiqua"/>
          <w:color w:val="000000" w:themeColor="text1"/>
          <w:lang w:eastAsia="zh-CN"/>
        </w:rPr>
        <w:t>F</w:t>
      </w:r>
      <w:r w:rsidRPr="00F04BAD">
        <w:rPr>
          <w:rFonts w:ascii="Book Antiqua" w:eastAsia="Book Antiqua" w:hAnsi="Book Antiqua" w:cs="Book Antiqua"/>
          <w:color w:val="000000" w:themeColor="text1"/>
        </w:rPr>
        <w:t>igure 4). Histone acetylation is often associated with a positive gene transcription. Secondly, like DNA methylation, histone methylation is based on the addition of a methyl group on a lysine or an arginine residue in the histone tails by histone methyl transferases (HMTs). Histone demethylases (HDMs) are responsible for methyl removing. Some histone methylation marks are associated with an active gene transcription, like H3K4me3</w:t>
      </w:r>
      <w:r w:rsidRPr="00F04BAD">
        <w:rPr>
          <w:rFonts w:ascii="Book Antiqua" w:eastAsia="Book Antiqua" w:hAnsi="Book Antiqua" w:cs="Book Antiqua"/>
          <w:color w:val="000000" w:themeColor="text1"/>
          <w:vertAlign w:val="superscript"/>
        </w:rPr>
        <w:t>[132]</w:t>
      </w:r>
      <w:r w:rsidRPr="00F04BAD">
        <w:rPr>
          <w:rFonts w:ascii="Book Antiqua" w:eastAsia="Book Antiqua" w:hAnsi="Book Antiqua" w:cs="Book Antiqua"/>
          <w:color w:val="000000" w:themeColor="text1"/>
        </w:rPr>
        <w:t>, H3K36me3</w:t>
      </w:r>
      <w:r w:rsidRPr="00F04BAD">
        <w:rPr>
          <w:rFonts w:ascii="Book Antiqua" w:eastAsia="Book Antiqua" w:hAnsi="Book Antiqua" w:cs="Book Antiqua"/>
          <w:color w:val="000000" w:themeColor="text1"/>
          <w:vertAlign w:val="superscript"/>
        </w:rPr>
        <w:t>[133]</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H3K79me3</w:t>
      </w:r>
      <w:r w:rsidRPr="00F04BAD">
        <w:rPr>
          <w:rFonts w:ascii="Book Antiqua" w:eastAsia="Book Antiqua" w:hAnsi="Book Antiqua" w:cs="Book Antiqua"/>
          <w:color w:val="000000" w:themeColor="text1"/>
          <w:vertAlign w:val="superscript"/>
        </w:rPr>
        <w:t>[134]</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others are rather repressive marks, like H3K27me3</w:t>
      </w:r>
      <w:r w:rsidRPr="00F04BAD">
        <w:rPr>
          <w:rFonts w:ascii="Book Antiqua" w:eastAsia="Book Antiqua" w:hAnsi="Book Antiqua" w:cs="Book Antiqua"/>
          <w:color w:val="000000" w:themeColor="text1"/>
          <w:vertAlign w:val="superscript"/>
        </w:rPr>
        <w:t>[135]</w:t>
      </w:r>
      <w:r w:rsidRPr="00F04BAD">
        <w:rPr>
          <w:rFonts w:ascii="Book Antiqua" w:eastAsia="Book Antiqua" w:hAnsi="Book Antiqua" w:cs="Book Antiqua"/>
          <w:color w:val="000000" w:themeColor="text1"/>
        </w:rPr>
        <w:t>, H3K20me3</w:t>
      </w:r>
      <w:r w:rsidRPr="00F04BAD">
        <w:rPr>
          <w:rFonts w:ascii="Book Antiqua" w:eastAsia="Book Antiqua" w:hAnsi="Book Antiqua" w:cs="Book Antiqua"/>
          <w:color w:val="000000" w:themeColor="text1"/>
          <w:vertAlign w:val="superscript"/>
        </w:rPr>
        <w:t>[136]</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H3K9me3</w:t>
      </w:r>
      <w:r w:rsidRPr="00F04BAD">
        <w:rPr>
          <w:rFonts w:ascii="Book Antiqua" w:eastAsia="Book Antiqua" w:hAnsi="Book Antiqua" w:cs="Book Antiqua"/>
          <w:color w:val="000000" w:themeColor="text1"/>
          <w:vertAlign w:val="superscript"/>
        </w:rPr>
        <w:t>[137]</w:t>
      </w:r>
      <w:r w:rsidRPr="00F04BAD">
        <w:rPr>
          <w:rFonts w:ascii="Book Antiqua" w:eastAsia="Book Antiqua" w:hAnsi="Book Antiqua" w:cs="Book Antiqua"/>
          <w:color w:val="000000" w:themeColor="text1"/>
        </w:rPr>
        <w:t>. The expression of several histone modifiers is deregulated in HCC and associated with tumor progression and prognosis, such as HAT with hMOF</w:t>
      </w:r>
      <w:r w:rsidRPr="00F04BAD">
        <w:rPr>
          <w:rFonts w:ascii="Book Antiqua" w:eastAsia="Book Antiqua" w:hAnsi="Book Antiqua" w:cs="Book Antiqua"/>
          <w:color w:val="000000" w:themeColor="text1"/>
          <w:vertAlign w:val="superscript"/>
        </w:rPr>
        <w:t>[138]</w:t>
      </w:r>
      <w:r w:rsidRPr="00F04BAD">
        <w:rPr>
          <w:rFonts w:ascii="Book Antiqua" w:eastAsia="Book Antiqua" w:hAnsi="Book Antiqua" w:cs="Book Antiqua"/>
          <w:color w:val="000000" w:themeColor="text1"/>
        </w:rPr>
        <w:t>, a plethora of HDAC (HDAC1, 2, 4 and 5, and SIRT1, 2 and 7)</w:t>
      </w:r>
      <w:r w:rsidRPr="00F04BAD">
        <w:rPr>
          <w:rFonts w:ascii="Book Antiqua" w:eastAsia="Book Antiqua" w:hAnsi="Book Antiqua" w:cs="Book Antiqua"/>
          <w:color w:val="000000" w:themeColor="text1"/>
          <w:vertAlign w:val="superscript"/>
        </w:rPr>
        <w:t>[139]</w:t>
      </w:r>
      <w:r w:rsidRPr="00F04BAD">
        <w:rPr>
          <w:rFonts w:ascii="Book Antiqua" w:eastAsia="Book Antiqua" w:hAnsi="Book Antiqua" w:cs="Book Antiqua"/>
          <w:color w:val="000000" w:themeColor="text1"/>
        </w:rPr>
        <w:t>. HMT are also concerned with the best characterized EZH2 promoting gene repression through H3K27 trimethylation, G9a</w:t>
      </w:r>
      <w:r w:rsidRPr="00F04BAD">
        <w:rPr>
          <w:rFonts w:ascii="Book Antiqua" w:eastAsia="Book Antiqua" w:hAnsi="Book Antiqua" w:cs="Book Antiqua"/>
          <w:color w:val="000000" w:themeColor="text1"/>
          <w:vertAlign w:val="superscript"/>
        </w:rPr>
        <w:t>[140]</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and SUV39H1</w:t>
      </w:r>
      <w:r w:rsidRPr="00F04BAD">
        <w:rPr>
          <w:rFonts w:ascii="Book Antiqua" w:eastAsia="Book Antiqua" w:hAnsi="Book Antiqua" w:cs="Book Antiqua"/>
          <w:color w:val="000000" w:themeColor="text1"/>
          <w:vertAlign w:val="superscript"/>
        </w:rPr>
        <w:t>[141]</w:t>
      </w:r>
      <w:r w:rsidR="009D41BD"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mainly associated with gene repression through H3K9 modifications. Regarding histone modifications, another key actor is BRD4, which reads H3K27ac marks highly enriched in large clusters of enhancers. BRD4 was found overexpressed in HCC and required for super-enhancer-mediated expression of oncogenes</w:t>
      </w:r>
      <w:r w:rsidRPr="00F04BAD">
        <w:rPr>
          <w:rFonts w:ascii="Book Antiqua" w:eastAsia="Book Antiqua" w:hAnsi="Book Antiqua" w:cs="Book Antiqua"/>
          <w:color w:val="000000" w:themeColor="text1"/>
          <w:vertAlign w:val="superscript"/>
        </w:rPr>
        <w:t>[10]</w:t>
      </w:r>
      <w:r w:rsidRPr="00F04BAD">
        <w:rPr>
          <w:rFonts w:ascii="Book Antiqua" w:eastAsia="Book Antiqua" w:hAnsi="Book Antiqua" w:cs="Book Antiqua"/>
          <w:color w:val="000000" w:themeColor="text1"/>
        </w:rPr>
        <w:t>.</w:t>
      </w:r>
    </w:p>
    <w:p w14:paraId="0267526A" w14:textId="336B3D5F" w:rsidR="00A77B3E" w:rsidRPr="00F04BAD" w:rsidRDefault="000D0918" w:rsidP="009D41BD">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As DNMTi, HDAC inhibitors (HDACi) have also been evaluated in clinical trials for hematological malignancies but also in solid cancers such as HCC. HDACis bind the zinc-</w:t>
      </w:r>
      <w:r w:rsidRPr="00F04BAD">
        <w:rPr>
          <w:rFonts w:ascii="Book Antiqua" w:eastAsia="Book Antiqua" w:hAnsi="Book Antiqua" w:cs="Book Antiqua"/>
          <w:color w:val="000000" w:themeColor="text1"/>
        </w:rPr>
        <w:lastRenderedPageBreak/>
        <w:t xml:space="preserve">containing catalytic domain of HDACs and thus modify histone acetylation status and gene transcription through HDAC inhibition. An interesting phase </w:t>
      </w:r>
      <w:r w:rsidR="003177F2" w:rsidRPr="00FD5C87">
        <w:rPr>
          <w:rFonts w:ascii="Book Antiqua" w:eastAsia="Book Antiqua" w:hAnsi="Book Antiqua" w:cs="Book Antiqua"/>
          <w:color w:val="000000" w:themeColor="text1"/>
        </w:rPr>
        <w:t>2</w:t>
      </w:r>
      <w:r w:rsidRPr="00F04BAD">
        <w:rPr>
          <w:rFonts w:ascii="Book Antiqua" w:eastAsia="Book Antiqua" w:hAnsi="Book Antiqua" w:cs="Book Antiqua"/>
          <w:color w:val="000000" w:themeColor="text1"/>
        </w:rPr>
        <w:t xml:space="preserve"> clinical study of Yeo</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et al</w:t>
      </w:r>
      <w:r w:rsidR="00242775" w:rsidRPr="00F04BAD">
        <w:rPr>
          <w:rFonts w:ascii="Book Antiqua" w:eastAsia="Book Antiqua" w:hAnsi="Book Antiqua" w:cs="Book Antiqua"/>
          <w:color w:val="000000" w:themeColor="text1"/>
          <w:vertAlign w:val="superscript"/>
        </w:rPr>
        <w:t>[142]</w:t>
      </w:r>
      <w:r w:rsidR="00242775" w:rsidRPr="00F04BAD">
        <w:rPr>
          <w:rFonts w:ascii="Book Antiqua" w:hAnsi="Book Antiqua" w:cs="Book Antiqua"/>
          <w:i/>
          <w:iCs/>
          <w:color w:val="000000" w:themeColor="text1"/>
          <w:lang w:eastAsia="zh-CN"/>
        </w:rPr>
        <w:t xml:space="preserve"> </w:t>
      </w:r>
      <w:r w:rsidRPr="00F04BAD">
        <w:rPr>
          <w:rFonts w:ascii="Book Antiqua" w:eastAsia="Book Antiqua" w:hAnsi="Book Antiqua" w:cs="Book Antiqua"/>
          <w:color w:val="000000" w:themeColor="text1"/>
        </w:rPr>
        <w:t>(NCT00321594) show</w:t>
      </w:r>
      <w:r w:rsidR="00414104"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the beneficial effect of belinostat in unresectable HCCs. Belinostat, a pan-HAC inhibitor against zinc-dependent HDACs, could increase PFS to 2.6 mo and OS to 6.6 mo with tumor stabilization. The SHELTER study (NCT00943449) combining sorafenib with resminostat, another pan-HDACi targeting HDAC</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1,</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2 and 3, double the OS of advanced HCC patients (8 mo instead of 4.1 mo)</w:t>
      </w:r>
      <w:r w:rsidRPr="00F04BAD">
        <w:rPr>
          <w:rFonts w:ascii="Book Antiqua" w:eastAsia="Book Antiqua" w:hAnsi="Book Antiqua" w:cs="Book Antiqua"/>
          <w:color w:val="000000" w:themeColor="text1"/>
          <w:vertAlign w:val="superscript"/>
        </w:rPr>
        <w:t>[143]</w:t>
      </w:r>
      <w:r w:rsidRPr="00F04BAD">
        <w:rPr>
          <w:rFonts w:ascii="Book Antiqua" w:eastAsia="Book Antiqua" w:hAnsi="Book Antiqua" w:cs="Book Antiqua"/>
          <w:color w:val="000000" w:themeColor="text1"/>
        </w:rPr>
        <w:t>. Interestingly, some epigenetics drugs have shown interesting results in HCC experimental studies regarding their impact on tumor microenvironment and tumor response to ICIs. The BET bromodomain inhibitor i</w:t>
      </w:r>
      <w:r w:rsidR="008A42A7" w:rsidRPr="00F04BAD">
        <w:rPr>
          <w:rFonts w:ascii="Book Antiqua" w:eastAsia="Book Antiqua" w:hAnsi="Book Antiqua" w:cs="Book Antiqua"/>
          <w:color w:val="000000" w:themeColor="text1"/>
        </w:rPr>
        <w:t>-</w:t>
      </w:r>
      <w:r w:rsidRPr="00F04BAD">
        <w:rPr>
          <w:rFonts w:ascii="Book Antiqua" w:eastAsia="Book Antiqua" w:hAnsi="Book Antiqua" w:cs="Book Antiqua"/>
          <w:color w:val="000000" w:themeColor="text1"/>
        </w:rPr>
        <w:t>BET762 significantly reduces the level of Monocytic-MDSCs and enhance</w:t>
      </w:r>
      <w:r w:rsidR="008A42A7"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TILs, alone or in combination with anti-PD-L1, </w:t>
      </w:r>
      <w:r w:rsidR="00DC288D" w:rsidRPr="00F04BAD">
        <w:rPr>
          <w:rFonts w:ascii="Book Antiqua" w:eastAsia="Book Antiqua" w:hAnsi="Book Antiqua" w:cs="Book Antiqua"/>
          <w:color w:val="000000" w:themeColor="text1"/>
        </w:rPr>
        <w:t xml:space="preserve">and consequently </w:t>
      </w:r>
      <w:r w:rsidRPr="00F04BAD">
        <w:rPr>
          <w:rFonts w:ascii="Book Antiqua" w:eastAsia="Book Antiqua" w:hAnsi="Book Antiqua" w:cs="Book Antiqua"/>
          <w:color w:val="000000" w:themeColor="text1"/>
        </w:rPr>
        <w:t>decreases tumor growth in two fibrotic HCC mouse models</w:t>
      </w:r>
      <w:r w:rsidRPr="00F04BAD">
        <w:rPr>
          <w:rFonts w:ascii="Book Antiqua" w:eastAsia="Book Antiqua" w:hAnsi="Book Antiqua" w:cs="Book Antiqua"/>
          <w:color w:val="000000" w:themeColor="text1"/>
          <w:vertAlign w:val="superscript"/>
        </w:rPr>
        <w:t>[144]</w:t>
      </w:r>
      <w:r w:rsidRPr="00F04BAD">
        <w:rPr>
          <w:rFonts w:ascii="Book Antiqua" w:eastAsia="Book Antiqua" w:hAnsi="Book Antiqua" w:cs="Book Antiqua"/>
          <w:color w:val="000000" w:themeColor="text1"/>
        </w:rPr>
        <w:t xml:space="preserve">. In the same way, the co-inhibitor of G9a and DNMT1 called CM-272 favors differentiated HCC and impairs the pro-tumorigenic effects of the </w:t>
      </w:r>
      <w:r w:rsidR="00DE6AC5" w:rsidRPr="00F04BAD">
        <w:rPr>
          <w:rFonts w:ascii="Book Antiqua" w:eastAsia="Book Antiqua" w:hAnsi="Book Antiqua" w:cs="Book Antiqua"/>
          <w:color w:val="000000" w:themeColor="text1"/>
        </w:rPr>
        <w:t xml:space="preserve">surrounding </w:t>
      </w:r>
      <w:r w:rsidRPr="00F04BAD">
        <w:rPr>
          <w:rFonts w:ascii="Book Antiqua" w:eastAsia="Book Antiqua" w:hAnsi="Book Antiqua" w:cs="Book Antiqua"/>
          <w:color w:val="000000" w:themeColor="text1"/>
        </w:rPr>
        <w:t>fibrotic stroma</w:t>
      </w:r>
      <w:r w:rsidRPr="00F04BAD">
        <w:rPr>
          <w:rFonts w:ascii="Book Antiqua" w:eastAsia="Book Antiqua" w:hAnsi="Book Antiqua" w:cs="Book Antiqua"/>
          <w:color w:val="000000" w:themeColor="text1"/>
          <w:vertAlign w:val="superscript"/>
        </w:rPr>
        <w:t>[145]</w:t>
      </w:r>
      <w:r w:rsidRPr="00F04BAD">
        <w:rPr>
          <w:rFonts w:ascii="Book Antiqua" w:eastAsia="Book Antiqua" w:hAnsi="Book Antiqua" w:cs="Book Antiqua"/>
          <w:color w:val="000000" w:themeColor="text1"/>
        </w:rPr>
        <w:t>. Together, these data support the potent therapeutic benefit of targeting microenvironment remodeling together with epigenetic reprogramming during HCC, in a context of fibrogenesis in particular.</w:t>
      </w:r>
    </w:p>
    <w:p w14:paraId="50D14F33" w14:textId="77777777" w:rsidR="00A77B3E" w:rsidRPr="00F04BAD" w:rsidRDefault="00A77B3E">
      <w:pPr>
        <w:spacing w:line="360" w:lineRule="auto"/>
        <w:jc w:val="both"/>
        <w:rPr>
          <w:rFonts w:ascii="Book Antiqua" w:hAnsi="Book Antiqua"/>
          <w:color w:val="000000" w:themeColor="text1"/>
        </w:rPr>
      </w:pPr>
    </w:p>
    <w:p w14:paraId="08D8353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aps/>
          <w:color w:val="000000" w:themeColor="text1"/>
          <w:u w:val="single"/>
        </w:rPr>
        <w:t>Therapeutic strategies combining ICI with epigenetic drugs</w:t>
      </w:r>
    </w:p>
    <w:p w14:paraId="697D653A" w14:textId="304906AD"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Most immunotherapies are based on the targeting of immune checkpoints and the enhancement of immune system reaction to eradicate cancer cells but not all the patients are </w:t>
      </w:r>
      <w:r w:rsidR="00C50F4B" w:rsidRPr="00F04BAD">
        <w:rPr>
          <w:rFonts w:ascii="Book Antiqua" w:eastAsia="Book Antiqua" w:hAnsi="Book Antiqua" w:cs="Book Antiqua"/>
          <w:color w:val="000000" w:themeColor="text1"/>
        </w:rPr>
        <w:t>good responders</w:t>
      </w:r>
      <w:r w:rsidRPr="00F04BAD">
        <w:rPr>
          <w:rFonts w:ascii="Book Antiqua" w:eastAsia="Book Antiqua" w:hAnsi="Book Antiqua" w:cs="Book Antiqua"/>
          <w:color w:val="000000" w:themeColor="text1"/>
        </w:rPr>
        <w:t xml:space="preserve"> to those cures. As mentioned previously, several treatments targeting epigenetic mechanisms allow to modify tumor progression and response to treatment. Epigenetic drugs that target DNMTs and HDACs, can in particular upregulate the expression of several immune signaling components in cancer cells such as TAAs</w:t>
      </w:r>
      <w:r w:rsidRPr="00F04BAD">
        <w:rPr>
          <w:rFonts w:ascii="Book Antiqua" w:eastAsia="Book Antiqua" w:hAnsi="Book Antiqua" w:cs="Book Antiqua"/>
          <w:color w:val="000000" w:themeColor="text1"/>
          <w:vertAlign w:val="superscript"/>
        </w:rPr>
        <w:t>[146]</w:t>
      </w:r>
      <w:r w:rsidRPr="00F04BAD">
        <w:rPr>
          <w:rFonts w:ascii="Book Antiqua" w:eastAsia="Book Antiqua" w:hAnsi="Book Antiqua" w:cs="Book Antiqua"/>
          <w:color w:val="000000" w:themeColor="text1"/>
        </w:rPr>
        <w:t>, stress- and death-induced ligands and receptors, expression of co-stimulatory molecules at the cell surface but also expression of checkpoint ligands</w:t>
      </w:r>
      <w:r w:rsidRPr="00F04BAD">
        <w:rPr>
          <w:rFonts w:ascii="Book Antiqua" w:eastAsia="Book Antiqua" w:hAnsi="Book Antiqua" w:cs="Book Antiqua"/>
          <w:color w:val="000000" w:themeColor="text1"/>
          <w:vertAlign w:val="superscript"/>
        </w:rPr>
        <w:t>[147,148]</w:t>
      </w:r>
      <w:r w:rsidRPr="00F04BAD">
        <w:rPr>
          <w:rFonts w:ascii="Book Antiqua" w:eastAsia="Book Antiqua" w:hAnsi="Book Antiqua" w:cs="Book Antiqua"/>
          <w:color w:val="000000" w:themeColor="text1"/>
        </w:rPr>
        <w:t>. Therefore, epigenetic drugs have been used as neoadjuvant agent or in combination with immunotherapies to prime the immune system and create a better response to ICIs.</w:t>
      </w:r>
    </w:p>
    <w:p w14:paraId="0AA14667" w14:textId="65E88A92" w:rsidR="00A77B3E" w:rsidRPr="00F04BAD" w:rsidRDefault="000D0918" w:rsidP="00CC2DE3">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 xml:space="preserve">As previously detailed, cancer cells can evade immune surveillance by a lack of expression of TAAs. Cancer testis antigens </w:t>
      </w:r>
      <w:r w:rsidR="00335A7C" w:rsidRPr="00F04BAD">
        <w:rPr>
          <w:rFonts w:ascii="Book Antiqua" w:eastAsia="Book Antiqua" w:hAnsi="Book Antiqua" w:cs="Book Antiqua"/>
          <w:color w:val="000000" w:themeColor="text1"/>
        </w:rPr>
        <w:t xml:space="preserve">(CTAs) </w:t>
      </w:r>
      <w:r w:rsidRPr="00F04BAD">
        <w:rPr>
          <w:rFonts w:ascii="Book Antiqua" w:eastAsia="Book Antiqua" w:hAnsi="Book Antiqua" w:cs="Book Antiqua"/>
          <w:color w:val="000000" w:themeColor="text1"/>
        </w:rPr>
        <w:t xml:space="preserve">are the best characterized TAAs that </w:t>
      </w:r>
      <w:r w:rsidRPr="00F04BAD">
        <w:rPr>
          <w:rFonts w:ascii="Book Antiqua" w:eastAsia="Book Antiqua" w:hAnsi="Book Antiqua" w:cs="Book Antiqua"/>
          <w:color w:val="000000" w:themeColor="text1"/>
        </w:rPr>
        <w:lastRenderedPageBreak/>
        <w:t xml:space="preserve">are regulated by epigenetic events. They are expressed in embryonic and germ cells but silenced by methylation of their promoter in mature somatic and cancer cells. The use of DNA methylation inhibitors such as DNMTis have proved </w:t>
      </w:r>
      <w:r w:rsidR="00FD3ED7" w:rsidRPr="00F04BAD">
        <w:rPr>
          <w:rFonts w:ascii="Book Antiqua" w:eastAsia="Book Antiqua" w:hAnsi="Book Antiqua" w:cs="Book Antiqua"/>
          <w:color w:val="000000" w:themeColor="text1"/>
        </w:rPr>
        <w:t>CTA</w:t>
      </w:r>
      <w:r w:rsidRPr="00F04BAD">
        <w:rPr>
          <w:rFonts w:ascii="Book Antiqua" w:eastAsia="Book Antiqua" w:hAnsi="Book Antiqua" w:cs="Book Antiqua"/>
          <w:color w:val="000000" w:themeColor="text1"/>
        </w:rPr>
        <w:t>s re-expression in several solid tumors</w:t>
      </w:r>
      <w:r w:rsidRPr="00F04BAD">
        <w:rPr>
          <w:rFonts w:ascii="Book Antiqua" w:eastAsia="Book Antiqua" w:hAnsi="Book Antiqua" w:cs="Book Antiqua"/>
          <w:color w:val="000000" w:themeColor="text1"/>
          <w:vertAlign w:val="superscript"/>
        </w:rPr>
        <w:t>[146,147,149]</w:t>
      </w:r>
      <w:r w:rsidRPr="00F04BAD">
        <w:rPr>
          <w:rFonts w:ascii="Book Antiqua" w:eastAsia="Book Antiqua" w:hAnsi="Book Antiqua" w:cs="Book Antiqua"/>
          <w:color w:val="000000" w:themeColor="text1"/>
        </w:rPr>
        <w:t xml:space="preserve">. </w:t>
      </w:r>
      <w:r w:rsidR="009D41BD" w:rsidRPr="00F04BAD">
        <w:rPr>
          <w:rFonts w:ascii="Book Antiqua" w:eastAsia="Book Antiqua" w:hAnsi="Book Antiqua" w:cs="Book Antiqua"/>
          <w:color w:val="000000" w:themeColor="text1"/>
        </w:rPr>
        <w:t>HDACis</w:t>
      </w:r>
      <w:r w:rsidRPr="00F04BAD">
        <w:rPr>
          <w:rFonts w:ascii="Book Antiqua" w:eastAsia="Book Antiqua" w:hAnsi="Book Antiqua" w:cs="Book Antiqua"/>
          <w:color w:val="000000" w:themeColor="text1"/>
        </w:rPr>
        <w:t xml:space="preserve"> can also induce the re-expression of CTAs but in a less extent than DNMTis, in human cancer cell lines</w:t>
      </w:r>
      <w:r w:rsidRPr="00F04BAD">
        <w:rPr>
          <w:rFonts w:ascii="Book Antiqua" w:eastAsia="Book Antiqua" w:hAnsi="Book Antiqua" w:cs="Book Antiqua"/>
          <w:color w:val="000000" w:themeColor="text1"/>
          <w:vertAlign w:val="superscript"/>
        </w:rPr>
        <w:t>[150]</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Several clinical trials are already ongoing (Table 1). Other TAAs are sensitive to several DNMTis or HDACis depending on cancer type and once again DNMTis are more efficient than HDACis</w:t>
      </w:r>
      <w:r w:rsidRPr="00F04BAD">
        <w:rPr>
          <w:rFonts w:ascii="Book Antiqua" w:eastAsia="Book Antiqua" w:hAnsi="Book Antiqua" w:cs="Book Antiqua"/>
          <w:color w:val="000000" w:themeColor="text1"/>
          <w:vertAlign w:val="superscript"/>
        </w:rPr>
        <w:t>[151]</w:t>
      </w:r>
      <w:r w:rsidRPr="00F04BAD">
        <w:rPr>
          <w:rFonts w:ascii="Book Antiqua" w:eastAsia="Book Antiqua" w:hAnsi="Book Antiqua" w:cs="Book Antiqua"/>
          <w:color w:val="000000" w:themeColor="text1"/>
        </w:rPr>
        <w:t>. Those drugs can also be used to compensate the methylation deregulation of the promoter region of the APM (antigen processing machinery) component, like TAP-1, TAP-2, LMP-2, LMP-7 and MHC molecule in various tumors</w:t>
      </w:r>
      <w:r w:rsidRPr="00F04BAD">
        <w:rPr>
          <w:rFonts w:ascii="Book Antiqua" w:eastAsia="Book Antiqua" w:hAnsi="Book Antiqua" w:cs="Book Antiqua"/>
          <w:color w:val="000000" w:themeColor="text1"/>
          <w:vertAlign w:val="superscript"/>
        </w:rPr>
        <w:t>[152-154]</w:t>
      </w:r>
      <w:r w:rsidRPr="00F04BAD">
        <w:rPr>
          <w:rFonts w:ascii="Book Antiqua" w:eastAsia="Book Antiqua" w:hAnsi="Book Antiqua" w:cs="Book Antiqua"/>
          <w:color w:val="000000" w:themeColor="text1"/>
        </w:rPr>
        <w:t>. Epigenetics drugs can also facilitate tumor cells death by inducing the expression of death receptors, stress induced ligands and co-stimulatory molecules that will sensitize tumor cells to immune-mediated cells lysis</w:t>
      </w:r>
      <w:r w:rsidRPr="00F04BAD">
        <w:rPr>
          <w:rFonts w:ascii="Book Antiqua" w:eastAsia="Book Antiqua" w:hAnsi="Book Antiqua" w:cs="Book Antiqua"/>
          <w:color w:val="000000" w:themeColor="text1"/>
          <w:vertAlign w:val="superscript"/>
        </w:rPr>
        <w:t>[155-161]</w:t>
      </w:r>
      <w:r w:rsidRPr="00F04BAD">
        <w:rPr>
          <w:rFonts w:ascii="Book Antiqua" w:eastAsia="Book Antiqua" w:hAnsi="Book Antiqua" w:cs="Book Antiqua"/>
          <w:color w:val="000000" w:themeColor="text1"/>
        </w:rPr>
        <w:t>. Those drugs can also sensitize cancer cells to immune checkpoint therapies targeting PDL-1 and PDL-2, PD-1 and CTLA-4 by increasing their expression on both cancer cells and TILs favorizing their response to ICI</w:t>
      </w:r>
      <w:r w:rsidRPr="00F04BAD">
        <w:rPr>
          <w:rFonts w:ascii="Book Antiqua" w:eastAsia="Book Antiqua" w:hAnsi="Book Antiqua" w:cs="Book Antiqua"/>
          <w:color w:val="000000" w:themeColor="text1"/>
          <w:vertAlign w:val="superscript"/>
        </w:rPr>
        <w:t>[153,154]</w:t>
      </w:r>
      <w:r w:rsidRPr="00F04BAD">
        <w:rPr>
          <w:rFonts w:ascii="Book Antiqua" w:eastAsia="Book Antiqua" w:hAnsi="Book Antiqua" w:cs="Book Antiqua"/>
          <w:color w:val="000000" w:themeColor="text1"/>
        </w:rPr>
        <w:t>. Woods and collaborators show on a mouse model of melanoma that a pretreatment with HDAC</w:t>
      </w:r>
      <w:r w:rsidR="003177F2" w:rsidRPr="00FD5C87">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is upregulate PD-L1 and PD-L2 expression and favor the effect of the anti-PD1 treatment, slowing tumor progression and increasing mouse survival</w:t>
      </w:r>
      <w:r w:rsidRPr="00F04BAD">
        <w:rPr>
          <w:rFonts w:ascii="Book Antiqua" w:eastAsia="Book Antiqua" w:hAnsi="Book Antiqua" w:cs="Book Antiqua"/>
          <w:color w:val="000000" w:themeColor="text1"/>
          <w:vertAlign w:val="superscript"/>
        </w:rPr>
        <w:t>[162]</w:t>
      </w:r>
      <w:r w:rsidRPr="00F04BAD">
        <w:rPr>
          <w:rFonts w:ascii="Book Antiqua" w:eastAsia="Book Antiqua" w:hAnsi="Book Antiqua" w:cs="Book Antiqua"/>
          <w:color w:val="000000" w:themeColor="text1"/>
        </w:rPr>
        <w:t xml:space="preserve">. The co-inhibition of H3K27me3 and CTLA-4 reduces the number of Tregs in a mouse model of melanoma and </w:t>
      </w:r>
      <w:r w:rsidR="00537C11" w:rsidRPr="00F04BAD">
        <w:rPr>
          <w:rFonts w:ascii="Book Antiqua" w:eastAsia="Book Antiqua" w:hAnsi="Book Antiqua" w:cs="Book Antiqua"/>
          <w:color w:val="000000" w:themeColor="text1"/>
        </w:rPr>
        <w:t xml:space="preserve">limits </w:t>
      </w:r>
      <w:r w:rsidRPr="00F04BAD">
        <w:rPr>
          <w:rFonts w:ascii="Book Antiqua" w:eastAsia="Book Antiqua" w:hAnsi="Book Antiqua" w:cs="Book Antiqua"/>
          <w:color w:val="000000" w:themeColor="text1"/>
        </w:rPr>
        <w:t>tumor size</w:t>
      </w:r>
      <w:r w:rsidRPr="00F04BAD">
        <w:rPr>
          <w:rFonts w:ascii="Book Antiqua" w:eastAsia="Book Antiqua" w:hAnsi="Book Antiqua" w:cs="Book Antiqua"/>
          <w:color w:val="000000" w:themeColor="text1"/>
          <w:vertAlign w:val="superscript"/>
        </w:rPr>
        <w:t>[163]</w:t>
      </w:r>
      <w:r w:rsidRPr="00F04BAD">
        <w:rPr>
          <w:rFonts w:ascii="Book Antiqua" w:eastAsia="Book Antiqua" w:hAnsi="Book Antiqua" w:cs="Book Antiqua"/>
          <w:color w:val="000000" w:themeColor="text1"/>
        </w:rPr>
        <w:t>. An interesting work of Goswami and collaborators also shows that the pharmacologic inhibition of EZH2 with CPI-1205 on human T cells altered their Treg phenotype and function and enhance</w:t>
      </w:r>
      <w:r w:rsidR="00537C11" w:rsidRPr="00F04BAD">
        <w:rPr>
          <w:rFonts w:ascii="Book Antiqua" w:eastAsia="Book Antiqua" w:hAnsi="Book Antiqua" w:cs="Book Antiqua"/>
          <w:color w:val="000000" w:themeColor="text1"/>
        </w:rPr>
        <w:t>d</w:t>
      </w:r>
      <w:r w:rsidRPr="00F04BAD">
        <w:rPr>
          <w:rFonts w:ascii="Book Antiqua" w:eastAsia="Book Antiqua" w:hAnsi="Book Antiqua" w:cs="Book Antiqua"/>
          <w:color w:val="000000" w:themeColor="text1"/>
        </w:rPr>
        <w:t xml:space="preserve"> T cytotoxic activity</w:t>
      </w:r>
      <w:r w:rsidRPr="00F04BAD">
        <w:rPr>
          <w:rFonts w:ascii="Book Antiqua" w:eastAsia="Book Antiqua" w:hAnsi="Book Antiqua" w:cs="Book Antiqua"/>
          <w:color w:val="000000" w:themeColor="text1"/>
          <w:vertAlign w:val="superscript"/>
        </w:rPr>
        <w:t>[164]</w:t>
      </w:r>
      <w:r w:rsidRPr="00F04BAD">
        <w:rPr>
          <w:rFonts w:ascii="Book Antiqua" w:eastAsia="Book Antiqua" w:hAnsi="Book Antiqua" w:cs="Book Antiqua"/>
          <w:color w:val="000000" w:themeColor="text1"/>
        </w:rPr>
        <w:t>. They also observe in patients with melanoma or prostate cancer that the anti-CTLA-4 ipilimumab increases EZH2 expression in peripheral T cells. Finally, they could demonstrate in their murine models that EZH2 targeting in T cell could improve the antitumor response mediated by an anti-CTLA-4 therapy. EZH2 appears to be a target of choice since several others works have unveiled its implication in ICI response. Zhou</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et al</w:t>
      </w:r>
      <w:r w:rsidR="00242775" w:rsidRPr="00F04BAD">
        <w:rPr>
          <w:rFonts w:ascii="Book Antiqua" w:eastAsia="Book Antiqua" w:hAnsi="Book Antiqua" w:cs="Book Antiqua"/>
          <w:color w:val="000000" w:themeColor="text1"/>
          <w:vertAlign w:val="superscript"/>
        </w:rPr>
        <w:t>[165]</w:t>
      </w:r>
      <w:r w:rsidRPr="00F04BAD">
        <w:rPr>
          <w:rFonts w:ascii="Book Antiqua" w:eastAsia="Book Antiqua" w:hAnsi="Book Antiqua" w:cs="Book Antiqua"/>
          <w:color w:val="000000" w:themeColor="text1"/>
        </w:rPr>
        <w:t xml:space="preserve"> also show in an anti-PD1 resistant model of head and neck cancers that EZH2 targeting can restore response to anti-PD1 treatment by increasing antigen specific CD8+ T cell proliferation. Additionally, EZH2 and DNMT1 co-inhibition increases the expression of the Th1 chemokines CXCL9 and </w:t>
      </w:r>
      <w:r w:rsidRPr="00F04BAD">
        <w:rPr>
          <w:rFonts w:ascii="Book Antiqua" w:eastAsia="Book Antiqua" w:hAnsi="Book Antiqua" w:cs="Book Antiqua"/>
          <w:color w:val="000000" w:themeColor="text1"/>
        </w:rPr>
        <w:lastRenderedPageBreak/>
        <w:t>C</w:t>
      </w:r>
      <w:r w:rsidR="00537C11" w:rsidRPr="00F04BAD">
        <w:rPr>
          <w:rFonts w:ascii="Book Antiqua" w:eastAsia="Book Antiqua" w:hAnsi="Book Antiqua" w:cs="Book Antiqua"/>
          <w:color w:val="000000" w:themeColor="text1"/>
        </w:rPr>
        <w:t>XCL</w:t>
      </w:r>
      <w:r w:rsidRPr="00F04BAD">
        <w:rPr>
          <w:rFonts w:ascii="Book Antiqua" w:eastAsia="Book Antiqua" w:hAnsi="Book Antiqua" w:cs="Book Antiqua"/>
          <w:color w:val="000000" w:themeColor="text1"/>
        </w:rPr>
        <w:t>10 in the ID8 ovarian cancer mouse model. This leads to an increase in CD8+ T cell infiltration and improves response to anti-PD-L1 treatment</w:t>
      </w:r>
      <w:r w:rsidRPr="00F04BAD">
        <w:rPr>
          <w:rFonts w:ascii="Book Antiqua" w:eastAsia="Book Antiqua" w:hAnsi="Book Antiqua" w:cs="Book Antiqua"/>
          <w:color w:val="000000" w:themeColor="text1"/>
          <w:vertAlign w:val="superscript"/>
        </w:rPr>
        <w:t>[8]</w:t>
      </w:r>
      <w:r w:rsidRPr="00F04BAD">
        <w:rPr>
          <w:rFonts w:ascii="Book Antiqua" w:eastAsia="Book Antiqua" w:hAnsi="Book Antiqua" w:cs="Book Antiqua"/>
          <w:color w:val="000000" w:themeColor="text1"/>
        </w:rPr>
        <w:t>. As previously mentioned, DNMTi</w:t>
      </w:r>
      <w:r w:rsidR="009E218E"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also constitute promising partners for ICI, and particularly 5-azacytidine. In a transplantable mammary carcinoma and mesothelioma murine models, the use of 5-azacytidine increases the anti-CTLA-4 anti-tumor efficiency</w:t>
      </w:r>
      <w:r w:rsidRPr="00F04BAD">
        <w:rPr>
          <w:rFonts w:ascii="Book Antiqua" w:eastAsia="Book Antiqua" w:hAnsi="Book Antiqua" w:cs="Book Antiqua"/>
          <w:color w:val="000000" w:themeColor="text1"/>
          <w:vertAlign w:val="superscript"/>
        </w:rPr>
        <w:t>[166]</w:t>
      </w:r>
      <w:r w:rsidRPr="00F04BAD">
        <w:rPr>
          <w:rFonts w:ascii="Book Antiqua" w:eastAsia="Book Antiqua" w:hAnsi="Book Antiqua" w:cs="Book Antiqua"/>
          <w:color w:val="000000" w:themeColor="text1"/>
        </w:rPr>
        <w:t xml:space="preserve">. A combination of anti-CTLA-4 and anti-PD-1 together with the two epigenetic modulatory drugs 5-azacytidine and the HDACi </w:t>
      </w:r>
      <w:r w:rsidR="003177F2" w:rsidRPr="00FD5C87">
        <w:rPr>
          <w:rFonts w:ascii="Book Antiqua" w:eastAsia="Book Antiqua" w:hAnsi="Book Antiqua" w:cs="Book Antiqua"/>
          <w:color w:val="000000" w:themeColor="text1"/>
        </w:rPr>
        <w:t>e</w:t>
      </w:r>
      <w:r w:rsidRPr="00F04BAD">
        <w:rPr>
          <w:rFonts w:ascii="Book Antiqua" w:eastAsia="Book Antiqua" w:hAnsi="Book Antiqua" w:cs="Book Antiqua"/>
          <w:color w:val="000000" w:themeColor="text1"/>
        </w:rPr>
        <w:t>ntinostat could eradicate tumors in mice with colorectal or metastatic breast cancers. These combined strategies mainly inhibit the suppressive activity of Granulocytic-MDSCs against intratumor T cell killing</w:t>
      </w:r>
      <w:r w:rsidRPr="00F04BAD">
        <w:rPr>
          <w:rFonts w:ascii="Book Antiqua" w:eastAsia="Book Antiqua" w:hAnsi="Book Antiqua" w:cs="Book Antiqua"/>
          <w:color w:val="000000" w:themeColor="text1"/>
          <w:vertAlign w:val="superscript"/>
        </w:rPr>
        <w:t>[167]</w:t>
      </w:r>
      <w:r w:rsidRPr="00F04BAD">
        <w:rPr>
          <w:rFonts w:ascii="Book Antiqua" w:eastAsia="Book Antiqua" w:hAnsi="Book Antiqua" w:cs="Book Antiqua"/>
          <w:color w:val="000000" w:themeColor="text1"/>
        </w:rPr>
        <w:t xml:space="preserve">. Many phase </w:t>
      </w:r>
      <w:r w:rsidR="003177F2" w:rsidRPr="00FD5C87">
        <w:rPr>
          <w:rFonts w:ascii="Book Antiqua" w:eastAsia="Book Antiqua" w:hAnsi="Book Antiqua" w:cs="Book Antiqua"/>
          <w:color w:val="000000" w:themeColor="text1"/>
        </w:rPr>
        <w:t>2</w:t>
      </w:r>
      <w:r w:rsidRPr="00F04BAD">
        <w:rPr>
          <w:rFonts w:ascii="Book Antiqua" w:eastAsia="Book Antiqua" w:hAnsi="Book Antiqua" w:cs="Book Antiqua"/>
          <w:color w:val="000000" w:themeColor="text1"/>
        </w:rPr>
        <w:t xml:space="preserve"> trials are currently tested the impact of </w:t>
      </w:r>
      <w:r w:rsidR="003177F2" w:rsidRPr="00FD5C87">
        <w:rPr>
          <w:rFonts w:ascii="Book Antiqua" w:eastAsia="Book Antiqua" w:hAnsi="Book Antiqua" w:cs="Book Antiqua"/>
          <w:color w:val="000000" w:themeColor="text1"/>
        </w:rPr>
        <w:t>e</w:t>
      </w:r>
      <w:r w:rsidRPr="00F04BAD">
        <w:rPr>
          <w:rFonts w:ascii="Book Antiqua" w:eastAsia="Book Antiqua" w:hAnsi="Book Antiqua" w:cs="Book Antiqua"/>
          <w:color w:val="000000" w:themeColor="text1"/>
        </w:rPr>
        <w:t>ntinostat with ICI in several cancer</w:t>
      </w:r>
      <w:r w:rsidR="009E218E"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(Table </w:t>
      </w:r>
      <w:r w:rsidR="00242775" w:rsidRPr="00F04BAD">
        <w:rPr>
          <w:rFonts w:ascii="Book Antiqua" w:hAnsi="Book Antiqua" w:cs="Book Antiqua"/>
          <w:color w:val="000000" w:themeColor="text1"/>
          <w:lang w:eastAsia="zh-CN"/>
        </w:rPr>
        <w:t>1</w:t>
      </w:r>
      <w:r w:rsidRPr="00F04BAD">
        <w:rPr>
          <w:rFonts w:ascii="Book Antiqua" w:eastAsia="Book Antiqua" w:hAnsi="Book Antiqua" w:cs="Book Antiqua"/>
          <w:color w:val="000000" w:themeColor="text1"/>
        </w:rPr>
        <w:t>)</w:t>
      </w:r>
      <w:r w:rsidR="00242775" w:rsidRPr="00F04BAD">
        <w:rPr>
          <w:rFonts w:ascii="Book Antiqua" w:hAnsi="Book Antiqua" w:cs="Book Antiqua"/>
          <w:color w:val="000000" w:themeColor="text1"/>
          <w:lang w:eastAsia="zh-CN"/>
        </w:rPr>
        <w:t>.</w:t>
      </w:r>
    </w:p>
    <w:p w14:paraId="68169935" w14:textId="4AACBE0F" w:rsidR="00A77B3E" w:rsidRPr="00F04BAD" w:rsidRDefault="000D0918" w:rsidP="00242775">
      <w:pPr>
        <w:spacing w:line="360" w:lineRule="auto"/>
        <w:ind w:firstLineChars="100" w:firstLine="240"/>
        <w:jc w:val="both"/>
        <w:rPr>
          <w:rFonts w:ascii="Book Antiqua" w:hAnsi="Book Antiqua"/>
          <w:color w:val="000000" w:themeColor="text1"/>
          <w:lang w:eastAsia="zh-CN"/>
        </w:rPr>
      </w:pPr>
      <w:r w:rsidRPr="00F04BAD">
        <w:rPr>
          <w:rFonts w:ascii="Book Antiqua" w:eastAsia="Book Antiqua" w:hAnsi="Book Antiqua" w:cs="Book Antiqua"/>
          <w:color w:val="000000" w:themeColor="text1"/>
        </w:rPr>
        <w:t>HCC tumors arise in fibrotic livers enriched in MDSCs with less infiltrating lymphocytes inside the tumor</w:t>
      </w:r>
      <w:r w:rsidRPr="00F04BAD">
        <w:rPr>
          <w:rFonts w:ascii="Book Antiqua" w:eastAsia="Book Antiqua" w:hAnsi="Book Antiqua" w:cs="Book Antiqua"/>
          <w:color w:val="000000" w:themeColor="text1"/>
          <w:vertAlign w:val="superscript"/>
        </w:rPr>
        <w:t>[168]</w:t>
      </w:r>
      <w:r w:rsidRPr="00F04BAD">
        <w:rPr>
          <w:rFonts w:ascii="Book Antiqua" w:eastAsia="Book Antiqua" w:hAnsi="Book Antiqua" w:cs="Book Antiqua"/>
          <w:color w:val="000000" w:themeColor="text1"/>
        </w:rPr>
        <w:t>. MDSC enrichment is also correlated with an aggressive tumor phenotype and a poor survival rate. Liu</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et al</w:t>
      </w:r>
      <w:r w:rsidR="00242775" w:rsidRPr="00F04BAD">
        <w:rPr>
          <w:rFonts w:ascii="Book Antiqua" w:eastAsia="Book Antiqua" w:hAnsi="Book Antiqua" w:cs="Book Antiqua"/>
          <w:color w:val="000000" w:themeColor="text1"/>
          <w:vertAlign w:val="superscript"/>
        </w:rPr>
        <w:t>[144]</w:t>
      </w:r>
      <w:r w:rsidR="00242775" w:rsidRPr="00F04BAD">
        <w:rPr>
          <w:rFonts w:ascii="Book Antiqua" w:hAnsi="Book Antiqua" w:cs="Book Antiqua"/>
          <w:iCs/>
          <w:color w:val="000000" w:themeColor="text1"/>
          <w:lang w:eastAsia="zh-CN"/>
        </w:rPr>
        <w:t xml:space="preserve"> </w:t>
      </w:r>
      <w:r w:rsidRPr="00F04BAD">
        <w:rPr>
          <w:rFonts w:ascii="Book Antiqua" w:eastAsia="Book Antiqua" w:hAnsi="Book Antiqua" w:cs="Book Antiqua"/>
          <w:color w:val="000000" w:themeColor="text1"/>
        </w:rPr>
        <w:t xml:space="preserve">show on a fibrotic-HCC mouse model that inhibiting monocytic MDSCs with a combination of </w:t>
      </w:r>
      <w:r w:rsidR="003177F2" w:rsidRPr="00FD5C87">
        <w:rPr>
          <w:rFonts w:ascii="Book Antiqua" w:eastAsia="Book Antiqua" w:hAnsi="Book Antiqua" w:cs="Book Antiqua"/>
          <w:color w:val="000000" w:themeColor="text1"/>
        </w:rPr>
        <w:t>m</w:t>
      </w:r>
      <w:r w:rsidRPr="00F04BAD">
        <w:rPr>
          <w:rFonts w:ascii="Book Antiqua" w:eastAsia="Book Antiqua" w:hAnsi="Book Antiqua" w:cs="Book Antiqua"/>
          <w:color w:val="000000" w:themeColor="text1"/>
        </w:rPr>
        <w:t xml:space="preserve">olibresib, a BET bromodomain inhibitor, with an anti-PD-L1 therapy could enhance </w:t>
      </w:r>
      <w:r w:rsidR="00697DB4" w:rsidRPr="00F04BAD">
        <w:rPr>
          <w:rFonts w:ascii="Book Antiqua" w:eastAsia="Book Antiqua" w:hAnsi="Book Antiqua" w:cs="Book Antiqua"/>
          <w:color w:val="000000" w:themeColor="text1"/>
        </w:rPr>
        <w:t>TIL</w:t>
      </w:r>
      <w:r w:rsidR="00082D72"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and extend mouse survival even with a complete tumor regression</w:t>
      </w:r>
      <w:r w:rsidRPr="00F04BAD">
        <w:rPr>
          <w:rFonts w:ascii="Book Antiqua" w:eastAsia="Book Antiqua" w:hAnsi="Book Antiqua" w:cs="Book Antiqua"/>
          <w:color w:val="000000" w:themeColor="text1"/>
          <w:vertAlign w:val="superscript"/>
        </w:rPr>
        <w:t>[144]</w:t>
      </w:r>
      <w:r w:rsidRPr="00F04BAD">
        <w:rPr>
          <w:rFonts w:ascii="Book Antiqua" w:eastAsia="Book Antiqua" w:hAnsi="Book Antiqua" w:cs="Book Antiqua"/>
          <w:color w:val="000000" w:themeColor="text1"/>
        </w:rPr>
        <w:t>. Inhibition of EZH2 and DNMT1 by DZNep and 5-</w:t>
      </w:r>
      <w:r w:rsidR="00082D72" w:rsidRPr="00F04BAD">
        <w:rPr>
          <w:rFonts w:ascii="Book Antiqua" w:eastAsia="Book Antiqua" w:hAnsi="Book Antiqua" w:cs="Book Antiqua"/>
          <w:color w:val="000000" w:themeColor="text1"/>
        </w:rPr>
        <w:t>a</w:t>
      </w:r>
      <w:r w:rsidRPr="00F04BAD">
        <w:rPr>
          <w:rFonts w:ascii="Book Antiqua" w:eastAsia="Book Antiqua" w:hAnsi="Book Antiqua" w:cs="Book Antiqua"/>
          <w:color w:val="000000" w:themeColor="text1"/>
        </w:rPr>
        <w:t>zacytidine respectively, led to tumor regression after anti-PD-L1 treatment of a subcutaneous HCC cell mouse model (HepG2, G-Hep3B and Hepa1-6). This increases cytotoxic T lymphocyte trafficking and promotes cancer cell apoptosis</w:t>
      </w:r>
      <w:r w:rsidRPr="00F04BAD">
        <w:rPr>
          <w:rFonts w:ascii="Book Antiqua" w:eastAsia="Book Antiqua" w:hAnsi="Book Antiqua" w:cs="Book Antiqua"/>
          <w:color w:val="000000" w:themeColor="text1"/>
          <w:vertAlign w:val="superscript"/>
        </w:rPr>
        <w:t>[169]</w:t>
      </w:r>
      <w:r w:rsidRPr="00F04BAD">
        <w:rPr>
          <w:rFonts w:ascii="Book Antiqua" w:eastAsia="Book Antiqua" w:hAnsi="Book Antiqua" w:cs="Book Antiqua"/>
          <w:color w:val="000000" w:themeColor="text1"/>
        </w:rPr>
        <w:t>. A second generation of DNMTi molecule, guadecitabine, shows interesting optimization of immunotherapy treatment. Guadecitabine is actually under a clinical trial as a monotherapy in HCC patients and shows a better stability and performance than the first generation DNMTis</w:t>
      </w:r>
      <w:r w:rsidRPr="00F04BAD">
        <w:rPr>
          <w:rFonts w:ascii="Book Antiqua" w:eastAsia="Book Antiqua" w:hAnsi="Book Antiqua" w:cs="Book Antiqua"/>
          <w:color w:val="000000" w:themeColor="text1"/>
          <w:vertAlign w:val="superscript"/>
        </w:rPr>
        <w:t>[130]</w:t>
      </w:r>
      <w:r w:rsidRPr="00F04BAD">
        <w:rPr>
          <w:rFonts w:ascii="Book Antiqua" w:eastAsia="Book Antiqua" w:hAnsi="Book Antiqua" w:cs="Book Antiqua"/>
          <w:color w:val="000000" w:themeColor="text1"/>
        </w:rPr>
        <w:t xml:space="preserve">. Other clinical trials with this DNMTi are actually ongoing in combination with ICI including in HCC (Table </w:t>
      </w:r>
      <w:r w:rsidR="00242775" w:rsidRPr="00F04BAD">
        <w:rPr>
          <w:rFonts w:ascii="Book Antiqua" w:hAnsi="Book Antiqua" w:cs="Book Antiqua"/>
          <w:color w:val="000000" w:themeColor="text1"/>
          <w:lang w:eastAsia="zh-CN"/>
        </w:rPr>
        <w:t>1</w:t>
      </w:r>
      <w:r w:rsidRPr="00F04BAD">
        <w:rPr>
          <w:rFonts w:ascii="Book Antiqua" w:eastAsia="Book Antiqua" w:hAnsi="Book Antiqua" w:cs="Book Antiqua"/>
          <w:color w:val="000000" w:themeColor="text1"/>
        </w:rPr>
        <w:t>). HDACi have also been tested in HCC. In a subcutaneous Hepa129 murine model, Llopiz</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i/>
          <w:iCs/>
          <w:color w:val="000000" w:themeColor="text1"/>
        </w:rPr>
        <w:t>et al</w:t>
      </w:r>
      <w:r w:rsidR="00242775" w:rsidRPr="00F04BAD">
        <w:rPr>
          <w:rFonts w:ascii="Book Antiqua" w:eastAsia="Book Antiqua" w:hAnsi="Book Antiqua" w:cs="Book Antiqua"/>
          <w:color w:val="000000" w:themeColor="text1"/>
          <w:vertAlign w:val="superscript"/>
        </w:rPr>
        <w:t>[170]</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demonstrate that the HDACi </w:t>
      </w:r>
      <w:r w:rsidR="00242775" w:rsidRPr="00F04BAD">
        <w:rPr>
          <w:rFonts w:ascii="Book Antiqua" w:hAnsi="Book Antiqua" w:cs="Book Antiqua"/>
          <w:color w:val="000000" w:themeColor="text1"/>
          <w:lang w:eastAsia="zh-CN"/>
        </w:rPr>
        <w:t>b</w:t>
      </w:r>
      <w:r w:rsidRPr="00F04BAD">
        <w:rPr>
          <w:rFonts w:ascii="Book Antiqua" w:eastAsia="Book Antiqua" w:hAnsi="Book Antiqua" w:cs="Book Antiqua"/>
          <w:color w:val="000000" w:themeColor="text1"/>
        </w:rPr>
        <w:t>elinostat increases the anti-tumor activity of anti-CTLA-4 therapy. This combination enhances IFN-</w:t>
      </w:r>
      <w:r w:rsidR="00242775" w:rsidRPr="00F04BAD">
        <w:rPr>
          <w:rFonts w:ascii="Book Antiqua" w:eastAsia="Book Antiqua" w:hAnsi="Book Antiqua" w:cs="Book Antiqua"/>
          <w:color w:val="000000" w:themeColor="text1"/>
        </w:rPr>
        <w:t>γ</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production by T-cells and decreases the number of Tregs. It also induces an early upregulation of PD-L1 on tumor-specific APCs and delay PD-1 expression on TILs. Furthermore, </w:t>
      </w:r>
      <w:r w:rsidR="00242775" w:rsidRPr="00F04BAD">
        <w:rPr>
          <w:rFonts w:ascii="Book Antiqua" w:hAnsi="Book Antiqua" w:cs="Book Antiqua"/>
          <w:color w:val="000000" w:themeColor="text1"/>
          <w:lang w:eastAsia="zh-CN"/>
        </w:rPr>
        <w:t>b</w:t>
      </w:r>
      <w:r w:rsidRPr="00F04BAD">
        <w:rPr>
          <w:rFonts w:ascii="Book Antiqua" w:eastAsia="Book Antiqua" w:hAnsi="Book Antiqua" w:cs="Book Antiqua"/>
          <w:color w:val="000000" w:themeColor="text1"/>
        </w:rPr>
        <w:t>elinostat combined to CTLA-4 and PD-1 blockade leads to a complete tumor rejection</w:t>
      </w:r>
      <w:r w:rsidRPr="00F04BAD">
        <w:rPr>
          <w:rFonts w:ascii="Book Antiqua" w:eastAsia="Book Antiqua" w:hAnsi="Book Antiqua" w:cs="Book Antiqua"/>
          <w:color w:val="000000" w:themeColor="text1"/>
          <w:vertAlign w:val="superscript"/>
        </w:rPr>
        <w:t>[170]</w:t>
      </w:r>
      <w:r w:rsidRPr="00F04BAD">
        <w:rPr>
          <w:rFonts w:ascii="Book Antiqua" w:eastAsia="Book Antiqua" w:hAnsi="Book Antiqua" w:cs="Book Antiqua"/>
          <w:color w:val="000000" w:themeColor="text1"/>
        </w:rPr>
        <w:t>.</w:t>
      </w:r>
    </w:p>
    <w:p w14:paraId="46008482" w14:textId="77777777" w:rsidR="00A77B3E" w:rsidRPr="00F04BAD" w:rsidRDefault="00A77B3E">
      <w:pPr>
        <w:spacing w:line="360" w:lineRule="auto"/>
        <w:jc w:val="both"/>
        <w:rPr>
          <w:rFonts w:ascii="Book Antiqua" w:hAnsi="Book Antiqua"/>
          <w:color w:val="000000" w:themeColor="text1"/>
        </w:rPr>
      </w:pPr>
    </w:p>
    <w:p w14:paraId="1CE84B8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aps/>
          <w:color w:val="000000" w:themeColor="text1"/>
          <w:u w:val="single"/>
        </w:rPr>
        <w:t>CONCLUSION</w:t>
      </w:r>
    </w:p>
    <w:p w14:paraId="16A6BE95" w14:textId="60041FBC"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The liver is a highly complex organ which orchestrates fundamental metabolisms finely regulated at the transcriptional and epigenetic level. Liver parenchyma also harbors a specialized immune system playing a central role in liver homeostasis with the constant management of toxins, diet or bacteria susceptible to trigger deleterious inflammation. However, when toxin and pathogenic insults get into chronicity, liver inflammation could sensitize to cancer development in part by immune suppression mechanisms. Thus, this peculiar tumor microenvironment constitutes an interesting opportunity to therapeutic avenues based on </w:t>
      </w:r>
      <w:r w:rsidR="00697DB4" w:rsidRPr="00F04BAD">
        <w:rPr>
          <w:rFonts w:ascii="Book Antiqua" w:eastAsia="Book Antiqua" w:hAnsi="Book Antiqua" w:cs="Book Antiqua"/>
          <w:color w:val="000000" w:themeColor="text1"/>
        </w:rPr>
        <w:t>ICI</w:t>
      </w:r>
      <w:r w:rsidRPr="00F04BAD">
        <w:rPr>
          <w:rFonts w:ascii="Book Antiqua" w:eastAsia="Book Antiqua" w:hAnsi="Book Antiqua" w:cs="Book Antiqua"/>
          <w:color w:val="000000" w:themeColor="text1"/>
        </w:rPr>
        <w:t>s. Due to its high complexity, HCC response to conventional therapies is quite heterogeneous and frequently associated with poor outcome, rendering this cancer one of the deadliest cancers in the world. While several solid tumors are good responders to immunotherapy, ICIs in HCC show disappointing results, especially on β-catenin mutated HCC</w:t>
      </w:r>
      <w:r w:rsidR="005C73AC"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even if ICIs have given better results than tyrosine kinase inhibitors particularly in terms of prolonged response. Contrary to other solid tumors, personalized therapies for HCC are more complex to define, in particular because of tumor appearance in a context of cirrhotic livers with high level of inflammation and damages. Even if genomic analyses of the tumor mutational background have already classified HCC</w:t>
      </w:r>
      <w:r w:rsidR="005C73AC" w:rsidRPr="00F04BAD">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a translational approach taking into account the immune cell pattern, inside and outside the tumor, but also their respective epigenetic state, regarding DNA methylation level or histone marks, will be of therapeutic benefit to select the more efficient therapy for each patient. The bi-therapy combining immunotherapies either with anti-angiogenic agents or epigenetic drugs currently appear</w:t>
      </w:r>
      <w:r w:rsidR="00FD3ED7" w:rsidRPr="00F04BAD">
        <w:rPr>
          <w:rFonts w:ascii="Book Antiqua" w:hAnsi="Book Antiqua" w:cs="Book Antiqua"/>
          <w:color w:val="000000" w:themeColor="text1"/>
          <w:lang w:eastAsia="zh-CN"/>
        </w:rPr>
        <w:t>s</w:t>
      </w:r>
      <w:r w:rsidRPr="00F04BAD">
        <w:rPr>
          <w:rFonts w:ascii="Book Antiqua" w:eastAsia="Book Antiqua" w:hAnsi="Book Antiqua" w:cs="Book Antiqua"/>
          <w:color w:val="000000" w:themeColor="text1"/>
        </w:rPr>
        <w:t xml:space="preserve"> as the most promising to treat HCC patients. It is now well known that multiple epigenetic modulations can lead to the modification of tumor microenvironment by expressing TAAs, immune checkpoint ligands, costimulatory molecules and death-induced ligands or receptors at the cell surface. Therefore, using epigenetic agents to prime the microenvironment before immunotherapy may favor a better outcome for patients with a re-polarization of immune cells towards an efficient anti-cancer response. Several clinical studies </w:t>
      </w:r>
      <w:r w:rsidR="005C73AC" w:rsidRPr="00F04BAD">
        <w:rPr>
          <w:rFonts w:ascii="Book Antiqua" w:eastAsia="Book Antiqua" w:hAnsi="Book Antiqua" w:cs="Book Antiqua"/>
          <w:color w:val="000000" w:themeColor="text1"/>
        </w:rPr>
        <w:t xml:space="preserve">have </w:t>
      </w:r>
      <w:r w:rsidRPr="00F04BAD">
        <w:rPr>
          <w:rFonts w:ascii="Book Antiqua" w:eastAsia="Book Antiqua" w:hAnsi="Book Antiqua" w:cs="Book Antiqua"/>
          <w:color w:val="000000" w:themeColor="text1"/>
        </w:rPr>
        <w:t>already show</w:t>
      </w:r>
      <w:r w:rsidR="005C73AC" w:rsidRPr="00F04BAD">
        <w:rPr>
          <w:rFonts w:ascii="Book Antiqua" w:eastAsia="Book Antiqua" w:hAnsi="Book Antiqua" w:cs="Book Antiqua"/>
          <w:color w:val="000000" w:themeColor="text1"/>
        </w:rPr>
        <w:t>n</w:t>
      </w:r>
      <w:r w:rsidRPr="00F04BAD">
        <w:rPr>
          <w:rFonts w:ascii="Book Antiqua" w:eastAsia="Book Antiqua" w:hAnsi="Book Antiqua" w:cs="Book Antiqua"/>
          <w:color w:val="000000" w:themeColor="text1"/>
        </w:rPr>
        <w:t xml:space="preserve"> that these bi-therapies are efficient in </w:t>
      </w:r>
      <w:r w:rsidRPr="00F04BAD">
        <w:rPr>
          <w:rFonts w:ascii="Book Antiqua" w:eastAsia="Book Antiqua" w:hAnsi="Book Antiqua" w:cs="Book Antiqua"/>
          <w:color w:val="000000" w:themeColor="text1"/>
        </w:rPr>
        <w:lastRenderedPageBreak/>
        <w:t>different solid tumors like pulmonary cancer, melanoma and colon cancers. Recently, results from clinical trials with epigenetic drugs and immunotherapy on advanced HCC patients showed interesting results with an extension of patient OS. These new combined therapies could be the new hope for HCC treatment. However, these clinical trials were only performed on advanced HCCs and it would be necessary to test these on HCC of lower grade because these treatments may be more efficient on these subgroups. The important point in close future is to identify predictive biomarkers, based on patient responses during clinical trials, to predict patient that will respond to treatment or not. Correlative studies are thus a prerequisite to create guidelines for personalized treatments and sequencing therapies to counteract immune dysfunction and overcome the current barriers to immunotherapies in HCC.</w:t>
      </w:r>
    </w:p>
    <w:p w14:paraId="15EA1E9E" w14:textId="77777777" w:rsidR="00A77B3E" w:rsidRPr="00F04BAD" w:rsidRDefault="00A77B3E">
      <w:pPr>
        <w:spacing w:line="360" w:lineRule="auto"/>
        <w:jc w:val="both"/>
        <w:rPr>
          <w:rFonts w:ascii="Book Antiqua" w:hAnsi="Book Antiqua"/>
          <w:color w:val="000000" w:themeColor="text1"/>
        </w:rPr>
      </w:pPr>
    </w:p>
    <w:p w14:paraId="51A5479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REFERENCES</w:t>
      </w:r>
    </w:p>
    <w:p w14:paraId="4CB98FC1" w14:textId="77777777" w:rsidR="00A77B3E" w:rsidRPr="00F04BAD" w:rsidRDefault="000D0918">
      <w:pPr>
        <w:spacing w:line="360" w:lineRule="auto"/>
        <w:jc w:val="both"/>
        <w:rPr>
          <w:rFonts w:ascii="Book Antiqua" w:hAnsi="Book Antiqua"/>
          <w:color w:val="000000" w:themeColor="text1"/>
        </w:rPr>
      </w:pPr>
      <w:bookmarkStart w:id="5" w:name="OLE_LINK18"/>
      <w:r w:rsidRPr="00F04BAD">
        <w:rPr>
          <w:rFonts w:ascii="Book Antiqua" w:eastAsia="Book Antiqua" w:hAnsi="Book Antiqua" w:cs="Book Antiqua"/>
          <w:color w:val="000000" w:themeColor="text1"/>
        </w:rPr>
        <w:t xml:space="preserve">1 </w:t>
      </w:r>
      <w:r w:rsidRPr="00F04BAD">
        <w:rPr>
          <w:rFonts w:ascii="Book Antiqua" w:eastAsia="Book Antiqua" w:hAnsi="Book Antiqua" w:cs="Book Antiqua"/>
          <w:b/>
          <w:bCs/>
          <w:color w:val="000000" w:themeColor="text1"/>
        </w:rPr>
        <w:t>Bray F</w:t>
      </w:r>
      <w:r w:rsidRPr="00F04BAD">
        <w:rPr>
          <w:rFonts w:ascii="Book Antiqua" w:eastAsia="Book Antiqua" w:hAnsi="Book Antiqua" w:cs="Book Antiqua"/>
          <w:color w:val="000000" w:themeColor="text1"/>
        </w:rPr>
        <w:t xml:space="preserve">, Ferlay J, Soerjomataram I, Siegel RL, Torre LA, Jemal A. Global cancer statistics 2018: GLOBOCAN estimates of incidence and mortality worldwide for 36 cancers in 185 countries. </w:t>
      </w:r>
      <w:r w:rsidRPr="00F04BAD">
        <w:rPr>
          <w:rFonts w:ascii="Book Antiqua" w:eastAsia="Book Antiqua" w:hAnsi="Book Antiqua" w:cs="Book Antiqua"/>
          <w:i/>
          <w:iCs/>
          <w:color w:val="000000" w:themeColor="text1"/>
        </w:rPr>
        <w:t>CA Cancer J Clin</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68</w:t>
      </w:r>
      <w:r w:rsidRPr="00F04BAD">
        <w:rPr>
          <w:rFonts w:ascii="Book Antiqua" w:eastAsia="Book Antiqua" w:hAnsi="Book Antiqua" w:cs="Book Antiqua"/>
          <w:color w:val="000000" w:themeColor="text1"/>
        </w:rPr>
        <w:t>: 394-424 [PMID: 30207593 DOI: 10.3322/caac.21492]</w:t>
      </w:r>
    </w:p>
    <w:p w14:paraId="05CCB5A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 </w:t>
      </w:r>
      <w:r w:rsidRPr="00F04BAD">
        <w:rPr>
          <w:rFonts w:ascii="Book Antiqua" w:eastAsia="Book Antiqua" w:hAnsi="Book Antiqua" w:cs="Book Antiqua"/>
          <w:b/>
          <w:bCs/>
          <w:color w:val="000000" w:themeColor="text1"/>
        </w:rPr>
        <w:t>Boyault S</w:t>
      </w:r>
      <w:r w:rsidRPr="00F04BAD">
        <w:rPr>
          <w:rFonts w:ascii="Book Antiqua" w:eastAsia="Book Antiqua" w:hAnsi="Book Antiqua" w:cs="Book Antiqua"/>
          <w:color w:val="000000" w:themeColor="text1"/>
        </w:rPr>
        <w:t xml:space="preserve">, Rickman DS, de Reyniès A, Balabaud C, Rebouissou S, Jeannot E, Hérault A, Saric J, Belghiti J, Franco D, Bioulac-Sage P, Laurent-Puig P, Zucman-Rossi J. Transcriptome classification of HCC is related to gene alterations and to new therapeutic targets.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2007; </w:t>
      </w:r>
      <w:r w:rsidRPr="00F04BAD">
        <w:rPr>
          <w:rFonts w:ascii="Book Antiqua" w:eastAsia="Book Antiqua" w:hAnsi="Book Antiqua" w:cs="Book Antiqua"/>
          <w:b/>
          <w:bCs/>
          <w:color w:val="000000" w:themeColor="text1"/>
        </w:rPr>
        <w:t>45</w:t>
      </w:r>
      <w:r w:rsidRPr="00F04BAD">
        <w:rPr>
          <w:rFonts w:ascii="Book Antiqua" w:eastAsia="Book Antiqua" w:hAnsi="Book Antiqua" w:cs="Book Antiqua"/>
          <w:color w:val="000000" w:themeColor="text1"/>
        </w:rPr>
        <w:t>: 42-52 [PMID: 17187432 DOI: 10.1002/hep.21467]</w:t>
      </w:r>
    </w:p>
    <w:p w14:paraId="1961C00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 </w:t>
      </w:r>
      <w:r w:rsidRPr="00F04BAD">
        <w:rPr>
          <w:rFonts w:ascii="Book Antiqua" w:eastAsia="Book Antiqua" w:hAnsi="Book Antiqua" w:cs="Book Antiqua"/>
          <w:b/>
          <w:bCs/>
          <w:color w:val="000000" w:themeColor="text1"/>
        </w:rPr>
        <w:t>Guichard C</w:t>
      </w:r>
      <w:r w:rsidRPr="00F04BAD">
        <w:rPr>
          <w:rFonts w:ascii="Book Antiqua" w:eastAsia="Book Antiqua" w:hAnsi="Book Antiqua" w:cs="Book Antiqua"/>
          <w:color w:val="000000" w:themeColor="text1"/>
        </w:rPr>
        <w:t xml:space="preserve">, Amaddeo G, Imbeaud S, Ladeiro Y, Pelletier L, Maad IB, Calderaro J, Bioulac-Sage P, Letexier M, Degos F, Clément B, Balabaud C, Chevet E, Laurent A, Couchy G, Letouzé E, Calvo F, Zucman-Rossi J. Integrated analysis of somatic mutations and focal copy-number changes identifies key genes and pathways in hepatocellular carcinoma. </w:t>
      </w:r>
      <w:r w:rsidRPr="00F04BAD">
        <w:rPr>
          <w:rFonts w:ascii="Book Antiqua" w:eastAsia="Book Antiqua" w:hAnsi="Book Antiqua" w:cs="Book Antiqua"/>
          <w:i/>
          <w:iCs/>
          <w:color w:val="000000" w:themeColor="text1"/>
        </w:rPr>
        <w:t>Nat Genet</w:t>
      </w:r>
      <w:r w:rsidRPr="00F04BAD">
        <w:rPr>
          <w:rFonts w:ascii="Book Antiqua" w:eastAsia="Book Antiqua" w:hAnsi="Book Antiqua" w:cs="Book Antiqua"/>
          <w:color w:val="000000" w:themeColor="text1"/>
        </w:rPr>
        <w:t xml:space="preserve"> 2012; </w:t>
      </w:r>
      <w:r w:rsidRPr="00F04BAD">
        <w:rPr>
          <w:rFonts w:ascii="Book Antiqua" w:eastAsia="Book Antiqua" w:hAnsi="Book Antiqua" w:cs="Book Antiqua"/>
          <w:b/>
          <w:bCs/>
          <w:color w:val="000000" w:themeColor="text1"/>
        </w:rPr>
        <w:t>44</w:t>
      </w:r>
      <w:r w:rsidRPr="00F04BAD">
        <w:rPr>
          <w:rFonts w:ascii="Book Antiqua" w:eastAsia="Book Antiqua" w:hAnsi="Book Antiqua" w:cs="Book Antiqua"/>
          <w:color w:val="000000" w:themeColor="text1"/>
        </w:rPr>
        <w:t>: 694-698 [PMID: 22561517 DOI: 10.1038/ng.2256]</w:t>
      </w:r>
    </w:p>
    <w:p w14:paraId="560FB54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 </w:t>
      </w:r>
      <w:r w:rsidRPr="00F04BAD">
        <w:rPr>
          <w:rFonts w:ascii="Book Antiqua" w:eastAsia="Book Antiqua" w:hAnsi="Book Antiqua" w:cs="Book Antiqua"/>
          <w:b/>
          <w:bCs/>
          <w:color w:val="000000" w:themeColor="text1"/>
        </w:rPr>
        <w:t>Schulze K</w:t>
      </w:r>
      <w:r w:rsidRPr="00F04BAD">
        <w:rPr>
          <w:rFonts w:ascii="Book Antiqua" w:eastAsia="Book Antiqua" w:hAnsi="Book Antiqua" w:cs="Book Antiqua"/>
          <w:color w:val="000000" w:themeColor="text1"/>
        </w:rPr>
        <w:t xml:space="preserve">, Imbeaud S, Letouzé E, Alexandrov LB, Calderaro J, Rebouissou S, Couchy G, Meiller C, Shinde J, Soysouvanh F, Calatayud AL, Pinyol R, Pelletier L, Balabaud C, Laurent A, Blanc JF, Mazzaferro V, Calvo F, Villanueva A, Nault JC, Bioulac-Sage P, Stratton MR, Llovet JM, Zucman-Rossi J. Exome sequencing of hepatocellular carcinomas </w:t>
      </w:r>
      <w:r w:rsidRPr="00F04BAD">
        <w:rPr>
          <w:rFonts w:ascii="Book Antiqua" w:eastAsia="Book Antiqua" w:hAnsi="Book Antiqua" w:cs="Book Antiqua"/>
          <w:color w:val="000000" w:themeColor="text1"/>
        </w:rPr>
        <w:lastRenderedPageBreak/>
        <w:t xml:space="preserve">identifies new mutational signatures and potential therapeutic targets. </w:t>
      </w:r>
      <w:r w:rsidRPr="00F04BAD">
        <w:rPr>
          <w:rFonts w:ascii="Book Antiqua" w:eastAsia="Book Antiqua" w:hAnsi="Book Antiqua" w:cs="Book Antiqua"/>
          <w:i/>
          <w:iCs/>
          <w:color w:val="000000" w:themeColor="text1"/>
        </w:rPr>
        <w:t>Nat Genet</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47</w:t>
      </w:r>
      <w:r w:rsidRPr="00F04BAD">
        <w:rPr>
          <w:rFonts w:ascii="Book Antiqua" w:eastAsia="Book Antiqua" w:hAnsi="Book Antiqua" w:cs="Book Antiqua"/>
          <w:color w:val="000000" w:themeColor="text1"/>
        </w:rPr>
        <w:t>: 505-511 [PMID: 25822088 DOI: 10.1038/ng.3252]</w:t>
      </w:r>
    </w:p>
    <w:p w14:paraId="33A9AF7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 </w:t>
      </w:r>
      <w:r w:rsidRPr="00F04BAD">
        <w:rPr>
          <w:rFonts w:ascii="Book Antiqua" w:eastAsia="Book Antiqua" w:hAnsi="Book Antiqua" w:cs="Book Antiqua"/>
          <w:b/>
          <w:bCs/>
          <w:color w:val="000000" w:themeColor="text1"/>
        </w:rPr>
        <w:t>Gougelet A</w:t>
      </w:r>
      <w:r w:rsidRPr="00F04BAD">
        <w:rPr>
          <w:rFonts w:ascii="Book Antiqua" w:eastAsia="Book Antiqua" w:hAnsi="Book Antiqua" w:cs="Book Antiqua"/>
          <w:color w:val="000000" w:themeColor="text1"/>
        </w:rPr>
        <w:t xml:space="preserve">, Desbois-Mouthon C. Non-coding RNAs open a new chapter in liver cancer treatment. </w:t>
      </w:r>
      <w:r w:rsidRPr="00F04BAD">
        <w:rPr>
          <w:rFonts w:ascii="Book Antiqua" w:eastAsia="Book Antiqua" w:hAnsi="Book Antiqua" w:cs="Book Antiqua"/>
          <w:i/>
          <w:iCs/>
          <w:color w:val="000000" w:themeColor="text1"/>
        </w:rPr>
        <w:t>Clin Res Hepatol Gastroenterol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43</w:t>
      </w:r>
      <w:r w:rsidRPr="00F04BAD">
        <w:rPr>
          <w:rFonts w:ascii="Book Antiqua" w:eastAsia="Book Antiqua" w:hAnsi="Book Antiqua" w:cs="Book Antiqua"/>
          <w:color w:val="000000" w:themeColor="text1"/>
        </w:rPr>
        <w:t>: 630-637 [PMID: 31401041 DOI: 10.1016/j.clinre.2019.07.005]</w:t>
      </w:r>
    </w:p>
    <w:p w14:paraId="0FBC75A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 </w:t>
      </w:r>
      <w:r w:rsidRPr="00F04BAD">
        <w:rPr>
          <w:rFonts w:ascii="Book Antiqua" w:eastAsia="Book Antiqua" w:hAnsi="Book Antiqua" w:cs="Book Antiqua"/>
          <w:b/>
          <w:bCs/>
          <w:color w:val="000000" w:themeColor="text1"/>
        </w:rPr>
        <w:t>Cheng Y</w:t>
      </w:r>
      <w:r w:rsidRPr="00F04BAD">
        <w:rPr>
          <w:rFonts w:ascii="Book Antiqua" w:eastAsia="Book Antiqua" w:hAnsi="Book Antiqua" w:cs="Book Antiqua"/>
          <w:color w:val="000000" w:themeColor="text1"/>
        </w:rPr>
        <w:t xml:space="preserve">, He C, Wang M, Ma X, Mo F, Yang S, Han J, Wei X. Targeting epigenetic regulators for cancer therapy: mechanisms and advances in clinical trials. </w:t>
      </w:r>
      <w:r w:rsidRPr="00F04BAD">
        <w:rPr>
          <w:rFonts w:ascii="Book Antiqua" w:eastAsia="Book Antiqua" w:hAnsi="Book Antiqua" w:cs="Book Antiqua"/>
          <w:i/>
          <w:iCs/>
          <w:color w:val="000000" w:themeColor="text1"/>
        </w:rPr>
        <w:t>Signal Transduct Target Ther</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62 [PMID: 31871779 DOI: 10.1038/s41392-019-0095-0]</w:t>
      </w:r>
    </w:p>
    <w:p w14:paraId="4BFADF0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 </w:t>
      </w:r>
      <w:r w:rsidRPr="00F04BAD">
        <w:rPr>
          <w:rFonts w:ascii="Book Antiqua" w:eastAsia="Book Antiqua" w:hAnsi="Book Antiqua" w:cs="Book Antiqua"/>
          <w:b/>
          <w:bCs/>
          <w:color w:val="000000" w:themeColor="text1"/>
        </w:rPr>
        <w:t>Ghoneim HE</w:t>
      </w:r>
      <w:r w:rsidRPr="00F04BAD">
        <w:rPr>
          <w:rFonts w:ascii="Book Antiqua" w:eastAsia="Book Antiqua" w:hAnsi="Book Antiqua" w:cs="Book Antiqua"/>
          <w:color w:val="000000" w:themeColor="text1"/>
        </w:rPr>
        <w:t xml:space="preserve">, Fan Y, Moustaki A, Abdelsamed HA, Dash P, Dogra P, Carter R, Awad W, Neale G, Thomas PG, Youngblood B. De Novo Epigenetic Programs Inhibit PD-1 Blockade-Mediated T Cell Rejuvenation. </w:t>
      </w:r>
      <w:r w:rsidRPr="00F04BAD">
        <w:rPr>
          <w:rFonts w:ascii="Book Antiqua" w:eastAsia="Book Antiqua" w:hAnsi="Book Antiqua" w:cs="Book Antiqua"/>
          <w:i/>
          <w:iCs/>
          <w:color w:val="000000" w:themeColor="text1"/>
        </w:rPr>
        <w:t>Cell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170</w:t>
      </w:r>
      <w:r w:rsidRPr="00F04BAD">
        <w:rPr>
          <w:rFonts w:ascii="Book Antiqua" w:eastAsia="Book Antiqua" w:hAnsi="Book Antiqua" w:cs="Book Antiqua"/>
          <w:color w:val="000000" w:themeColor="text1"/>
        </w:rPr>
        <w:t>: 142-157.e19 [PMID: 28648661 DOI: 10.1016/j.cell.2017.06.007]</w:t>
      </w:r>
    </w:p>
    <w:p w14:paraId="724A514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 </w:t>
      </w:r>
      <w:r w:rsidRPr="00F04BAD">
        <w:rPr>
          <w:rFonts w:ascii="Book Antiqua" w:eastAsia="Book Antiqua" w:hAnsi="Book Antiqua" w:cs="Book Antiqua"/>
          <w:b/>
          <w:bCs/>
          <w:color w:val="000000" w:themeColor="text1"/>
        </w:rPr>
        <w:t>Peng D</w:t>
      </w:r>
      <w:r w:rsidRPr="00F04BAD">
        <w:rPr>
          <w:rFonts w:ascii="Book Antiqua" w:eastAsia="Book Antiqua" w:hAnsi="Book Antiqua" w:cs="Book Antiqua"/>
          <w:color w:val="000000" w:themeColor="text1"/>
        </w:rPr>
        <w:t xml:space="preserve">, Kryczek I, Nagarsheth N, Zhao L, Wei S, Wang W, Sun Y, Zhao E, Vatan L, Szeliga W, Kotarski J, Tarkowski R, Dou Y, Cho K, Hensley-Alford S, Munkarah A, Liu R, Zou W. Epigenetic silencing of TH1-type chemokines shapes tumour immunity and immunotherapy. </w:t>
      </w:r>
      <w:r w:rsidRPr="00F04BAD">
        <w:rPr>
          <w:rFonts w:ascii="Book Antiqua" w:eastAsia="Book Antiqua" w:hAnsi="Book Antiqua" w:cs="Book Antiqua"/>
          <w:i/>
          <w:iCs/>
          <w:color w:val="000000" w:themeColor="text1"/>
        </w:rPr>
        <w:t>Nature</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527</w:t>
      </w:r>
      <w:r w:rsidRPr="00F04BAD">
        <w:rPr>
          <w:rFonts w:ascii="Book Antiqua" w:eastAsia="Book Antiqua" w:hAnsi="Book Antiqua" w:cs="Book Antiqua"/>
          <w:color w:val="000000" w:themeColor="text1"/>
        </w:rPr>
        <w:t>: 249-253 [PMID: 26503055 DOI: 10.1038/nature15520]</w:t>
      </w:r>
    </w:p>
    <w:p w14:paraId="281CECC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 </w:t>
      </w:r>
      <w:r w:rsidRPr="00F04BAD">
        <w:rPr>
          <w:rFonts w:ascii="Book Antiqua" w:eastAsia="Book Antiqua" w:hAnsi="Book Antiqua" w:cs="Book Antiqua"/>
          <w:b/>
          <w:bCs/>
          <w:color w:val="000000" w:themeColor="text1"/>
        </w:rPr>
        <w:t>Xiao G</w:t>
      </w:r>
      <w:r w:rsidRPr="00F04BAD">
        <w:rPr>
          <w:rFonts w:ascii="Book Antiqua" w:eastAsia="Book Antiqua" w:hAnsi="Book Antiqua" w:cs="Book Antiqua"/>
          <w:color w:val="000000" w:themeColor="text1"/>
        </w:rPr>
        <w:t xml:space="preserve">, Jin LL, Liu CQ, Wang YC, Meng YM, Zhou ZG, Chen J, Yu XJ, Zhang YJ, Xu J, Zheng L. EZH2 negatively regulates PD-L1 expression in hepatocellular carcinoma. </w:t>
      </w:r>
      <w:r w:rsidRPr="00F04BAD">
        <w:rPr>
          <w:rFonts w:ascii="Book Antiqua" w:eastAsia="Book Antiqua" w:hAnsi="Book Antiqua" w:cs="Book Antiqua"/>
          <w:i/>
          <w:iCs/>
          <w:color w:val="000000" w:themeColor="text1"/>
        </w:rPr>
        <w:t>J Immunother Cancer</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7</w:t>
      </w:r>
      <w:r w:rsidRPr="00F04BAD">
        <w:rPr>
          <w:rFonts w:ascii="Book Antiqua" w:eastAsia="Book Antiqua" w:hAnsi="Book Antiqua" w:cs="Book Antiqua"/>
          <w:color w:val="000000" w:themeColor="text1"/>
        </w:rPr>
        <w:t>: 300 [PMID: 31727135 DOI: 10.1186/s40425-019-0784-9]</w:t>
      </w:r>
    </w:p>
    <w:p w14:paraId="78B576C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 </w:t>
      </w:r>
      <w:r w:rsidRPr="00F04BAD">
        <w:rPr>
          <w:rFonts w:ascii="Book Antiqua" w:eastAsia="Book Antiqua" w:hAnsi="Book Antiqua" w:cs="Book Antiqua"/>
          <w:b/>
          <w:bCs/>
          <w:color w:val="000000" w:themeColor="text1"/>
        </w:rPr>
        <w:t>Tsang FH</w:t>
      </w:r>
      <w:r w:rsidRPr="00F04BAD">
        <w:rPr>
          <w:rFonts w:ascii="Book Antiqua" w:eastAsia="Book Antiqua" w:hAnsi="Book Antiqua" w:cs="Book Antiqua"/>
          <w:color w:val="000000" w:themeColor="text1"/>
        </w:rPr>
        <w:t xml:space="preserve">, Law CT, Tang TC, Cheng CL, Chin DW, Tam WV, Wei L, Wong CC, Ng IO, Wong CM. Aberrant Super-Enhancer Landscape in Human Hepatocellular Carcinoma.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69</w:t>
      </w:r>
      <w:r w:rsidRPr="00F04BAD">
        <w:rPr>
          <w:rFonts w:ascii="Book Antiqua" w:eastAsia="Book Antiqua" w:hAnsi="Book Antiqua" w:cs="Book Antiqua"/>
          <w:color w:val="000000" w:themeColor="text1"/>
        </w:rPr>
        <w:t>: 2502-2517 [PMID: 30723918 DOI: 10.1002/hep.30544]</w:t>
      </w:r>
    </w:p>
    <w:p w14:paraId="649A5EE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 </w:t>
      </w:r>
      <w:r w:rsidRPr="00F04BAD">
        <w:rPr>
          <w:rFonts w:ascii="Book Antiqua" w:eastAsia="Book Antiqua" w:hAnsi="Book Antiqua" w:cs="Book Antiqua"/>
          <w:b/>
          <w:bCs/>
          <w:color w:val="000000" w:themeColor="text1"/>
        </w:rPr>
        <w:t>Zhu H</w:t>
      </w:r>
      <w:r w:rsidRPr="00F04BAD">
        <w:rPr>
          <w:rFonts w:ascii="Book Antiqua" w:eastAsia="Book Antiqua" w:hAnsi="Book Antiqua" w:cs="Book Antiqua"/>
          <w:color w:val="000000" w:themeColor="text1"/>
        </w:rPr>
        <w:t xml:space="preserve">, Bengsch F, Svoronos N, Rutkowski MR, Bitler BG, Allegrezza MJ, Yokoyama Y, Kossenkov AV, Bradner JE, Conejo-Garcia JR, Zhang R. BET Bromodomain Inhibition Promotes Anti-tumor Immunity by Suppressing PD-L1 Expression. </w:t>
      </w:r>
      <w:r w:rsidRPr="00F04BAD">
        <w:rPr>
          <w:rFonts w:ascii="Book Antiqua" w:eastAsia="Book Antiqua" w:hAnsi="Book Antiqua" w:cs="Book Antiqua"/>
          <w:i/>
          <w:iCs/>
          <w:color w:val="000000" w:themeColor="text1"/>
        </w:rPr>
        <w:t>Cell Rep</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16</w:t>
      </w:r>
      <w:r w:rsidRPr="00F04BAD">
        <w:rPr>
          <w:rFonts w:ascii="Book Antiqua" w:eastAsia="Book Antiqua" w:hAnsi="Book Antiqua" w:cs="Book Antiqua"/>
          <w:color w:val="000000" w:themeColor="text1"/>
        </w:rPr>
        <w:t>: 2829-2837 [PMID: 27626654 DOI: 10.1016/j.celrep.2016.08.032]</w:t>
      </w:r>
    </w:p>
    <w:p w14:paraId="113776C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 </w:t>
      </w:r>
      <w:r w:rsidRPr="00F04BAD">
        <w:rPr>
          <w:rFonts w:ascii="Book Antiqua" w:eastAsia="Book Antiqua" w:hAnsi="Book Antiqua" w:cs="Book Antiqua"/>
          <w:b/>
          <w:bCs/>
          <w:color w:val="000000" w:themeColor="text1"/>
        </w:rPr>
        <w:t>El-Serag HB</w:t>
      </w:r>
      <w:r w:rsidRPr="00F04BAD">
        <w:rPr>
          <w:rFonts w:ascii="Book Antiqua" w:eastAsia="Book Antiqua" w:hAnsi="Book Antiqua" w:cs="Book Antiqua"/>
          <w:color w:val="000000" w:themeColor="text1"/>
        </w:rPr>
        <w:t xml:space="preserve">, Rudolph KL. Hepatocellular carcinoma: epidemiology and molecular carcinogenesis. </w:t>
      </w:r>
      <w:r w:rsidRPr="00F04BAD">
        <w:rPr>
          <w:rFonts w:ascii="Book Antiqua" w:eastAsia="Book Antiqua" w:hAnsi="Book Antiqua" w:cs="Book Antiqua"/>
          <w:i/>
          <w:iCs/>
          <w:color w:val="000000" w:themeColor="text1"/>
        </w:rPr>
        <w:t>Gastroenterology</w:t>
      </w:r>
      <w:r w:rsidRPr="00F04BAD">
        <w:rPr>
          <w:rFonts w:ascii="Book Antiqua" w:eastAsia="Book Antiqua" w:hAnsi="Book Antiqua" w:cs="Book Antiqua"/>
          <w:color w:val="000000" w:themeColor="text1"/>
        </w:rPr>
        <w:t xml:space="preserve"> 2007; </w:t>
      </w:r>
      <w:r w:rsidRPr="00F04BAD">
        <w:rPr>
          <w:rFonts w:ascii="Book Antiqua" w:eastAsia="Book Antiqua" w:hAnsi="Book Antiqua" w:cs="Book Antiqua"/>
          <w:b/>
          <w:bCs/>
          <w:color w:val="000000" w:themeColor="text1"/>
        </w:rPr>
        <w:t>132</w:t>
      </w:r>
      <w:r w:rsidRPr="00F04BAD">
        <w:rPr>
          <w:rFonts w:ascii="Book Antiqua" w:eastAsia="Book Antiqua" w:hAnsi="Book Antiqua" w:cs="Book Antiqua"/>
          <w:color w:val="000000" w:themeColor="text1"/>
        </w:rPr>
        <w:t>: 2557-2576 [PMID: 17570226 DOI: 10.1053/j.gastro.2007.04.061]</w:t>
      </w:r>
    </w:p>
    <w:p w14:paraId="17D5306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13 </w:t>
      </w:r>
      <w:r w:rsidRPr="00F04BAD">
        <w:rPr>
          <w:rFonts w:ascii="Book Antiqua" w:eastAsia="Book Antiqua" w:hAnsi="Book Antiqua" w:cs="Book Antiqua"/>
          <w:b/>
          <w:bCs/>
          <w:color w:val="000000" w:themeColor="text1"/>
        </w:rPr>
        <w:t>Harding JJ</w:t>
      </w:r>
      <w:r w:rsidRPr="00F04BAD">
        <w:rPr>
          <w:rFonts w:ascii="Book Antiqua" w:eastAsia="Book Antiqua" w:hAnsi="Book Antiqua" w:cs="Book Antiqua"/>
          <w:color w:val="000000" w:themeColor="text1"/>
        </w:rPr>
        <w:t xml:space="preserve">, Nandakumar S, Armenia J, Khalil DN, Albano M, Ly M, Shia J, Hechtman JF, Kundra R, El Dika I, Do RK, Sun Y, Kingham TP, D'Angelica MI, Berger MF, Hyman DM, Jarnagin W, Klimstra DS, Janjigian YY, Solit DB, Schultz N, Abou-Alfa GK. Prospective Genotyping of Hepatocellular Carcinoma: Clinical Implications of Next-Generation Sequencing for Matching Patients to Targeted and Immune Therapies. </w:t>
      </w:r>
      <w:r w:rsidRPr="00F04BAD">
        <w:rPr>
          <w:rFonts w:ascii="Book Antiqua" w:eastAsia="Book Antiqua" w:hAnsi="Book Antiqua" w:cs="Book Antiqua"/>
          <w:i/>
          <w:iCs/>
          <w:color w:val="000000" w:themeColor="text1"/>
        </w:rPr>
        <w:t>Clin Cancer Res</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25</w:t>
      </w:r>
      <w:r w:rsidRPr="00F04BAD">
        <w:rPr>
          <w:rFonts w:ascii="Book Antiqua" w:eastAsia="Book Antiqua" w:hAnsi="Book Antiqua" w:cs="Book Antiqua"/>
          <w:color w:val="000000" w:themeColor="text1"/>
        </w:rPr>
        <w:t>: 2116-2126 [PMID: 30373752 DOI: 10.1158/1078-0432.CCR-18-2293]</w:t>
      </w:r>
    </w:p>
    <w:p w14:paraId="68AE8D0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 </w:t>
      </w:r>
      <w:r w:rsidRPr="00F04BAD">
        <w:rPr>
          <w:rFonts w:ascii="Book Antiqua" w:eastAsia="Book Antiqua" w:hAnsi="Book Antiqua" w:cs="Book Antiqua"/>
          <w:b/>
          <w:bCs/>
          <w:color w:val="000000" w:themeColor="text1"/>
        </w:rPr>
        <w:t>Pinyol R</w:t>
      </w:r>
      <w:r w:rsidRPr="00F04BAD">
        <w:rPr>
          <w:rFonts w:ascii="Book Antiqua" w:eastAsia="Book Antiqua" w:hAnsi="Book Antiqua" w:cs="Book Antiqua"/>
          <w:color w:val="000000" w:themeColor="text1"/>
        </w:rPr>
        <w:t xml:space="preserve">, Sia D, Llovet JM. Immune Exclusion-Wnt/CTNNB1 Class Predicts Resistance to Immunotherapies in HCC. </w:t>
      </w:r>
      <w:r w:rsidRPr="00F04BAD">
        <w:rPr>
          <w:rFonts w:ascii="Book Antiqua" w:eastAsia="Book Antiqua" w:hAnsi="Book Antiqua" w:cs="Book Antiqua"/>
          <w:i/>
          <w:iCs/>
          <w:color w:val="000000" w:themeColor="text1"/>
        </w:rPr>
        <w:t>Clin Cancer Res</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25</w:t>
      </w:r>
      <w:r w:rsidRPr="00F04BAD">
        <w:rPr>
          <w:rFonts w:ascii="Book Antiqua" w:eastAsia="Book Antiqua" w:hAnsi="Book Antiqua" w:cs="Book Antiqua"/>
          <w:color w:val="000000" w:themeColor="text1"/>
        </w:rPr>
        <w:t>: 2021-2023 [PMID: 30617138 DOI: 10.1158/1078-0432.CCR-18-3778]</w:t>
      </w:r>
    </w:p>
    <w:p w14:paraId="0B65F6F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 </w:t>
      </w:r>
      <w:r w:rsidRPr="00F04BAD">
        <w:rPr>
          <w:rFonts w:ascii="Book Antiqua" w:eastAsia="Book Antiqua" w:hAnsi="Book Antiqua" w:cs="Book Antiqua"/>
          <w:b/>
          <w:bCs/>
          <w:color w:val="000000" w:themeColor="text1"/>
        </w:rPr>
        <w:t>Sia D</w:t>
      </w:r>
      <w:r w:rsidRPr="00F04BAD">
        <w:rPr>
          <w:rFonts w:ascii="Book Antiqua" w:eastAsia="Book Antiqua" w:hAnsi="Book Antiqua" w:cs="Book Antiqua"/>
          <w:color w:val="000000" w:themeColor="text1"/>
        </w:rPr>
        <w:t xml:space="preserve">, Jiao Y, Martinez-Quetglas I, Kuchuk O, Villacorta-Martin C, Castro de Moura M, Putra J, Camprecios G, Bassaganyas L, Akers N, Losic B, Waxman S, Thung SN, Mazzaferro V, Esteller M, Friedman SL, Schwartz M, Villanueva A, Llovet JM. Identification of an Immune-specific Class of Hepatocellular Carcinoma, Based on Molecular Features. </w:t>
      </w:r>
      <w:r w:rsidRPr="00F04BAD">
        <w:rPr>
          <w:rFonts w:ascii="Book Antiqua" w:eastAsia="Book Antiqua" w:hAnsi="Book Antiqua" w:cs="Book Antiqua"/>
          <w:i/>
          <w:iCs/>
          <w:color w:val="000000" w:themeColor="text1"/>
        </w:rPr>
        <w:t>Gastroenterology</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153</w:t>
      </w:r>
      <w:r w:rsidRPr="00F04BAD">
        <w:rPr>
          <w:rFonts w:ascii="Book Antiqua" w:eastAsia="Book Antiqua" w:hAnsi="Book Antiqua" w:cs="Book Antiqua"/>
          <w:color w:val="000000" w:themeColor="text1"/>
        </w:rPr>
        <w:t>: 812-826 [PMID: 28624577 DOI: 10.1053/j.gastro.2017.06.007]</w:t>
      </w:r>
    </w:p>
    <w:p w14:paraId="61BFB03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 </w:t>
      </w:r>
      <w:r w:rsidRPr="00F04BAD">
        <w:rPr>
          <w:rFonts w:ascii="Book Antiqua" w:eastAsia="Book Antiqua" w:hAnsi="Book Antiqua" w:cs="Book Antiqua"/>
          <w:b/>
          <w:bCs/>
          <w:color w:val="000000" w:themeColor="text1"/>
        </w:rPr>
        <w:t>El-Sahli S</w:t>
      </w:r>
      <w:r w:rsidRPr="00F04BAD">
        <w:rPr>
          <w:rFonts w:ascii="Book Antiqua" w:eastAsia="Book Antiqua" w:hAnsi="Book Antiqua" w:cs="Book Antiqua"/>
          <w:color w:val="000000" w:themeColor="text1"/>
        </w:rPr>
        <w:t xml:space="preserve">, Xie Y, Wang L, Liu S. Wnt Signaling in Cancer Metabolism and Immunity. </w:t>
      </w:r>
      <w:r w:rsidRPr="00F04BAD">
        <w:rPr>
          <w:rFonts w:ascii="Book Antiqua" w:eastAsia="Book Antiqua" w:hAnsi="Book Antiqua" w:cs="Book Antiqua"/>
          <w:i/>
          <w:iCs/>
          <w:color w:val="000000" w:themeColor="text1"/>
        </w:rPr>
        <w:t>Cancers (Basel)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11</w:t>
      </w:r>
      <w:r w:rsidRPr="00F04BAD">
        <w:rPr>
          <w:rFonts w:ascii="Book Antiqua" w:eastAsia="Book Antiqua" w:hAnsi="Book Antiqua" w:cs="Book Antiqua"/>
          <w:color w:val="000000" w:themeColor="text1"/>
        </w:rPr>
        <w:t xml:space="preserve"> [PMID: 31261718 DOI: 10.3390/cancers11070904]</w:t>
      </w:r>
    </w:p>
    <w:p w14:paraId="11D7924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17 </w:t>
      </w:r>
      <w:r w:rsidRPr="00F04BAD">
        <w:rPr>
          <w:rFonts w:ascii="Book Antiqua" w:eastAsia="Book Antiqua" w:hAnsi="Book Antiqua" w:cs="Book Antiqua"/>
          <w:b/>
          <w:bCs/>
          <w:color w:val="000000" w:themeColor="text1"/>
        </w:rPr>
        <w:t>Schneider H</w:t>
      </w:r>
      <w:r w:rsidRPr="00F04BAD">
        <w:rPr>
          <w:rFonts w:ascii="Book Antiqua" w:eastAsia="Book Antiqua" w:hAnsi="Book Antiqua" w:cs="Book Antiqua"/>
          <w:color w:val="000000" w:themeColor="text1"/>
        </w:rPr>
        <w:t xml:space="preserve">, Prasad KV, Shoelson SE, Rudd CE. CTLA-4 binding to the lipid kinase phosphatidylinositol 3-kinase in T cells. </w:t>
      </w:r>
      <w:r w:rsidRPr="00F04BAD">
        <w:rPr>
          <w:rFonts w:ascii="Book Antiqua" w:eastAsia="Book Antiqua" w:hAnsi="Book Antiqua" w:cs="Book Antiqua"/>
          <w:i/>
          <w:iCs/>
          <w:color w:val="000000" w:themeColor="text1"/>
        </w:rPr>
        <w:t>J Exp Med</w:t>
      </w:r>
      <w:r w:rsidRPr="00F04BAD">
        <w:rPr>
          <w:rFonts w:ascii="Book Antiqua" w:eastAsia="Book Antiqua" w:hAnsi="Book Antiqua" w:cs="Book Antiqua"/>
          <w:color w:val="000000" w:themeColor="text1"/>
        </w:rPr>
        <w:t xml:space="preserve"> 1995; </w:t>
      </w:r>
      <w:r w:rsidRPr="00F04BAD">
        <w:rPr>
          <w:rFonts w:ascii="Book Antiqua" w:eastAsia="Book Antiqua" w:hAnsi="Book Antiqua" w:cs="Book Antiqua"/>
          <w:b/>
          <w:bCs/>
          <w:color w:val="000000" w:themeColor="text1"/>
        </w:rPr>
        <w:t>181</w:t>
      </w:r>
      <w:r w:rsidRPr="00F04BAD">
        <w:rPr>
          <w:rFonts w:ascii="Book Antiqua" w:eastAsia="Book Antiqua" w:hAnsi="Book Antiqua" w:cs="Book Antiqua"/>
          <w:color w:val="000000" w:themeColor="text1"/>
        </w:rPr>
        <w:t>: 351-355 [PMID: 7807015 DOI: 10.1084/jem.181.1.351]</w:t>
      </w:r>
    </w:p>
    <w:p w14:paraId="1612BFE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18 </w:t>
      </w:r>
      <w:r w:rsidRPr="00F04BAD">
        <w:rPr>
          <w:rFonts w:ascii="Book Antiqua" w:eastAsia="Book Antiqua" w:hAnsi="Book Antiqua" w:cs="Book Antiqua"/>
          <w:b/>
          <w:bCs/>
          <w:color w:val="000000" w:themeColor="text1"/>
        </w:rPr>
        <w:t>Schneider H</w:t>
      </w:r>
      <w:r w:rsidRPr="00F04BAD">
        <w:rPr>
          <w:rFonts w:ascii="Book Antiqua" w:eastAsia="Book Antiqua" w:hAnsi="Book Antiqua" w:cs="Book Antiqua"/>
          <w:color w:val="000000" w:themeColor="text1"/>
        </w:rPr>
        <w:t xml:space="preserve">, Mandelbrot DA, Greenwald RJ, Ng F, Lechler R, Sharpe AH, Rudd CE. Cutting edge: CTLA-4 (CD152) differentially regulates mitogen-activated protein kinases (extracellular signal-regulated kinase and c-Jun N-terminal kinase) in CD4+ T cells from receptor/Ligand-deficient mice.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2002; </w:t>
      </w:r>
      <w:r w:rsidRPr="00F04BAD">
        <w:rPr>
          <w:rFonts w:ascii="Book Antiqua" w:eastAsia="Book Antiqua" w:hAnsi="Book Antiqua" w:cs="Book Antiqua"/>
          <w:b/>
          <w:bCs/>
          <w:color w:val="000000" w:themeColor="text1"/>
        </w:rPr>
        <w:t>169</w:t>
      </w:r>
      <w:r w:rsidRPr="00F04BAD">
        <w:rPr>
          <w:rFonts w:ascii="Book Antiqua" w:eastAsia="Book Antiqua" w:hAnsi="Book Antiqua" w:cs="Book Antiqua"/>
          <w:color w:val="000000" w:themeColor="text1"/>
        </w:rPr>
        <w:t>: 3475-3479 [PMID: 12244135 DOI: 10.4049/jimmunol.169.7.3475]</w:t>
      </w:r>
    </w:p>
    <w:p w14:paraId="6857BC4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19 </w:t>
      </w:r>
      <w:r w:rsidRPr="00F04BAD">
        <w:rPr>
          <w:rFonts w:ascii="Book Antiqua" w:eastAsia="Book Antiqua" w:hAnsi="Book Antiqua" w:cs="Book Antiqua"/>
          <w:b/>
          <w:bCs/>
          <w:color w:val="000000" w:themeColor="text1"/>
        </w:rPr>
        <w:t>Patsoukis N</w:t>
      </w:r>
      <w:r w:rsidRPr="00F04BAD">
        <w:rPr>
          <w:rFonts w:ascii="Book Antiqua" w:eastAsia="Book Antiqua" w:hAnsi="Book Antiqua" w:cs="Book Antiqua"/>
          <w:color w:val="000000" w:themeColor="text1"/>
        </w:rPr>
        <w:t xml:space="preserve">, Bardhan K, Chatterjee P, Sari D, Liu B, Bell LN, Karoly ED, Freeman GJ, Petkova V, Seth P, Li L, Boussiotis VA. PD-1 alters T-cell metabolic reprogramming by inhibiting glycolysis and promoting lipolysis and fatty acid oxidation. </w:t>
      </w:r>
      <w:r w:rsidRPr="00F04BAD">
        <w:rPr>
          <w:rFonts w:ascii="Book Antiqua" w:eastAsia="Book Antiqua" w:hAnsi="Book Antiqua" w:cs="Book Antiqua"/>
          <w:i/>
          <w:iCs/>
          <w:color w:val="000000" w:themeColor="text1"/>
        </w:rPr>
        <w:t>Nat Commun</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6692 [PMID: 25809635 DOI: 10.1038/ncomms7692]</w:t>
      </w:r>
    </w:p>
    <w:p w14:paraId="08DFE49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20 </w:t>
      </w:r>
      <w:r w:rsidRPr="00F04BAD">
        <w:rPr>
          <w:rFonts w:ascii="Book Antiqua" w:eastAsia="Book Antiqua" w:hAnsi="Book Antiqua" w:cs="Book Antiqua"/>
          <w:b/>
          <w:bCs/>
          <w:color w:val="000000" w:themeColor="text1"/>
        </w:rPr>
        <w:t>Rekik R</w:t>
      </w:r>
      <w:r w:rsidRPr="00F04BAD">
        <w:rPr>
          <w:rFonts w:ascii="Book Antiqua" w:eastAsia="Book Antiqua" w:hAnsi="Book Antiqua" w:cs="Book Antiqua"/>
          <w:color w:val="000000" w:themeColor="text1"/>
        </w:rPr>
        <w:t xml:space="preserve">, Belhadj Hmida N, Ben Hmid A, Zamali I, Kammoun N, Ben Ahmed M. PD-1 induction through TCR activation is partially regulated by endogenous TGF-β. </w:t>
      </w:r>
      <w:r w:rsidRPr="00F04BAD">
        <w:rPr>
          <w:rFonts w:ascii="Book Antiqua" w:eastAsia="Book Antiqua" w:hAnsi="Book Antiqua" w:cs="Book Antiqua"/>
          <w:i/>
          <w:iCs/>
          <w:color w:val="000000" w:themeColor="text1"/>
        </w:rPr>
        <w:t>Cell Mol Immunol</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12</w:t>
      </w:r>
      <w:r w:rsidRPr="00F04BAD">
        <w:rPr>
          <w:rFonts w:ascii="Book Antiqua" w:eastAsia="Book Antiqua" w:hAnsi="Book Antiqua" w:cs="Book Antiqua"/>
          <w:color w:val="000000" w:themeColor="text1"/>
        </w:rPr>
        <w:t>: 648-649 [PMID: 25363526 DOI: 10.1038/cmi.2014.104]</w:t>
      </w:r>
    </w:p>
    <w:p w14:paraId="1050353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21 </w:t>
      </w:r>
      <w:r w:rsidRPr="00F04BAD">
        <w:rPr>
          <w:rFonts w:ascii="Book Antiqua" w:eastAsia="Book Antiqua" w:hAnsi="Book Antiqua" w:cs="Book Antiqua"/>
          <w:b/>
          <w:bCs/>
          <w:color w:val="000000" w:themeColor="text1"/>
        </w:rPr>
        <w:t>Oestreich KJ</w:t>
      </w:r>
      <w:r w:rsidRPr="00F04BAD">
        <w:rPr>
          <w:rFonts w:ascii="Book Antiqua" w:eastAsia="Book Antiqua" w:hAnsi="Book Antiqua" w:cs="Book Antiqua"/>
          <w:color w:val="000000" w:themeColor="text1"/>
        </w:rPr>
        <w:t xml:space="preserve">, Yoon H, Ahmed R, Boss JM. NFATc1 regulates PD-1 expression upon T cell activation.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2008; </w:t>
      </w:r>
      <w:r w:rsidRPr="00F04BAD">
        <w:rPr>
          <w:rFonts w:ascii="Book Antiqua" w:eastAsia="Book Antiqua" w:hAnsi="Book Antiqua" w:cs="Book Antiqua"/>
          <w:b/>
          <w:bCs/>
          <w:color w:val="000000" w:themeColor="text1"/>
        </w:rPr>
        <w:t>181</w:t>
      </w:r>
      <w:r w:rsidRPr="00F04BAD">
        <w:rPr>
          <w:rFonts w:ascii="Book Antiqua" w:eastAsia="Book Antiqua" w:hAnsi="Book Antiqua" w:cs="Book Antiqua"/>
          <w:color w:val="000000" w:themeColor="text1"/>
        </w:rPr>
        <w:t>: 4832-4839 [PMID: 18802087 DOI: 10.4049/jimmunol.181.7.4832]</w:t>
      </w:r>
    </w:p>
    <w:p w14:paraId="70155A3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22 </w:t>
      </w:r>
      <w:r w:rsidRPr="00F04BAD">
        <w:rPr>
          <w:rFonts w:ascii="Book Antiqua" w:eastAsia="Book Antiqua" w:hAnsi="Book Antiqua" w:cs="Book Antiqua"/>
          <w:b/>
          <w:bCs/>
          <w:color w:val="000000" w:themeColor="text1"/>
        </w:rPr>
        <w:t>Staron MM</w:t>
      </w:r>
      <w:r w:rsidRPr="00F04BAD">
        <w:rPr>
          <w:rFonts w:ascii="Book Antiqua" w:eastAsia="Book Antiqua" w:hAnsi="Book Antiqua" w:cs="Book Antiqua"/>
          <w:color w:val="000000" w:themeColor="text1"/>
        </w:rPr>
        <w:t xml:space="preserve">, Gray SM, Marshall HD, Parish IA, Chen JH, Perry CJ, Cui G, Li MO, Kaech SM. The transcription factor FoxO1 sustains expression of the inhibitory receptor PD-1 and survival of antiviral CD8(+) T cells during chronic infection. </w:t>
      </w:r>
      <w:r w:rsidRPr="00F04BAD">
        <w:rPr>
          <w:rFonts w:ascii="Book Antiqua" w:eastAsia="Book Antiqua" w:hAnsi="Book Antiqua" w:cs="Book Antiqua"/>
          <w:i/>
          <w:iCs/>
          <w:color w:val="000000" w:themeColor="text1"/>
        </w:rPr>
        <w:t>Immunity</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41</w:t>
      </w:r>
      <w:r w:rsidRPr="00F04BAD">
        <w:rPr>
          <w:rFonts w:ascii="Book Antiqua" w:eastAsia="Book Antiqua" w:hAnsi="Book Antiqua" w:cs="Book Antiqua"/>
          <w:color w:val="000000" w:themeColor="text1"/>
        </w:rPr>
        <w:t>: 802-814 [PMID: 25464856 DOI: 10.1016/j.immuni.2014.10.013]</w:t>
      </w:r>
    </w:p>
    <w:p w14:paraId="7E32B96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23 </w:t>
      </w:r>
      <w:r w:rsidRPr="00F04BAD">
        <w:rPr>
          <w:rFonts w:ascii="Book Antiqua" w:eastAsia="Book Antiqua" w:hAnsi="Book Antiqua" w:cs="Book Antiqua"/>
          <w:b/>
          <w:bCs/>
          <w:color w:val="000000" w:themeColor="text1"/>
        </w:rPr>
        <w:t>Terawaki S</w:t>
      </w:r>
      <w:r w:rsidRPr="00F04BAD">
        <w:rPr>
          <w:rFonts w:ascii="Book Antiqua" w:eastAsia="Book Antiqua" w:hAnsi="Book Antiqua" w:cs="Book Antiqua"/>
          <w:color w:val="000000" w:themeColor="text1"/>
        </w:rPr>
        <w:t xml:space="preserve">, Chikuma S, Shibayama S, Hayashi T, Yoshida T, Okazaki T, Honjo T. IFN-α directly promotes programmed cell death-1 transcription and limits the duration of T cell-mediated immunity.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2011; </w:t>
      </w:r>
      <w:r w:rsidRPr="00F04BAD">
        <w:rPr>
          <w:rFonts w:ascii="Book Antiqua" w:eastAsia="Book Antiqua" w:hAnsi="Book Antiqua" w:cs="Book Antiqua"/>
          <w:b/>
          <w:bCs/>
          <w:color w:val="000000" w:themeColor="text1"/>
        </w:rPr>
        <w:t>186</w:t>
      </w:r>
      <w:r w:rsidRPr="00F04BAD">
        <w:rPr>
          <w:rFonts w:ascii="Book Antiqua" w:eastAsia="Book Antiqua" w:hAnsi="Book Antiqua" w:cs="Book Antiqua"/>
          <w:color w:val="000000" w:themeColor="text1"/>
        </w:rPr>
        <w:t>: 2772-2779 [PMID: 21263073 DOI: 10.4049/jimmunol.1003208]</w:t>
      </w:r>
    </w:p>
    <w:p w14:paraId="7AFFCB4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24 </w:t>
      </w:r>
      <w:r w:rsidRPr="00F04BAD">
        <w:rPr>
          <w:rFonts w:ascii="Book Antiqua" w:eastAsia="Book Antiqua" w:hAnsi="Book Antiqua" w:cs="Book Antiqua"/>
          <w:b/>
          <w:bCs/>
          <w:color w:val="000000" w:themeColor="text1"/>
        </w:rPr>
        <w:t>Austin JW</w:t>
      </w:r>
      <w:r w:rsidRPr="00F04BAD">
        <w:rPr>
          <w:rFonts w:ascii="Book Antiqua" w:eastAsia="Book Antiqua" w:hAnsi="Book Antiqua" w:cs="Book Antiqua"/>
          <w:color w:val="000000" w:themeColor="text1"/>
        </w:rPr>
        <w:t xml:space="preserve">, Lu P, Majumder P, Ahmed R, Boss JM. STAT3, STAT4, NFATc1, and CTCF regulate PD-1 through multiple novel regulatory regions in murine T cells.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192</w:t>
      </w:r>
      <w:r w:rsidRPr="00F04BAD">
        <w:rPr>
          <w:rFonts w:ascii="Book Antiqua" w:eastAsia="Book Antiqua" w:hAnsi="Book Antiqua" w:cs="Book Antiqua"/>
          <w:color w:val="000000" w:themeColor="text1"/>
        </w:rPr>
        <w:t>: 4876-4886 [PMID: 24711622 DOI: 10.4049/jimmunol.1302750]</w:t>
      </w:r>
    </w:p>
    <w:p w14:paraId="422676C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25 </w:t>
      </w:r>
      <w:r w:rsidRPr="00F04BAD">
        <w:rPr>
          <w:rFonts w:ascii="Book Antiqua" w:eastAsia="Book Antiqua" w:hAnsi="Book Antiqua" w:cs="Book Antiqua"/>
          <w:b/>
          <w:bCs/>
          <w:color w:val="000000" w:themeColor="text1"/>
        </w:rPr>
        <w:t>Li Q</w:t>
      </w:r>
      <w:r w:rsidRPr="00F04BAD">
        <w:rPr>
          <w:rFonts w:ascii="Book Antiqua" w:eastAsia="Book Antiqua" w:hAnsi="Book Antiqua" w:cs="Book Antiqua"/>
          <w:color w:val="000000" w:themeColor="text1"/>
        </w:rPr>
        <w:t xml:space="preserve">, Johnston N, Zheng X, Wang H, Zhang X, Gao D, Min W. miR-28 modulates exhaustive differentiation of T cells through silencing programmed cell death-1 and regulating cytokine secretion.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7</w:t>
      </w:r>
      <w:r w:rsidRPr="00F04BAD">
        <w:rPr>
          <w:rFonts w:ascii="Book Antiqua" w:eastAsia="Book Antiqua" w:hAnsi="Book Antiqua" w:cs="Book Antiqua"/>
          <w:color w:val="000000" w:themeColor="text1"/>
        </w:rPr>
        <w:t>: 53735-53750 [PMID: 27447564 DOI: 10.18632/oncotarget.10731]</w:t>
      </w:r>
    </w:p>
    <w:p w14:paraId="58A7803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26 </w:t>
      </w:r>
      <w:r w:rsidRPr="00F04BAD">
        <w:rPr>
          <w:rFonts w:ascii="Book Antiqua" w:eastAsia="Book Antiqua" w:hAnsi="Book Antiqua" w:cs="Book Antiqua"/>
          <w:b/>
          <w:bCs/>
          <w:color w:val="000000" w:themeColor="text1"/>
        </w:rPr>
        <w:t>Wei J</w:t>
      </w:r>
      <w:r w:rsidRPr="00F04BAD">
        <w:rPr>
          <w:rFonts w:ascii="Book Antiqua" w:eastAsia="Book Antiqua" w:hAnsi="Book Antiqua" w:cs="Book Antiqua"/>
          <w:color w:val="000000" w:themeColor="text1"/>
        </w:rPr>
        <w:t xml:space="preserve">, Nduom EK, Kong LY, Hashimoto Y, Xu S, Gabrusiewicz K, Ling X, Huang N, Qiao W, Zhou S, Ivan C, Fuller GN, Gilbert MR, Overwijk W, Calin GA, Heimberger AB. MiR-138 exerts anti-glioma efficacy by targeting immune checkpoints. </w:t>
      </w:r>
      <w:r w:rsidRPr="00F04BAD">
        <w:rPr>
          <w:rFonts w:ascii="Book Antiqua" w:eastAsia="Book Antiqua" w:hAnsi="Book Antiqua" w:cs="Book Antiqua"/>
          <w:i/>
          <w:iCs/>
          <w:color w:val="000000" w:themeColor="text1"/>
        </w:rPr>
        <w:t>Neuro Oncol</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18</w:t>
      </w:r>
      <w:r w:rsidRPr="00F04BAD">
        <w:rPr>
          <w:rFonts w:ascii="Book Antiqua" w:eastAsia="Book Antiqua" w:hAnsi="Book Antiqua" w:cs="Book Antiqua"/>
          <w:color w:val="000000" w:themeColor="text1"/>
        </w:rPr>
        <w:t>: 639-648 [PMID: 26658052 DOI: 10.1093/neuonc/nov292]</w:t>
      </w:r>
    </w:p>
    <w:p w14:paraId="2CEF9D1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27 </w:t>
      </w:r>
      <w:r w:rsidRPr="00F04BAD">
        <w:rPr>
          <w:rFonts w:ascii="Book Antiqua" w:eastAsia="Book Antiqua" w:hAnsi="Book Antiqua" w:cs="Book Antiqua"/>
          <w:b/>
          <w:bCs/>
          <w:color w:val="000000" w:themeColor="text1"/>
        </w:rPr>
        <w:t>Zhang G</w:t>
      </w:r>
      <w:r w:rsidRPr="00F04BAD">
        <w:rPr>
          <w:rFonts w:ascii="Book Antiqua" w:eastAsia="Book Antiqua" w:hAnsi="Book Antiqua" w:cs="Book Antiqua"/>
          <w:color w:val="000000" w:themeColor="text1"/>
        </w:rPr>
        <w:t xml:space="preserve">, Li N, Li Z, Zhu Q, Li F, Yang C, Han Q, Lv Y, Zhou Z, Liu Z. microRNA-4717 differentially interacts with its polymorphic target in the PD1 3' untranslated region: A mechanism for regulating PD-1 expression and function in HBV-associated liver diseases.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18933-18944 [PMID: 25895129 DOI: 10.18632/oncotarget.3662]</w:t>
      </w:r>
    </w:p>
    <w:p w14:paraId="7F6A820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28 </w:t>
      </w:r>
      <w:r w:rsidRPr="00F04BAD">
        <w:rPr>
          <w:rFonts w:ascii="Book Antiqua" w:eastAsia="Book Antiqua" w:hAnsi="Book Antiqua" w:cs="Book Antiqua"/>
          <w:b/>
          <w:bCs/>
          <w:color w:val="000000" w:themeColor="text1"/>
        </w:rPr>
        <w:t>Sasidharan Nair V</w:t>
      </w:r>
      <w:r w:rsidRPr="00F04BAD">
        <w:rPr>
          <w:rFonts w:ascii="Book Antiqua" w:eastAsia="Book Antiqua" w:hAnsi="Book Antiqua" w:cs="Book Antiqua"/>
          <w:color w:val="000000" w:themeColor="text1"/>
        </w:rPr>
        <w:t xml:space="preserve">, Toor SM, Taha RZ, Shaath H, Elkord E. DNA methylation and repressive histones in the promoters of PD-1, CTLA-4, TIM-3, LAG-3, TIGIT, PD-L1, and galectin-9 genes in human colorectal cancer. </w:t>
      </w:r>
      <w:r w:rsidRPr="00F04BAD">
        <w:rPr>
          <w:rFonts w:ascii="Book Antiqua" w:eastAsia="Book Antiqua" w:hAnsi="Book Antiqua" w:cs="Book Antiqua"/>
          <w:i/>
          <w:iCs/>
          <w:color w:val="000000" w:themeColor="text1"/>
        </w:rPr>
        <w:t>Clin Epigenetics</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10</w:t>
      </w:r>
      <w:r w:rsidRPr="00F04BAD">
        <w:rPr>
          <w:rFonts w:ascii="Book Antiqua" w:eastAsia="Book Antiqua" w:hAnsi="Book Antiqua" w:cs="Book Antiqua"/>
          <w:color w:val="000000" w:themeColor="text1"/>
        </w:rPr>
        <w:t>: 104 [PMID: 30081950 DOI: 10.1186/s13148-018-0539-3]</w:t>
      </w:r>
    </w:p>
    <w:p w14:paraId="340A238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29 </w:t>
      </w:r>
      <w:r w:rsidRPr="00F04BAD">
        <w:rPr>
          <w:rFonts w:ascii="Book Antiqua" w:eastAsia="Book Antiqua" w:hAnsi="Book Antiqua" w:cs="Book Antiqua"/>
          <w:b/>
          <w:bCs/>
          <w:color w:val="000000" w:themeColor="text1"/>
        </w:rPr>
        <w:t>Goodman AM</w:t>
      </w:r>
      <w:r w:rsidRPr="00F04BAD">
        <w:rPr>
          <w:rFonts w:ascii="Book Antiqua" w:eastAsia="Book Antiqua" w:hAnsi="Book Antiqua" w:cs="Book Antiqua"/>
          <w:color w:val="000000" w:themeColor="text1"/>
        </w:rPr>
        <w:t xml:space="preserve">, Piccioni D, Kato S, Boichard A, Wang HY, Frampton G, Lippman SM, Connelly C, Fabrizio D, Miller V, Sicklick JK, Kurzrock R. Prevalence of PDL1 Amplification and Preliminary Response to Immune Checkpoint Blockade in Solid Tumors. </w:t>
      </w:r>
      <w:r w:rsidRPr="00F04BAD">
        <w:rPr>
          <w:rFonts w:ascii="Book Antiqua" w:eastAsia="Book Antiqua" w:hAnsi="Book Antiqua" w:cs="Book Antiqua"/>
          <w:i/>
          <w:iCs/>
          <w:color w:val="000000" w:themeColor="text1"/>
        </w:rPr>
        <w:t>JAMA Oncol</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1237-1244 [PMID: 29902298 DOI: 10.1001/jamaoncol.2018.1701]</w:t>
      </w:r>
    </w:p>
    <w:p w14:paraId="0400B5C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30 </w:t>
      </w:r>
      <w:r w:rsidRPr="00F04BAD">
        <w:rPr>
          <w:rFonts w:ascii="Book Antiqua" w:eastAsia="Book Antiqua" w:hAnsi="Book Antiqua" w:cs="Book Antiqua"/>
          <w:b/>
          <w:bCs/>
          <w:color w:val="000000" w:themeColor="text1"/>
        </w:rPr>
        <w:t>Budczies J</w:t>
      </w:r>
      <w:r w:rsidRPr="00F04BAD">
        <w:rPr>
          <w:rFonts w:ascii="Book Antiqua" w:eastAsia="Book Antiqua" w:hAnsi="Book Antiqua" w:cs="Book Antiqua"/>
          <w:color w:val="000000" w:themeColor="text1"/>
        </w:rPr>
        <w:t xml:space="preserve">, Bockmayr M, Denkert C, Klauschen F, Gröschel S, Darb-Esfahani S, Pfarr N, Leichsenring J, Onozato ML, Lennerz JK, Dietel M, Fröhling S, Schirmacher P, Iafrate AJ, Weichert W, Stenzinger A. Pan-cancer analysis of copy number changes in programmed death-ligand 1 (PD-L1, CD274) - associations with gene expression, mutational load, and survival. </w:t>
      </w:r>
      <w:r w:rsidRPr="00F04BAD">
        <w:rPr>
          <w:rFonts w:ascii="Book Antiqua" w:eastAsia="Book Antiqua" w:hAnsi="Book Antiqua" w:cs="Book Antiqua"/>
          <w:i/>
          <w:iCs/>
          <w:color w:val="000000" w:themeColor="text1"/>
        </w:rPr>
        <w:t>Genes Chromosomes Cancer</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55</w:t>
      </w:r>
      <w:r w:rsidRPr="00F04BAD">
        <w:rPr>
          <w:rFonts w:ascii="Book Antiqua" w:eastAsia="Book Antiqua" w:hAnsi="Book Antiqua" w:cs="Book Antiqua"/>
          <w:color w:val="000000" w:themeColor="text1"/>
        </w:rPr>
        <w:t>: 626-639 [PMID: 27106868 DOI: 10.1002/gcc.22365]</w:t>
      </w:r>
    </w:p>
    <w:p w14:paraId="2A494ED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31 </w:t>
      </w:r>
      <w:r w:rsidRPr="00F04BAD">
        <w:rPr>
          <w:rFonts w:ascii="Book Antiqua" w:eastAsia="Book Antiqua" w:hAnsi="Book Antiqua" w:cs="Book Antiqua"/>
          <w:b/>
          <w:bCs/>
          <w:color w:val="000000" w:themeColor="text1"/>
        </w:rPr>
        <w:t>Goltz D</w:t>
      </w:r>
      <w:r w:rsidRPr="00F04BAD">
        <w:rPr>
          <w:rFonts w:ascii="Book Antiqua" w:eastAsia="Book Antiqua" w:hAnsi="Book Antiqua" w:cs="Book Antiqua"/>
          <w:color w:val="000000" w:themeColor="text1"/>
        </w:rPr>
        <w:t xml:space="preserve">, Gevensleben H, Dietrich J, Dietrich D. </w:t>
      </w:r>
      <w:r w:rsidRPr="00F04BAD">
        <w:rPr>
          <w:rFonts w:ascii="Book Antiqua" w:eastAsia="Book Antiqua" w:hAnsi="Book Antiqua" w:cs="Book Antiqua"/>
          <w:i/>
          <w:iCs/>
          <w:color w:val="000000" w:themeColor="text1"/>
        </w:rPr>
        <w:t>PD-L1</w:t>
      </w:r>
      <w:r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i/>
          <w:iCs/>
          <w:color w:val="000000" w:themeColor="text1"/>
        </w:rPr>
        <w:t>CD274</w:t>
      </w:r>
      <w:r w:rsidRPr="00F04BAD">
        <w:rPr>
          <w:rFonts w:ascii="Book Antiqua" w:eastAsia="Book Antiqua" w:hAnsi="Book Antiqua" w:cs="Book Antiqua"/>
          <w:color w:val="000000" w:themeColor="text1"/>
        </w:rPr>
        <w:t xml:space="preserve">) promoter methylation predicts survival in colorectal cancer patients. </w:t>
      </w:r>
      <w:r w:rsidRPr="00F04BAD">
        <w:rPr>
          <w:rFonts w:ascii="Book Antiqua" w:eastAsia="Book Antiqua" w:hAnsi="Book Antiqua" w:cs="Book Antiqua"/>
          <w:i/>
          <w:iCs/>
          <w:color w:val="000000" w:themeColor="text1"/>
        </w:rPr>
        <w:t>Oncoimmunology</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e1257454 [PMID: 28197377 DOI: 10.1080/2162402X.2016.1257454]</w:t>
      </w:r>
    </w:p>
    <w:p w14:paraId="5962112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32 </w:t>
      </w:r>
      <w:r w:rsidRPr="00F04BAD">
        <w:rPr>
          <w:rFonts w:ascii="Book Antiqua" w:eastAsia="Book Antiqua" w:hAnsi="Book Antiqua" w:cs="Book Antiqua"/>
          <w:b/>
          <w:bCs/>
          <w:color w:val="000000" w:themeColor="text1"/>
        </w:rPr>
        <w:t>Gevensleben H</w:t>
      </w:r>
      <w:r w:rsidRPr="00F04BAD">
        <w:rPr>
          <w:rFonts w:ascii="Book Antiqua" w:eastAsia="Book Antiqua" w:hAnsi="Book Antiqua" w:cs="Book Antiqua"/>
          <w:color w:val="000000" w:themeColor="text1"/>
        </w:rPr>
        <w:t xml:space="preserve">, Holmes EE, Goltz D, Dietrich J, Sailer V, Ellinger J, Dietrich D, Kristiansen G. PD-L1 promoter methylation is a prognostic biomarker for biochemical recurrence-free survival in prostate cancer patients following radical prostatectomy.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7</w:t>
      </w:r>
      <w:r w:rsidRPr="00F04BAD">
        <w:rPr>
          <w:rFonts w:ascii="Book Antiqua" w:eastAsia="Book Antiqua" w:hAnsi="Book Antiqua" w:cs="Book Antiqua"/>
          <w:color w:val="000000" w:themeColor="text1"/>
        </w:rPr>
        <w:t>: 79943-79955 [PMID: 27835597 DOI: 10.18632/oncotarget.13161]</w:t>
      </w:r>
    </w:p>
    <w:p w14:paraId="2239D65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33 </w:t>
      </w:r>
      <w:r w:rsidRPr="00F04BAD">
        <w:rPr>
          <w:rFonts w:ascii="Book Antiqua" w:eastAsia="Book Antiqua" w:hAnsi="Book Antiqua" w:cs="Book Antiqua"/>
          <w:b/>
          <w:bCs/>
          <w:color w:val="000000" w:themeColor="text1"/>
        </w:rPr>
        <w:t>Sun C</w:t>
      </w:r>
      <w:r w:rsidRPr="00F04BAD">
        <w:rPr>
          <w:rFonts w:ascii="Book Antiqua" w:eastAsia="Book Antiqua" w:hAnsi="Book Antiqua" w:cs="Book Antiqua"/>
          <w:color w:val="000000" w:themeColor="text1"/>
        </w:rPr>
        <w:t xml:space="preserve">, Mezzadra R, Schumacher TN. Regulation and Function of the PD-L1 Checkpoint. </w:t>
      </w:r>
      <w:r w:rsidRPr="00F04BAD">
        <w:rPr>
          <w:rFonts w:ascii="Book Antiqua" w:eastAsia="Book Antiqua" w:hAnsi="Book Antiqua" w:cs="Book Antiqua"/>
          <w:i/>
          <w:iCs/>
          <w:color w:val="000000" w:themeColor="text1"/>
        </w:rPr>
        <w:t>Immunity</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48</w:t>
      </w:r>
      <w:r w:rsidRPr="00F04BAD">
        <w:rPr>
          <w:rFonts w:ascii="Book Antiqua" w:eastAsia="Book Antiqua" w:hAnsi="Book Antiqua" w:cs="Book Antiqua"/>
          <w:color w:val="000000" w:themeColor="text1"/>
        </w:rPr>
        <w:t>: 434-452 [PMID: 29562194 DOI: 10.1016/j.immuni.2018.03.014]</w:t>
      </w:r>
    </w:p>
    <w:p w14:paraId="1FE0D67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34 </w:t>
      </w:r>
      <w:r w:rsidRPr="00F04BAD">
        <w:rPr>
          <w:rFonts w:ascii="Book Antiqua" w:eastAsia="Book Antiqua" w:hAnsi="Book Antiqua" w:cs="Book Antiqua"/>
          <w:b/>
          <w:bCs/>
          <w:color w:val="000000" w:themeColor="text1"/>
        </w:rPr>
        <w:t>Jiang X</w:t>
      </w:r>
      <w:r w:rsidRPr="00F04BAD">
        <w:rPr>
          <w:rFonts w:ascii="Book Antiqua" w:eastAsia="Book Antiqua" w:hAnsi="Book Antiqua" w:cs="Book Antiqua"/>
          <w:color w:val="000000" w:themeColor="text1"/>
        </w:rPr>
        <w:t xml:space="preserve">, Wang J, Deng X, Xiong F, Ge J, Xiang B, Wu X, Ma J, Zhou M, Li X, Li Y, Li G, Xiong W, Guo C, Zeng Z. Role of the tumor microenvironment in PD-L1/PD-1-mediated tumor immune escape. </w:t>
      </w:r>
      <w:r w:rsidRPr="00F04BAD">
        <w:rPr>
          <w:rFonts w:ascii="Book Antiqua" w:eastAsia="Book Antiqua" w:hAnsi="Book Antiqua" w:cs="Book Antiqua"/>
          <w:i/>
          <w:iCs/>
          <w:color w:val="000000" w:themeColor="text1"/>
        </w:rPr>
        <w:t>Mol Cancer</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18</w:t>
      </w:r>
      <w:r w:rsidRPr="00F04BAD">
        <w:rPr>
          <w:rFonts w:ascii="Book Antiqua" w:eastAsia="Book Antiqua" w:hAnsi="Book Antiqua" w:cs="Book Antiqua"/>
          <w:color w:val="000000" w:themeColor="text1"/>
        </w:rPr>
        <w:t>: 10 [PMID: 30646912 DOI: 10.1186/s12943-018-0928-4]</w:t>
      </w:r>
    </w:p>
    <w:p w14:paraId="0F91888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35 </w:t>
      </w:r>
      <w:r w:rsidRPr="00F04BAD">
        <w:rPr>
          <w:rFonts w:ascii="Book Antiqua" w:eastAsia="Book Antiqua" w:hAnsi="Book Antiqua" w:cs="Book Antiqua"/>
          <w:b/>
          <w:bCs/>
          <w:color w:val="000000" w:themeColor="text1"/>
        </w:rPr>
        <w:t>Kao SC</w:t>
      </w:r>
      <w:r w:rsidRPr="00F04BAD">
        <w:rPr>
          <w:rFonts w:ascii="Book Antiqua" w:eastAsia="Book Antiqua" w:hAnsi="Book Antiqua" w:cs="Book Antiqua"/>
          <w:color w:val="000000" w:themeColor="text1"/>
        </w:rPr>
        <w:t xml:space="preserve">, Cheng YY, Williams M, Kirschner MB, Madore J, Lum T, Sarun KH, Linton A, McCaughan B, Klebe S, van Zandwijk N, Scolyer RA, Boyer MJ, Cooper WA, Reid G. Tumor Suppressor microRNAs Contribute to the Regulation of PD-L1 Expression in Malignant Pleural Mesothelioma. </w:t>
      </w:r>
      <w:r w:rsidRPr="00F04BAD">
        <w:rPr>
          <w:rFonts w:ascii="Book Antiqua" w:eastAsia="Book Antiqua" w:hAnsi="Book Antiqua" w:cs="Book Antiqua"/>
          <w:i/>
          <w:iCs/>
          <w:color w:val="000000" w:themeColor="text1"/>
        </w:rPr>
        <w:t>J Thorac Oncol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12</w:t>
      </w:r>
      <w:r w:rsidRPr="00F04BAD">
        <w:rPr>
          <w:rFonts w:ascii="Book Antiqua" w:eastAsia="Book Antiqua" w:hAnsi="Book Antiqua" w:cs="Book Antiqua"/>
          <w:color w:val="000000" w:themeColor="text1"/>
        </w:rPr>
        <w:t>: 1421-1433 [PMID: 28629895 DOI: 10.1016/j.jtho.2017.05.024]</w:t>
      </w:r>
    </w:p>
    <w:p w14:paraId="5D2F53F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36 </w:t>
      </w:r>
      <w:r w:rsidRPr="00F04BAD">
        <w:rPr>
          <w:rFonts w:ascii="Book Antiqua" w:eastAsia="Book Antiqua" w:hAnsi="Book Antiqua" w:cs="Book Antiqua"/>
          <w:b/>
          <w:bCs/>
          <w:color w:val="000000" w:themeColor="text1"/>
        </w:rPr>
        <w:t>Audrito V</w:t>
      </w:r>
      <w:r w:rsidRPr="00F04BAD">
        <w:rPr>
          <w:rFonts w:ascii="Book Antiqua" w:eastAsia="Book Antiqua" w:hAnsi="Book Antiqua" w:cs="Book Antiqua"/>
          <w:color w:val="000000" w:themeColor="text1"/>
        </w:rPr>
        <w:t xml:space="preserve">, Serra S, Stingi A, Orso F, Gaudino F, Bologna C, Neri F, Garaffo G, Nassini R, Baroni G, Rulli E, Massi D, Oliviero S, Piva R, Taverna D, Mandalà M, Deaglio S. PD-L1 up-regulation in melanoma increases disease aggressiveness and is mediated through miR-17-5p.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15894-15911 [PMID: 28199980 DOI: 10.18632/oncotarget.15213]</w:t>
      </w:r>
    </w:p>
    <w:p w14:paraId="7BB5426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37 </w:t>
      </w:r>
      <w:r w:rsidRPr="00F04BAD">
        <w:rPr>
          <w:rFonts w:ascii="Book Antiqua" w:eastAsia="Book Antiqua" w:hAnsi="Book Antiqua" w:cs="Book Antiqua"/>
          <w:b/>
          <w:bCs/>
          <w:color w:val="000000" w:themeColor="text1"/>
        </w:rPr>
        <w:t>Wang X</w:t>
      </w:r>
      <w:r w:rsidRPr="00F04BAD">
        <w:rPr>
          <w:rFonts w:ascii="Book Antiqua" w:eastAsia="Book Antiqua" w:hAnsi="Book Antiqua" w:cs="Book Antiqua"/>
          <w:color w:val="000000" w:themeColor="text1"/>
        </w:rPr>
        <w:t xml:space="preserve">, Li J, Dong K, Lin F, Long M, Ouyang Y, Wei J, Chen X, Weng Y, He T, Zhang H. Tumor suppressor miR-34a targets PD-L1 and functions as a potential immunotherapeutic target in acute myeloid leukemia. </w:t>
      </w:r>
      <w:r w:rsidRPr="00F04BAD">
        <w:rPr>
          <w:rFonts w:ascii="Book Antiqua" w:eastAsia="Book Antiqua" w:hAnsi="Book Antiqua" w:cs="Book Antiqua"/>
          <w:i/>
          <w:iCs/>
          <w:color w:val="000000" w:themeColor="text1"/>
        </w:rPr>
        <w:t>Cell Signal</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27</w:t>
      </w:r>
      <w:r w:rsidRPr="00F04BAD">
        <w:rPr>
          <w:rFonts w:ascii="Book Antiqua" w:eastAsia="Book Antiqua" w:hAnsi="Book Antiqua" w:cs="Book Antiqua"/>
          <w:color w:val="000000" w:themeColor="text1"/>
        </w:rPr>
        <w:t>: 443-452 [PMID: 25499621 DOI: 10.1016/j.cellsig.2014.12.003]</w:t>
      </w:r>
    </w:p>
    <w:p w14:paraId="73C09C0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38 </w:t>
      </w:r>
      <w:r w:rsidRPr="00F04BAD">
        <w:rPr>
          <w:rFonts w:ascii="Book Antiqua" w:eastAsia="Book Antiqua" w:hAnsi="Book Antiqua" w:cs="Book Antiqua"/>
          <w:b/>
          <w:bCs/>
          <w:color w:val="000000" w:themeColor="text1"/>
        </w:rPr>
        <w:t>Cioffi M</w:t>
      </w:r>
      <w:r w:rsidRPr="00F04BAD">
        <w:rPr>
          <w:rFonts w:ascii="Book Antiqua" w:eastAsia="Book Antiqua" w:hAnsi="Book Antiqua" w:cs="Book Antiqua"/>
          <w:color w:val="000000" w:themeColor="text1"/>
        </w:rPr>
        <w:t xml:space="preserve">, Trabulo SM, Vallespinos M, Raj D, Kheir TB, Lin ML, Begum J, Baker AM, Amgheib A, Saif J, Perez M, Soriano J, Desco M, Gomez-Gaviro MV, Cusso L, Megias D, Aicher A, Heeschen C. The miR-25-93-106b cluster regulates tumor metastasis and immune evasion </w:t>
      </w:r>
      <w:r w:rsidRPr="00F04BAD">
        <w:rPr>
          <w:rFonts w:ascii="Book Antiqua" w:eastAsia="Book Antiqua" w:hAnsi="Book Antiqua" w:cs="Book Antiqua"/>
          <w:i/>
          <w:iCs/>
          <w:color w:val="000000" w:themeColor="text1"/>
        </w:rPr>
        <w:t>via</w:t>
      </w:r>
      <w:r w:rsidRPr="00F04BAD">
        <w:rPr>
          <w:rFonts w:ascii="Book Antiqua" w:eastAsia="Book Antiqua" w:hAnsi="Book Antiqua" w:cs="Book Antiqua"/>
          <w:color w:val="000000" w:themeColor="text1"/>
        </w:rPr>
        <w:t xml:space="preserve"> modulation of CXCL12 and PD-L1.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21609-21625 [PMID: 28423491 DOI: 10.18632/oncotarget.15450]</w:t>
      </w:r>
    </w:p>
    <w:p w14:paraId="3F2E2D6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39 </w:t>
      </w:r>
      <w:r w:rsidRPr="00F04BAD">
        <w:rPr>
          <w:rFonts w:ascii="Book Antiqua" w:eastAsia="Book Antiqua" w:hAnsi="Book Antiqua" w:cs="Book Antiqua"/>
          <w:b/>
          <w:bCs/>
          <w:color w:val="000000" w:themeColor="text1"/>
        </w:rPr>
        <w:t>Zhao L</w:t>
      </w:r>
      <w:r w:rsidRPr="00F04BAD">
        <w:rPr>
          <w:rFonts w:ascii="Book Antiqua" w:eastAsia="Book Antiqua" w:hAnsi="Book Antiqua" w:cs="Book Antiqua"/>
          <w:color w:val="000000" w:themeColor="text1"/>
        </w:rPr>
        <w:t xml:space="preserve">, Yu H, Yi S, Peng X, Su P, Xiao Z, Liu R, Tang A, Li X, Liu F, Shen S. The tumor suppressor miR-138-5p targets PD-L1 in colorectal cancer.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7</w:t>
      </w:r>
      <w:r w:rsidRPr="00F04BAD">
        <w:rPr>
          <w:rFonts w:ascii="Book Antiqua" w:eastAsia="Book Antiqua" w:hAnsi="Book Antiqua" w:cs="Book Antiqua"/>
          <w:color w:val="000000" w:themeColor="text1"/>
        </w:rPr>
        <w:t>: 45370-45384 [PMID: 27248318 DOI: 10.18632/oncotarget.9659]</w:t>
      </w:r>
    </w:p>
    <w:p w14:paraId="698FB9A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40 </w:t>
      </w:r>
      <w:r w:rsidRPr="00F04BAD">
        <w:rPr>
          <w:rFonts w:ascii="Book Antiqua" w:eastAsia="Book Antiqua" w:hAnsi="Book Antiqua" w:cs="Book Antiqua"/>
          <w:b/>
          <w:bCs/>
          <w:color w:val="000000" w:themeColor="text1"/>
        </w:rPr>
        <w:t>Xie WB</w:t>
      </w:r>
      <w:r w:rsidRPr="00F04BAD">
        <w:rPr>
          <w:rFonts w:ascii="Book Antiqua" w:eastAsia="Book Antiqua" w:hAnsi="Book Antiqua" w:cs="Book Antiqua"/>
          <w:color w:val="000000" w:themeColor="text1"/>
        </w:rPr>
        <w:t xml:space="preserve">, Liang LH, Wu KG, Wang LX, He X, Song C, Wang YQ, Li YH. MiR-140 Expression Regulates Cell Proliferation and Targets PD-L1 in NSCLC. </w:t>
      </w:r>
      <w:r w:rsidRPr="00F04BAD">
        <w:rPr>
          <w:rFonts w:ascii="Book Antiqua" w:eastAsia="Book Antiqua" w:hAnsi="Book Antiqua" w:cs="Book Antiqua"/>
          <w:i/>
          <w:iCs/>
          <w:color w:val="000000" w:themeColor="text1"/>
        </w:rPr>
        <w:t>Cell Physiol Biochem</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46</w:t>
      </w:r>
      <w:r w:rsidRPr="00F04BAD">
        <w:rPr>
          <w:rFonts w:ascii="Book Antiqua" w:eastAsia="Book Antiqua" w:hAnsi="Book Antiqua" w:cs="Book Antiqua"/>
          <w:color w:val="000000" w:themeColor="text1"/>
        </w:rPr>
        <w:t>: 654-663 [PMID: 29617683 DOI: 10.1159/000488634]</w:t>
      </w:r>
    </w:p>
    <w:p w14:paraId="49D3211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41 </w:t>
      </w:r>
      <w:r w:rsidRPr="00F04BAD">
        <w:rPr>
          <w:rFonts w:ascii="Book Antiqua" w:eastAsia="Book Antiqua" w:hAnsi="Book Antiqua" w:cs="Book Antiqua"/>
          <w:b/>
          <w:bCs/>
          <w:color w:val="000000" w:themeColor="text1"/>
        </w:rPr>
        <w:t>Jia L</w:t>
      </w:r>
      <w:r w:rsidRPr="00F04BAD">
        <w:rPr>
          <w:rFonts w:ascii="Book Antiqua" w:eastAsia="Book Antiqua" w:hAnsi="Book Antiqua" w:cs="Book Antiqua"/>
          <w:color w:val="000000" w:themeColor="text1"/>
        </w:rPr>
        <w:t xml:space="preserve">, Xi Q, Wang H, Zhang Z, Liu H, Cheng Y, Guo X, Zhang J, Zhang Q, Zhang L, Xue Z, Li Y, Da Y, Zhao P, Zhang R. miR-142-5p regulates tumor cell PD-L1 expression and enhances anti-tumor immunity. </w:t>
      </w:r>
      <w:r w:rsidRPr="00F04BAD">
        <w:rPr>
          <w:rFonts w:ascii="Book Antiqua" w:eastAsia="Book Antiqua" w:hAnsi="Book Antiqua" w:cs="Book Antiqua"/>
          <w:i/>
          <w:iCs/>
          <w:color w:val="000000" w:themeColor="text1"/>
        </w:rPr>
        <w:t>Biochem Biophys Res Commun</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488</w:t>
      </w:r>
      <w:r w:rsidRPr="00F04BAD">
        <w:rPr>
          <w:rFonts w:ascii="Book Antiqua" w:eastAsia="Book Antiqua" w:hAnsi="Book Antiqua" w:cs="Book Antiqua"/>
          <w:color w:val="000000" w:themeColor="text1"/>
        </w:rPr>
        <w:t>: 425-431 [PMID: 28511795 DOI: 10.1016/j.bbrc.2017.05.074]</w:t>
      </w:r>
    </w:p>
    <w:p w14:paraId="43A8C01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42 </w:t>
      </w:r>
      <w:r w:rsidRPr="00F04BAD">
        <w:rPr>
          <w:rFonts w:ascii="Book Antiqua" w:eastAsia="Book Antiqua" w:hAnsi="Book Antiqua" w:cs="Book Antiqua"/>
          <w:b/>
          <w:bCs/>
          <w:color w:val="000000" w:themeColor="text1"/>
        </w:rPr>
        <w:t>Wang Y</w:t>
      </w:r>
      <w:r w:rsidRPr="00F04BAD">
        <w:rPr>
          <w:rFonts w:ascii="Book Antiqua" w:eastAsia="Book Antiqua" w:hAnsi="Book Antiqua" w:cs="Book Antiqua"/>
          <w:color w:val="000000" w:themeColor="text1"/>
        </w:rPr>
        <w:t xml:space="preserve">, Wang D, Xie G, Yin Y, Zhao E, Tao K, Li R. MicroRNA-152 regulates immune response </w:t>
      </w:r>
      <w:r w:rsidRPr="00F04BAD">
        <w:rPr>
          <w:rFonts w:ascii="Book Antiqua" w:eastAsia="Book Antiqua" w:hAnsi="Book Antiqua" w:cs="Book Antiqua"/>
          <w:i/>
          <w:iCs/>
          <w:color w:val="000000" w:themeColor="text1"/>
        </w:rPr>
        <w:t>via</w:t>
      </w:r>
      <w:r w:rsidRPr="00F04BAD">
        <w:rPr>
          <w:rFonts w:ascii="Book Antiqua" w:eastAsia="Book Antiqua" w:hAnsi="Book Antiqua" w:cs="Book Antiqua"/>
          <w:color w:val="000000" w:themeColor="text1"/>
        </w:rPr>
        <w:t xml:space="preserve"> targeting B7-H1 in gastric carcinoma.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28125-28134 [PMID: 28427226 DOI: 10.18632/oncotarget.15924]</w:t>
      </w:r>
    </w:p>
    <w:p w14:paraId="3BDD818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43 </w:t>
      </w:r>
      <w:r w:rsidRPr="00F04BAD">
        <w:rPr>
          <w:rFonts w:ascii="Book Antiqua" w:eastAsia="Book Antiqua" w:hAnsi="Book Antiqua" w:cs="Book Antiqua"/>
          <w:b/>
          <w:bCs/>
          <w:color w:val="000000" w:themeColor="text1"/>
        </w:rPr>
        <w:t>Fujita Y</w:t>
      </w:r>
      <w:r w:rsidRPr="00F04BAD">
        <w:rPr>
          <w:rFonts w:ascii="Book Antiqua" w:eastAsia="Book Antiqua" w:hAnsi="Book Antiqua" w:cs="Book Antiqua"/>
          <w:color w:val="000000" w:themeColor="text1"/>
        </w:rPr>
        <w:t xml:space="preserve">, Yagishita S, Hagiwara K, Yoshioka Y, Kosaka N, Takeshita F, Fujiwara T, Tsuta K, Nokihara H, Tamura T, Asamura H, Kawaishi M, Kuwano K, Ochiya T. The clinical relevance of the miR-197/CKS1B/STAT3-mediated PD-L1 network in chemoresistant non-small-cell lung cancer. </w:t>
      </w:r>
      <w:r w:rsidRPr="00F04BAD">
        <w:rPr>
          <w:rFonts w:ascii="Book Antiqua" w:eastAsia="Book Antiqua" w:hAnsi="Book Antiqua" w:cs="Book Antiqua"/>
          <w:i/>
          <w:iCs/>
          <w:color w:val="000000" w:themeColor="text1"/>
        </w:rPr>
        <w:t>Mol Ther</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23</w:t>
      </w:r>
      <w:r w:rsidRPr="00F04BAD">
        <w:rPr>
          <w:rFonts w:ascii="Book Antiqua" w:eastAsia="Book Antiqua" w:hAnsi="Book Antiqua" w:cs="Book Antiqua"/>
          <w:color w:val="000000" w:themeColor="text1"/>
        </w:rPr>
        <w:t>: 717-727 [PMID: 25597412 DOI: 10.1038/mt.2015.10]</w:t>
      </w:r>
    </w:p>
    <w:p w14:paraId="3BBDFB3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44 </w:t>
      </w:r>
      <w:r w:rsidRPr="00F04BAD">
        <w:rPr>
          <w:rFonts w:ascii="Book Antiqua" w:eastAsia="Book Antiqua" w:hAnsi="Book Antiqua" w:cs="Book Antiqua"/>
          <w:b/>
          <w:bCs/>
          <w:color w:val="000000" w:themeColor="text1"/>
        </w:rPr>
        <w:t>Chen L</w:t>
      </w:r>
      <w:r w:rsidRPr="00F04BAD">
        <w:rPr>
          <w:rFonts w:ascii="Book Antiqua" w:eastAsia="Book Antiqua" w:hAnsi="Book Antiqua" w:cs="Book Antiqua"/>
          <w:color w:val="000000" w:themeColor="text1"/>
        </w:rPr>
        <w:t xml:space="preserve">, Gibbons DL, Goswami S, Cortez MA, Ahn YH, Byers LA, Zhang X, Yi X, Dwyer D, Lin W, Diao L, Wang J, Roybal J, Patel M, Ungewiss C, Peng D, Antonia S, Mediavilla-Varela M, Robertson G, Suraokar M, Welsh JW, Erez B, Wistuba II, Chen L, Peng D, Wang S, Ullrich SE, Heymach JV, Kurie JM, Qin FX. Metastasis is regulated </w:t>
      </w:r>
      <w:r w:rsidRPr="00F04BAD">
        <w:rPr>
          <w:rFonts w:ascii="Book Antiqua" w:eastAsia="Book Antiqua" w:hAnsi="Book Antiqua" w:cs="Book Antiqua"/>
          <w:i/>
          <w:iCs/>
          <w:color w:val="000000" w:themeColor="text1"/>
        </w:rPr>
        <w:t>via</w:t>
      </w:r>
      <w:r w:rsidRPr="00F04BAD">
        <w:rPr>
          <w:rFonts w:ascii="Book Antiqua" w:eastAsia="Book Antiqua" w:hAnsi="Book Antiqua" w:cs="Book Antiqua"/>
          <w:color w:val="000000" w:themeColor="text1"/>
        </w:rPr>
        <w:t xml:space="preserve"> microRNA-200/ZEB1 axis control of tumour cell PD-L1 expression and intratumoral immunosuppression. </w:t>
      </w:r>
      <w:r w:rsidRPr="00F04BAD">
        <w:rPr>
          <w:rFonts w:ascii="Book Antiqua" w:eastAsia="Book Antiqua" w:hAnsi="Book Antiqua" w:cs="Book Antiqua"/>
          <w:i/>
          <w:iCs/>
          <w:color w:val="000000" w:themeColor="text1"/>
        </w:rPr>
        <w:t>Nat Commun</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5</w:t>
      </w:r>
      <w:r w:rsidRPr="00F04BAD">
        <w:rPr>
          <w:rFonts w:ascii="Book Antiqua" w:eastAsia="Book Antiqua" w:hAnsi="Book Antiqua" w:cs="Book Antiqua"/>
          <w:color w:val="000000" w:themeColor="text1"/>
        </w:rPr>
        <w:t>: 5241 [PMID: 25348003 DOI: 10.1038/ncomms6241]</w:t>
      </w:r>
    </w:p>
    <w:p w14:paraId="025B668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45 </w:t>
      </w:r>
      <w:r w:rsidRPr="00F04BAD">
        <w:rPr>
          <w:rFonts w:ascii="Book Antiqua" w:eastAsia="Book Antiqua" w:hAnsi="Book Antiqua" w:cs="Book Antiqua"/>
          <w:b/>
          <w:bCs/>
          <w:color w:val="000000" w:themeColor="text1"/>
        </w:rPr>
        <w:t>Miao S</w:t>
      </w:r>
      <w:r w:rsidRPr="00F04BAD">
        <w:rPr>
          <w:rFonts w:ascii="Book Antiqua" w:eastAsia="Book Antiqua" w:hAnsi="Book Antiqua" w:cs="Book Antiqua"/>
          <w:color w:val="000000" w:themeColor="text1"/>
        </w:rPr>
        <w:t xml:space="preserve">, Mao X, Zhao S, Song K, Xiang C, Lv Y, Jiang H, Wang L, Li B, Yang X, Yuan Z, Xiu C, Meng H, Sun J. miR-217 inhibits laryngeal cancer metastasis by repressing AEG-1 and PD-L1 expression.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62143-62153 [PMID: 28977933 DOI: 10.18632/oncotarget.19121]</w:t>
      </w:r>
    </w:p>
    <w:p w14:paraId="0778A14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46 </w:t>
      </w:r>
      <w:r w:rsidRPr="00F04BAD">
        <w:rPr>
          <w:rFonts w:ascii="Book Antiqua" w:eastAsia="Book Antiqua" w:hAnsi="Book Antiqua" w:cs="Book Antiqua"/>
          <w:b/>
          <w:bCs/>
          <w:color w:val="000000" w:themeColor="text1"/>
        </w:rPr>
        <w:t>Holla S</w:t>
      </w:r>
      <w:r w:rsidRPr="00F04BAD">
        <w:rPr>
          <w:rFonts w:ascii="Book Antiqua" w:eastAsia="Book Antiqua" w:hAnsi="Book Antiqua" w:cs="Book Antiqua"/>
          <w:color w:val="000000" w:themeColor="text1"/>
        </w:rPr>
        <w:t xml:space="preserve">, Stephen-Victor E, Prakhar P, Sharma M, Saha C, Udupa V, Kaveri SV, Bayry J, Balaji KN. Mycobacteria-responsive sonic hedgehog signaling mediates programmed death-ligand 1- and prostaglandin E2-induced regulatory T cell expansion. </w:t>
      </w:r>
      <w:r w:rsidRPr="00F04BAD">
        <w:rPr>
          <w:rFonts w:ascii="Book Antiqua" w:eastAsia="Book Antiqua" w:hAnsi="Book Antiqua" w:cs="Book Antiqua"/>
          <w:i/>
          <w:iCs/>
          <w:color w:val="000000" w:themeColor="text1"/>
        </w:rPr>
        <w:t>Sci Rep</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24193 [PMID: 27080341 DOI: 10.1038/srep24193]</w:t>
      </w:r>
    </w:p>
    <w:p w14:paraId="39CF298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47 </w:t>
      </w:r>
      <w:r w:rsidRPr="00F04BAD">
        <w:rPr>
          <w:rFonts w:ascii="Book Antiqua" w:eastAsia="Book Antiqua" w:hAnsi="Book Antiqua" w:cs="Book Antiqua"/>
          <w:b/>
          <w:bCs/>
          <w:color w:val="000000" w:themeColor="text1"/>
        </w:rPr>
        <w:t>Xu S</w:t>
      </w:r>
      <w:r w:rsidRPr="00F04BAD">
        <w:rPr>
          <w:rFonts w:ascii="Book Antiqua" w:eastAsia="Book Antiqua" w:hAnsi="Book Antiqua" w:cs="Book Antiqua"/>
          <w:color w:val="000000" w:themeColor="text1"/>
        </w:rPr>
        <w:t xml:space="preserve">, Tao Z, Hai B, Liang H, Shi Y, Wang T, Song W, Chen Y, OuYang J, Chen J, Kong F, Dong Y, Jiang SW, Li W, Wang P, Yuan Z, Wan X, Wang C, Li W, Zhang X, Chen K. miR-424(322) reverses chemoresistance </w:t>
      </w:r>
      <w:r w:rsidRPr="00F04BAD">
        <w:rPr>
          <w:rFonts w:ascii="Book Antiqua" w:eastAsia="Book Antiqua" w:hAnsi="Book Antiqua" w:cs="Book Antiqua"/>
          <w:i/>
          <w:iCs/>
          <w:color w:val="000000" w:themeColor="text1"/>
        </w:rPr>
        <w:t>via</w:t>
      </w:r>
      <w:r w:rsidRPr="00F04BAD">
        <w:rPr>
          <w:rFonts w:ascii="Book Antiqua" w:eastAsia="Book Antiqua" w:hAnsi="Book Antiqua" w:cs="Book Antiqua"/>
          <w:color w:val="000000" w:themeColor="text1"/>
        </w:rPr>
        <w:t xml:space="preserve"> T-cell immune response activation by blocking the PD-L1 immune checkpoint. </w:t>
      </w:r>
      <w:r w:rsidRPr="00F04BAD">
        <w:rPr>
          <w:rFonts w:ascii="Book Antiqua" w:eastAsia="Book Antiqua" w:hAnsi="Book Antiqua" w:cs="Book Antiqua"/>
          <w:i/>
          <w:iCs/>
          <w:color w:val="000000" w:themeColor="text1"/>
        </w:rPr>
        <w:t>Nat Commun</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7</w:t>
      </w:r>
      <w:r w:rsidRPr="00F04BAD">
        <w:rPr>
          <w:rFonts w:ascii="Book Antiqua" w:eastAsia="Book Antiqua" w:hAnsi="Book Antiqua" w:cs="Book Antiqua"/>
          <w:color w:val="000000" w:themeColor="text1"/>
        </w:rPr>
        <w:t>: 11406 [PMID: 27147225 DOI: 10.1038/ncomms11406]</w:t>
      </w:r>
    </w:p>
    <w:p w14:paraId="5B784A7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48 </w:t>
      </w:r>
      <w:r w:rsidRPr="00F04BAD">
        <w:rPr>
          <w:rFonts w:ascii="Book Antiqua" w:eastAsia="Book Antiqua" w:hAnsi="Book Antiqua" w:cs="Book Antiqua"/>
          <w:b/>
          <w:bCs/>
          <w:color w:val="000000" w:themeColor="text1"/>
        </w:rPr>
        <w:t>Gong AY</w:t>
      </w:r>
      <w:r w:rsidRPr="00F04BAD">
        <w:rPr>
          <w:rFonts w:ascii="Book Antiqua" w:eastAsia="Book Antiqua" w:hAnsi="Book Antiqua" w:cs="Book Antiqua"/>
          <w:color w:val="000000" w:themeColor="text1"/>
        </w:rPr>
        <w:t>, Zhou R, Hu G, Liu J, Sosnowska D, Drescher KM, Dong H, Chen XM. Cryptosporidium parvum induces B7-H1 expression in cholangiocytes by down-</w:t>
      </w:r>
      <w:r w:rsidRPr="00F04BAD">
        <w:rPr>
          <w:rFonts w:ascii="Book Antiqua" w:eastAsia="Book Antiqua" w:hAnsi="Book Antiqua" w:cs="Book Antiqua"/>
          <w:color w:val="000000" w:themeColor="text1"/>
        </w:rPr>
        <w:lastRenderedPageBreak/>
        <w:t xml:space="preserve">regulating microRNA-513. </w:t>
      </w:r>
      <w:r w:rsidRPr="00F04BAD">
        <w:rPr>
          <w:rFonts w:ascii="Book Antiqua" w:eastAsia="Book Antiqua" w:hAnsi="Book Antiqua" w:cs="Book Antiqua"/>
          <w:i/>
          <w:iCs/>
          <w:color w:val="000000" w:themeColor="text1"/>
        </w:rPr>
        <w:t>J Infect Dis</w:t>
      </w:r>
      <w:r w:rsidRPr="00F04BAD">
        <w:rPr>
          <w:rFonts w:ascii="Book Antiqua" w:eastAsia="Book Antiqua" w:hAnsi="Book Antiqua" w:cs="Book Antiqua"/>
          <w:color w:val="000000" w:themeColor="text1"/>
        </w:rPr>
        <w:t xml:space="preserve"> 2010; </w:t>
      </w:r>
      <w:r w:rsidRPr="00F04BAD">
        <w:rPr>
          <w:rFonts w:ascii="Book Antiqua" w:eastAsia="Book Antiqua" w:hAnsi="Book Antiqua" w:cs="Book Antiqua"/>
          <w:b/>
          <w:bCs/>
          <w:color w:val="000000" w:themeColor="text1"/>
        </w:rPr>
        <w:t>201</w:t>
      </w:r>
      <w:r w:rsidRPr="00F04BAD">
        <w:rPr>
          <w:rFonts w:ascii="Book Antiqua" w:eastAsia="Book Antiqua" w:hAnsi="Book Antiqua" w:cs="Book Antiqua"/>
          <w:color w:val="000000" w:themeColor="text1"/>
        </w:rPr>
        <w:t>: 160-169 [PMID: 19916867 DOI: 10.1086/648589]</w:t>
      </w:r>
    </w:p>
    <w:p w14:paraId="30CD978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49 </w:t>
      </w:r>
      <w:r w:rsidRPr="00F04BAD">
        <w:rPr>
          <w:rFonts w:ascii="Book Antiqua" w:eastAsia="Book Antiqua" w:hAnsi="Book Antiqua" w:cs="Book Antiqua"/>
          <w:b/>
          <w:bCs/>
          <w:color w:val="000000" w:themeColor="text1"/>
        </w:rPr>
        <w:t>Guo W</w:t>
      </w:r>
      <w:r w:rsidRPr="00F04BAD">
        <w:rPr>
          <w:rFonts w:ascii="Book Antiqua" w:eastAsia="Book Antiqua" w:hAnsi="Book Antiqua" w:cs="Book Antiqua"/>
          <w:color w:val="000000" w:themeColor="text1"/>
        </w:rPr>
        <w:t xml:space="preserve">, Tan W, Liu S, Huang X, Lin J, Liang R, Su L, Su Q, Wang C. MiR-570 inhibited the cell proliferation and invasion through directly targeting B7-H1 in hepatocellular carcinoma. </w:t>
      </w:r>
      <w:r w:rsidRPr="00F04BAD">
        <w:rPr>
          <w:rFonts w:ascii="Book Antiqua" w:eastAsia="Book Antiqua" w:hAnsi="Book Antiqua" w:cs="Book Antiqua"/>
          <w:i/>
          <w:iCs/>
          <w:color w:val="000000" w:themeColor="text1"/>
        </w:rPr>
        <w:t>Tumour Biol</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36</w:t>
      </w:r>
      <w:r w:rsidRPr="00F04BAD">
        <w:rPr>
          <w:rFonts w:ascii="Book Antiqua" w:eastAsia="Book Antiqua" w:hAnsi="Book Antiqua" w:cs="Book Antiqua"/>
          <w:color w:val="000000" w:themeColor="text1"/>
        </w:rPr>
        <w:t>: 9049-9057 [PMID: 26084609 DOI: 10.1007/s13277-015-3644-3]</w:t>
      </w:r>
    </w:p>
    <w:p w14:paraId="5A3A661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50 </w:t>
      </w:r>
      <w:r w:rsidRPr="00F04BAD">
        <w:rPr>
          <w:rFonts w:ascii="Book Antiqua" w:eastAsia="Book Antiqua" w:hAnsi="Book Antiqua" w:cs="Book Antiqua"/>
          <w:b/>
          <w:bCs/>
          <w:color w:val="000000" w:themeColor="text1"/>
        </w:rPr>
        <w:t>Chuang E</w:t>
      </w:r>
      <w:r w:rsidRPr="00F04BAD">
        <w:rPr>
          <w:rFonts w:ascii="Book Antiqua" w:eastAsia="Book Antiqua" w:hAnsi="Book Antiqua" w:cs="Book Antiqua"/>
          <w:color w:val="000000" w:themeColor="text1"/>
        </w:rPr>
        <w:t xml:space="preserve">, Alegre ML, Duckett CS, Noel PJ, Vander Heiden MG, Thompson CB. Interaction of CTLA-4 with the clathrin-associated protein AP50 results in ligand-independent endocytosis that limits cell surface expression.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1997; </w:t>
      </w:r>
      <w:r w:rsidRPr="00F04BAD">
        <w:rPr>
          <w:rFonts w:ascii="Book Antiqua" w:eastAsia="Book Antiqua" w:hAnsi="Book Antiqua" w:cs="Book Antiqua"/>
          <w:b/>
          <w:bCs/>
          <w:color w:val="000000" w:themeColor="text1"/>
        </w:rPr>
        <w:t>159</w:t>
      </w:r>
      <w:r w:rsidRPr="00F04BAD">
        <w:rPr>
          <w:rFonts w:ascii="Book Antiqua" w:eastAsia="Book Antiqua" w:hAnsi="Book Antiqua" w:cs="Book Antiqua"/>
          <w:color w:val="000000" w:themeColor="text1"/>
        </w:rPr>
        <w:t>: 144-151 [PMID: 9200449]</w:t>
      </w:r>
    </w:p>
    <w:p w14:paraId="0D6B509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51 </w:t>
      </w:r>
      <w:r w:rsidRPr="00F04BAD">
        <w:rPr>
          <w:rFonts w:ascii="Book Antiqua" w:eastAsia="Book Antiqua" w:hAnsi="Book Antiqua" w:cs="Book Antiqua"/>
          <w:b/>
          <w:bCs/>
          <w:color w:val="000000" w:themeColor="text1"/>
        </w:rPr>
        <w:t>Gibson HM</w:t>
      </w:r>
      <w:r w:rsidRPr="00F04BAD">
        <w:rPr>
          <w:rFonts w:ascii="Book Antiqua" w:eastAsia="Book Antiqua" w:hAnsi="Book Antiqua" w:cs="Book Antiqua"/>
          <w:color w:val="000000" w:themeColor="text1"/>
        </w:rPr>
        <w:t xml:space="preserve">, Hedgcock CJ, Aufiero BM, Wilson AJ, Hafner MS, Tsokos GC, Wong HK. Induction of the CTLA-4 gene in human lymphocytes is dependent on NFAT binding the proximal promoter.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2007; </w:t>
      </w:r>
      <w:r w:rsidRPr="00F04BAD">
        <w:rPr>
          <w:rFonts w:ascii="Book Antiqua" w:eastAsia="Book Antiqua" w:hAnsi="Book Antiqua" w:cs="Book Antiqua"/>
          <w:b/>
          <w:bCs/>
          <w:color w:val="000000" w:themeColor="text1"/>
        </w:rPr>
        <w:t>179</w:t>
      </w:r>
      <w:r w:rsidRPr="00F04BAD">
        <w:rPr>
          <w:rFonts w:ascii="Book Antiqua" w:eastAsia="Book Antiqua" w:hAnsi="Book Antiqua" w:cs="Book Antiqua"/>
          <w:color w:val="000000" w:themeColor="text1"/>
        </w:rPr>
        <w:t>: 3831-3840 [PMID: 17785820 DOI: 10.4049/jimmunol.179.6.3831]</w:t>
      </w:r>
    </w:p>
    <w:p w14:paraId="6900126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52 </w:t>
      </w:r>
      <w:r w:rsidRPr="00F04BAD">
        <w:rPr>
          <w:rFonts w:ascii="Book Antiqua" w:eastAsia="Book Antiqua" w:hAnsi="Book Antiqua" w:cs="Book Antiqua"/>
          <w:b/>
          <w:bCs/>
          <w:color w:val="000000" w:themeColor="text1"/>
        </w:rPr>
        <w:t>Contardi E</w:t>
      </w:r>
      <w:r w:rsidRPr="00F04BAD">
        <w:rPr>
          <w:rFonts w:ascii="Book Antiqua" w:eastAsia="Book Antiqua" w:hAnsi="Book Antiqua" w:cs="Book Antiqua"/>
          <w:color w:val="000000" w:themeColor="text1"/>
        </w:rPr>
        <w:t xml:space="preserve">, Palmisano GL, Tazzari PL, Martelli AM, Falà F, Fabbi M, Kato T, Lucarelli E, Donati D, Polito L, Bolognesi A, Ricci F, Salvi S, Gargaglione V, Mantero S, Alberghini M, Ferrara GB, Pistillo MP. CTLA-4 is constitutively expressed on tumor cells and can trigger apoptosis upon ligand interaction. </w:t>
      </w:r>
      <w:r w:rsidRPr="00F04BAD">
        <w:rPr>
          <w:rFonts w:ascii="Book Antiqua" w:eastAsia="Book Antiqua" w:hAnsi="Book Antiqua" w:cs="Book Antiqua"/>
          <w:i/>
          <w:iCs/>
          <w:color w:val="000000" w:themeColor="text1"/>
        </w:rPr>
        <w:t>Int J Cancer</w:t>
      </w:r>
      <w:r w:rsidRPr="00F04BAD">
        <w:rPr>
          <w:rFonts w:ascii="Book Antiqua" w:eastAsia="Book Antiqua" w:hAnsi="Book Antiqua" w:cs="Book Antiqua"/>
          <w:color w:val="000000" w:themeColor="text1"/>
        </w:rPr>
        <w:t xml:space="preserve"> 2005; </w:t>
      </w:r>
      <w:r w:rsidRPr="00F04BAD">
        <w:rPr>
          <w:rFonts w:ascii="Book Antiqua" w:eastAsia="Book Antiqua" w:hAnsi="Book Antiqua" w:cs="Book Antiqua"/>
          <w:b/>
          <w:bCs/>
          <w:color w:val="000000" w:themeColor="text1"/>
        </w:rPr>
        <w:t>117</w:t>
      </w:r>
      <w:r w:rsidRPr="00F04BAD">
        <w:rPr>
          <w:rFonts w:ascii="Book Antiqua" w:eastAsia="Book Antiqua" w:hAnsi="Book Antiqua" w:cs="Book Antiqua"/>
          <w:color w:val="000000" w:themeColor="text1"/>
        </w:rPr>
        <w:t>: 538-550 [PMID: 15912538 DOI: 10.1002/ijc.21155]</w:t>
      </w:r>
    </w:p>
    <w:p w14:paraId="42CE562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53 </w:t>
      </w:r>
      <w:r w:rsidRPr="00F04BAD">
        <w:rPr>
          <w:rFonts w:ascii="Book Antiqua" w:eastAsia="Book Antiqua" w:hAnsi="Book Antiqua" w:cs="Book Antiqua"/>
          <w:b/>
          <w:bCs/>
          <w:color w:val="000000" w:themeColor="text1"/>
        </w:rPr>
        <w:t>Goltz D</w:t>
      </w:r>
      <w:r w:rsidRPr="00F04BAD">
        <w:rPr>
          <w:rFonts w:ascii="Book Antiqua" w:eastAsia="Book Antiqua" w:hAnsi="Book Antiqua" w:cs="Book Antiqua"/>
          <w:color w:val="000000" w:themeColor="text1"/>
        </w:rPr>
        <w:t xml:space="preserve">, Gevensleben H, Vogt TJ, Dietrich J, Golletz C, Bootz F, Kristiansen G, Landsberg J, Dietrich D. CTLA4 methylation predicts response to anti-PD-1 and anti-CTLA-4 immunotherapy in melanoma patients. </w:t>
      </w:r>
      <w:r w:rsidRPr="00F04BAD">
        <w:rPr>
          <w:rFonts w:ascii="Book Antiqua" w:eastAsia="Book Antiqua" w:hAnsi="Book Antiqua" w:cs="Book Antiqua"/>
          <w:i/>
          <w:iCs/>
          <w:color w:val="000000" w:themeColor="text1"/>
        </w:rPr>
        <w:t>JCI Insight</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3</w:t>
      </w:r>
      <w:r w:rsidRPr="00F04BAD">
        <w:rPr>
          <w:rFonts w:ascii="Book Antiqua" w:eastAsia="Book Antiqua" w:hAnsi="Book Antiqua" w:cs="Book Antiqua"/>
          <w:color w:val="000000" w:themeColor="text1"/>
        </w:rPr>
        <w:t xml:space="preserve"> [PMID: 29997292 DOI: 10.1172/jci.insight.96793]</w:t>
      </w:r>
    </w:p>
    <w:p w14:paraId="00CAF4A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54 </w:t>
      </w:r>
      <w:r w:rsidRPr="00F04BAD">
        <w:rPr>
          <w:rFonts w:ascii="Book Antiqua" w:eastAsia="Book Antiqua" w:hAnsi="Book Antiqua" w:cs="Book Antiqua"/>
          <w:b/>
          <w:bCs/>
          <w:color w:val="000000" w:themeColor="text1"/>
        </w:rPr>
        <w:t>Shah KV</w:t>
      </w:r>
      <w:r w:rsidRPr="00F04BAD">
        <w:rPr>
          <w:rFonts w:ascii="Book Antiqua" w:eastAsia="Book Antiqua" w:hAnsi="Book Antiqua" w:cs="Book Antiqua"/>
          <w:color w:val="000000" w:themeColor="text1"/>
        </w:rPr>
        <w:t xml:space="preserve">, Chien AJ, Yee C, Moon RT. CTLA-4 is a direct target of Wnt/beta-catenin signaling and is expressed in human melanoma tumors. </w:t>
      </w:r>
      <w:r w:rsidRPr="00F04BAD">
        <w:rPr>
          <w:rFonts w:ascii="Book Antiqua" w:eastAsia="Book Antiqua" w:hAnsi="Book Antiqua" w:cs="Book Antiqua"/>
          <w:i/>
          <w:iCs/>
          <w:color w:val="000000" w:themeColor="text1"/>
        </w:rPr>
        <w:t>J Invest Dermatol</w:t>
      </w:r>
      <w:r w:rsidRPr="00F04BAD">
        <w:rPr>
          <w:rFonts w:ascii="Book Antiqua" w:eastAsia="Book Antiqua" w:hAnsi="Book Antiqua" w:cs="Book Antiqua"/>
          <w:color w:val="000000" w:themeColor="text1"/>
        </w:rPr>
        <w:t xml:space="preserve"> 2008; </w:t>
      </w:r>
      <w:r w:rsidRPr="00F04BAD">
        <w:rPr>
          <w:rFonts w:ascii="Book Antiqua" w:eastAsia="Book Antiqua" w:hAnsi="Book Antiqua" w:cs="Book Antiqua"/>
          <w:b/>
          <w:bCs/>
          <w:color w:val="000000" w:themeColor="text1"/>
        </w:rPr>
        <w:t>128</w:t>
      </w:r>
      <w:r w:rsidRPr="00F04BAD">
        <w:rPr>
          <w:rFonts w:ascii="Book Antiqua" w:eastAsia="Book Antiqua" w:hAnsi="Book Antiqua" w:cs="Book Antiqua"/>
          <w:color w:val="000000" w:themeColor="text1"/>
        </w:rPr>
        <w:t>: 2870-2879 [PMID: 18563180 DOI: 10.1038/jid.2008.170]</w:t>
      </w:r>
    </w:p>
    <w:p w14:paraId="0517604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55 </w:t>
      </w:r>
      <w:r w:rsidRPr="00F04BAD">
        <w:rPr>
          <w:rFonts w:ascii="Book Antiqua" w:eastAsia="Book Antiqua" w:hAnsi="Book Antiqua" w:cs="Book Antiqua"/>
          <w:b/>
          <w:bCs/>
          <w:color w:val="000000" w:themeColor="text1"/>
        </w:rPr>
        <w:t>Wang XB</w:t>
      </w:r>
      <w:r w:rsidRPr="00F04BAD">
        <w:rPr>
          <w:rFonts w:ascii="Book Antiqua" w:eastAsia="Book Antiqua" w:hAnsi="Book Antiqua" w:cs="Book Antiqua"/>
          <w:color w:val="000000" w:themeColor="text1"/>
        </w:rPr>
        <w:t xml:space="preserve">, Zhao X, Giscombe R, Lefvert AK. A CTLA-4 gene polymorphism at position -318 in the promoter region affects the expression of protein. </w:t>
      </w:r>
      <w:r w:rsidRPr="00F04BAD">
        <w:rPr>
          <w:rFonts w:ascii="Book Antiqua" w:eastAsia="Book Antiqua" w:hAnsi="Book Antiqua" w:cs="Book Antiqua"/>
          <w:i/>
          <w:iCs/>
          <w:color w:val="000000" w:themeColor="text1"/>
        </w:rPr>
        <w:t>Genes Immun</w:t>
      </w:r>
      <w:r w:rsidRPr="00F04BAD">
        <w:rPr>
          <w:rFonts w:ascii="Book Antiqua" w:eastAsia="Book Antiqua" w:hAnsi="Book Antiqua" w:cs="Book Antiqua"/>
          <w:color w:val="000000" w:themeColor="text1"/>
        </w:rPr>
        <w:t xml:space="preserve"> 2002; </w:t>
      </w:r>
      <w:r w:rsidRPr="00F04BAD">
        <w:rPr>
          <w:rFonts w:ascii="Book Antiqua" w:eastAsia="Book Antiqua" w:hAnsi="Book Antiqua" w:cs="Book Antiqua"/>
          <w:b/>
          <w:bCs/>
          <w:color w:val="000000" w:themeColor="text1"/>
        </w:rPr>
        <w:t>3</w:t>
      </w:r>
      <w:r w:rsidRPr="00F04BAD">
        <w:rPr>
          <w:rFonts w:ascii="Book Antiqua" w:eastAsia="Book Antiqua" w:hAnsi="Book Antiqua" w:cs="Book Antiqua"/>
          <w:color w:val="000000" w:themeColor="text1"/>
        </w:rPr>
        <w:t>: 233-234 [PMID: 12058260 DOI: 10.1038/sj.gene.6363869]</w:t>
      </w:r>
    </w:p>
    <w:p w14:paraId="6CD5B94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56 </w:t>
      </w:r>
      <w:r w:rsidRPr="00F04BAD">
        <w:rPr>
          <w:rFonts w:ascii="Book Antiqua" w:eastAsia="Book Antiqua" w:hAnsi="Book Antiqua" w:cs="Book Antiqua"/>
          <w:b/>
          <w:bCs/>
          <w:color w:val="000000" w:themeColor="text1"/>
        </w:rPr>
        <w:t>Jebbawi F</w:t>
      </w:r>
      <w:r w:rsidRPr="00F04BAD">
        <w:rPr>
          <w:rFonts w:ascii="Book Antiqua" w:eastAsia="Book Antiqua" w:hAnsi="Book Antiqua" w:cs="Book Antiqua"/>
          <w:color w:val="000000" w:themeColor="text1"/>
        </w:rPr>
        <w:t xml:space="preserve">, Fayyad-Kazan H, Merimi M, Lewalle P, Verougstraete JC, Leo O, Romero P, Burny A, Badran B, Martiat P, Rouas R. A microRNA profile of human CD8(+) regulatory T cells and characterization of the effects of microRNAs on Treg cell-associated genes. </w:t>
      </w:r>
      <w:r w:rsidRPr="00F04BAD">
        <w:rPr>
          <w:rFonts w:ascii="Book Antiqua" w:eastAsia="Book Antiqua" w:hAnsi="Book Antiqua" w:cs="Book Antiqua"/>
          <w:i/>
          <w:iCs/>
          <w:color w:val="000000" w:themeColor="text1"/>
        </w:rPr>
        <w:t>J Transl Med</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12</w:t>
      </w:r>
      <w:r w:rsidRPr="00F04BAD">
        <w:rPr>
          <w:rFonts w:ascii="Book Antiqua" w:eastAsia="Book Antiqua" w:hAnsi="Book Antiqua" w:cs="Book Antiqua"/>
          <w:color w:val="000000" w:themeColor="text1"/>
        </w:rPr>
        <w:t>: 218 [PMID: 25090912 DOI: 10.1186/s12967-014-0218-x]</w:t>
      </w:r>
    </w:p>
    <w:p w14:paraId="5E316ED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57 </w:t>
      </w:r>
      <w:r w:rsidRPr="00F04BAD">
        <w:rPr>
          <w:rFonts w:ascii="Book Antiqua" w:eastAsia="Book Antiqua" w:hAnsi="Book Antiqua" w:cs="Book Antiqua"/>
          <w:b/>
          <w:bCs/>
          <w:color w:val="000000" w:themeColor="text1"/>
        </w:rPr>
        <w:t>Zurawek M</w:t>
      </w:r>
      <w:r w:rsidRPr="00F04BAD">
        <w:rPr>
          <w:rFonts w:ascii="Book Antiqua" w:eastAsia="Book Antiqua" w:hAnsi="Book Antiqua" w:cs="Book Antiqua"/>
          <w:color w:val="000000" w:themeColor="text1"/>
        </w:rPr>
        <w:t xml:space="preserve">, Dzikiewicz-Krawczyk A, Izykowska K, Ziolkowska-Suchanek I, Skowronska B, Czainska M, Podralska M, Fichna P, Przybylski G, Fichna M, Nowak J. miR-487a-3p upregulated in type 1 diabetes targets CTLA4 and FOXO3. </w:t>
      </w:r>
      <w:r w:rsidRPr="00F04BAD">
        <w:rPr>
          <w:rFonts w:ascii="Book Antiqua" w:eastAsia="Book Antiqua" w:hAnsi="Book Antiqua" w:cs="Book Antiqua"/>
          <w:i/>
          <w:iCs/>
          <w:color w:val="000000" w:themeColor="text1"/>
        </w:rPr>
        <w:t>Diabetes Res Clin Pract</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142</w:t>
      </w:r>
      <w:r w:rsidRPr="00F04BAD">
        <w:rPr>
          <w:rFonts w:ascii="Book Antiqua" w:eastAsia="Book Antiqua" w:hAnsi="Book Antiqua" w:cs="Book Antiqua"/>
          <w:color w:val="000000" w:themeColor="text1"/>
        </w:rPr>
        <w:t>: 146-153 [PMID: 29859273 DOI: 10.1016/j.diabres.2018.05.044]</w:t>
      </w:r>
    </w:p>
    <w:p w14:paraId="2976999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58 </w:t>
      </w:r>
      <w:r w:rsidRPr="00F04BAD">
        <w:rPr>
          <w:rFonts w:ascii="Book Antiqua" w:eastAsia="Book Antiqua" w:hAnsi="Book Antiqua" w:cs="Book Antiqua"/>
          <w:b/>
          <w:bCs/>
          <w:color w:val="000000" w:themeColor="text1"/>
        </w:rPr>
        <w:t>Tirapu I</w:t>
      </w:r>
      <w:r w:rsidRPr="00F04BAD">
        <w:rPr>
          <w:rFonts w:ascii="Book Antiqua" w:eastAsia="Book Antiqua" w:hAnsi="Book Antiqua" w:cs="Book Antiqua"/>
          <w:color w:val="000000" w:themeColor="text1"/>
        </w:rPr>
        <w:t xml:space="preserve">, Huarte E, Guiducci C, Arina A, Zaratiegui M, Murillo O, Gonzalez A, Berasain C, Berraondo P, Fortes P, Prieto J, Colombo MP, Chen L, Melero I. Low surface expression of B7-1 (CD80) is an immunoescape mechanism of colon carcinoma. </w:t>
      </w:r>
      <w:r w:rsidRPr="00F04BAD">
        <w:rPr>
          <w:rFonts w:ascii="Book Antiqua" w:eastAsia="Book Antiqua" w:hAnsi="Book Antiqua" w:cs="Book Antiqua"/>
          <w:i/>
          <w:iCs/>
          <w:color w:val="000000" w:themeColor="text1"/>
        </w:rPr>
        <w:t>Cancer Res</w:t>
      </w:r>
      <w:r w:rsidRPr="00F04BAD">
        <w:rPr>
          <w:rFonts w:ascii="Book Antiqua" w:eastAsia="Book Antiqua" w:hAnsi="Book Antiqua" w:cs="Book Antiqua"/>
          <w:color w:val="000000" w:themeColor="text1"/>
        </w:rPr>
        <w:t xml:space="preserve"> 2006; </w:t>
      </w:r>
      <w:r w:rsidRPr="00F04BAD">
        <w:rPr>
          <w:rFonts w:ascii="Book Antiqua" w:eastAsia="Book Antiqua" w:hAnsi="Book Antiqua" w:cs="Book Antiqua"/>
          <w:b/>
          <w:bCs/>
          <w:color w:val="000000" w:themeColor="text1"/>
        </w:rPr>
        <w:t>66</w:t>
      </w:r>
      <w:r w:rsidRPr="00F04BAD">
        <w:rPr>
          <w:rFonts w:ascii="Book Antiqua" w:eastAsia="Book Antiqua" w:hAnsi="Book Antiqua" w:cs="Book Antiqua"/>
          <w:color w:val="000000" w:themeColor="text1"/>
        </w:rPr>
        <w:t>: 2442-2450 [PMID: 16489051 DOI: 10.1158/0008-5472.CAN-05-1681]</w:t>
      </w:r>
    </w:p>
    <w:p w14:paraId="45EFA52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59 </w:t>
      </w:r>
      <w:r w:rsidRPr="00F04BAD">
        <w:rPr>
          <w:rFonts w:ascii="Book Antiqua" w:eastAsia="Book Antiqua" w:hAnsi="Book Antiqua" w:cs="Book Antiqua"/>
          <w:b/>
          <w:bCs/>
          <w:color w:val="000000" w:themeColor="text1"/>
        </w:rPr>
        <w:t>Tatsumi T</w:t>
      </w:r>
      <w:r w:rsidRPr="00F04BAD">
        <w:rPr>
          <w:rFonts w:ascii="Book Antiqua" w:eastAsia="Book Antiqua" w:hAnsi="Book Antiqua" w:cs="Book Antiqua"/>
          <w:color w:val="000000" w:themeColor="text1"/>
        </w:rPr>
        <w:t xml:space="preserve">, Takehara T, Katayama K, Mochizuki K, Yamamoto M, Kanto T, Sasaki Y, Kasahara A, Hayashi N. Expression of costimulatory molecules B7-1 (CD80) and B7-2 (CD86) on human hepatocellular carcinoma.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1997; </w:t>
      </w:r>
      <w:r w:rsidRPr="00F04BAD">
        <w:rPr>
          <w:rFonts w:ascii="Book Antiqua" w:eastAsia="Book Antiqua" w:hAnsi="Book Antiqua" w:cs="Book Antiqua"/>
          <w:b/>
          <w:bCs/>
          <w:color w:val="000000" w:themeColor="text1"/>
        </w:rPr>
        <w:t>25</w:t>
      </w:r>
      <w:r w:rsidRPr="00F04BAD">
        <w:rPr>
          <w:rFonts w:ascii="Book Antiqua" w:eastAsia="Book Antiqua" w:hAnsi="Book Antiqua" w:cs="Book Antiqua"/>
          <w:color w:val="000000" w:themeColor="text1"/>
        </w:rPr>
        <w:t>: 1108-1114 [PMID: 9141426 DOI: 10.1002/hep.510250511]</w:t>
      </w:r>
    </w:p>
    <w:p w14:paraId="15A08F5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60 </w:t>
      </w:r>
      <w:r w:rsidRPr="00F04BAD">
        <w:rPr>
          <w:rFonts w:ascii="Book Antiqua" w:eastAsia="Book Antiqua" w:hAnsi="Book Antiqua" w:cs="Book Antiqua"/>
          <w:b/>
          <w:bCs/>
          <w:color w:val="000000" w:themeColor="text1"/>
        </w:rPr>
        <w:t>Yao H</w:t>
      </w:r>
      <w:r w:rsidRPr="00F04BAD">
        <w:rPr>
          <w:rFonts w:ascii="Book Antiqua" w:eastAsia="Book Antiqua" w:hAnsi="Book Antiqua" w:cs="Book Antiqua"/>
          <w:color w:val="000000" w:themeColor="text1"/>
        </w:rPr>
        <w:t xml:space="preserve">, Wang H, Li C, Fang JY, Xu J. Cancer Cell-Intrinsic PD-1 and Implications in Combinatorial Immunotherapy. </w:t>
      </w:r>
      <w:r w:rsidRPr="00F04BAD">
        <w:rPr>
          <w:rFonts w:ascii="Book Antiqua" w:eastAsia="Book Antiqua" w:hAnsi="Book Antiqua" w:cs="Book Antiqua"/>
          <w:i/>
          <w:iCs/>
          <w:color w:val="000000" w:themeColor="text1"/>
        </w:rPr>
        <w:t>Front Immunol</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9</w:t>
      </w:r>
      <w:r w:rsidRPr="00F04BAD">
        <w:rPr>
          <w:rFonts w:ascii="Book Antiqua" w:eastAsia="Book Antiqua" w:hAnsi="Book Antiqua" w:cs="Book Antiqua"/>
          <w:color w:val="000000" w:themeColor="text1"/>
        </w:rPr>
        <w:t>: 1774 [PMID: 30105035 DOI: 10.3389/fimmu.2018.01774]</w:t>
      </w:r>
    </w:p>
    <w:p w14:paraId="4BA77D8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61 </w:t>
      </w:r>
      <w:r w:rsidRPr="00F04BAD">
        <w:rPr>
          <w:rFonts w:ascii="Book Antiqua" w:eastAsia="Book Antiqua" w:hAnsi="Book Antiqua" w:cs="Book Antiqua"/>
          <w:b/>
          <w:bCs/>
          <w:color w:val="000000" w:themeColor="text1"/>
        </w:rPr>
        <w:t>Li H</w:t>
      </w:r>
      <w:r w:rsidRPr="00F04BAD">
        <w:rPr>
          <w:rFonts w:ascii="Book Antiqua" w:eastAsia="Book Antiqua" w:hAnsi="Book Antiqua" w:cs="Book Antiqua"/>
          <w:color w:val="000000" w:themeColor="text1"/>
        </w:rPr>
        <w:t xml:space="preserve">, Li X, Liu S, Guo L, Zhang B, Zhang J, Ye Q. Programmed cell death-1 (PD-1) checkpoint blockade in combination with a mammalian target of rapamycin inhibitor restrains hepatocellular carcinoma growth induced by hepatoma cell-intrinsic PD-1.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66</w:t>
      </w:r>
      <w:r w:rsidRPr="00F04BAD">
        <w:rPr>
          <w:rFonts w:ascii="Book Antiqua" w:eastAsia="Book Antiqua" w:hAnsi="Book Antiqua" w:cs="Book Antiqua"/>
          <w:color w:val="000000" w:themeColor="text1"/>
        </w:rPr>
        <w:t>: 1920-1933 [PMID: 28732118 DOI: 10.1002/hep.29360]</w:t>
      </w:r>
    </w:p>
    <w:p w14:paraId="73869E9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62 </w:t>
      </w:r>
      <w:r w:rsidRPr="00F04BAD">
        <w:rPr>
          <w:rFonts w:ascii="Book Antiqua" w:eastAsia="Book Antiqua" w:hAnsi="Book Antiqua" w:cs="Book Antiqua"/>
          <w:b/>
          <w:bCs/>
          <w:color w:val="000000" w:themeColor="text1"/>
        </w:rPr>
        <w:t>Tang H</w:t>
      </w:r>
      <w:r w:rsidRPr="00F04BAD">
        <w:rPr>
          <w:rFonts w:ascii="Book Antiqua" w:eastAsia="Book Antiqua" w:hAnsi="Book Antiqua" w:cs="Book Antiqua"/>
          <w:color w:val="000000" w:themeColor="text1"/>
        </w:rPr>
        <w:t xml:space="preserve">, Liang Y, Anders RA, Taube JM, Qiu X, Mulgaonkar A, Liu X, Harrington SM, Guo J, Xin Y, Xiong Y, Nham K, Silvers W, Hao G, Sun X, Chen M, Hannan R, Qiao J, Dong H, Peng H, Fu YX. PD-L1 on host cells is essential for PD-L1 blockade-mediated tumor regression. </w:t>
      </w:r>
      <w:r w:rsidRPr="00F04BAD">
        <w:rPr>
          <w:rFonts w:ascii="Book Antiqua" w:eastAsia="Book Antiqua" w:hAnsi="Book Antiqua" w:cs="Book Antiqua"/>
          <w:i/>
          <w:iCs/>
          <w:color w:val="000000" w:themeColor="text1"/>
        </w:rPr>
        <w:t>J Clin Invest</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128</w:t>
      </w:r>
      <w:r w:rsidRPr="00F04BAD">
        <w:rPr>
          <w:rFonts w:ascii="Book Antiqua" w:eastAsia="Book Antiqua" w:hAnsi="Book Antiqua" w:cs="Book Antiqua"/>
          <w:color w:val="000000" w:themeColor="text1"/>
        </w:rPr>
        <w:t>: 580-588 [PMID: 29337303 DOI: 10.1172/JCI96061]</w:t>
      </w:r>
    </w:p>
    <w:p w14:paraId="0E7F1A2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lastRenderedPageBreak/>
        <w:t xml:space="preserve">63 </w:t>
      </w:r>
      <w:r w:rsidRPr="00F04BAD">
        <w:rPr>
          <w:rFonts w:ascii="Book Antiqua" w:eastAsia="Book Antiqua" w:hAnsi="Book Antiqua" w:cs="Book Antiqua"/>
          <w:b/>
          <w:bCs/>
          <w:color w:val="000000" w:themeColor="text1"/>
        </w:rPr>
        <w:t>Wu AA</w:t>
      </w:r>
      <w:r w:rsidRPr="00F04BAD">
        <w:rPr>
          <w:rFonts w:ascii="Book Antiqua" w:eastAsia="Book Antiqua" w:hAnsi="Book Antiqua" w:cs="Book Antiqua"/>
          <w:color w:val="000000" w:themeColor="text1"/>
        </w:rPr>
        <w:t xml:space="preserve">, Drake V, Huang HS, Chiu S, Zheng L. Reprogramming the tumor microenvironment: tumor-induced immunosuppressive factors paralyze T cells. </w:t>
      </w:r>
      <w:r w:rsidRPr="00F04BAD">
        <w:rPr>
          <w:rFonts w:ascii="Book Antiqua" w:eastAsia="Book Antiqua" w:hAnsi="Book Antiqua" w:cs="Book Antiqua"/>
          <w:i/>
          <w:iCs/>
          <w:color w:val="000000" w:themeColor="text1"/>
        </w:rPr>
        <w:t>Oncoimmunology</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e1016700 [PMID: 26140242 DOI: 10.1080/2162402X.2015.1016700]</w:t>
      </w:r>
    </w:p>
    <w:p w14:paraId="3D1B9B4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64 </w:t>
      </w:r>
      <w:r w:rsidRPr="00F04BAD">
        <w:rPr>
          <w:rFonts w:ascii="Book Antiqua" w:eastAsia="Book Antiqua" w:hAnsi="Book Antiqua" w:cs="Book Antiqua"/>
          <w:b/>
          <w:bCs/>
          <w:color w:val="000000" w:themeColor="text1"/>
        </w:rPr>
        <w:t>Youngblood B</w:t>
      </w:r>
      <w:r w:rsidRPr="00F04BAD">
        <w:rPr>
          <w:rFonts w:ascii="Book Antiqua" w:eastAsia="Book Antiqua" w:hAnsi="Book Antiqua" w:cs="Book Antiqua"/>
          <w:color w:val="000000" w:themeColor="text1"/>
        </w:rPr>
        <w:t xml:space="preserve">, Noto A, Porichis F, Akondy RS, Ndhlovu ZM, Austin JW, Bordi R, Procopio FA, Miura T, Allen TM, Sidney J, Sette A, Walker BD, Ahmed R, Boss JM, Sékaly RP, Kaufmann DE. Cutting edge: Prolonged exposure to HIV reinforces a poised epigenetic program for PD-1 expression in virus-specific CD8 T cells.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191</w:t>
      </w:r>
      <w:r w:rsidRPr="00F04BAD">
        <w:rPr>
          <w:rFonts w:ascii="Book Antiqua" w:eastAsia="Book Antiqua" w:hAnsi="Book Antiqua" w:cs="Book Antiqua"/>
          <w:color w:val="000000" w:themeColor="text1"/>
        </w:rPr>
        <w:t>: 540-544 [PMID: 23772031 DOI: 10.4049/jimmunol.1203161]</w:t>
      </w:r>
    </w:p>
    <w:p w14:paraId="6721648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65 </w:t>
      </w:r>
      <w:r w:rsidRPr="00F04BAD">
        <w:rPr>
          <w:rFonts w:ascii="Book Antiqua" w:eastAsia="Book Antiqua" w:hAnsi="Book Antiqua" w:cs="Book Antiqua"/>
          <w:b/>
          <w:bCs/>
          <w:color w:val="000000" w:themeColor="text1"/>
        </w:rPr>
        <w:t>Youngblood B</w:t>
      </w:r>
      <w:r w:rsidRPr="00F04BAD">
        <w:rPr>
          <w:rFonts w:ascii="Book Antiqua" w:eastAsia="Book Antiqua" w:hAnsi="Book Antiqua" w:cs="Book Antiqua"/>
          <w:color w:val="000000" w:themeColor="text1"/>
        </w:rPr>
        <w:t xml:space="preserve">, Oestreich KJ, Ha SJ, Duraiswamy J, Akondy RS, West EE, Wei Z, Lu P, Austin JW, Riley JL, Boss JM, Ahmed R. Chronic virus infection enforces demethylation of the locus that encodes PD-1 in antigen-specific CD8(+) T cells. </w:t>
      </w:r>
      <w:r w:rsidRPr="00F04BAD">
        <w:rPr>
          <w:rFonts w:ascii="Book Antiqua" w:eastAsia="Book Antiqua" w:hAnsi="Book Antiqua" w:cs="Book Antiqua"/>
          <w:i/>
          <w:iCs/>
          <w:color w:val="000000" w:themeColor="text1"/>
        </w:rPr>
        <w:t>Immunity</w:t>
      </w:r>
      <w:r w:rsidRPr="00F04BAD">
        <w:rPr>
          <w:rFonts w:ascii="Book Antiqua" w:eastAsia="Book Antiqua" w:hAnsi="Book Antiqua" w:cs="Book Antiqua"/>
          <w:color w:val="000000" w:themeColor="text1"/>
        </w:rPr>
        <w:t xml:space="preserve"> 2011; </w:t>
      </w:r>
      <w:r w:rsidRPr="00F04BAD">
        <w:rPr>
          <w:rFonts w:ascii="Book Antiqua" w:eastAsia="Book Antiqua" w:hAnsi="Book Antiqua" w:cs="Book Antiqua"/>
          <w:b/>
          <w:bCs/>
          <w:color w:val="000000" w:themeColor="text1"/>
        </w:rPr>
        <w:t>35</w:t>
      </w:r>
      <w:r w:rsidRPr="00F04BAD">
        <w:rPr>
          <w:rFonts w:ascii="Book Antiqua" w:eastAsia="Book Antiqua" w:hAnsi="Book Antiqua" w:cs="Book Antiqua"/>
          <w:color w:val="000000" w:themeColor="text1"/>
        </w:rPr>
        <w:t>: 400-412 [PMID: 21943489 DOI: 10.1016/j.immuni.2011.06.015]</w:t>
      </w:r>
    </w:p>
    <w:p w14:paraId="0719CE6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66 </w:t>
      </w:r>
      <w:r w:rsidRPr="00F04BAD">
        <w:rPr>
          <w:rFonts w:ascii="Book Antiqua" w:eastAsia="Book Antiqua" w:hAnsi="Book Antiqua" w:cs="Book Antiqua"/>
          <w:b/>
          <w:bCs/>
          <w:color w:val="000000" w:themeColor="text1"/>
        </w:rPr>
        <w:t>Godin-Ethier J</w:t>
      </w:r>
      <w:r w:rsidRPr="00F04BAD">
        <w:rPr>
          <w:rFonts w:ascii="Book Antiqua" w:eastAsia="Book Antiqua" w:hAnsi="Book Antiqua" w:cs="Book Antiqua"/>
          <w:color w:val="000000" w:themeColor="text1"/>
        </w:rPr>
        <w:t xml:space="preserve">, Hanafi LA, Piccirillo CA, Lapointe R. Indoleamine 2,3-dioxygenase expression in human cancers: clinical and immunologic perspectives. </w:t>
      </w:r>
      <w:r w:rsidRPr="00F04BAD">
        <w:rPr>
          <w:rFonts w:ascii="Book Antiqua" w:eastAsia="Book Antiqua" w:hAnsi="Book Antiqua" w:cs="Book Antiqua"/>
          <w:i/>
          <w:iCs/>
          <w:color w:val="000000" w:themeColor="text1"/>
        </w:rPr>
        <w:t>Clin Cancer Res</w:t>
      </w:r>
      <w:r w:rsidRPr="00F04BAD">
        <w:rPr>
          <w:rFonts w:ascii="Book Antiqua" w:eastAsia="Book Antiqua" w:hAnsi="Book Antiqua" w:cs="Book Antiqua"/>
          <w:color w:val="000000" w:themeColor="text1"/>
        </w:rPr>
        <w:t xml:space="preserve"> 2011; </w:t>
      </w:r>
      <w:r w:rsidRPr="00F04BAD">
        <w:rPr>
          <w:rFonts w:ascii="Book Antiqua" w:eastAsia="Book Antiqua" w:hAnsi="Book Antiqua" w:cs="Book Antiqua"/>
          <w:b/>
          <w:bCs/>
          <w:color w:val="000000" w:themeColor="text1"/>
        </w:rPr>
        <w:t>17</w:t>
      </w:r>
      <w:r w:rsidRPr="00F04BAD">
        <w:rPr>
          <w:rFonts w:ascii="Book Antiqua" w:eastAsia="Book Antiqua" w:hAnsi="Book Antiqua" w:cs="Book Antiqua"/>
          <w:color w:val="000000" w:themeColor="text1"/>
        </w:rPr>
        <w:t>: 6985-6991 [PMID: 22068654 DOI: 10.1158/1078-0432.CCR-11-1331]</w:t>
      </w:r>
    </w:p>
    <w:p w14:paraId="040F427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67 </w:t>
      </w:r>
      <w:r w:rsidRPr="00F04BAD">
        <w:rPr>
          <w:rFonts w:ascii="Book Antiqua" w:eastAsia="Book Antiqua" w:hAnsi="Book Antiqua" w:cs="Book Antiqua"/>
          <w:b/>
          <w:bCs/>
          <w:color w:val="000000" w:themeColor="text1"/>
        </w:rPr>
        <w:t>Rodriguez PC</w:t>
      </w:r>
      <w:r w:rsidRPr="00F04BAD">
        <w:rPr>
          <w:rFonts w:ascii="Book Antiqua" w:eastAsia="Book Antiqua" w:hAnsi="Book Antiqua" w:cs="Book Antiqua"/>
          <w:color w:val="000000" w:themeColor="text1"/>
        </w:rPr>
        <w:t xml:space="preserve">, Quiceno DG, Zabaleta J, Ortiz B, Zea AH, Piazuelo MB, Delgado A, Correa P, Brayer J, Sotomayor EM, Antonia S, Ochoa JB, Ochoa AC. Arginase I production in the tumor microenvironment by mature myeloid cells inhibits T-cell receptor expression and antigen-specific T-cell responses. </w:t>
      </w:r>
      <w:r w:rsidRPr="00F04BAD">
        <w:rPr>
          <w:rFonts w:ascii="Book Antiqua" w:eastAsia="Book Antiqua" w:hAnsi="Book Antiqua" w:cs="Book Antiqua"/>
          <w:i/>
          <w:iCs/>
          <w:color w:val="000000" w:themeColor="text1"/>
        </w:rPr>
        <w:t>Cancer Res</w:t>
      </w:r>
      <w:r w:rsidRPr="00F04BAD">
        <w:rPr>
          <w:rFonts w:ascii="Book Antiqua" w:eastAsia="Book Antiqua" w:hAnsi="Book Antiqua" w:cs="Book Antiqua"/>
          <w:color w:val="000000" w:themeColor="text1"/>
        </w:rPr>
        <w:t xml:space="preserve"> 2004; </w:t>
      </w:r>
      <w:r w:rsidRPr="00F04BAD">
        <w:rPr>
          <w:rFonts w:ascii="Book Antiqua" w:eastAsia="Book Antiqua" w:hAnsi="Book Antiqua" w:cs="Book Antiqua"/>
          <w:b/>
          <w:bCs/>
          <w:color w:val="000000" w:themeColor="text1"/>
        </w:rPr>
        <w:t>64</w:t>
      </w:r>
      <w:r w:rsidRPr="00F04BAD">
        <w:rPr>
          <w:rFonts w:ascii="Book Antiqua" w:eastAsia="Book Antiqua" w:hAnsi="Book Antiqua" w:cs="Book Antiqua"/>
          <w:color w:val="000000" w:themeColor="text1"/>
        </w:rPr>
        <w:t>: 5839-5849 [PMID: 15313928 DOI: 10.1158/0008-5472.CAN-04-0465]</w:t>
      </w:r>
    </w:p>
    <w:p w14:paraId="5874D5C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68 </w:t>
      </w:r>
      <w:r w:rsidRPr="00F04BAD">
        <w:rPr>
          <w:rFonts w:ascii="Book Antiqua" w:eastAsia="Book Antiqua" w:hAnsi="Book Antiqua" w:cs="Book Antiqua"/>
          <w:b/>
          <w:bCs/>
          <w:color w:val="000000" w:themeColor="text1"/>
        </w:rPr>
        <w:t>Uyttenhove C</w:t>
      </w:r>
      <w:r w:rsidRPr="00F04BAD">
        <w:rPr>
          <w:rFonts w:ascii="Book Antiqua" w:eastAsia="Book Antiqua" w:hAnsi="Book Antiqua" w:cs="Book Antiqua"/>
          <w:color w:val="000000" w:themeColor="text1"/>
        </w:rPr>
        <w:t xml:space="preserve">, Pilotte L, Théate I, Stroobant V, Colau D, Parmentier N, Boon T, Van den Eynde BJ. Evidence for a tumoral immune resistance mechanism based on tryptophan degradation by indoleamine 2,3-dioxygenase. </w:t>
      </w:r>
      <w:r w:rsidRPr="00F04BAD">
        <w:rPr>
          <w:rFonts w:ascii="Book Antiqua" w:eastAsia="Book Antiqua" w:hAnsi="Book Antiqua" w:cs="Book Antiqua"/>
          <w:i/>
          <w:iCs/>
          <w:color w:val="000000" w:themeColor="text1"/>
        </w:rPr>
        <w:t>Nat Med</w:t>
      </w:r>
      <w:r w:rsidRPr="00F04BAD">
        <w:rPr>
          <w:rFonts w:ascii="Book Antiqua" w:eastAsia="Book Antiqua" w:hAnsi="Book Antiqua" w:cs="Book Antiqua"/>
          <w:color w:val="000000" w:themeColor="text1"/>
        </w:rPr>
        <w:t xml:space="preserve"> 2003; </w:t>
      </w:r>
      <w:r w:rsidRPr="00F04BAD">
        <w:rPr>
          <w:rFonts w:ascii="Book Antiqua" w:eastAsia="Book Antiqua" w:hAnsi="Book Antiqua" w:cs="Book Antiqua"/>
          <w:b/>
          <w:bCs/>
          <w:color w:val="000000" w:themeColor="text1"/>
        </w:rPr>
        <w:t>9</w:t>
      </w:r>
      <w:r w:rsidRPr="00F04BAD">
        <w:rPr>
          <w:rFonts w:ascii="Book Antiqua" w:eastAsia="Book Antiqua" w:hAnsi="Book Antiqua" w:cs="Book Antiqua"/>
          <w:color w:val="000000" w:themeColor="text1"/>
        </w:rPr>
        <w:t>: 1269-1274 [PMID: 14502282 DOI: 10.1038/nm934]</w:t>
      </w:r>
    </w:p>
    <w:p w14:paraId="1539D5E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69 </w:t>
      </w:r>
      <w:r w:rsidRPr="00F04BAD">
        <w:rPr>
          <w:rFonts w:ascii="Book Antiqua" w:eastAsia="Book Antiqua" w:hAnsi="Book Antiqua" w:cs="Book Antiqua"/>
          <w:b/>
          <w:bCs/>
          <w:color w:val="000000" w:themeColor="text1"/>
        </w:rPr>
        <w:t>Rodriguez PC</w:t>
      </w:r>
      <w:r w:rsidRPr="00F04BAD">
        <w:rPr>
          <w:rFonts w:ascii="Book Antiqua" w:eastAsia="Book Antiqua" w:hAnsi="Book Antiqua" w:cs="Book Antiqua"/>
          <w:color w:val="000000" w:themeColor="text1"/>
        </w:rPr>
        <w:t xml:space="preserve">, Quiceno DG, Ochoa AC. L-arginine availability regulates T-lymphocyte cell-cycle progression. </w:t>
      </w:r>
      <w:r w:rsidRPr="00F04BAD">
        <w:rPr>
          <w:rFonts w:ascii="Book Antiqua" w:eastAsia="Book Antiqua" w:hAnsi="Book Antiqua" w:cs="Book Antiqua"/>
          <w:i/>
          <w:iCs/>
          <w:color w:val="000000" w:themeColor="text1"/>
        </w:rPr>
        <w:t>Blood</w:t>
      </w:r>
      <w:r w:rsidRPr="00F04BAD">
        <w:rPr>
          <w:rFonts w:ascii="Book Antiqua" w:eastAsia="Book Antiqua" w:hAnsi="Book Antiqua" w:cs="Book Antiqua"/>
          <w:color w:val="000000" w:themeColor="text1"/>
        </w:rPr>
        <w:t xml:space="preserve"> 2007; </w:t>
      </w:r>
      <w:r w:rsidRPr="00F04BAD">
        <w:rPr>
          <w:rFonts w:ascii="Book Antiqua" w:eastAsia="Book Antiqua" w:hAnsi="Book Antiqua" w:cs="Book Antiqua"/>
          <w:b/>
          <w:bCs/>
          <w:color w:val="000000" w:themeColor="text1"/>
        </w:rPr>
        <w:t>109</w:t>
      </w:r>
      <w:r w:rsidRPr="00F04BAD">
        <w:rPr>
          <w:rFonts w:ascii="Book Antiqua" w:eastAsia="Book Antiqua" w:hAnsi="Book Antiqua" w:cs="Book Antiqua"/>
          <w:color w:val="000000" w:themeColor="text1"/>
        </w:rPr>
        <w:t>: 1568-1573 [PMID: 17023580 DOI: 10.1182/blood-2006-06-031856]</w:t>
      </w:r>
    </w:p>
    <w:p w14:paraId="66D0225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70 </w:t>
      </w:r>
      <w:r w:rsidRPr="00F04BAD">
        <w:rPr>
          <w:rFonts w:ascii="Book Antiqua" w:eastAsia="Book Antiqua" w:hAnsi="Book Antiqua" w:cs="Book Antiqua"/>
          <w:b/>
          <w:bCs/>
          <w:color w:val="000000" w:themeColor="text1"/>
        </w:rPr>
        <w:t>Liu J</w:t>
      </w:r>
      <w:r w:rsidRPr="00F04BAD">
        <w:rPr>
          <w:rFonts w:ascii="Book Antiqua" w:eastAsia="Book Antiqua" w:hAnsi="Book Antiqua" w:cs="Book Antiqua"/>
          <w:color w:val="000000" w:themeColor="text1"/>
        </w:rPr>
        <w:t xml:space="preserve">, Ma Q, Zhang M, Wang X, Zhang D, Li W, Wang F, Wu E. Alterations of TP53 are associated with a poor outcome for patients with hepatocellular carcinoma: evidence </w:t>
      </w:r>
      <w:r w:rsidRPr="00F04BAD">
        <w:rPr>
          <w:rFonts w:ascii="Book Antiqua" w:eastAsia="Book Antiqua" w:hAnsi="Book Antiqua" w:cs="Book Antiqua"/>
          <w:color w:val="000000" w:themeColor="text1"/>
        </w:rPr>
        <w:lastRenderedPageBreak/>
        <w:t xml:space="preserve">from a systematic review and meta-analysis. </w:t>
      </w:r>
      <w:r w:rsidRPr="00F04BAD">
        <w:rPr>
          <w:rFonts w:ascii="Book Antiqua" w:eastAsia="Book Antiqua" w:hAnsi="Book Antiqua" w:cs="Book Antiqua"/>
          <w:i/>
          <w:iCs/>
          <w:color w:val="000000" w:themeColor="text1"/>
        </w:rPr>
        <w:t>Eur J Cancer</w:t>
      </w:r>
      <w:r w:rsidRPr="00F04BAD">
        <w:rPr>
          <w:rFonts w:ascii="Book Antiqua" w:eastAsia="Book Antiqua" w:hAnsi="Book Antiqua" w:cs="Book Antiqua"/>
          <w:color w:val="000000" w:themeColor="text1"/>
        </w:rPr>
        <w:t xml:space="preserve"> 2012; </w:t>
      </w:r>
      <w:r w:rsidRPr="00F04BAD">
        <w:rPr>
          <w:rFonts w:ascii="Book Antiqua" w:eastAsia="Book Antiqua" w:hAnsi="Book Antiqua" w:cs="Book Antiqua"/>
          <w:b/>
          <w:bCs/>
          <w:color w:val="000000" w:themeColor="text1"/>
        </w:rPr>
        <w:t>48</w:t>
      </w:r>
      <w:r w:rsidRPr="00F04BAD">
        <w:rPr>
          <w:rFonts w:ascii="Book Antiqua" w:eastAsia="Book Antiqua" w:hAnsi="Book Antiqua" w:cs="Book Antiqua"/>
          <w:color w:val="000000" w:themeColor="text1"/>
        </w:rPr>
        <w:t>: 2328-2338 [PMID: 22459764 DOI: 10.1016/j.ejca.2012.03.001]</w:t>
      </w:r>
    </w:p>
    <w:p w14:paraId="59C21D2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71 </w:t>
      </w:r>
      <w:r w:rsidRPr="00F04BAD">
        <w:rPr>
          <w:rFonts w:ascii="Book Antiqua" w:eastAsia="Book Antiqua" w:hAnsi="Book Antiqua" w:cs="Book Antiqua"/>
          <w:b/>
          <w:bCs/>
          <w:color w:val="000000" w:themeColor="text1"/>
        </w:rPr>
        <w:t>Hendrickson PG</w:t>
      </w:r>
      <w:r w:rsidRPr="00F04BAD">
        <w:rPr>
          <w:rFonts w:ascii="Book Antiqua" w:eastAsia="Book Antiqua" w:hAnsi="Book Antiqua" w:cs="Book Antiqua"/>
          <w:color w:val="000000" w:themeColor="text1"/>
        </w:rPr>
        <w:t xml:space="preserve">, Olson M, Luetkens T, Weston S, Han T, Atanackovic D, Fine GC. The promise of adoptive cellular immunotherapies in hepatocellular carcinoma. </w:t>
      </w:r>
      <w:r w:rsidRPr="00F04BAD">
        <w:rPr>
          <w:rFonts w:ascii="Book Antiqua" w:eastAsia="Book Antiqua" w:hAnsi="Book Antiqua" w:cs="Book Antiqua"/>
          <w:i/>
          <w:iCs/>
          <w:color w:val="000000" w:themeColor="text1"/>
        </w:rPr>
        <w:t>Oncoimmunology</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9</w:t>
      </w:r>
      <w:r w:rsidRPr="00F04BAD">
        <w:rPr>
          <w:rFonts w:ascii="Book Antiqua" w:eastAsia="Book Antiqua" w:hAnsi="Book Antiqua" w:cs="Book Antiqua"/>
          <w:color w:val="000000" w:themeColor="text1"/>
        </w:rPr>
        <w:t>: 1673129 [PMID: 32002284 DOI: 10.1080/2162402X.2019.1673129]</w:t>
      </w:r>
    </w:p>
    <w:p w14:paraId="06E527D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72 </w:t>
      </w:r>
      <w:r w:rsidRPr="00F04BAD">
        <w:rPr>
          <w:rFonts w:ascii="Book Antiqua" w:eastAsia="Book Antiqua" w:hAnsi="Book Antiqua" w:cs="Book Antiqua"/>
          <w:b/>
          <w:bCs/>
          <w:color w:val="000000" w:themeColor="text1"/>
        </w:rPr>
        <w:t>Liang J</w:t>
      </w:r>
      <w:r w:rsidRPr="00F04BAD">
        <w:rPr>
          <w:rFonts w:ascii="Book Antiqua" w:eastAsia="Book Antiqua" w:hAnsi="Book Antiqua" w:cs="Book Antiqua"/>
          <w:color w:val="000000" w:themeColor="text1"/>
        </w:rPr>
        <w:t xml:space="preserve">, Ding T, Guo ZW, Yu XJ, Hu YZ, Zheng L, Xu J. Expression pattern of tumour-associated antigens in hepatocellular carcinoma: association with immune infiltration and disease progression. </w:t>
      </w:r>
      <w:r w:rsidRPr="00F04BAD">
        <w:rPr>
          <w:rFonts w:ascii="Book Antiqua" w:eastAsia="Book Antiqua" w:hAnsi="Book Antiqua" w:cs="Book Antiqua"/>
          <w:i/>
          <w:iCs/>
          <w:color w:val="000000" w:themeColor="text1"/>
        </w:rPr>
        <w:t>Br J Cancer</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109</w:t>
      </w:r>
      <w:r w:rsidRPr="00F04BAD">
        <w:rPr>
          <w:rFonts w:ascii="Book Antiqua" w:eastAsia="Book Antiqua" w:hAnsi="Book Antiqua" w:cs="Book Antiqua"/>
          <w:color w:val="000000" w:themeColor="text1"/>
        </w:rPr>
        <w:t>: 1031-1039 [PMID: 23868000 DOI: 10.1038/bjc.2013.390]</w:t>
      </w:r>
    </w:p>
    <w:p w14:paraId="2035AE8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73 </w:t>
      </w:r>
      <w:r w:rsidRPr="00F04BAD">
        <w:rPr>
          <w:rFonts w:ascii="Book Antiqua" w:eastAsia="Book Antiqua" w:hAnsi="Book Antiqua" w:cs="Book Antiqua"/>
          <w:b/>
          <w:bCs/>
          <w:color w:val="000000" w:themeColor="text1"/>
        </w:rPr>
        <w:t>Groh V</w:t>
      </w:r>
      <w:r w:rsidRPr="00F04BAD">
        <w:rPr>
          <w:rFonts w:ascii="Book Antiqua" w:eastAsia="Book Antiqua" w:hAnsi="Book Antiqua" w:cs="Book Antiqua"/>
          <w:color w:val="000000" w:themeColor="text1"/>
        </w:rPr>
        <w:t xml:space="preserve">, Wu J, Yee C, Spies T. Tumour-derived soluble MIC ligands impair expression of NKG2D and T-cell activation. </w:t>
      </w:r>
      <w:r w:rsidRPr="00F04BAD">
        <w:rPr>
          <w:rFonts w:ascii="Book Antiqua" w:eastAsia="Book Antiqua" w:hAnsi="Book Antiqua" w:cs="Book Antiqua"/>
          <w:i/>
          <w:iCs/>
          <w:color w:val="000000" w:themeColor="text1"/>
        </w:rPr>
        <w:t>Nature</w:t>
      </w:r>
      <w:r w:rsidRPr="00F04BAD">
        <w:rPr>
          <w:rFonts w:ascii="Book Antiqua" w:eastAsia="Book Antiqua" w:hAnsi="Book Antiqua" w:cs="Book Antiqua"/>
          <w:color w:val="000000" w:themeColor="text1"/>
        </w:rPr>
        <w:t xml:space="preserve"> 2002; </w:t>
      </w:r>
      <w:r w:rsidRPr="00F04BAD">
        <w:rPr>
          <w:rFonts w:ascii="Book Antiqua" w:eastAsia="Book Antiqua" w:hAnsi="Book Antiqua" w:cs="Book Antiqua"/>
          <w:b/>
          <w:bCs/>
          <w:color w:val="000000" w:themeColor="text1"/>
        </w:rPr>
        <w:t>419</w:t>
      </w:r>
      <w:r w:rsidRPr="00F04BAD">
        <w:rPr>
          <w:rFonts w:ascii="Book Antiqua" w:eastAsia="Book Antiqua" w:hAnsi="Book Antiqua" w:cs="Book Antiqua"/>
          <w:color w:val="000000" w:themeColor="text1"/>
        </w:rPr>
        <w:t>: 734-738 [PMID: 12384702 DOI: 10.1038/nature01112]</w:t>
      </w:r>
    </w:p>
    <w:p w14:paraId="4674776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74 </w:t>
      </w:r>
      <w:r w:rsidRPr="00F04BAD">
        <w:rPr>
          <w:rFonts w:ascii="Book Antiqua" w:eastAsia="Book Antiqua" w:hAnsi="Book Antiqua" w:cs="Book Antiqua"/>
          <w:b/>
          <w:bCs/>
          <w:color w:val="000000" w:themeColor="text1"/>
        </w:rPr>
        <w:t>Fernald K</w:t>
      </w:r>
      <w:r w:rsidRPr="00F04BAD">
        <w:rPr>
          <w:rFonts w:ascii="Book Antiqua" w:eastAsia="Book Antiqua" w:hAnsi="Book Antiqua" w:cs="Book Antiqua"/>
          <w:color w:val="000000" w:themeColor="text1"/>
        </w:rPr>
        <w:t xml:space="preserve">, Kurokawa M. Evading apoptosis in cancer. </w:t>
      </w:r>
      <w:r w:rsidRPr="00F04BAD">
        <w:rPr>
          <w:rFonts w:ascii="Book Antiqua" w:eastAsia="Book Antiqua" w:hAnsi="Book Antiqua" w:cs="Book Antiqua"/>
          <w:i/>
          <w:iCs/>
          <w:color w:val="000000" w:themeColor="text1"/>
        </w:rPr>
        <w:t>Trends Cell Biol</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23</w:t>
      </w:r>
      <w:r w:rsidRPr="00F04BAD">
        <w:rPr>
          <w:rFonts w:ascii="Book Antiqua" w:eastAsia="Book Antiqua" w:hAnsi="Book Antiqua" w:cs="Book Antiqua"/>
          <w:color w:val="000000" w:themeColor="text1"/>
        </w:rPr>
        <w:t>: 620-633 [PMID: 23958396 DOI: 10.1016/j.tcb.2013.07.006]</w:t>
      </w:r>
    </w:p>
    <w:p w14:paraId="7D16BEB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75 </w:t>
      </w:r>
      <w:r w:rsidRPr="00F04BAD">
        <w:rPr>
          <w:rFonts w:ascii="Book Antiqua" w:eastAsia="Book Antiqua" w:hAnsi="Book Antiqua" w:cs="Book Antiqua"/>
          <w:b/>
          <w:bCs/>
          <w:color w:val="000000" w:themeColor="text1"/>
        </w:rPr>
        <w:t>Binnewies M</w:t>
      </w:r>
      <w:r w:rsidRPr="00F04BAD">
        <w:rPr>
          <w:rFonts w:ascii="Book Antiqua" w:eastAsia="Book Antiqua" w:hAnsi="Book Antiqua" w:cs="Book Antiqua"/>
          <w:color w:val="000000" w:themeColor="text1"/>
        </w:rPr>
        <w:t xml:space="preserve">, Roberts EW, Kersten K, Chan V, Fearon DF, Merad M, Coussens LM, Gabrilovich DI, Ostrand-Rosenberg S, Hedrick CC, Vonderheide RH, Pittet MJ, Jain RK, Zou W, Howcroft TK, Woodhouse EC, Weinberg RA, Krummel MF. Understanding the tumor immune microenvironment (TIME) for effective therapy. </w:t>
      </w:r>
      <w:r w:rsidRPr="00F04BAD">
        <w:rPr>
          <w:rFonts w:ascii="Book Antiqua" w:eastAsia="Book Antiqua" w:hAnsi="Book Antiqua" w:cs="Book Antiqua"/>
          <w:i/>
          <w:iCs/>
          <w:color w:val="000000" w:themeColor="text1"/>
        </w:rPr>
        <w:t>Nat Med</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24</w:t>
      </w:r>
      <w:r w:rsidRPr="00F04BAD">
        <w:rPr>
          <w:rFonts w:ascii="Book Antiqua" w:eastAsia="Book Antiqua" w:hAnsi="Book Antiqua" w:cs="Book Antiqua"/>
          <w:color w:val="000000" w:themeColor="text1"/>
        </w:rPr>
        <w:t>: 541-550 [PMID: 29686425 DOI: 10.1038/s41591-018-0014-x]</w:t>
      </w:r>
    </w:p>
    <w:p w14:paraId="6C9FEAD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76 </w:t>
      </w:r>
      <w:r w:rsidRPr="00F04BAD">
        <w:rPr>
          <w:rFonts w:ascii="Book Antiqua" w:eastAsia="Book Antiqua" w:hAnsi="Book Antiqua" w:cs="Book Antiqua"/>
          <w:b/>
          <w:bCs/>
          <w:color w:val="000000" w:themeColor="text1"/>
        </w:rPr>
        <w:t>Jiang P</w:t>
      </w:r>
      <w:r w:rsidRPr="00F04BAD">
        <w:rPr>
          <w:rFonts w:ascii="Book Antiqua" w:eastAsia="Book Antiqua" w:hAnsi="Book Antiqua" w:cs="Book Antiqua"/>
          <w:color w:val="000000" w:themeColor="text1"/>
        </w:rPr>
        <w:t xml:space="preserve">, Gu S, Pan D, Fu J, Sahu A, Hu X, Li Z, Traugh N, Bu X, Li B, Liu J, Freeman GJ, Brown MA, Wucherpfennig KW, Liu XS. Signatures of T cell dysfunction and exclusion predict cancer immunotherapy response. </w:t>
      </w:r>
      <w:r w:rsidRPr="00F04BAD">
        <w:rPr>
          <w:rFonts w:ascii="Book Antiqua" w:eastAsia="Book Antiqua" w:hAnsi="Book Antiqua" w:cs="Book Antiqua"/>
          <w:i/>
          <w:iCs/>
          <w:color w:val="000000" w:themeColor="text1"/>
        </w:rPr>
        <w:t>Nat Med</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24</w:t>
      </w:r>
      <w:r w:rsidRPr="00F04BAD">
        <w:rPr>
          <w:rFonts w:ascii="Book Antiqua" w:eastAsia="Book Antiqua" w:hAnsi="Book Antiqua" w:cs="Book Antiqua"/>
          <w:color w:val="000000" w:themeColor="text1"/>
        </w:rPr>
        <w:t>: 1550-1558 [PMID: 30127393 DOI: 10.1038/s41591-018-0136-1]</w:t>
      </w:r>
    </w:p>
    <w:p w14:paraId="4E0225E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77 </w:t>
      </w:r>
      <w:r w:rsidRPr="00F04BAD">
        <w:rPr>
          <w:rFonts w:ascii="Book Antiqua" w:eastAsia="Book Antiqua" w:hAnsi="Book Antiqua" w:cs="Book Antiqua"/>
          <w:b/>
          <w:bCs/>
          <w:color w:val="000000" w:themeColor="text1"/>
        </w:rPr>
        <w:t>Romeo E</w:t>
      </w:r>
      <w:r w:rsidRPr="00F04BAD">
        <w:rPr>
          <w:rFonts w:ascii="Book Antiqua" w:eastAsia="Book Antiqua" w:hAnsi="Book Antiqua" w:cs="Book Antiqua"/>
          <w:color w:val="000000" w:themeColor="text1"/>
        </w:rPr>
        <w:t xml:space="preserve">, Caserta CA, Rumio C, Marcucci F. The Vicious Cross-Talk between Tumor Cells with an EMT Phenotype and Cells of the Immune System. </w:t>
      </w:r>
      <w:r w:rsidRPr="00F04BAD">
        <w:rPr>
          <w:rFonts w:ascii="Book Antiqua" w:eastAsia="Book Antiqua" w:hAnsi="Book Antiqua" w:cs="Book Antiqua"/>
          <w:i/>
          <w:iCs/>
          <w:color w:val="000000" w:themeColor="text1"/>
        </w:rPr>
        <w:t>Cells</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xml:space="preserve"> [PMID: 31096701 DOI: 10.3390/cells8050460]</w:t>
      </w:r>
    </w:p>
    <w:p w14:paraId="437423D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78 </w:t>
      </w:r>
      <w:r w:rsidRPr="00F04BAD">
        <w:rPr>
          <w:rFonts w:ascii="Book Antiqua" w:eastAsia="Book Antiqua" w:hAnsi="Book Antiqua" w:cs="Book Antiqua"/>
          <w:b/>
          <w:bCs/>
          <w:color w:val="000000" w:themeColor="text1"/>
        </w:rPr>
        <w:t>Spranger S</w:t>
      </w:r>
      <w:r w:rsidRPr="00F04BAD">
        <w:rPr>
          <w:rFonts w:ascii="Book Antiqua" w:eastAsia="Book Antiqua" w:hAnsi="Book Antiqua" w:cs="Book Antiqua"/>
          <w:color w:val="000000" w:themeColor="text1"/>
        </w:rPr>
        <w:t xml:space="preserve">, Bao R, Gajewski TF. Melanoma-intrinsic β-catenin signalling prevents anti-tumour immunity. </w:t>
      </w:r>
      <w:r w:rsidRPr="00F04BAD">
        <w:rPr>
          <w:rFonts w:ascii="Book Antiqua" w:eastAsia="Book Antiqua" w:hAnsi="Book Antiqua" w:cs="Book Antiqua"/>
          <w:i/>
          <w:iCs/>
          <w:color w:val="000000" w:themeColor="text1"/>
        </w:rPr>
        <w:t>Nature</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523</w:t>
      </w:r>
      <w:r w:rsidRPr="00F04BAD">
        <w:rPr>
          <w:rFonts w:ascii="Book Antiqua" w:eastAsia="Book Antiqua" w:hAnsi="Book Antiqua" w:cs="Book Antiqua"/>
          <w:color w:val="000000" w:themeColor="text1"/>
        </w:rPr>
        <w:t>: 231-235 [PMID: 25970248 DOI: 10.1038/nature14404]</w:t>
      </w:r>
    </w:p>
    <w:p w14:paraId="5990000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79 </w:t>
      </w:r>
      <w:r w:rsidRPr="00F04BAD">
        <w:rPr>
          <w:rFonts w:ascii="Book Antiqua" w:eastAsia="Book Antiqua" w:hAnsi="Book Antiqua" w:cs="Book Antiqua"/>
          <w:b/>
          <w:bCs/>
          <w:color w:val="000000" w:themeColor="text1"/>
        </w:rPr>
        <w:t>Ruiz de Galarreta M</w:t>
      </w:r>
      <w:r w:rsidRPr="00F04BAD">
        <w:rPr>
          <w:rFonts w:ascii="Book Antiqua" w:eastAsia="Book Antiqua" w:hAnsi="Book Antiqua" w:cs="Book Antiqua"/>
          <w:color w:val="000000" w:themeColor="text1"/>
        </w:rPr>
        <w:t xml:space="preserve">, Bresnahan E, Molina-Sánchez P, Lindblad KE, Maier B, Sia D, Puigvehi M, Miguela V, Casanova-Acebes M, Dhainaut M, Villacorta-Martin C, Singhi AD, Moghe A, von Felden J, Tal Grinspan L, Wang S, Kamphorst AO, Monga SP, Brown BD, Villanueva A, Llovet JM, Merad M, Lujambio A. β-Catenin Activation Promotes Immune Escape and Resistance to Anti-PD-1 Therapy in Hepatocellular Carcinoma. </w:t>
      </w:r>
      <w:r w:rsidRPr="00F04BAD">
        <w:rPr>
          <w:rFonts w:ascii="Book Antiqua" w:eastAsia="Book Antiqua" w:hAnsi="Book Antiqua" w:cs="Book Antiqua"/>
          <w:i/>
          <w:iCs/>
          <w:color w:val="000000" w:themeColor="text1"/>
        </w:rPr>
        <w:t>Cancer Discov</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9</w:t>
      </w:r>
      <w:r w:rsidRPr="00F04BAD">
        <w:rPr>
          <w:rFonts w:ascii="Book Antiqua" w:eastAsia="Book Antiqua" w:hAnsi="Book Antiqua" w:cs="Book Antiqua"/>
          <w:color w:val="000000" w:themeColor="text1"/>
        </w:rPr>
        <w:t>: 1124-1141 [PMID: 31186238 DOI: 10.1158/2159-8290.CD-19-0074]</w:t>
      </w:r>
    </w:p>
    <w:p w14:paraId="045D7E8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80 </w:t>
      </w:r>
      <w:r w:rsidRPr="00F04BAD">
        <w:rPr>
          <w:rFonts w:ascii="Book Antiqua" w:eastAsia="Book Antiqua" w:hAnsi="Book Antiqua" w:cs="Book Antiqua"/>
          <w:b/>
          <w:bCs/>
          <w:color w:val="000000" w:themeColor="text1"/>
        </w:rPr>
        <w:t>Wu C</w:t>
      </w:r>
      <w:r w:rsidRPr="00F04BAD">
        <w:rPr>
          <w:rFonts w:ascii="Book Antiqua" w:eastAsia="Book Antiqua" w:hAnsi="Book Antiqua" w:cs="Book Antiqua"/>
          <w:color w:val="000000" w:themeColor="text1"/>
        </w:rPr>
        <w:t xml:space="preserve">, Lin J, Weng Y, Zeng DN, Xu J, Luo S, Xu L, Liu M, Hua Q, Liu CQ, Li JQ, Liao J, Sun C, Zhou J, Chen MS, Liu C, Guo Z, Zhuang SM, Huang JH, Zheng L. Myeloid signature reveals immune contexture and predicts the prognosis of hepatocellular carcinoma. </w:t>
      </w:r>
      <w:r w:rsidRPr="00F04BAD">
        <w:rPr>
          <w:rFonts w:ascii="Book Antiqua" w:eastAsia="Book Antiqua" w:hAnsi="Book Antiqua" w:cs="Book Antiqua"/>
          <w:i/>
          <w:iCs/>
          <w:color w:val="000000" w:themeColor="text1"/>
        </w:rPr>
        <w:t>J Clin Invest</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130</w:t>
      </w:r>
      <w:r w:rsidRPr="00F04BAD">
        <w:rPr>
          <w:rFonts w:ascii="Book Antiqua" w:eastAsia="Book Antiqua" w:hAnsi="Book Antiqua" w:cs="Book Antiqua"/>
          <w:color w:val="000000" w:themeColor="text1"/>
        </w:rPr>
        <w:t>: 4679-4693 [PMID: 32497024 DOI: 10.1172/JCI135048]</w:t>
      </w:r>
    </w:p>
    <w:p w14:paraId="11CC028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81 </w:t>
      </w:r>
      <w:r w:rsidRPr="00F04BAD">
        <w:rPr>
          <w:rFonts w:ascii="Book Antiqua" w:eastAsia="Book Antiqua" w:hAnsi="Book Antiqua" w:cs="Book Antiqua"/>
          <w:b/>
          <w:bCs/>
          <w:color w:val="000000" w:themeColor="text1"/>
        </w:rPr>
        <w:t>Calderaro J</w:t>
      </w:r>
      <w:r w:rsidRPr="00F04BAD">
        <w:rPr>
          <w:rFonts w:ascii="Book Antiqua" w:eastAsia="Book Antiqua" w:hAnsi="Book Antiqua" w:cs="Book Antiqua"/>
          <w:color w:val="000000" w:themeColor="text1"/>
        </w:rPr>
        <w:t xml:space="preserve">, Rousseau B, Amaddeo G, Mercey M, Charpy C, Costentin C, Luciani A, Zafrani ES, Laurent A, Azoulay D, Lafdil F, Pawlotsky JM. Programmed death ligand 1 expression in hepatocellular carcinoma: Relationship With clinical and pathological features.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64</w:t>
      </w:r>
      <w:r w:rsidRPr="00F04BAD">
        <w:rPr>
          <w:rFonts w:ascii="Book Antiqua" w:eastAsia="Book Antiqua" w:hAnsi="Book Antiqua" w:cs="Book Antiqua"/>
          <w:color w:val="000000" w:themeColor="text1"/>
        </w:rPr>
        <w:t>: 2038-2046 [PMID: 27359084 DOI: 10.1002/hep.28710]</w:t>
      </w:r>
    </w:p>
    <w:p w14:paraId="5A897D5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82 </w:t>
      </w:r>
      <w:r w:rsidRPr="00F04BAD">
        <w:rPr>
          <w:rFonts w:ascii="Book Antiqua" w:eastAsia="Book Antiqua" w:hAnsi="Book Antiqua" w:cs="Book Antiqua"/>
          <w:b/>
          <w:bCs/>
          <w:color w:val="000000" w:themeColor="text1"/>
        </w:rPr>
        <w:t>Liu CQ</w:t>
      </w:r>
      <w:r w:rsidRPr="00F04BAD">
        <w:rPr>
          <w:rFonts w:ascii="Book Antiqua" w:eastAsia="Book Antiqua" w:hAnsi="Book Antiqua" w:cs="Book Antiqua"/>
          <w:color w:val="000000" w:themeColor="text1"/>
        </w:rPr>
        <w:t xml:space="preserve">, Xu J, Zhou ZG, Jin LL, Yu XJ, Xiao G, Lin J, Zhuang SM, Zhang YJ, Zheng L. Expression patterns of programmed death ligand 1 correlate with different microenvironments and patient prognosis in hepatocellular carcinoma. </w:t>
      </w:r>
      <w:r w:rsidRPr="00F04BAD">
        <w:rPr>
          <w:rFonts w:ascii="Book Antiqua" w:eastAsia="Book Antiqua" w:hAnsi="Book Antiqua" w:cs="Book Antiqua"/>
          <w:i/>
          <w:iCs/>
          <w:color w:val="000000" w:themeColor="text1"/>
        </w:rPr>
        <w:t>Br J Cancer</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119</w:t>
      </w:r>
      <w:r w:rsidRPr="00F04BAD">
        <w:rPr>
          <w:rFonts w:ascii="Book Antiqua" w:eastAsia="Book Antiqua" w:hAnsi="Book Antiqua" w:cs="Book Antiqua"/>
          <w:color w:val="000000" w:themeColor="text1"/>
        </w:rPr>
        <w:t>: 80-88 [PMID: 29921949 DOI: 10.1038/s41416-018-0144-4]</w:t>
      </w:r>
    </w:p>
    <w:p w14:paraId="679B127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83 </w:t>
      </w:r>
      <w:r w:rsidRPr="00F04BAD">
        <w:rPr>
          <w:rFonts w:ascii="Book Antiqua" w:eastAsia="Book Antiqua" w:hAnsi="Book Antiqua" w:cs="Book Antiqua"/>
          <w:b/>
          <w:bCs/>
          <w:color w:val="000000" w:themeColor="text1"/>
        </w:rPr>
        <w:t>Yu S</w:t>
      </w:r>
      <w:r w:rsidRPr="00F04BAD">
        <w:rPr>
          <w:rFonts w:ascii="Book Antiqua" w:eastAsia="Book Antiqua" w:hAnsi="Book Antiqua" w:cs="Book Antiqua"/>
          <w:color w:val="000000" w:themeColor="text1"/>
        </w:rPr>
        <w:t xml:space="preserve">, Wang Y, Hou J, Li W, Wang X, Xiang L, Tan D, Wang W, Jiang L, Claret FX, Jiao M, Guo H. Tumor-infiltrating immune cells in hepatocellular carcinoma: Tregs is correlated with poor overall survival. </w:t>
      </w:r>
      <w:r w:rsidRPr="00F04BAD">
        <w:rPr>
          <w:rFonts w:ascii="Book Antiqua" w:eastAsia="Book Antiqua" w:hAnsi="Book Antiqua" w:cs="Book Antiqua"/>
          <w:i/>
          <w:iCs/>
          <w:color w:val="000000" w:themeColor="text1"/>
        </w:rPr>
        <w:t>PLoS One</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15</w:t>
      </w:r>
      <w:r w:rsidRPr="00F04BAD">
        <w:rPr>
          <w:rFonts w:ascii="Book Antiqua" w:eastAsia="Book Antiqua" w:hAnsi="Book Antiqua" w:cs="Book Antiqua"/>
          <w:color w:val="000000" w:themeColor="text1"/>
        </w:rPr>
        <w:t>: e0231003 [PMID: 32240238 DOI: 10.1371/journal.pone.0231003]</w:t>
      </w:r>
    </w:p>
    <w:p w14:paraId="4320CD4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84 </w:t>
      </w:r>
      <w:r w:rsidRPr="00F04BAD">
        <w:rPr>
          <w:rFonts w:ascii="Book Antiqua" w:eastAsia="Book Antiqua" w:hAnsi="Book Antiqua" w:cs="Book Antiqua"/>
          <w:b/>
          <w:bCs/>
          <w:color w:val="000000" w:themeColor="text1"/>
        </w:rPr>
        <w:t>Le DT</w:t>
      </w:r>
      <w:r w:rsidRPr="00F04BAD">
        <w:rPr>
          <w:rFonts w:ascii="Book Antiqua" w:eastAsia="Book Antiqua" w:hAnsi="Book Antiqua" w:cs="Book Antiqua"/>
          <w:color w:val="000000" w:themeColor="text1"/>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sidRPr="00F04BAD">
        <w:rPr>
          <w:rFonts w:ascii="Book Antiqua" w:eastAsia="Book Antiqua" w:hAnsi="Book Antiqua" w:cs="Book Antiqua"/>
          <w:i/>
          <w:iCs/>
          <w:color w:val="000000" w:themeColor="text1"/>
        </w:rPr>
        <w:t>Science</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357</w:t>
      </w:r>
      <w:r w:rsidRPr="00F04BAD">
        <w:rPr>
          <w:rFonts w:ascii="Book Antiqua" w:eastAsia="Book Antiqua" w:hAnsi="Book Antiqua" w:cs="Book Antiqua"/>
          <w:color w:val="000000" w:themeColor="text1"/>
        </w:rPr>
        <w:t>: 409-413 [PMID: 28596308 DOI: 10.1126/science.aan6733]</w:t>
      </w:r>
    </w:p>
    <w:p w14:paraId="5C6FF96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85 </w:t>
      </w:r>
      <w:r w:rsidRPr="00F04BAD">
        <w:rPr>
          <w:rFonts w:ascii="Book Antiqua" w:eastAsia="Book Antiqua" w:hAnsi="Book Antiqua" w:cs="Book Antiqua"/>
          <w:b/>
          <w:bCs/>
          <w:color w:val="000000" w:themeColor="text1"/>
        </w:rPr>
        <w:t>Marabelle A</w:t>
      </w:r>
      <w:r w:rsidRPr="00F04BAD">
        <w:rPr>
          <w:rFonts w:ascii="Book Antiqua" w:eastAsia="Book Antiqua" w:hAnsi="Book Antiqua" w:cs="Book Antiqua"/>
          <w:color w:val="000000" w:themeColor="text1"/>
        </w:rPr>
        <w:t xml:space="preserve">, Fakih M, Lopez J, Shah M, Shapira-Frommer R, Nakagawa K, Chung HC, Kindler HL, Lopez-Martin JA, Miller WH Jr, Italiano A, Kao S, Piha-Paul SA, Delord JP, McWilliams RR, Fabrizio DA, Aurora-Garg D, Xu L, Jin F, Norwood K, Bang YJ. Association of tumour mutational burden with outcomes in patients with advanced solid tumours treated with pembrolizumab: prospective biomarker analysis of the multicohort, open-label, phase 2 KEYNOTE-158 study. </w:t>
      </w:r>
      <w:r w:rsidRPr="00F04BAD">
        <w:rPr>
          <w:rFonts w:ascii="Book Antiqua" w:eastAsia="Book Antiqua" w:hAnsi="Book Antiqua" w:cs="Book Antiqua"/>
          <w:i/>
          <w:iCs/>
          <w:color w:val="000000" w:themeColor="text1"/>
        </w:rPr>
        <w:t>Lancet Oncol</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21</w:t>
      </w:r>
      <w:r w:rsidRPr="00F04BAD">
        <w:rPr>
          <w:rFonts w:ascii="Book Antiqua" w:eastAsia="Book Antiqua" w:hAnsi="Book Antiqua" w:cs="Book Antiqua"/>
          <w:color w:val="000000" w:themeColor="text1"/>
        </w:rPr>
        <w:t>: 1353-1365 [PMID: 32919526 DOI: 10.1016/S1470-2045(20)30445-9]</w:t>
      </w:r>
    </w:p>
    <w:p w14:paraId="4EBFD1B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86 </w:t>
      </w:r>
      <w:r w:rsidRPr="00F04BAD">
        <w:rPr>
          <w:rFonts w:ascii="Book Antiqua" w:eastAsia="Book Antiqua" w:hAnsi="Book Antiqua" w:cs="Book Antiqua"/>
          <w:b/>
          <w:bCs/>
          <w:color w:val="000000" w:themeColor="text1"/>
        </w:rPr>
        <w:t>Hodi FS</w:t>
      </w:r>
      <w:r w:rsidRPr="00F04BAD">
        <w:rPr>
          <w:rFonts w:ascii="Book Antiqua" w:eastAsia="Book Antiqua" w:hAnsi="Book Antiqua" w:cs="Book Antiqua"/>
          <w:color w:val="000000" w:themeColor="text1"/>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Improved survival with ipilimumab in patients with metastatic melanoma. </w:t>
      </w:r>
      <w:r w:rsidRPr="00F04BAD">
        <w:rPr>
          <w:rFonts w:ascii="Book Antiqua" w:eastAsia="Book Antiqua" w:hAnsi="Book Antiqua" w:cs="Book Antiqua"/>
          <w:i/>
          <w:iCs/>
          <w:color w:val="000000" w:themeColor="text1"/>
        </w:rPr>
        <w:t>N Engl J Med</w:t>
      </w:r>
      <w:r w:rsidRPr="00F04BAD">
        <w:rPr>
          <w:rFonts w:ascii="Book Antiqua" w:eastAsia="Book Antiqua" w:hAnsi="Book Antiqua" w:cs="Book Antiqua"/>
          <w:color w:val="000000" w:themeColor="text1"/>
        </w:rPr>
        <w:t xml:space="preserve"> 2010; </w:t>
      </w:r>
      <w:r w:rsidRPr="00F04BAD">
        <w:rPr>
          <w:rFonts w:ascii="Book Antiqua" w:eastAsia="Book Antiqua" w:hAnsi="Book Antiqua" w:cs="Book Antiqua"/>
          <w:b/>
          <w:bCs/>
          <w:color w:val="000000" w:themeColor="text1"/>
        </w:rPr>
        <w:t>363</w:t>
      </w:r>
      <w:r w:rsidRPr="00F04BAD">
        <w:rPr>
          <w:rFonts w:ascii="Book Antiqua" w:eastAsia="Book Antiqua" w:hAnsi="Book Antiqua" w:cs="Book Antiqua"/>
          <w:color w:val="000000" w:themeColor="text1"/>
        </w:rPr>
        <w:t>: 711-723 [PMID: 20525992 DOI: 10.1056/NEJMoa1003466]</w:t>
      </w:r>
    </w:p>
    <w:p w14:paraId="2FDE1A0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87 </w:t>
      </w:r>
      <w:r w:rsidRPr="00F04BAD">
        <w:rPr>
          <w:rFonts w:ascii="Book Antiqua" w:eastAsia="Book Antiqua" w:hAnsi="Book Antiqua" w:cs="Book Antiqua"/>
          <w:b/>
          <w:bCs/>
          <w:color w:val="000000" w:themeColor="text1"/>
        </w:rPr>
        <w:t>Ribas A</w:t>
      </w:r>
      <w:r w:rsidRPr="00F04BAD">
        <w:rPr>
          <w:rFonts w:ascii="Book Antiqua" w:eastAsia="Book Antiqua" w:hAnsi="Book Antiqua" w:cs="Book Antiqua"/>
          <w:color w:val="000000" w:themeColor="text1"/>
        </w:rPr>
        <w:t xml:space="preserve">, Hamid O, Daud A, Hodi FS, Wolchok JD, Kefford R, Joshua AM, Patnaik A, Hwu WJ, Weber JS, Gangadhar TC, Hersey P, Dronca R, Joseph RW, Zarour H, Chmielowski B, Lawrence DP, Algazi A, Rizvi NA, Hoffner B, Mateus C, Gergich K, Lindia JA, Giannotti M, Li XN, Ebbinghaus S, Kang SP, Robert C. Association of Pembrolizumab With Tumor Response and Survival Among Patients With Advanced Melanoma. </w:t>
      </w:r>
      <w:r w:rsidRPr="00F04BAD">
        <w:rPr>
          <w:rFonts w:ascii="Book Antiqua" w:eastAsia="Book Antiqua" w:hAnsi="Book Antiqua" w:cs="Book Antiqua"/>
          <w:i/>
          <w:iCs/>
          <w:color w:val="000000" w:themeColor="text1"/>
        </w:rPr>
        <w:t>JAMA</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315</w:t>
      </w:r>
      <w:r w:rsidRPr="00F04BAD">
        <w:rPr>
          <w:rFonts w:ascii="Book Antiqua" w:eastAsia="Book Antiqua" w:hAnsi="Book Antiqua" w:cs="Book Antiqua"/>
          <w:color w:val="000000" w:themeColor="text1"/>
        </w:rPr>
        <w:t>: 1600-1609 [PMID: 27092830 DOI: 10.1001/jama.2016.4059]</w:t>
      </w:r>
    </w:p>
    <w:p w14:paraId="7699344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88 </w:t>
      </w:r>
      <w:r w:rsidRPr="00F04BAD">
        <w:rPr>
          <w:rFonts w:ascii="Book Antiqua" w:eastAsia="Book Antiqua" w:hAnsi="Book Antiqua" w:cs="Book Antiqua"/>
          <w:b/>
          <w:bCs/>
          <w:color w:val="000000" w:themeColor="text1"/>
        </w:rPr>
        <w:t>Huang X</w:t>
      </w:r>
      <w:r w:rsidRPr="00F04BAD">
        <w:rPr>
          <w:rFonts w:ascii="Book Antiqua" w:eastAsia="Book Antiqua" w:hAnsi="Book Antiqua" w:cs="Book Antiqua"/>
          <w:color w:val="000000" w:themeColor="text1"/>
        </w:rPr>
        <w:t xml:space="preserve">, Zhang X, Li E, Zhang G, Wang X, Tang T, Bai X, Liang T. VISTA: an immune regulatory protein checking tumor and immune cells in cancer immunotherapy. </w:t>
      </w:r>
      <w:r w:rsidRPr="00F04BAD">
        <w:rPr>
          <w:rFonts w:ascii="Book Antiqua" w:eastAsia="Book Antiqua" w:hAnsi="Book Antiqua" w:cs="Book Antiqua"/>
          <w:i/>
          <w:iCs/>
          <w:color w:val="000000" w:themeColor="text1"/>
        </w:rPr>
        <w:t>J Hematol Oncol</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13</w:t>
      </w:r>
      <w:r w:rsidRPr="00F04BAD">
        <w:rPr>
          <w:rFonts w:ascii="Book Antiqua" w:eastAsia="Book Antiqua" w:hAnsi="Book Antiqua" w:cs="Book Antiqua"/>
          <w:color w:val="000000" w:themeColor="text1"/>
        </w:rPr>
        <w:t>: 83 [PMID: 32600443 DOI: 10.1186/s13045-020-00917-y]</w:t>
      </w:r>
    </w:p>
    <w:p w14:paraId="6E76F79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89 </w:t>
      </w:r>
      <w:r w:rsidRPr="00F04BAD">
        <w:rPr>
          <w:rFonts w:ascii="Book Antiqua" w:eastAsia="Book Antiqua" w:hAnsi="Book Antiqua" w:cs="Book Antiqua"/>
          <w:b/>
          <w:bCs/>
          <w:color w:val="000000" w:themeColor="text1"/>
        </w:rPr>
        <w:t>Chauvin JM</w:t>
      </w:r>
      <w:r w:rsidRPr="00F04BAD">
        <w:rPr>
          <w:rFonts w:ascii="Book Antiqua" w:eastAsia="Book Antiqua" w:hAnsi="Book Antiqua" w:cs="Book Antiqua"/>
          <w:color w:val="000000" w:themeColor="text1"/>
        </w:rPr>
        <w:t xml:space="preserve">, Zarour HM. TIGIT in cancer immunotherapy. </w:t>
      </w:r>
      <w:r w:rsidRPr="00F04BAD">
        <w:rPr>
          <w:rFonts w:ascii="Book Antiqua" w:eastAsia="Book Antiqua" w:hAnsi="Book Antiqua" w:cs="Book Antiqua"/>
          <w:i/>
          <w:iCs/>
          <w:color w:val="000000" w:themeColor="text1"/>
        </w:rPr>
        <w:t>J Immunother Cancer</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xml:space="preserve"> [PMID: 32900861 DOI: 10.1136/jitc-2020-000957]</w:t>
      </w:r>
    </w:p>
    <w:p w14:paraId="6505EC8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90 </w:t>
      </w:r>
      <w:r w:rsidRPr="00F04BAD">
        <w:rPr>
          <w:rFonts w:ascii="Book Antiqua" w:eastAsia="Book Antiqua" w:hAnsi="Book Antiqua" w:cs="Book Antiqua"/>
          <w:b/>
          <w:bCs/>
          <w:color w:val="000000" w:themeColor="text1"/>
        </w:rPr>
        <w:t>Acharya N</w:t>
      </w:r>
      <w:r w:rsidRPr="00F04BAD">
        <w:rPr>
          <w:rFonts w:ascii="Book Antiqua" w:eastAsia="Book Antiqua" w:hAnsi="Book Antiqua" w:cs="Book Antiqua"/>
          <w:color w:val="000000" w:themeColor="text1"/>
        </w:rPr>
        <w:t xml:space="preserve">, Sabatos-Peyton C, Anderson AC. Tim-3 finds its place in the cancer immunotherapy landscape. </w:t>
      </w:r>
      <w:r w:rsidRPr="00F04BAD">
        <w:rPr>
          <w:rFonts w:ascii="Book Antiqua" w:eastAsia="Book Antiqua" w:hAnsi="Book Antiqua" w:cs="Book Antiqua"/>
          <w:i/>
          <w:iCs/>
          <w:color w:val="000000" w:themeColor="text1"/>
        </w:rPr>
        <w:t>J Immunother Cancer</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xml:space="preserve"> [PMID: 32601081 DOI: 10.1136/jitc-2020-000911]</w:t>
      </w:r>
    </w:p>
    <w:p w14:paraId="2F4F83D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91 </w:t>
      </w:r>
      <w:r w:rsidRPr="00F04BAD">
        <w:rPr>
          <w:rFonts w:ascii="Book Antiqua" w:eastAsia="Book Antiqua" w:hAnsi="Book Antiqua" w:cs="Book Antiqua"/>
          <w:b/>
          <w:bCs/>
          <w:color w:val="000000" w:themeColor="text1"/>
        </w:rPr>
        <w:t>Maruhashi T</w:t>
      </w:r>
      <w:r w:rsidRPr="00F04BAD">
        <w:rPr>
          <w:rFonts w:ascii="Book Antiqua" w:eastAsia="Book Antiqua" w:hAnsi="Book Antiqua" w:cs="Book Antiqua"/>
          <w:color w:val="000000" w:themeColor="text1"/>
        </w:rPr>
        <w:t xml:space="preserve">, Sugiura D, Okazaki IM, Okazaki T. LAG-3: from molecular functions to clinical applications. </w:t>
      </w:r>
      <w:r w:rsidRPr="00F04BAD">
        <w:rPr>
          <w:rFonts w:ascii="Book Antiqua" w:eastAsia="Book Antiqua" w:hAnsi="Book Antiqua" w:cs="Book Antiqua"/>
          <w:i/>
          <w:iCs/>
          <w:color w:val="000000" w:themeColor="text1"/>
        </w:rPr>
        <w:t>J Immunother Cancer</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xml:space="preserve"> [PMID: 32929051 DOI: 10.1136/jitc-2020-001014]</w:t>
      </w:r>
    </w:p>
    <w:p w14:paraId="188244B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92 </w:t>
      </w:r>
      <w:r w:rsidRPr="00F04BAD">
        <w:rPr>
          <w:rFonts w:ascii="Book Antiqua" w:eastAsia="Book Antiqua" w:hAnsi="Book Antiqua" w:cs="Book Antiqua"/>
          <w:b/>
          <w:bCs/>
          <w:color w:val="000000" w:themeColor="text1"/>
        </w:rPr>
        <w:t>Alves Costa Silva C</w:t>
      </w:r>
      <w:r w:rsidRPr="00F04BAD">
        <w:rPr>
          <w:rFonts w:ascii="Book Antiqua" w:eastAsia="Book Antiqua" w:hAnsi="Book Antiqua" w:cs="Book Antiqua"/>
          <w:color w:val="000000" w:themeColor="text1"/>
        </w:rPr>
        <w:t xml:space="preserve">, Facchinetti F, Routy B, Derosa L. New pathways in immune stimulation: targeting OX40. </w:t>
      </w:r>
      <w:r w:rsidRPr="00F04BAD">
        <w:rPr>
          <w:rFonts w:ascii="Book Antiqua" w:eastAsia="Book Antiqua" w:hAnsi="Book Antiqua" w:cs="Book Antiqua"/>
          <w:i/>
          <w:iCs/>
          <w:color w:val="000000" w:themeColor="text1"/>
        </w:rPr>
        <w:t>ESMO Open</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5</w:t>
      </w:r>
      <w:r w:rsidRPr="00F04BAD">
        <w:rPr>
          <w:rFonts w:ascii="Book Antiqua" w:eastAsia="Book Antiqua" w:hAnsi="Book Antiqua" w:cs="Book Antiqua"/>
          <w:color w:val="000000" w:themeColor="text1"/>
        </w:rPr>
        <w:t xml:space="preserve"> [PMID: 32392177 DOI: 10.1136/esmoopen-2019-000573]</w:t>
      </w:r>
    </w:p>
    <w:p w14:paraId="589330B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93 </w:t>
      </w:r>
      <w:r w:rsidRPr="00F04BAD">
        <w:rPr>
          <w:rFonts w:ascii="Book Antiqua" w:eastAsia="Book Antiqua" w:hAnsi="Book Antiqua" w:cs="Book Antiqua"/>
          <w:b/>
          <w:bCs/>
          <w:color w:val="000000" w:themeColor="text1"/>
        </w:rPr>
        <w:t>Buzzatti G</w:t>
      </w:r>
      <w:r w:rsidRPr="00F04BAD">
        <w:rPr>
          <w:rFonts w:ascii="Book Antiqua" w:eastAsia="Book Antiqua" w:hAnsi="Book Antiqua" w:cs="Book Antiqua"/>
          <w:color w:val="000000" w:themeColor="text1"/>
        </w:rPr>
        <w:t xml:space="preserve">, Dellepiane C, Del Mastro L. New emerging targets in cancer immunotherapy: the role of GITR. </w:t>
      </w:r>
      <w:r w:rsidRPr="00F04BAD">
        <w:rPr>
          <w:rFonts w:ascii="Book Antiqua" w:eastAsia="Book Antiqua" w:hAnsi="Book Antiqua" w:cs="Book Antiqua"/>
          <w:i/>
          <w:iCs/>
          <w:color w:val="000000" w:themeColor="text1"/>
        </w:rPr>
        <w:t>ESMO Open</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e000738 [PMID: 32817129 DOI: 10.1136/esmoopen-2020-000738]</w:t>
      </w:r>
    </w:p>
    <w:p w14:paraId="21C0CF9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94 </w:t>
      </w:r>
      <w:r w:rsidRPr="00F04BAD">
        <w:rPr>
          <w:rFonts w:ascii="Book Antiqua" w:eastAsia="Book Antiqua" w:hAnsi="Book Antiqua" w:cs="Book Antiqua"/>
          <w:b/>
          <w:bCs/>
          <w:color w:val="000000" w:themeColor="text1"/>
        </w:rPr>
        <w:t>Addeo A</w:t>
      </w:r>
      <w:r w:rsidRPr="00F04BAD">
        <w:rPr>
          <w:rFonts w:ascii="Book Antiqua" w:eastAsia="Book Antiqua" w:hAnsi="Book Antiqua" w:cs="Book Antiqua"/>
          <w:color w:val="000000" w:themeColor="text1"/>
        </w:rPr>
        <w:t xml:space="preserve">, Rinaldi CR. Treatment with ipilimumab: a case report of complete response in a metastatic malignant melanoma patient. </w:t>
      </w:r>
      <w:r w:rsidRPr="00F04BAD">
        <w:rPr>
          <w:rFonts w:ascii="Book Antiqua" w:eastAsia="Book Antiqua" w:hAnsi="Book Antiqua" w:cs="Book Antiqua"/>
          <w:i/>
          <w:iCs/>
          <w:color w:val="000000" w:themeColor="text1"/>
        </w:rPr>
        <w:t>Case Rep Oncol</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285-288 [PMID: 23898270 DOI: 10.1159/000351834]</w:t>
      </w:r>
    </w:p>
    <w:p w14:paraId="7CE7EDE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95 </w:t>
      </w:r>
      <w:r w:rsidRPr="00F04BAD">
        <w:rPr>
          <w:rFonts w:ascii="Book Antiqua" w:eastAsia="Book Antiqua" w:hAnsi="Book Antiqua" w:cs="Book Antiqua"/>
          <w:b/>
          <w:bCs/>
          <w:color w:val="000000" w:themeColor="text1"/>
        </w:rPr>
        <w:t>Schadendorf D</w:t>
      </w:r>
      <w:r w:rsidRPr="00F04BAD">
        <w:rPr>
          <w:rFonts w:ascii="Book Antiqua" w:eastAsia="Book Antiqua" w:hAnsi="Book Antiqua" w:cs="Book Antiqua"/>
          <w:color w:val="000000" w:themeColor="text1"/>
        </w:rPr>
        <w:t xml:space="preserve">, Hodi FS, Robert C, Weber JS, Margolin K, Hamid O, Patt D, Chen TT, Berman DM, Wolchok JD. Pooled Analysis of Long-Term Survival Data From Phase II and Phase III Trials of Ipilimumab in Unresectable or Metastatic Melanoma. </w:t>
      </w:r>
      <w:r w:rsidRPr="00F04BAD">
        <w:rPr>
          <w:rFonts w:ascii="Book Antiqua" w:eastAsia="Book Antiqua" w:hAnsi="Book Antiqua" w:cs="Book Antiqua"/>
          <w:i/>
          <w:iCs/>
          <w:color w:val="000000" w:themeColor="text1"/>
        </w:rPr>
        <w:t>J Clin Oncol</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33</w:t>
      </w:r>
      <w:r w:rsidRPr="00F04BAD">
        <w:rPr>
          <w:rFonts w:ascii="Book Antiqua" w:eastAsia="Book Antiqua" w:hAnsi="Book Antiqua" w:cs="Book Antiqua"/>
          <w:color w:val="000000" w:themeColor="text1"/>
        </w:rPr>
        <w:t>: 1889-1894 [PMID: 25667295 DOI: 10.1200/JCO.2014.56.2736]</w:t>
      </w:r>
    </w:p>
    <w:p w14:paraId="689DA26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96 </w:t>
      </w:r>
      <w:r w:rsidRPr="00F04BAD">
        <w:rPr>
          <w:rFonts w:ascii="Book Antiqua" w:eastAsia="Book Antiqua" w:hAnsi="Book Antiqua" w:cs="Book Antiqua"/>
          <w:b/>
          <w:bCs/>
          <w:color w:val="000000" w:themeColor="text1"/>
        </w:rPr>
        <w:t>Sangro B</w:t>
      </w:r>
      <w:r w:rsidRPr="00F04BAD">
        <w:rPr>
          <w:rFonts w:ascii="Book Antiqua" w:eastAsia="Book Antiqua" w:hAnsi="Book Antiqua" w:cs="Book Antiqua"/>
          <w:color w:val="000000" w:themeColor="text1"/>
        </w:rPr>
        <w:t xml:space="preserve">,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59</w:t>
      </w:r>
      <w:r w:rsidRPr="00F04BAD">
        <w:rPr>
          <w:rFonts w:ascii="Book Antiqua" w:eastAsia="Book Antiqua" w:hAnsi="Book Antiqua" w:cs="Book Antiqua"/>
          <w:color w:val="000000" w:themeColor="text1"/>
        </w:rPr>
        <w:t>: 81-88 [PMID: 23466307 DOI: 10.1016/j.jhep.2013.02.022]</w:t>
      </w:r>
    </w:p>
    <w:p w14:paraId="026C6FB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97 </w:t>
      </w:r>
      <w:r w:rsidRPr="00F04BAD">
        <w:rPr>
          <w:rFonts w:ascii="Book Antiqua" w:eastAsia="Book Antiqua" w:hAnsi="Book Antiqua" w:cs="Book Antiqua"/>
          <w:b/>
          <w:bCs/>
          <w:color w:val="000000" w:themeColor="text1"/>
        </w:rPr>
        <w:t>Duffy AG</w:t>
      </w:r>
      <w:r w:rsidRPr="00F04BAD">
        <w:rPr>
          <w:rFonts w:ascii="Book Antiqua" w:eastAsia="Book Antiqua" w:hAnsi="Book Antiqua" w:cs="Book Antiqua"/>
          <w:color w:val="000000" w:themeColor="text1"/>
        </w:rPr>
        <w:t xml:space="preserve">,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advanced hepatocellular carcinoma.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66</w:t>
      </w:r>
      <w:r w:rsidRPr="00F04BAD">
        <w:rPr>
          <w:rFonts w:ascii="Book Antiqua" w:eastAsia="Book Antiqua" w:hAnsi="Book Antiqua" w:cs="Book Antiqua"/>
          <w:color w:val="000000" w:themeColor="text1"/>
        </w:rPr>
        <w:t>: 545-551 [PMID: 27816492 DOI: 10.1016/j.jhep.2016.10.029]</w:t>
      </w:r>
    </w:p>
    <w:p w14:paraId="150568B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98 </w:t>
      </w:r>
      <w:r w:rsidRPr="00F04BAD">
        <w:rPr>
          <w:rFonts w:ascii="Book Antiqua" w:eastAsia="Book Antiqua" w:hAnsi="Book Antiqua" w:cs="Book Antiqua"/>
          <w:b/>
          <w:bCs/>
          <w:color w:val="000000" w:themeColor="text1"/>
        </w:rPr>
        <w:t>Samaan MA</w:t>
      </w:r>
      <w:r w:rsidRPr="00F04BAD">
        <w:rPr>
          <w:rFonts w:ascii="Book Antiqua" w:eastAsia="Book Antiqua" w:hAnsi="Book Antiqua" w:cs="Book Antiqua"/>
          <w:color w:val="000000" w:themeColor="text1"/>
        </w:rPr>
        <w:t xml:space="preserve">, Pavlidis P, Papa S, Powell N, Irving PM. Gastrointestinal toxicity of immune checkpoint inhibitors: from mechanisms to management. </w:t>
      </w:r>
      <w:r w:rsidRPr="00F04BAD">
        <w:rPr>
          <w:rFonts w:ascii="Book Antiqua" w:eastAsia="Book Antiqua" w:hAnsi="Book Antiqua" w:cs="Book Antiqua"/>
          <w:i/>
          <w:iCs/>
          <w:color w:val="000000" w:themeColor="text1"/>
        </w:rPr>
        <w:t>Nat Rev Gastroenterol Hepatol</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15</w:t>
      </w:r>
      <w:r w:rsidRPr="00F04BAD">
        <w:rPr>
          <w:rFonts w:ascii="Book Antiqua" w:eastAsia="Book Antiqua" w:hAnsi="Book Antiqua" w:cs="Book Antiqua"/>
          <w:color w:val="000000" w:themeColor="text1"/>
        </w:rPr>
        <w:t>: 222-234 [PMID: 29512649 DOI: 10.1038/nrgastro.2018.14]</w:t>
      </w:r>
    </w:p>
    <w:p w14:paraId="0B8FDE2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99 </w:t>
      </w:r>
      <w:r w:rsidRPr="00F04BAD">
        <w:rPr>
          <w:rFonts w:ascii="Book Antiqua" w:eastAsia="Book Antiqua" w:hAnsi="Book Antiqua" w:cs="Book Antiqua"/>
          <w:b/>
          <w:bCs/>
          <w:color w:val="000000" w:themeColor="text1"/>
        </w:rPr>
        <w:t>Barnes MJ</w:t>
      </w:r>
      <w:r w:rsidRPr="00F04BAD">
        <w:rPr>
          <w:rFonts w:ascii="Book Antiqua" w:eastAsia="Book Antiqua" w:hAnsi="Book Antiqua" w:cs="Book Antiqua"/>
          <w:color w:val="000000" w:themeColor="text1"/>
        </w:rPr>
        <w:t xml:space="preserve">, Griseri T, Johnson AM, Young W, Powrie F, Izcue A. CTLA-4 promotes Foxp3 induction and regulatory T cell accumulation in the intestinal lamina propria. </w:t>
      </w:r>
      <w:r w:rsidRPr="00F04BAD">
        <w:rPr>
          <w:rFonts w:ascii="Book Antiqua" w:eastAsia="Book Antiqua" w:hAnsi="Book Antiqua" w:cs="Book Antiqua"/>
          <w:i/>
          <w:iCs/>
          <w:color w:val="000000" w:themeColor="text1"/>
        </w:rPr>
        <w:t>Mucosal Immunol</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324-334 [PMID: 22910217 DOI: 10.1038/mi.2012.75]</w:t>
      </w:r>
    </w:p>
    <w:p w14:paraId="294B21B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100 </w:t>
      </w:r>
      <w:r w:rsidRPr="00F04BAD">
        <w:rPr>
          <w:rFonts w:ascii="Book Antiqua" w:eastAsia="Book Antiqua" w:hAnsi="Book Antiqua" w:cs="Book Antiqua"/>
          <w:b/>
          <w:bCs/>
          <w:color w:val="000000" w:themeColor="text1"/>
        </w:rPr>
        <w:t>De Martin E</w:t>
      </w:r>
      <w:r w:rsidRPr="00F04BAD">
        <w:rPr>
          <w:rFonts w:ascii="Book Antiqua" w:eastAsia="Book Antiqua" w:hAnsi="Book Antiqua" w:cs="Book Antiqua"/>
          <w:color w:val="000000" w:themeColor="text1"/>
        </w:rPr>
        <w:t xml:space="preserve">, Michot JM, Papouin B, Champiat S, Mateus C, Lambotte O, Roche B, Antonini TM, Coilly A, Laghouati S, Robert C, Marabelle A, Guettier C, Samuel D. Characterization of liver injury induced by cancer immunotherapy using immune checkpoint inhibitors.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68</w:t>
      </w:r>
      <w:r w:rsidRPr="00F04BAD">
        <w:rPr>
          <w:rFonts w:ascii="Book Antiqua" w:eastAsia="Book Antiqua" w:hAnsi="Book Antiqua" w:cs="Book Antiqua"/>
          <w:color w:val="000000" w:themeColor="text1"/>
        </w:rPr>
        <w:t>: 1181-1190 [PMID: 29427729 DOI: 10.1016/j.jhep.2018.01.033]</w:t>
      </w:r>
    </w:p>
    <w:p w14:paraId="42593A4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101 </w:t>
      </w:r>
      <w:r w:rsidRPr="00F04BAD">
        <w:rPr>
          <w:rFonts w:ascii="Book Antiqua" w:eastAsia="Book Antiqua" w:hAnsi="Book Antiqua" w:cs="Book Antiqua"/>
          <w:b/>
          <w:bCs/>
          <w:color w:val="000000" w:themeColor="text1"/>
        </w:rPr>
        <w:t>Haanen J</w:t>
      </w:r>
      <w:r w:rsidRPr="00F04BAD">
        <w:rPr>
          <w:rFonts w:ascii="Book Antiqua" w:eastAsia="Book Antiqua" w:hAnsi="Book Antiqua" w:cs="Book Antiqua"/>
          <w:color w:val="000000" w:themeColor="text1"/>
        </w:rPr>
        <w:t xml:space="preserve">, Ernstoff M, Wang Y, Menzies A, Puzanov I, Grivas P, Larkin J, Peters S, Thompson J, Obeid M. Rechallenge patients with immune checkpoint inhibitors following severe immune-related adverse events: review of the literature and suggested prophylactic strategy. </w:t>
      </w:r>
      <w:r w:rsidRPr="00F04BAD">
        <w:rPr>
          <w:rFonts w:ascii="Book Antiqua" w:eastAsia="Book Antiqua" w:hAnsi="Book Antiqua" w:cs="Book Antiqua"/>
          <w:i/>
          <w:iCs/>
          <w:color w:val="000000" w:themeColor="text1"/>
        </w:rPr>
        <w:t>J Immunother Cancer</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xml:space="preserve"> [PMID: 32532839 DOI: 10.1136/jitc-2020-000604]</w:t>
      </w:r>
    </w:p>
    <w:p w14:paraId="741CA21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102 </w:t>
      </w:r>
      <w:r w:rsidRPr="00F04BAD">
        <w:rPr>
          <w:rFonts w:ascii="Book Antiqua" w:eastAsia="Book Antiqua" w:hAnsi="Book Antiqua" w:cs="Book Antiqua"/>
          <w:b/>
          <w:bCs/>
          <w:color w:val="000000" w:themeColor="text1"/>
        </w:rPr>
        <w:t>Menzies AM</w:t>
      </w:r>
      <w:r w:rsidRPr="00F04BAD">
        <w:rPr>
          <w:rFonts w:ascii="Book Antiqua" w:eastAsia="Book Antiqua" w:hAnsi="Book Antiqua" w:cs="Book Antiqua"/>
          <w:color w:val="000000" w:themeColor="text1"/>
        </w:rPr>
        <w:t xml:space="preserve">, Johnson DB, Ramanujam S, Atkinson VG, Wong ANM, Park JJ, McQuade JL, Shoushtari AN, Tsai KK, Eroglu Z, Klein O, Hassel JC, Sosman JA, Guminski A, Sullivan RJ, Ribas A, Carlino MS, Davies MA, Sandhu SK, Long GV. Anti-PD-1 therapy in patients with advanced melanoma and preexisting autoimmune disorders or major toxicity with ipilimumab. </w:t>
      </w:r>
      <w:r w:rsidRPr="00F04BAD">
        <w:rPr>
          <w:rFonts w:ascii="Book Antiqua" w:eastAsia="Book Antiqua" w:hAnsi="Book Antiqua" w:cs="Book Antiqua"/>
          <w:i/>
          <w:iCs/>
          <w:color w:val="000000" w:themeColor="text1"/>
        </w:rPr>
        <w:t>Ann Oncol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28</w:t>
      </w:r>
      <w:r w:rsidRPr="00F04BAD">
        <w:rPr>
          <w:rFonts w:ascii="Book Antiqua" w:eastAsia="Book Antiqua" w:hAnsi="Book Antiqua" w:cs="Book Antiqua"/>
          <w:color w:val="000000" w:themeColor="text1"/>
        </w:rPr>
        <w:t>: 368-376 [PMID: 27687304 DOI: 10.1093/annonc/mdw443]</w:t>
      </w:r>
    </w:p>
    <w:p w14:paraId="0983E57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103 </w:t>
      </w:r>
      <w:r w:rsidRPr="00F04BAD">
        <w:rPr>
          <w:rFonts w:ascii="Book Antiqua" w:eastAsia="Book Antiqua" w:hAnsi="Book Antiqua" w:cs="Book Antiqua"/>
          <w:b/>
          <w:bCs/>
          <w:color w:val="000000" w:themeColor="text1"/>
        </w:rPr>
        <w:t>Khoja L</w:t>
      </w:r>
      <w:r w:rsidRPr="00F04BAD">
        <w:rPr>
          <w:rFonts w:ascii="Book Antiqua" w:eastAsia="Book Antiqua" w:hAnsi="Book Antiqua" w:cs="Book Antiqua"/>
          <w:color w:val="000000" w:themeColor="text1"/>
        </w:rPr>
        <w:t xml:space="preserve">, Day D, Wei-Wu Chen T, Siu LL, Hansen AR. Tumour- and class-specific patterns of immune-related adverse events of immune checkpoint inhibitors: a systematic review. </w:t>
      </w:r>
      <w:r w:rsidRPr="00F04BAD">
        <w:rPr>
          <w:rFonts w:ascii="Book Antiqua" w:eastAsia="Book Antiqua" w:hAnsi="Book Antiqua" w:cs="Book Antiqua"/>
          <w:i/>
          <w:iCs/>
          <w:color w:val="000000" w:themeColor="text1"/>
        </w:rPr>
        <w:t>Ann Oncol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28</w:t>
      </w:r>
      <w:r w:rsidRPr="00F04BAD">
        <w:rPr>
          <w:rFonts w:ascii="Book Antiqua" w:eastAsia="Book Antiqua" w:hAnsi="Book Antiqua" w:cs="Book Antiqua"/>
          <w:color w:val="000000" w:themeColor="text1"/>
        </w:rPr>
        <w:t>: 2377-2385 [PMID: 28945858 DOI: 10.1093/annonc/mdx286]</w:t>
      </w:r>
    </w:p>
    <w:p w14:paraId="2407B3A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104 </w:t>
      </w:r>
      <w:r w:rsidRPr="00F04BAD">
        <w:rPr>
          <w:rFonts w:ascii="Book Antiqua" w:eastAsia="Book Antiqua" w:hAnsi="Book Antiqua" w:cs="Book Antiqua"/>
          <w:b/>
          <w:bCs/>
          <w:color w:val="000000" w:themeColor="text1"/>
        </w:rPr>
        <w:t>Pardoll DM</w:t>
      </w:r>
      <w:r w:rsidRPr="00F04BAD">
        <w:rPr>
          <w:rFonts w:ascii="Book Antiqua" w:eastAsia="Book Antiqua" w:hAnsi="Book Antiqua" w:cs="Book Antiqua"/>
          <w:color w:val="000000" w:themeColor="text1"/>
        </w:rPr>
        <w:t xml:space="preserve">. The blockade of immune checkpoints in cancer immunotherapy. </w:t>
      </w:r>
      <w:r w:rsidRPr="00F04BAD">
        <w:rPr>
          <w:rFonts w:ascii="Book Antiqua" w:eastAsia="Book Antiqua" w:hAnsi="Book Antiqua" w:cs="Book Antiqua"/>
          <w:i/>
          <w:iCs/>
          <w:color w:val="000000" w:themeColor="text1"/>
        </w:rPr>
        <w:t>Nat Rev Cancer</w:t>
      </w:r>
      <w:r w:rsidRPr="00F04BAD">
        <w:rPr>
          <w:rFonts w:ascii="Book Antiqua" w:eastAsia="Book Antiqua" w:hAnsi="Book Antiqua" w:cs="Book Antiqua"/>
          <w:color w:val="000000" w:themeColor="text1"/>
        </w:rPr>
        <w:t xml:space="preserve"> 2012; </w:t>
      </w:r>
      <w:r w:rsidRPr="00F04BAD">
        <w:rPr>
          <w:rFonts w:ascii="Book Antiqua" w:eastAsia="Book Antiqua" w:hAnsi="Book Antiqua" w:cs="Book Antiqua"/>
          <w:b/>
          <w:bCs/>
          <w:color w:val="000000" w:themeColor="text1"/>
        </w:rPr>
        <w:t>12</w:t>
      </w:r>
      <w:r w:rsidRPr="00F04BAD">
        <w:rPr>
          <w:rFonts w:ascii="Book Antiqua" w:eastAsia="Book Antiqua" w:hAnsi="Book Antiqua" w:cs="Book Antiqua"/>
          <w:color w:val="000000" w:themeColor="text1"/>
        </w:rPr>
        <w:t>: 252-264 [PMID: 22437870 DOI: 10.1038/nrc3239]</w:t>
      </w:r>
    </w:p>
    <w:p w14:paraId="568476F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105 </w:t>
      </w:r>
      <w:r w:rsidRPr="00F04BAD">
        <w:rPr>
          <w:rFonts w:ascii="Book Antiqua" w:eastAsia="Book Antiqua" w:hAnsi="Book Antiqua" w:cs="Book Antiqua"/>
          <w:b/>
          <w:bCs/>
          <w:color w:val="000000" w:themeColor="text1"/>
        </w:rPr>
        <w:t>Das R</w:t>
      </w:r>
      <w:r w:rsidRPr="00F04BAD">
        <w:rPr>
          <w:rFonts w:ascii="Book Antiqua" w:eastAsia="Book Antiqua" w:hAnsi="Book Antiqua" w:cs="Book Antiqua"/>
          <w:color w:val="000000" w:themeColor="text1"/>
        </w:rPr>
        <w:t xml:space="preserve">, Verma R, Sznol M, Boddupalli CS, Gettinger SN, Kluger H, Callahan M, Wolchok JD, Halaban R, Dhodapkar MV, Dhodapkar KM. Combination therapy with anti-CTLA-4 and anti-PD-1 Leads to distinct immunologic changes in vivo.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194</w:t>
      </w:r>
      <w:r w:rsidRPr="00F04BAD">
        <w:rPr>
          <w:rFonts w:ascii="Book Antiqua" w:eastAsia="Book Antiqua" w:hAnsi="Book Antiqua" w:cs="Book Antiqua"/>
          <w:color w:val="000000" w:themeColor="text1"/>
        </w:rPr>
        <w:t>: 950-959 [PMID: 25539810 DOI: 10.4049/jimmunol.1401686]</w:t>
      </w:r>
    </w:p>
    <w:p w14:paraId="32D5E03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106 </w:t>
      </w:r>
      <w:r w:rsidRPr="00F04BAD">
        <w:rPr>
          <w:rFonts w:ascii="Book Antiqua" w:eastAsia="Book Antiqua" w:hAnsi="Book Antiqua" w:cs="Book Antiqua"/>
          <w:b/>
          <w:bCs/>
          <w:color w:val="000000" w:themeColor="text1"/>
        </w:rPr>
        <w:t>Sugiura D</w:t>
      </w:r>
      <w:r w:rsidRPr="00F04BAD">
        <w:rPr>
          <w:rFonts w:ascii="Book Antiqua" w:eastAsia="Book Antiqua" w:hAnsi="Book Antiqua" w:cs="Book Antiqua"/>
          <w:color w:val="000000" w:themeColor="text1"/>
        </w:rPr>
        <w:t xml:space="preserve">, Maruhashi T, Okazaki IM, Shimizu K, Maeda TK, Takemoto T, Okazaki T. Restriction of PD-1 function by </w:t>
      </w:r>
      <w:r w:rsidRPr="00F04BAD">
        <w:rPr>
          <w:rFonts w:ascii="Book Antiqua" w:eastAsia="Book Antiqua" w:hAnsi="Book Antiqua" w:cs="Book Antiqua"/>
          <w:i/>
          <w:iCs/>
          <w:color w:val="000000" w:themeColor="text1"/>
        </w:rPr>
        <w:t>cis</w:t>
      </w:r>
      <w:r w:rsidRPr="00F04BAD">
        <w:rPr>
          <w:rFonts w:ascii="Book Antiqua" w:eastAsia="Book Antiqua" w:hAnsi="Book Antiqua" w:cs="Book Antiqua"/>
          <w:color w:val="000000" w:themeColor="text1"/>
        </w:rPr>
        <w:t xml:space="preserve">-PD-L1/CD80 interactions is required for optimal T cell responses. </w:t>
      </w:r>
      <w:r w:rsidRPr="00F04BAD">
        <w:rPr>
          <w:rFonts w:ascii="Book Antiqua" w:eastAsia="Book Antiqua" w:hAnsi="Book Antiqua" w:cs="Book Antiqua"/>
          <w:i/>
          <w:iCs/>
          <w:color w:val="000000" w:themeColor="text1"/>
        </w:rPr>
        <w:t>Science</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364</w:t>
      </w:r>
      <w:r w:rsidRPr="00F04BAD">
        <w:rPr>
          <w:rFonts w:ascii="Book Antiqua" w:eastAsia="Book Antiqua" w:hAnsi="Book Antiqua" w:cs="Book Antiqua"/>
          <w:color w:val="000000" w:themeColor="text1"/>
        </w:rPr>
        <w:t>: 558-566 [PMID: 31000591 DOI: 10.1126/science.aav7062]</w:t>
      </w:r>
    </w:p>
    <w:p w14:paraId="5208689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107 </w:t>
      </w:r>
      <w:r w:rsidRPr="00F04BAD">
        <w:rPr>
          <w:rFonts w:ascii="Book Antiqua" w:eastAsia="Book Antiqua" w:hAnsi="Book Antiqua" w:cs="Book Antiqua"/>
          <w:b/>
          <w:bCs/>
          <w:color w:val="000000" w:themeColor="text1"/>
        </w:rPr>
        <w:t>Banna GL</w:t>
      </w:r>
      <w:r w:rsidRPr="00F04BAD">
        <w:rPr>
          <w:rFonts w:ascii="Book Antiqua" w:eastAsia="Book Antiqua" w:hAnsi="Book Antiqua" w:cs="Book Antiqua"/>
          <w:color w:val="000000" w:themeColor="text1"/>
        </w:rPr>
        <w:t xml:space="preserve">, Cantale O, Bersanelli M, Del Re M, Friedlaender A, Cortellini A, Addeo A. Are anti-PD1 and anti-PD-L1 alike? The non-small-cell lung cancer paradigm. </w:t>
      </w:r>
      <w:r w:rsidRPr="00F04BAD">
        <w:rPr>
          <w:rFonts w:ascii="Book Antiqua" w:eastAsia="Book Antiqua" w:hAnsi="Book Antiqua" w:cs="Book Antiqua"/>
          <w:i/>
          <w:iCs/>
          <w:color w:val="000000" w:themeColor="text1"/>
        </w:rPr>
        <w:t>Oncol Rev</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14</w:t>
      </w:r>
      <w:r w:rsidRPr="00F04BAD">
        <w:rPr>
          <w:rFonts w:ascii="Book Antiqua" w:eastAsia="Book Antiqua" w:hAnsi="Book Antiqua" w:cs="Book Antiqua"/>
          <w:color w:val="000000" w:themeColor="text1"/>
        </w:rPr>
        <w:t>: 490 [PMID: 32782728 DOI: 10.4081/oncol.2020.490]</w:t>
      </w:r>
    </w:p>
    <w:p w14:paraId="27A0457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108 </w:t>
      </w:r>
      <w:r w:rsidRPr="00F04BAD">
        <w:rPr>
          <w:rFonts w:ascii="Book Antiqua" w:eastAsia="Book Antiqua" w:hAnsi="Book Antiqua" w:cs="Book Antiqua"/>
          <w:b/>
          <w:bCs/>
          <w:color w:val="000000" w:themeColor="text1"/>
        </w:rPr>
        <w:t>El-Khoueiry AB</w:t>
      </w:r>
      <w:r w:rsidRPr="00F04BAD">
        <w:rPr>
          <w:rFonts w:ascii="Book Antiqua" w:eastAsia="Book Antiqua" w:hAnsi="Book Antiqua" w:cs="Book Antiqua"/>
          <w:color w:val="000000" w:themeColor="text1"/>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F04BAD">
        <w:rPr>
          <w:rFonts w:ascii="Book Antiqua" w:eastAsia="Book Antiqua" w:hAnsi="Book Antiqua" w:cs="Book Antiqua"/>
          <w:i/>
          <w:iCs/>
          <w:color w:val="000000" w:themeColor="text1"/>
        </w:rPr>
        <w:t>Lancet</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389</w:t>
      </w:r>
      <w:r w:rsidRPr="00F04BAD">
        <w:rPr>
          <w:rFonts w:ascii="Book Antiqua" w:eastAsia="Book Antiqua" w:hAnsi="Book Antiqua" w:cs="Book Antiqua"/>
          <w:color w:val="000000" w:themeColor="text1"/>
        </w:rPr>
        <w:t>: 2492-2502 [PMID: 28434648 DOI: 10.1016/S0140-6736(17)31046-2]</w:t>
      </w:r>
    </w:p>
    <w:p w14:paraId="4A94AD7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109 </w:t>
      </w:r>
      <w:r w:rsidRPr="00F04BAD">
        <w:rPr>
          <w:rFonts w:ascii="Book Antiqua" w:eastAsia="Book Antiqua" w:hAnsi="Book Antiqua" w:cs="Book Antiqua"/>
          <w:b/>
          <w:bCs/>
          <w:color w:val="000000" w:themeColor="text1"/>
        </w:rPr>
        <w:t>Zhu AX</w:t>
      </w:r>
      <w:r w:rsidRPr="00F04BAD">
        <w:rPr>
          <w:rFonts w:ascii="Book Antiqua" w:eastAsia="Book Antiqua" w:hAnsi="Book Antiqua" w:cs="Book Antiqua"/>
          <w:color w:val="000000" w:themeColor="text1"/>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F04BAD">
        <w:rPr>
          <w:rFonts w:ascii="Book Antiqua" w:eastAsia="Book Antiqua" w:hAnsi="Book Antiqua" w:cs="Book Antiqua"/>
          <w:i/>
          <w:iCs/>
          <w:color w:val="000000" w:themeColor="text1"/>
        </w:rPr>
        <w:t>Lancet Oncol</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19</w:t>
      </w:r>
      <w:r w:rsidRPr="00F04BAD">
        <w:rPr>
          <w:rFonts w:ascii="Book Antiqua" w:eastAsia="Book Antiqua" w:hAnsi="Book Antiqua" w:cs="Book Antiqua"/>
          <w:color w:val="000000" w:themeColor="text1"/>
        </w:rPr>
        <w:t>: 940-952 [PMID: 29875066 DOI: 10.1016/S1470-2045(18)30351-6]</w:t>
      </w:r>
    </w:p>
    <w:p w14:paraId="44CF3E3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110 </w:t>
      </w:r>
      <w:r w:rsidRPr="00F04BAD">
        <w:rPr>
          <w:rFonts w:ascii="Book Antiqua" w:eastAsia="Book Antiqua" w:hAnsi="Book Antiqua" w:cs="Book Antiqua"/>
          <w:b/>
          <w:bCs/>
          <w:color w:val="000000" w:themeColor="text1"/>
        </w:rPr>
        <w:t>Yau T</w:t>
      </w:r>
      <w:r w:rsidRPr="00F04BAD">
        <w:rPr>
          <w:rFonts w:ascii="Book Antiqua" w:eastAsia="Book Antiqua" w:hAnsi="Book Antiqua" w:cs="Book Antiqua"/>
          <w:color w:val="000000" w:themeColor="text1"/>
        </w:rPr>
        <w:t xml:space="preserve">, Hsu C, Kim TY, Choo SP, Kang YK, Hou MM, Numata K, Yeo W, Chopra A, Ikeda M, Kuromatsu R, Moriguchi M, Chao Y, Zhao H, Anderson J, Cruz CD, Kudo M. Nivolumab in advanced hepatocellular carcinoma: Sorafenib-experienced Asian cohort analysis.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71</w:t>
      </w:r>
      <w:r w:rsidRPr="00F04BAD">
        <w:rPr>
          <w:rFonts w:ascii="Book Antiqua" w:eastAsia="Book Antiqua" w:hAnsi="Book Antiqua" w:cs="Book Antiqua"/>
          <w:color w:val="000000" w:themeColor="text1"/>
        </w:rPr>
        <w:t>: 543-552 [PMID: 31176752 DOI: 10.1016/j.jhep.2019.05.014]</w:t>
      </w:r>
    </w:p>
    <w:p w14:paraId="5D91ABB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111 </w:t>
      </w:r>
      <w:r w:rsidRPr="00F04BAD">
        <w:rPr>
          <w:rFonts w:ascii="Book Antiqua" w:eastAsia="Book Antiqua" w:hAnsi="Book Antiqua" w:cs="Book Antiqua"/>
          <w:b/>
          <w:bCs/>
          <w:color w:val="000000" w:themeColor="text1"/>
        </w:rPr>
        <w:t>Finn RS</w:t>
      </w:r>
      <w:r w:rsidRPr="00F04BAD">
        <w:rPr>
          <w:rFonts w:ascii="Book Antiqua" w:eastAsia="Book Antiqua" w:hAnsi="Book Antiqua" w:cs="Book Antiqua"/>
          <w:color w:val="000000" w:themeColor="text1"/>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sidRPr="00F04BAD">
        <w:rPr>
          <w:rFonts w:ascii="Book Antiqua" w:eastAsia="Book Antiqua" w:hAnsi="Book Antiqua" w:cs="Book Antiqua"/>
          <w:i/>
          <w:iCs/>
          <w:color w:val="000000" w:themeColor="text1"/>
        </w:rPr>
        <w:t>J Clin Oncol</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38</w:t>
      </w:r>
      <w:r w:rsidRPr="00F04BAD">
        <w:rPr>
          <w:rFonts w:ascii="Book Antiqua" w:eastAsia="Book Antiqua" w:hAnsi="Book Antiqua" w:cs="Book Antiqua"/>
          <w:color w:val="000000" w:themeColor="text1"/>
        </w:rPr>
        <w:t>: 193-202 [PMID: 31790344 DOI: 10.1200/JCO.19.01307]</w:t>
      </w:r>
    </w:p>
    <w:p w14:paraId="3875D4D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112 </w:t>
      </w:r>
      <w:r w:rsidRPr="00F04BAD">
        <w:rPr>
          <w:rFonts w:ascii="Book Antiqua" w:eastAsia="Book Antiqua" w:hAnsi="Book Antiqua" w:cs="Book Antiqua"/>
          <w:b/>
          <w:bCs/>
          <w:color w:val="000000" w:themeColor="text1"/>
        </w:rPr>
        <w:t>Qin S</w:t>
      </w:r>
      <w:r w:rsidRPr="00F04BAD">
        <w:rPr>
          <w:rFonts w:ascii="Book Antiqua" w:eastAsia="Book Antiqua" w:hAnsi="Book Antiqua" w:cs="Book Antiqua"/>
          <w:color w:val="000000" w:themeColor="text1"/>
        </w:rPr>
        <w:t xml:space="preserve">, Finn RS, Kudo M, Meyer T, Vogel A, Ducreux M, Macarulla TM, Tomasello G, Boisserie F, Hou J, Li X, Song J, Zhu AX. RATIONALE 301 study: tislelizumab </w:t>
      </w:r>
      <w:r w:rsidRPr="00F04BAD">
        <w:rPr>
          <w:rFonts w:ascii="Book Antiqua" w:eastAsia="Book Antiqua" w:hAnsi="Book Antiqua" w:cs="Book Antiqua"/>
          <w:i/>
          <w:iCs/>
          <w:color w:val="000000" w:themeColor="text1"/>
        </w:rPr>
        <w:t>vs</w:t>
      </w:r>
      <w:r w:rsidRPr="00F04BAD">
        <w:rPr>
          <w:rFonts w:ascii="Book Antiqua" w:eastAsia="Book Antiqua" w:hAnsi="Book Antiqua" w:cs="Book Antiqua"/>
          <w:color w:val="000000" w:themeColor="text1"/>
        </w:rPr>
        <w:t xml:space="preserve"> sorafenib as first-line treatment for unresectable hepatocellular carcinoma. </w:t>
      </w:r>
      <w:r w:rsidRPr="00F04BAD">
        <w:rPr>
          <w:rFonts w:ascii="Book Antiqua" w:eastAsia="Book Antiqua" w:hAnsi="Book Antiqua" w:cs="Book Antiqua"/>
          <w:i/>
          <w:iCs/>
          <w:color w:val="000000" w:themeColor="text1"/>
        </w:rPr>
        <w:t>Future Oncol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15</w:t>
      </w:r>
      <w:r w:rsidRPr="00F04BAD">
        <w:rPr>
          <w:rFonts w:ascii="Book Antiqua" w:eastAsia="Book Antiqua" w:hAnsi="Book Antiqua" w:cs="Book Antiqua"/>
          <w:color w:val="000000" w:themeColor="text1"/>
        </w:rPr>
        <w:t>: 1811-1822 [PMID: 30969136 DOI: 10.2217/fon-2019-0097]</w:t>
      </w:r>
    </w:p>
    <w:p w14:paraId="1B720C0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113 </w:t>
      </w:r>
      <w:r w:rsidRPr="00F04BAD">
        <w:rPr>
          <w:rFonts w:ascii="Book Antiqua" w:eastAsia="Book Antiqua" w:hAnsi="Book Antiqua" w:cs="Book Antiqua"/>
          <w:b/>
          <w:bCs/>
          <w:color w:val="000000" w:themeColor="text1"/>
        </w:rPr>
        <w:t>Qin S</w:t>
      </w:r>
      <w:r w:rsidRPr="00F04BAD">
        <w:rPr>
          <w:rFonts w:ascii="Book Antiqua" w:eastAsia="Book Antiqua" w:hAnsi="Book Antiqua" w:cs="Book Antiqua"/>
          <w:color w:val="000000" w:themeColor="text1"/>
        </w:rPr>
        <w:t xml:space="preserve">, Ren Z, Meng Z, Chen Z, Chai X, Xiong J, Bai Y, Yang L, Zhu H, Fang W, Lin X, Chen X, Li E, Wang L, Chen C, Zou J. Camrelizumab in patients with previously treated advanced hepatocellular carcinoma: a multicentre, open-label, parallel-group, randomised, phase 2 trial. </w:t>
      </w:r>
      <w:r w:rsidRPr="00F04BAD">
        <w:rPr>
          <w:rFonts w:ascii="Book Antiqua" w:eastAsia="Book Antiqua" w:hAnsi="Book Antiqua" w:cs="Book Antiqua"/>
          <w:i/>
          <w:iCs/>
          <w:color w:val="000000" w:themeColor="text1"/>
        </w:rPr>
        <w:t>Lancet Oncol</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21</w:t>
      </w:r>
      <w:r w:rsidRPr="00F04BAD">
        <w:rPr>
          <w:rFonts w:ascii="Book Antiqua" w:eastAsia="Book Antiqua" w:hAnsi="Book Antiqua" w:cs="Book Antiqua"/>
          <w:color w:val="000000" w:themeColor="text1"/>
        </w:rPr>
        <w:t>: 571-580 [PMID: 32112738 DOI: 10.1016/S1470-2045(20)30011-5]</w:t>
      </w:r>
    </w:p>
    <w:p w14:paraId="0144219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114 </w:t>
      </w:r>
      <w:r w:rsidRPr="00F04BAD">
        <w:rPr>
          <w:rFonts w:ascii="Book Antiqua" w:eastAsia="Book Antiqua" w:hAnsi="Book Antiqua" w:cs="Book Antiqua"/>
          <w:b/>
          <w:bCs/>
          <w:color w:val="000000" w:themeColor="text1"/>
        </w:rPr>
        <w:t>Yau T</w:t>
      </w:r>
      <w:r w:rsidRPr="00F04BAD">
        <w:rPr>
          <w:rFonts w:ascii="Book Antiqua" w:eastAsia="Book Antiqua" w:hAnsi="Book Antiqua" w:cs="Book Antiqua"/>
          <w:color w:val="000000" w:themeColor="text1"/>
        </w:rPr>
        <w:t xml:space="preserve">, Kang YK, Kim TY, El-Khoueiry AB, Santoro A, Sangro B, Melero I, Kudo M, Hou MM, Matilla A, Tovoli F, Knox JJ, Ruth He A, El-Rayes BF, Acosta-Rivera M, Lim HY, Neely J, Shen Y, Wisniewski T, Anderson J, Hsu C. Efficacy and Safety of Nivolumab Plus Ipilimumab in Patients With Advanced Hepatocellular Carcinoma Previously Treated With Sorafenib: The CheckMate 040 Randomized Clinical Trial. </w:t>
      </w:r>
      <w:r w:rsidRPr="00F04BAD">
        <w:rPr>
          <w:rFonts w:ascii="Book Antiqua" w:eastAsia="Book Antiqua" w:hAnsi="Book Antiqua" w:cs="Book Antiqua"/>
          <w:i/>
          <w:iCs/>
          <w:color w:val="000000" w:themeColor="text1"/>
        </w:rPr>
        <w:t>JAMA Oncol</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e204564 [PMID: 33001135 DOI: 10.1001/jamaoncol.2020.4564]</w:t>
      </w:r>
    </w:p>
    <w:p w14:paraId="2DC873E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115 </w:t>
      </w:r>
      <w:r w:rsidRPr="00F04BAD">
        <w:rPr>
          <w:rFonts w:ascii="Book Antiqua" w:eastAsia="Book Antiqua" w:hAnsi="Book Antiqua" w:cs="Book Antiqua"/>
          <w:b/>
          <w:bCs/>
          <w:color w:val="000000" w:themeColor="text1"/>
        </w:rPr>
        <w:t>Wolchok JD</w:t>
      </w:r>
      <w:r w:rsidRPr="00F04BAD">
        <w:rPr>
          <w:rFonts w:ascii="Book Antiqua" w:eastAsia="Book Antiqua" w:hAnsi="Book Antiqua" w:cs="Book Antiqua"/>
          <w:color w:val="000000" w:themeColor="text1"/>
        </w:rPr>
        <w:t xml:space="preserve">, Chiarion-Sileni V, Gonzalez R, Rutkowski P, Grob JJ, Cowey CL, Lao CD, Wagstaff J, Schadendorf D, Ferrucci PF, Smylie M, Dummer R, Hill A, Hogg D, Haanen J, Carlino MS, Bechter O, Maio M, Marquez-Rodas I, Guidoboni M, McArthur G, Lebbé C, Ascierto PA, Long GV, Cebon J, Sosman J, Postow MA, Callahan MK, Walker D, Rollin L, Bhore R, Hodi FS, Larkin J. Overall Survival with Combined Nivolumab and Ipilimumab in Advanced Melanoma. </w:t>
      </w:r>
      <w:r w:rsidRPr="00F04BAD">
        <w:rPr>
          <w:rFonts w:ascii="Book Antiqua" w:eastAsia="Book Antiqua" w:hAnsi="Book Antiqua" w:cs="Book Antiqua"/>
          <w:i/>
          <w:iCs/>
          <w:color w:val="000000" w:themeColor="text1"/>
        </w:rPr>
        <w:t>N Engl J Med</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377</w:t>
      </w:r>
      <w:r w:rsidRPr="00F04BAD">
        <w:rPr>
          <w:rFonts w:ascii="Book Antiqua" w:eastAsia="Book Antiqua" w:hAnsi="Book Antiqua" w:cs="Book Antiqua"/>
          <w:color w:val="000000" w:themeColor="text1"/>
        </w:rPr>
        <w:t>: 1345-1356 [PMID: 28889792 DOI: 10.1056/NEJMoa1709684]</w:t>
      </w:r>
    </w:p>
    <w:p w14:paraId="7E13D9B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116 </w:t>
      </w:r>
      <w:r w:rsidRPr="00F04BAD">
        <w:rPr>
          <w:rFonts w:ascii="Book Antiqua" w:eastAsia="Book Antiqua" w:hAnsi="Book Antiqua" w:cs="Book Antiqua"/>
          <w:b/>
          <w:bCs/>
          <w:color w:val="000000" w:themeColor="text1"/>
        </w:rPr>
        <w:t>Finn RS</w:t>
      </w:r>
      <w:r w:rsidRPr="00F04BAD">
        <w:rPr>
          <w:rFonts w:ascii="Book Antiqua" w:eastAsia="Book Antiqua" w:hAnsi="Book Antiqua" w:cs="Book Antiqua"/>
          <w:color w:val="000000" w:themeColor="text1"/>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F04BAD">
        <w:rPr>
          <w:rFonts w:ascii="Book Antiqua" w:eastAsia="Book Antiqua" w:hAnsi="Book Antiqua" w:cs="Book Antiqua"/>
          <w:i/>
          <w:iCs/>
          <w:color w:val="000000" w:themeColor="text1"/>
        </w:rPr>
        <w:t>N Engl J Med</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382</w:t>
      </w:r>
      <w:r w:rsidRPr="00F04BAD">
        <w:rPr>
          <w:rFonts w:ascii="Book Antiqua" w:eastAsia="Book Antiqua" w:hAnsi="Book Antiqua" w:cs="Book Antiqua"/>
          <w:color w:val="000000" w:themeColor="text1"/>
        </w:rPr>
        <w:t>: 1894-1905 [PMID: 32402160 DOI: 10.1056/NEJMoa1915745]</w:t>
      </w:r>
    </w:p>
    <w:p w14:paraId="5A93EA3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117 </w:t>
      </w:r>
      <w:r w:rsidRPr="00F04BAD">
        <w:rPr>
          <w:rFonts w:ascii="Book Antiqua" w:eastAsia="Book Antiqua" w:hAnsi="Book Antiqua" w:cs="Book Antiqua"/>
          <w:b/>
          <w:bCs/>
          <w:color w:val="000000" w:themeColor="text1"/>
        </w:rPr>
        <w:t>Tovoli F</w:t>
      </w:r>
      <w:r w:rsidRPr="00F04BAD">
        <w:rPr>
          <w:rFonts w:ascii="Book Antiqua" w:eastAsia="Book Antiqua" w:hAnsi="Book Antiqua" w:cs="Book Antiqua"/>
          <w:color w:val="000000" w:themeColor="text1"/>
        </w:rPr>
        <w:t xml:space="preserve">, De Lorenzo S, Trevisani F. Immunotherapy with Checkpoint Inhibitors for Hepatocellular Carcinoma: Where Are We Now? </w:t>
      </w:r>
      <w:r w:rsidRPr="00F04BAD">
        <w:rPr>
          <w:rFonts w:ascii="Book Antiqua" w:eastAsia="Book Antiqua" w:hAnsi="Book Antiqua" w:cs="Book Antiqua"/>
          <w:i/>
          <w:iCs/>
          <w:color w:val="000000" w:themeColor="text1"/>
        </w:rPr>
        <w:t>Vaccines (Basel)</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xml:space="preserve"> [PMID: 33023131 DOI: 10.3390/vaccines8040578]</w:t>
      </w:r>
    </w:p>
    <w:p w14:paraId="778CAF45"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118 </w:t>
      </w:r>
      <w:r w:rsidRPr="00F04BAD">
        <w:rPr>
          <w:rFonts w:ascii="Book Antiqua" w:eastAsia="Book Antiqua" w:hAnsi="Book Antiqua" w:cs="Book Antiqua"/>
          <w:b/>
          <w:bCs/>
          <w:color w:val="000000" w:themeColor="text1"/>
        </w:rPr>
        <w:t>Lea AJ</w:t>
      </w:r>
      <w:r w:rsidRPr="00F04BAD">
        <w:rPr>
          <w:rFonts w:ascii="Book Antiqua" w:eastAsia="Book Antiqua" w:hAnsi="Book Antiqua" w:cs="Book Antiqua"/>
          <w:color w:val="000000" w:themeColor="text1"/>
        </w:rPr>
        <w:t xml:space="preserve">, Vockley CM, Johnston RA, Del Carpio CA, Barreiro LB, Reddy TE, Tung J. Genome-wide quantification of the effects of DNA methylation on human gene regulation. </w:t>
      </w:r>
      <w:r w:rsidRPr="00F04BAD">
        <w:rPr>
          <w:rFonts w:ascii="Book Antiqua" w:eastAsia="Book Antiqua" w:hAnsi="Book Antiqua" w:cs="Book Antiqua"/>
          <w:i/>
          <w:iCs/>
          <w:color w:val="000000" w:themeColor="text1"/>
        </w:rPr>
        <w:t>Elife</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7</w:t>
      </w:r>
      <w:r w:rsidRPr="00F04BAD">
        <w:rPr>
          <w:rFonts w:ascii="Book Antiqua" w:eastAsia="Book Antiqua" w:hAnsi="Book Antiqua" w:cs="Book Antiqua"/>
          <w:color w:val="000000" w:themeColor="text1"/>
        </w:rPr>
        <w:t xml:space="preserve"> [PMID: 30575519 DOI: 10.7554/eLife.37513]</w:t>
      </w:r>
    </w:p>
    <w:p w14:paraId="6B2CD6D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119 </w:t>
      </w:r>
      <w:r w:rsidRPr="00F04BAD">
        <w:rPr>
          <w:rFonts w:ascii="Book Antiqua" w:eastAsia="Book Antiqua" w:hAnsi="Book Antiqua" w:cs="Book Antiqua"/>
          <w:b/>
          <w:bCs/>
          <w:color w:val="000000" w:themeColor="text1"/>
        </w:rPr>
        <w:t>Egger G</w:t>
      </w:r>
      <w:r w:rsidRPr="00F04BAD">
        <w:rPr>
          <w:rFonts w:ascii="Book Antiqua" w:eastAsia="Book Antiqua" w:hAnsi="Book Antiqua" w:cs="Book Antiqua"/>
          <w:color w:val="000000" w:themeColor="text1"/>
        </w:rPr>
        <w:t xml:space="preserve">, Jeong S, Escobar SG, Cortez CC, Li TW, Saito Y, Yoo CB, Jones PA, Liang G. Identification of DNMT1 (DNA methyltransferase 1) hypomorphs in somatic knockouts suggests an essential role for DNMT1 in cell survival. </w:t>
      </w:r>
      <w:r w:rsidRPr="00F04BAD">
        <w:rPr>
          <w:rFonts w:ascii="Book Antiqua" w:eastAsia="Book Antiqua" w:hAnsi="Book Antiqua" w:cs="Book Antiqua"/>
          <w:i/>
          <w:iCs/>
          <w:color w:val="000000" w:themeColor="text1"/>
        </w:rPr>
        <w:t>Proc Natl Acad Sci U S A</w:t>
      </w:r>
      <w:r w:rsidRPr="00F04BAD">
        <w:rPr>
          <w:rFonts w:ascii="Book Antiqua" w:eastAsia="Book Antiqua" w:hAnsi="Book Antiqua" w:cs="Book Antiqua"/>
          <w:color w:val="000000" w:themeColor="text1"/>
        </w:rPr>
        <w:t xml:space="preserve"> 2006; </w:t>
      </w:r>
      <w:r w:rsidRPr="00F04BAD">
        <w:rPr>
          <w:rFonts w:ascii="Book Antiqua" w:eastAsia="Book Antiqua" w:hAnsi="Book Antiqua" w:cs="Book Antiqua"/>
          <w:b/>
          <w:bCs/>
          <w:color w:val="000000" w:themeColor="text1"/>
        </w:rPr>
        <w:t>103</w:t>
      </w:r>
      <w:r w:rsidRPr="00F04BAD">
        <w:rPr>
          <w:rFonts w:ascii="Book Antiqua" w:eastAsia="Book Antiqua" w:hAnsi="Book Antiqua" w:cs="Book Antiqua"/>
          <w:color w:val="000000" w:themeColor="text1"/>
        </w:rPr>
        <w:t>: 14080-14085 [PMID: 16963560 DOI: 10.1073/pnas.0604602103]</w:t>
      </w:r>
    </w:p>
    <w:p w14:paraId="323BAC3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120 </w:t>
      </w:r>
      <w:r w:rsidRPr="00F04BAD">
        <w:rPr>
          <w:rFonts w:ascii="Book Antiqua" w:eastAsia="Book Antiqua" w:hAnsi="Book Antiqua" w:cs="Book Antiqua"/>
          <w:b/>
          <w:bCs/>
          <w:color w:val="000000" w:themeColor="text1"/>
        </w:rPr>
        <w:t>Riggs AD</w:t>
      </w:r>
      <w:r w:rsidRPr="00F04BAD">
        <w:rPr>
          <w:rFonts w:ascii="Book Antiqua" w:eastAsia="Book Antiqua" w:hAnsi="Book Antiqua" w:cs="Book Antiqua"/>
          <w:color w:val="000000" w:themeColor="text1"/>
        </w:rPr>
        <w:t xml:space="preserve">, Xiong Z. Methylation and epigenetic fidelity. </w:t>
      </w:r>
      <w:r w:rsidRPr="00F04BAD">
        <w:rPr>
          <w:rFonts w:ascii="Book Antiqua" w:eastAsia="Book Antiqua" w:hAnsi="Book Antiqua" w:cs="Book Antiqua"/>
          <w:i/>
          <w:iCs/>
          <w:color w:val="000000" w:themeColor="text1"/>
        </w:rPr>
        <w:t>Proc Natl Acad Sci U S A</w:t>
      </w:r>
      <w:r w:rsidRPr="00F04BAD">
        <w:rPr>
          <w:rFonts w:ascii="Book Antiqua" w:eastAsia="Book Antiqua" w:hAnsi="Book Antiqua" w:cs="Book Antiqua"/>
          <w:color w:val="000000" w:themeColor="text1"/>
        </w:rPr>
        <w:t xml:space="preserve"> 2004; </w:t>
      </w:r>
      <w:r w:rsidRPr="00F04BAD">
        <w:rPr>
          <w:rFonts w:ascii="Book Antiqua" w:eastAsia="Book Antiqua" w:hAnsi="Book Antiqua" w:cs="Book Antiqua"/>
          <w:b/>
          <w:bCs/>
          <w:color w:val="000000" w:themeColor="text1"/>
        </w:rPr>
        <w:t>101</w:t>
      </w:r>
      <w:r w:rsidRPr="00F04BAD">
        <w:rPr>
          <w:rFonts w:ascii="Book Antiqua" w:eastAsia="Book Antiqua" w:hAnsi="Book Antiqua" w:cs="Book Antiqua"/>
          <w:color w:val="000000" w:themeColor="text1"/>
        </w:rPr>
        <w:t>: 4-5 [PMID: 14695893 DOI: 10.1073/pnas.0307781100]</w:t>
      </w:r>
    </w:p>
    <w:p w14:paraId="364B4C72"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121 </w:t>
      </w:r>
      <w:r w:rsidRPr="00F04BAD">
        <w:rPr>
          <w:rFonts w:ascii="Book Antiqua" w:eastAsia="Book Antiqua" w:hAnsi="Book Antiqua" w:cs="Book Antiqua"/>
          <w:b/>
          <w:bCs/>
          <w:color w:val="000000" w:themeColor="text1"/>
        </w:rPr>
        <w:t>Subramaniam D</w:t>
      </w:r>
      <w:r w:rsidRPr="00F04BAD">
        <w:rPr>
          <w:rFonts w:ascii="Book Antiqua" w:eastAsia="Book Antiqua" w:hAnsi="Book Antiqua" w:cs="Book Antiqua"/>
          <w:color w:val="000000" w:themeColor="text1"/>
        </w:rPr>
        <w:t xml:space="preserve">, Thombre R, Dhar A, Anant S. DNA methyltransferases: a novel target for prevention and therapy. </w:t>
      </w:r>
      <w:r w:rsidRPr="00F04BAD">
        <w:rPr>
          <w:rFonts w:ascii="Book Antiqua" w:eastAsia="Book Antiqua" w:hAnsi="Book Antiqua" w:cs="Book Antiqua"/>
          <w:i/>
          <w:iCs/>
          <w:color w:val="000000" w:themeColor="text1"/>
        </w:rPr>
        <w:t>Front Oncol</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80 [PMID: 24822169 DOI: 10.3389/fonc.2014.00080]</w:t>
      </w:r>
    </w:p>
    <w:p w14:paraId="01C0724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122 </w:t>
      </w:r>
      <w:r w:rsidRPr="00F04BAD">
        <w:rPr>
          <w:rFonts w:ascii="Book Antiqua" w:eastAsia="Book Antiqua" w:hAnsi="Book Antiqua" w:cs="Book Antiqua"/>
          <w:b/>
          <w:bCs/>
          <w:color w:val="000000" w:themeColor="text1"/>
        </w:rPr>
        <w:t>Wang P</w:t>
      </w:r>
      <w:r w:rsidRPr="00F04BAD">
        <w:rPr>
          <w:rFonts w:ascii="Book Antiqua" w:eastAsia="Book Antiqua" w:hAnsi="Book Antiqua" w:cs="Book Antiqua"/>
          <w:color w:val="000000" w:themeColor="text1"/>
        </w:rPr>
        <w:t xml:space="preserve">, Yan Y, Yu W, Zhang H. Role of ten-eleven translocation proteins and 5-hydroxymethylcytosine in hepatocellular carcinoma. </w:t>
      </w:r>
      <w:r w:rsidRPr="00F04BAD">
        <w:rPr>
          <w:rFonts w:ascii="Book Antiqua" w:eastAsia="Book Antiqua" w:hAnsi="Book Antiqua" w:cs="Book Antiqua"/>
          <w:i/>
          <w:iCs/>
          <w:color w:val="000000" w:themeColor="text1"/>
        </w:rPr>
        <w:t>Cell Prolif</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52</w:t>
      </w:r>
      <w:r w:rsidRPr="00F04BAD">
        <w:rPr>
          <w:rFonts w:ascii="Book Antiqua" w:eastAsia="Book Antiqua" w:hAnsi="Book Antiqua" w:cs="Book Antiqua"/>
          <w:color w:val="000000" w:themeColor="text1"/>
        </w:rPr>
        <w:t>: e12626 [PMID: 31033072 DOI: 10.1111/cpr.12626]</w:t>
      </w:r>
    </w:p>
    <w:p w14:paraId="4EEDD95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123 </w:t>
      </w:r>
      <w:r w:rsidRPr="00F04BAD">
        <w:rPr>
          <w:rFonts w:ascii="Book Antiqua" w:eastAsia="Book Antiqua" w:hAnsi="Book Antiqua" w:cs="Book Antiqua"/>
          <w:b/>
          <w:bCs/>
          <w:color w:val="000000" w:themeColor="text1"/>
        </w:rPr>
        <w:t>Nishida N</w:t>
      </w:r>
      <w:r w:rsidRPr="00F04BAD">
        <w:rPr>
          <w:rFonts w:ascii="Book Antiqua" w:eastAsia="Book Antiqua" w:hAnsi="Book Antiqua" w:cs="Book Antiqua"/>
          <w:color w:val="000000" w:themeColor="text1"/>
        </w:rPr>
        <w:t xml:space="preserve">, Kudo M, Nagasaka T, Ikai I, Goel A. Characteristic patterns of altered DNA methylation predict emergence of human hepatocellular carcinoma.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2012; </w:t>
      </w:r>
      <w:r w:rsidRPr="00F04BAD">
        <w:rPr>
          <w:rFonts w:ascii="Book Antiqua" w:eastAsia="Book Antiqua" w:hAnsi="Book Antiqua" w:cs="Book Antiqua"/>
          <w:b/>
          <w:bCs/>
          <w:color w:val="000000" w:themeColor="text1"/>
        </w:rPr>
        <w:t>56</w:t>
      </w:r>
      <w:r w:rsidRPr="00F04BAD">
        <w:rPr>
          <w:rFonts w:ascii="Book Antiqua" w:eastAsia="Book Antiqua" w:hAnsi="Book Antiqua" w:cs="Book Antiqua"/>
          <w:color w:val="000000" w:themeColor="text1"/>
        </w:rPr>
        <w:t>: 994-1003 [PMID: 22407776 DOI: 10.1002/hep.25706]</w:t>
      </w:r>
    </w:p>
    <w:p w14:paraId="15B8225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124 </w:t>
      </w:r>
      <w:r w:rsidRPr="00F04BAD">
        <w:rPr>
          <w:rFonts w:ascii="Book Antiqua" w:eastAsia="Book Antiqua" w:hAnsi="Book Antiqua" w:cs="Book Antiqua"/>
          <w:b/>
          <w:bCs/>
          <w:color w:val="000000" w:themeColor="text1"/>
        </w:rPr>
        <w:t>Um TH</w:t>
      </w:r>
      <w:r w:rsidRPr="00F04BAD">
        <w:rPr>
          <w:rFonts w:ascii="Book Antiqua" w:eastAsia="Book Antiqua" w:hAnsi="Book Antiqua" w:cs="Book Antiqua"/>
          <w:color w:val="000000" w:themeColor="text1"/>
        </w:rPr>
        <w:t xml:space="preserve">, Kim H, Oh BK, Kim MS, Kim KS, Jung G, Park YN. Aberrant CpG island hypermethylation in dysplastic nodules and early HCC of hepatitis B virus-related human multistep hepatocarcinogenesis.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2011; </w:t>
      </w:r>
      <w:r w:rsidRPr="00F04BAD">
        <w:rPr>
          <w:rFonts w:ascii="Book Antiqua" w:eastAsia="Book Antiqua" w:hAnsi="Book Antiqua" w:cs="Book Antiqua"/>
          <w:b/>
          <w:bCs/>
          <w:color w:val="000000" w:themeColor="text1"/>
        </w:rPr>
        <w:t>54</w:t>
      </w:r>
      <w:r w:rsidRPr="00F04BAD">
        <w:rPr>
          <w:rFonts w:ascii="Book Antiqua" w:eastAsia="Book Antiqua" w:hAnsi="Book Antiqua" w:cs="Book Antiqua"/>
          <w:color w:val="000000" w:themeColor="text1"/>
        </w:rPr>
        <w:t>: 939-947 [PMID: 21145824 DOI: 10.1016/j.jhep.2010.08.021]</w:t>
      </w:r>
    </w:p>
    <w:p w14:paraId="54097F5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125 </w:t>
      </w:r>
      <w:r w:rsidRPr="00F04BAD">
        <w:rPr>
          <w:rFonts w:ascii="Book Antiqua" w:eastAsia="Book Antiqua" w:hAnsi="Book Antiqua" w:cs="Book Antiqua"/>
          <w:b/>
          <w:bCs/>
          <w:color w:val="000000" w:themeColor="text1"/>
        </w:rPr>
        <w:t>Villanueva A</w:t>
      </w:r>
      <w:r w:rsidRPr="00F04BAD">
        <w:rPr>
          <w:rFonts w:ascii="Book Antiqua" w:eastAsia="Book Antiqua" w:hAnsi="Book Antiqua" w:cs="Book Antiqua"/>
          <w:color w:val="000000" w:themeColor="text1"/>
        </w:rPr>
        <w:t xml:space="preserve">, Portela A, Sayols S, Battiston C, Hoshida Y, Méndez-González J, Imbeaud S, Letouzé E, Hernandez-Gea V, Cornella H, Pinyol R, Solé M, Fuster J, Zucman-Rossi J, Mazzaferro V, Esteller M, Llovet JM; HEPTROMIC Consortium. DNA methylation-based prognosis and epidrivers in hepatocellular carcinoma.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61</w:t>
      </w:r>
      <w:r w:rsidRPr="00F04BAD">
        <w:rPr>
          <w:rFonts w:ascii="Book Antiqua" w:eastAsia="Book Antiqua" w:hAnsi="Book Antiqua" w:cs="Book Antiqua"/>
          <w:color w:val="000000" w:themeColor="text1"/>
        </w:rPr>
        <w:t>: 1945-1956 [PMID: 25645722 DOI: 10.1002/hep.27732]</w:t>
      </w:r>
    </w:p>
    <w:p w14:paraId="0B67783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126 </w:t>
      </w:r>
      <w:r w:rsidRPr="00F04BAD">
        <w:rPr>
          <w:rFonts w:ascii="Book Antiqua" w:eastAsia="Book Antiqua" w:hAnsi="Book Antiqua" w:cs="Book Antiqua"/>
          <w:b/>
          <w:bCs/>
          <w:color w:val="000000" w:themeColor="text1"/>
        </w:rPr>
        <w:t>Lokk K</w:t>
      </w:r>
      <w:r w:rsidRPr="00F04BAD">
        <w:rPr>
          <w:rFonts w:ascii="Book Antiqua" w:eastAsia="Book Antiqua" w:hAnsi="Book Antiqua" w:cs="Book Antiqua"/>
          <w:color w:val="000000" w:themeColor="text1"/>
        </w:rPr>
        <w:t xml:space="preserve">, Modhukur V, Rajashekar B, Märtens K, Mägi R, Kolde R, Koltšina M, Nilsson TK, Vilo J, Salumets A, Tõnisson N. DNA methylome profiling of human tissues identifies global and tissue-specific methylation patterns. </w:t>
      </w:r>
      <w:r w:rsidRPr="00F04BAD">
        <w:rPr>
          <w:rFonts w:ascii="Book Antiqua" w:eastAsia="Book Antiqua" w:hAnsi="Book Antiqua" w:cs="Book Antiqua"/>
          <w:i/>
          <w:iCs/>
          <w:color w:val="000000" w:themeColor="text1"/>
        </w:rPr>
        <w:t>Genome Biol</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15</w:t>
      </w:r>
      <w:r w:rsidRPr="00F04BAD">
        <w:rPr>
          <w:rFonts w:ascii="Book Antiqua" w:eastAsia="Book Antiqua" w:hAnsi="Book Antiqua" w:cs="Book Antiqua"/>
          <w:color w:val="000000" w:themeColor="text1"/>
        </w:rPr>
        <w:t>: r54 [PMID: 24690455 DOI: 10.1186/gb-2014-15-4-r54]</w:t>
      </w:r>
    </w:p>
    <w:p w14:paraId="1B7A90C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127 </w:t>
      </w:r>
      <w:r w:rsidRPr="00F04BAD">
        <w:rPr>
          <w:rFonts w:ascii="Book Antiqua" w:eastAsia="Book Antiqua" w:hAnsi="Book Antiqua" w:cs="Book Antiqua"/>
          <w:b/>
          <w:bCs/>
          <w:color w:val="000000" w:themeColor="text1"/>
        </w:rPr>
        <w:t>Mei Q</w:t>
      </w:r>
      <w:r w:rsidRPr="00F04BAD">
        <w:rPr>
          <w:rFonts w:ascii="Book Antiqua" w:eastAsia="Book Antiqua" w:hAnsi="Book Antiqua" w:cs="Book Antiqua"/>
          <w:color w:val="000000" w:themeColor="text1"/>
        </w:rPr>
        <w:t xml:space="preserve">, Chen M, Lu X, Li X, Duan F, Wang M, Luo G, Han W. An open-label, single-arm, phase I/II study of lower-dose decitabine based therapy in patients with advanced hepatocellular carcinoma.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6</w:t>
      </w:r>
      <w:r w:rsidRPr="00F04BAD">
        <w:rPr>
          <w:rFonts w:ascii="Book Antiqua" w:eastAsia="Book Antiqua" w:hAnsi="Book Antiqua" w:cs="Book Antiqua"/>
          <w:color w:val="000000" w:themeColor="text1"/>
        </w:rPr>
        <w:t>: 16698-16711 [PMID: 25895027 DOI: 10.18632/oncotarget.3677]</w:t>
      </w:r>
    </w:p>
    <w:p w14:paraId="4810AC6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128 </w:t>
      </w:r>
      <w:r w:rsidRPr="00F04BAD">
        <w:rPr>
          <w:rFonts w:ascii="Book Antiqua" w:eastAsia="Book Antiqua" w:hAnsi="Book Antiqua" w:cs="Book Antiqua"/>
          <w:b/>
          <w:bCs/>
          <w:color w:val="000000" w:themeColor="text1"/>
        </w:rPr>
        <w:t>Andersen JB</w:t>
      </w:r>
      <w:r w:rsidRPr="00F04BAD">
        <w:rPr>
          <w:rFonts w:ascii="Book Antiqua" w:eastAsia="Book Antiqua" w:hAnsi="Book Antiqua" w:cs="Book Antiqua"/>
          <w:color w:val="000000" w:themeColor="text1"/>
        </w:rPr>
        <w:t xml:space="preserve">, Factor VM, Marquardt JU, Raggi C, Lee YH, Seo D, Conner EA, Thorgeirsson SS. An integrated genomic and epigenomic approach predicts therapeutic response to zebularine in human liver cancer. </w:t>
      </w:r>
      <w:r w:rsidRPr="00F04BAD">
        <w:rPr>
          <w:rFonts w:ascii="Book Antiqua" w:eastAsia="Book Antiqua" w:hAnsi="Book Antiqua" w:cs="Book Antiqua"/>
          <w:i/>
          <w:iCs/>
          <w:color w:val="000000" w:themeColor="text1"/>
        </w:rPr>
        <w:t>Sci Transl Med</w:t>
      </w:r>
      <w:r w:rsidRPr="00F04BAD">
        <w:rPr>
          <w:rFonts w:ascii="Book Antiqua" w:eastAsia="Book Antiqua" w:hAnsi="Book Antiqua" w:cs="Book Antiqua"/>
          <w:color w:val="000000" w:themeColor="text1"/>
        </w:rPr>
        <w:t xml:space="preserve"> 2010; </w:t>
      </w:r>
      <w:r w:rsidRPr="00F04BAD">
        <w:rPr>
          <w:rFonts w:ascii="Book Antiqua" w:eastAsia="Book Antiqua" w:hAnsi="Book Antiqua" w:cs="Book Antiqua"/>
          <w:b/>
          <w:bCs/>
          <w:color w:val="000000" w:themeColor="text1"/>
        </w:rPr>
        <w:t>2</w:t>
      </w:r>
      <w:r w:rsidRPr="00F04BAD">
        <w:rPr>
          <w:rFonts w:ascii="Book Antiqua" w:eastAsia="Book Antiqua" w:hAnsi="Book Antiqua" w:cs="Book Antiqua"/>
          <w:color w:val="000000" w:themeColor="text1"/>
        </w:rPr>
        <w:t>: 54ra77 [PMID: 20962331 DOI: 10.1126/scitranslmed.3001338]</w:t>
      </w:r>
    </w:p>
    <w:p w14:paraId="42B2FFA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129 </w:t>
      </w:r>
      <w:r w:rsidRPr="00F04BAD">
        <w:rPr>
          <w:rFonts w:ascii="Book Antiqua" w:eastAsia="Book Antiqua" w:hAnsi="Book Antiqua" w:cs="Book Antiqua"/>
          <w:b/>
          <w:bCs/>
          <w:color w:val="000000" w:themeColor="text1"/>
        </w:rPr>
        <w:t>Kuang Y</w:t>
      </w:r>
      <w:r w:rsidRPr="00F04BAD">
        <w:rPr>
          <w:rFonts w:ascii="Book Antiqua" w:eastAsia="Book Antiqua" w:hAnsi="Book Antiqua" w:cs="Book Antiqua"/>
          <w:color w:val="000000" w:themeColor="text1"/>
        </w:rPr>
        <w:t xml:space="preserve">, El-Khoueiry A, Taverna P, Ljungman M, Neamati N. Guadecitabine (SGI-110) priming sensitizes hepatocellular carcinoma cells to oxaliplatin. </w:t>
      </w:r>
      <w:r w:rsidRPr="00F04BAD">
        <w:rPr>
          <w:rFonts w:ascii="Book Antiqua" w:eastAsia="Book Antiqua" w:hAnsi="Book Antiqua" w:cs="Book Antiqua"/>
          <w:i/>
          <w:iCs/>
          <w:color w:val="000000" w:themeColor="text1"/>
        </w:rPr>
        <w:t>Mol Oncol</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9</w:t>
      </w:r>
      <w:r w:rsidRPr="00F04BAD">
        <w:rPr>
          <w:rFonts w:ascii="Book Antiqua" w:eastAsia="Book Antiqua" w:hAnsi="Book Antiqua" w:cs="Book Antiqua"/>
          <w:color w:val="000000" w:themeColor="text1"/>
        </w:rPr>
        <w:t>: 1799-1814 [PMID: 26160429 DOI: 10.1016/j.molonc.2015.06.002]</w:t>
      </w:r>
    </w:p>
    <w:p w14:paraId="680581E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130 </w:t>
      </w:r>
      <w:r w:rsidRPr="00F04BAD">
        <w:rPr>
          <w:rFonts w:ascii="Book Antiqua" w:eastAsia="Book Antiqua" w:hAnsi="Book Antiqua" w:cs="Book Antiqua"/>
          <w:b/>
          <w:bCs/>
          <w:color w:val="000000" w:themeColor="text1"/>
        </w:rPr>
        <w:t>Liu M</w:t>
      </w:r>
      <w:r w:rsidRPr="00F04BAD">
        <w:rPr>
          <w:rFonts w:ascii="Book Antiqua" w:eastAsia="Book Antiqua" w:hAnsi="Book Antiqua" w:cs="Book Antiqua"/>
          <w:color w:val="000000" w:themeColor="text1"/>
        </w:rPr>
        <w:t xml:space="preserve">, Zhang L, Li H, Hinoue T, Zhou W, Ohtani H, El-Khoueiry A, Daniels J, O'Connell C, Dorff TB, Lu Q, Weisenberger DJ, Liang G. Integrative Epigenetic Analysis Reveals Therapeutic Targets to the DNA Methyltransferase Inhibitor Guadecitabine (SGI-110) in Hepatocellular Carcinoma.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68</w:t>
      </w:r>
      <w:r w:rsidRPr="00F04BAD">
        <w:rPr>
          <w:rFonts w:ascii="Book Antiqua" w:eastAsia="Book Antiqua" w:hAnsi="Book Antiqua" w:cs="Book Antiqua"/>
          <w:color w:val="000000" w:themeColor="text1"/>
        </w:rPr>
        <w:t>: 1412-1428 [PMID: 29774579 DOI: 10.1002/hep.30091]</w:t>
      </w:r>
    </w:p>
    <w:p w14:paraId="3655608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131 </w:t>
      </w:r>
      <w:r w:rsidRPr="00F04BAD">
        <w:rPr>
          <w:rFonts w:ascii="Book Antiqua" w:eastAsia="Book Antiqua" w:hAnsi="Book Antiqua" w:cs="Book Antiqua"/>
          <w:b/>
          <w:bCs/>
          <w:color w:val="000000" w:themeColor="text1"/>
        </w:rPr>
        <w:t>Zhao Z</w:t>
      </w:r>
      <w:r w:rsidRPr="00F04BAD">
        <w:rPr>
          <w:rFonts w:ascii="Book Antiqua" w:eastAsia="Book Antiqua" w:hAnsi="Book Antiqua" w:cs="Book Antiqua"/>
          <w:color w:val="000000" w:themeColor="text1"/>
        </w:rPr>
        <w:t xml:space="preserve">, Shilatifard A. Epigenetic modifications of histones in cancer. </w:t>
      </w:r>
      <w:r w:rsidRPr="00F04BAD">
        <w:rPr>
          <w:rFonts w:ascii="Book Antiqua" w:eastAsia="Book Antiqua" w:hAnsi="Book Antiqua" w:cs="Book Antiqua"/>
          <w:i/>
          <w:iCs/>
          <w:color w:val="000000" w:themeColor="text1"/>
        </w:rPr>
        <w:t>Genome Biol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20</w:t>
      </w:r>
      <w:r w:rsidRPr="00F04BAD">
        <w:rPr>
          <w:rFonts w:ascii="Book Antiqua" w:eastAsia="Book Antiqua" w:hAnsi="Book Antiqua" w:cs="Book Antiqua"/>
          <w:color w:val="000000" w:themeColor="text1"/>
        </w:rPr>
        <w:t>: 245 [PMID: 31747960 DOI: 10.1186/s13059-019-1870-5]</w:t>
      </w:r>
    </w:p>
    <w:p w14:paraId="0464B3D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132 </w:t>
      </w:r>
      <w:r w:rsidRPr="00F04BAD">
        <w:rPr>
          <w:rFonts w:ascii="Book Antiqua" w:eastAsia="Book Antiqua" w:hAnsi="Book Antiqua" w:cs="Book Antiqua"/>
          <w:b/>
          <w:bCs/>
          <w:color w:val="000000" w:themeColor="text1"/>
        </w:rPr>
        <w:t>Santos-Rosa H</w:t>
      </w:r>
      <w:r w:rsidRPr="00F04BAD">
        <w:rPr>
          <w:rFonts w:ascii="Book Antiqua" w:eastAsia="Book Antiqua" w:hAnsi="Book Antiqua" w:cs="Book Antiqua"/>
          <w:color w:val="000000" w:themeColor="text1"/>
        </w:rPr>
        <w:t xml:space="preserve">, Schneider R, Bannister AJ, Sherriff J, Bernstein BE, Emre NC, Schreiber SL, Mellor J, Kouzarides T. Active genes are tri-methylated at K4 of histone H3. </w:t>
      </w:r>
      <w:r w:rsidRPr="00F04BAD">
        <w:rPr>
          <w:rFonts w:ascii="Book Antiqua" w:eastAsia="Book Antiqua" w:hAnsi="Book Antiqua" w:cs="Book Antiqua"/>
          <w:i/>
          <w:iCs/>
          <w:color w:val="000000" w:themeColor="text1"/>
        </w:rPr>
        <w:t>Nature</w:t>
      </w:r>
      <w:r w:rsidRPr="00F04BAD">
        <w:rPr>
          <w:rFonts w:ascii="Book Antiqua" w:eastAsia="Book Antiqua" w:hAnsi="Book Antiqua" w:cs="Book Antiqua"/>
          <w:color w:val="000000" w:themeColor="text1"/>
        </w:rPr>
        <w:t xml:space="preserve"> 2002; </w:t>
      </w:r>
      <w:r w:rsidRPr="00F04BAD">
        <w:rPr>
          <w:rFonts w:ascii="Book Antiqua" w:eastAsia="Book Antiqua" w:hAnsi="Book Antiqua" w:cs="Book Antiqua"/>
          <w:b/>
          <w:bCs/>
          <w:color w:val="000000" w:themeColor="text1"/>
        </w:rPr>
        <w:t>419</w:t>
      </w:r>
      <w:r w:rsidRPr="00F04BAD">
        <w:rPr>
          <w:rFonts w:ascii="Book Antiqua" w:eastAsia="Book Antiqua" w:hAnsi="Book Antiqua" w:cs="Book Antiqua"/>
          <w:color w:val="000000" w:themeColor="text1"/>
        </w:rPr>
        <w:t>: 407-411 [PMID: 12353038 DOI: 10.1038/nature01080]</w:t>
      </w:r>
    </w:p>
    <w:p w14:paraId="2654440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133 </w:t>
      </w:r>
      <w:r w:rsidRPr="00F04BAD">
        <w:rPr>
          <w:rFonts w:ascii="Book Antiqua" w:eastAsia="Book Antiqua" w:hAnsi="Book Antiqua" w:cs="Book Antiqua"/>
          <w:b/>
          <w:bCs/>
          <w:color w:val="000000" w:themeColor="text1"/>
        </w:rPr>
        <w:t>Wagner EJ</w:t>
      </w:r>
      <w:r w:rsidRPr="00F04BAD">
        <w:rPr>
          <w:rFonts w:ascii="Book Antiqua" w:eastAsia="Book Antiqua" w:hAnsi="Book Antiqua" w:cs="Book Antiqua"/>
          <w:color w:val="000000" w:themeColor="text1"/>
        </w:rPr>
        <w:t xml:space="preserve">, Carpenter PB. Understanding the language of Lys36 methylation at histone H3. </w:t>
      </w:r>
      <w:r w:rsidRPr="00F04BAD">
        <w:rPr>
          <w:rFonts w:ascii="Book Antiqua" w:eastAsia="Book Antiqua" w:hAnsi="Book Antiqua" w:cs="Book Antiqua"/>
          <w:i/>
          <w:iCs/>
          <w:color w:val="000000" w:themeColor="text1"/>
        </w:rPr>
        <w:t>Nat Rev Mol Cell Biol</w:t>
      </w:r>
      <w:r w:rsidRPr="00F04BAD">
        <w:rPr>
          <w:rFonts w:ascii="Book Antiqua" w:eastAsia="Book Antiqua" w:hAnsi="Book Antiqua" w:cs="Book Antiqua"/>
          <w:color w:val="000000" w:themeColor="text1"/>
        </w:rPr>
        <w:t xml:space="preserve"> 2012; </w:t>
      </w:r>
      <w:r w:rsidRPr="00F04BAD">
        <w:rPr>
          <w:rFonts w:ascii="Book Antiqua" w:eastAsia="Book Antiqua" w:hAnsi="Book Antiqua" w:cs="Book Antiqua"/>
          <w:b/>
          <w:bCs/>
          <w:color w:val="000000" w:themeColor="text1"/>
        </w:rPr>
        <w:t>13</w:t>
      </w:r>
      <w:r w:rsidRPr="00F04BAD">
        <w:rPr>
          <w:rFonts w:ascii="Book Antiqua" w:eastAsia="Book Antiqua" w:hAnsi="Book Antiqua" w:cs="Book Antiqua"/>
          <w:color w:val="000000" w:themeColor="text1"/>
        </w:rPr>
        <w:t>: 115-126 [PMID: 22266761 DOI: 10.1038/nrm</w:t>
      </w:r>
      <w:r w:rsidRPr="00F04BAD">
        <w:rPr>
          <w:rFonts w:ascii="Book Antiqua" w:eastAsia="Book Antiqua" w:hAnsi="Book Antiqua" w:cs="Book Antiqua"/>
          <w:color w:val="000000" w:themeColor="text1"/>
          <w:vertAlign w:val="superscript"/>
        </w:rPr>
        <w:t>3</w:t>
      </w:r>
      <w:r w:rsidRPr="00F04BAD">
        <w:rPr>
          <w:rFonts w:ascii="Book Antiqua" w:eastAsia="Book Antiqua" w:hAnsi="Book Antiqua" w:cs="Book Antiqua"/>
          <w:color w:val="000000" w:themeColor="text1"/>
        </w:rPr>
        <w:t>274]</w:t>
      </w:r>
    </w:p>
    <w:p w14:paraId="09C2A33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134 </w:t>
      </w:r>
      <w:r w:rsidRPr="00F04BAD">
        <w:rPr>
          <w:rFonts w:ascii="Book Antiqua" w:eastAsia="Book Antiqua" w:hAnsi="Book Antiqua" w:cs="Book Antiqua"/>
          <w:b/>
          <w:bCs/>
          <w:color w:val="000000" w:themeColor="text1"/>
        </w:rPr>
        <w:t>Nguyen AT</w:t>
      </w:r>
      <w:r w:rsidRPr="00F04BAD">
        <w:rPr>
          <w:rFonts w:ascii="Book Antiqua" w:eastAsia="Book Antiqua" w:hAnsi="Book Antiqua" w:cs="Book Antiqua"/>
          <w:color w:val="000000" w:themeColor="text1"/>
        </w:rPr>
        <w:t xml:space="preserve">, Zhang Y. The diverse functions of Dot1 and H3K79 methylation. </w:t>
      </w:r>
      <w:r w:rsidRPr="00F04BAD">
        <w:rPr>
          <w:rFonts w:ascii="Book Antiqua" w:eastAsia="Book Antiqua" w:hAnsi="Book Antiqua" w:cs="Book Antiqua"/>
          <w:i/>
          <w:iCs/>
          <w:color w:val="000000" w:themeColor="text1"/>
        </w:rPr>
        <w:t>Genes Dev</w:t>
      </w:r>
      <w:r w:rsidRPr="00F04BAD">
        <w:rPr>
          <w:rFonts w:ascii="Book Antiqua" w:eastAsia="Book Antiqua" w:hAnsi="Book Antiqua" w:cs="Book Antiqua"/>
          <w:color w:val="000000" w:themeColor="text1"/>
        </w:rPr>
        <w:t xml:space="preserve"> 2011; </w:t>
      </w:r>
      <w:r w:rsidRPr="00F04BAD">
        <w:rPr>
          <w:rFonts w:ascii="Book Antiqua" w:eastAsia="Book Antiqua" w:hAnsi="Book Antiqua" w:cs="Book Antiqua"/>
          <w:b/>
          <w:bCs/>
          <w:color w:val="000000" w:themeColor="text1"/>
        </w:rPr>
        <w:t>25</w:t>
      </w:r>
      <w:r w:rsidRPr="00F04BAD">
        <w:rPr>
          <w:rFonts w:ascii="Book Antiqua" w:eastAsia="Book Antiqua" w:hAnsi="Book Antiqua" w:cs="Book Antiqua"/>
          <w:color w:val="000000" w:themeColor="text1"/>
        </w:rPr>
        <w:t>: 1345-1358 [PMID: 21724828 DOI: 10.1101/gad.2057811]</w:t>
      </w:r>
    </w:p>
    <w:p w14:paraId="0AFCA40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135 </w:t>
      </w:r>
      <w:r w:rsidRPr="00F04BAD">
        <w:rPr>
          <w:rFonts w:ascii="Book Antiqua" w:eastAsia="Book Antiqua" w:hAnsi="Book Antiqua" w:cs="Book Antiqua"/>
          <w:b/>
          <w:bCs/>
          <w:color w:val="000000" w:themeColor="text1"/>
        </w:rPr>
        <w:t>Cao R</w:t>
      </w:r>
      <w:r w:rsidRPr="00F04BAD">
        <w:rPr>
          <w:rFonts w:ascii="Book Antiqua" w:eastAsia="Book Antiqua" w:hAnsi="Book Antiqua" w:cs="Book Antiqua"/>
          <w:color w:val="000000" w:themeColor="text1"/>
        </w:rPr>
        <w:t xml:space="preserve">, Wang L, Wang H, Xia L, Erdjument-Bromage H, Tempst P, Jones RS, Zhang Y. Role of histone H3 Lysine 27 methylation in Polycomb-group silencing. </w:t>
      </w:r>
      <w:r w:rsidRPr="00F04BAD">
        <w:rPr>
          <w:rFonts w:ascii="Book Antiqua" w:eastAsia="Book Antiqua" w:hAnsi="Book Antiqua" w:cs="Book Antiqua"/>
          <w:i/>
          <w:iCs/>
          <w:color w:val="000000" w:themeColor="text1"/>
        </w:rPr>
        <w:t>Science</w:t>
      </w:r>
      <w:r w:rsidRPr="00F04BAD">
        <w:rPr>
          <w:rFonts w:ascii="Book Antiqua" w:eastAsia="Book Antiqua" w:hAnsi="Book Antiqua" w:cs="Book Antiqua"/>
          <w:color w:val="000000" w:themeColor="text1"/>
        </w:rPr>
        <w:t xml:space="preserve"> 2002; </w:t>
      </w:r>
      <w:r w:rsidRPr="00F04BAD">
        <w:rPr>
          <w:rFonts w:ascii="Book Antiqua" w:eastAsia="Book Antiqua" w:hAnsi="Book Antiqua" w:cs="Book Antiqua"/>
          <w:b/>
          <w:bCs/>
          <w:color w:val="000000" w:themeColor="text1"/>
        </w:rPr>
        <w:t>298</w:t>
      </w:r>
      <w:r w:rsidRPr="00F04BAD">
        <w:rPr>
          <w:rFonts w:ascii="Book Antiqua" w:eastAsia="Book Antiqua" w:hAnsi="Book Antiqua" w:cs="Book Antiqua"/>
          <w:color w:val="000000" w:themeColor="text1"/>
        </w:rPr>
        <w:t>: 1039-1043 [PMID: 12351676 DOI: 10.1126/science.1076997]</w:t>
      </w:r>
    </w:p>
    <w:p w14:paraId="192CECE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136 </w:t>
      </w:r>
      <w:r w:rsidRPr="00F04BAD">
        <w:rPr>
          <w:rFonts w:ascii="Book Antiqua" w:eastAsia="Book Antiqua" w:hAnsi="Book Antiqua" w:cs="Book Antiqua"/>
          <w:b/>
          <w:bCs/>
          <w:color w:val="000000" w:themeColor="text1"/>
        </w:rPr>
        <w:t>Jørgensen S</w:t>
      </w:r>
      <w:r w:rsidRPr="00F04BAD">
        <w:rPr>
          <w:rFonts w:ascii="Book Antiqua" w:eastAsia="Book Antiqua" w:hAnsi="Book Antiqua" w:cs="Book Antiqua"/>
          <w:color w:val="000000" w:themeColor="text1"/>
        </w:rPr>
        <w:t xml:space="preserve">, Schotta G, Sørensen CS. Histone H4 Lysine 20 methylation: key player in epigenetic regulation of genomic integrity. </w:t>
      </w:r>
      <w:r w:rsidRPr="00F04BAD">
        <w:rPr>
          <w:rFonts w:ascii="Book Antiqua" w:eastAsia="Book Antiqua" w:hAnsi="Book Antiqua" w:cs="Book Antiqua"/>
          <w:i/>
          <w:iCs/>
          <w:color w:val="000000" w:themeColor="text1"/>
        </w:rPr>
        <w:t>Nucleic Acids Res</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41</w:t>
      </w:r>
      <w:r w:rsidRPr="00F04BAD">
        <w:rPr>
          <w:rFonts w:ascii="Book Antiqua" w:eastAsia="Book Antiqua" w:hAnsi="Book Antiqua" w:cs="Book Antiqua"/>
          <w:color w:val="000000" w:themeColor="text1"/>
        </w:rPr>
        <w:t>: 2797-2806 [PMID: 23345616 DOI: 10.1093/nar/gkt012]</w:t>
      </w:r>
    </w:p>
    <w:p w14:paraId="6B89C77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137 </w:t>
      </w:r>
      <w:r w:rsidRPr="00F04BAD">
        <w:rPr>
          <w:rFonts w:ascii="Book Antiqua" w:eastAsia="Book Antiqua" w:hAnsi="Book Antiqua" w:cs="Book Antiqua"/>
          <w:b/>
          <w:bCs/>
          <w:color w:val="000000" w:themeColor="text1"/>
        </w:rPr>
        <w:t>Lehnertz B</w:t>
      </w:r>
      <w:r w:rsidRPr="00F04BAD">
        <w:rPr>
          <w:rFonts w:ascii="Book Antiqua" w:eastAsia="Book Antiqua" w:hAnsi="Book Antiqua" w:cs="Book Antiqua"/>
          <w:color w:val="000000" w:themeColor="text1"/>
        </w:rPr>
        <w:t xml:space="preserve">, Ueda Y, Derijck AA, Braunschweig U, Perez-Burgos L, Kubicek S, Chen T, Li E, Jenuwein T, Peters AH. Suv39h-mediated histone H3 Lysine 9 methylation directs DNA methylation to major satellite repeats at pericentric heterochromatin. </w:t>
      </w:r>
      <w:r w:rsidRPr="00F04BAD">
        <w:rPr>
          <w:rFonts w:ascii="Book Antiqua" w:eastAsia="Book Antiqua" w:hAnsi="Book Antiqua" w:cs="Book Antiqua"/>
          <w:i/>
          <w:iCs/>
          <w:color w:val="000000" w:themeColor="text1"/>
        </w:rPr>
        <w:t>Curr Biol</w:t>
      </w:r>
      <w:r w:rsidRPr="00F04BAD">
        <w:rPr>
          <w:rFonts w:ascii="Book Antiqua" w:eastAsia="Book Antiqua" w:hAnsi="Book Antiqua" w:cs="Book Antiqua"/>
          <w:color w:val="000000" w:themeColor="text1"/>
        </w:rPr>
        <w:t xml:space="preserve"> 2003; </w:t>
      </w:r>
      <w:r w:rsidRPr="00F04BAD">
        <w:rPr>
          <w:rFonts w:ascii="Book Antiqua" w:eastAsia="Book Antiqua" w:hAnsi="Book Antiqua" w:cs="Book Antiqua"/>
          <w:b/>
          <w:bCs/>
          <w:color w:val="000000" w:themeColor="text1"/>
        </w:rPr>
        <w:t>13</w:t>
      </w:r>
      <w:r w:rsidRPr="00F04BAD">
        <w:rPr>
          <w:rFonts w:ascii="Book Antiqua" w:eastAsia="Book Antiqua" w:hAnsi="Book Antiqua" w:cs="Book Antiqua"/>
          <w:color w:val="000000" w:themeColor="text1"/>
        </w:rPr>
        <w:t>: 1192-1200 [PMID: 12867029 DOI: 10.1016/s0960-9822(03)00432-9]</w:t>
      </w:r>
    </w:p>
    <w:p w14:paraId="1FB50C40" w14:textId="0D9AC2DE"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138 </w:t>
      </w:r>
      <w:r w:rsidRPr="00F04BAD">
        <w:rPr>
          <w:rFonts w:ascii="Book Antiqua" w:eastAsia="Book Antiqua" w:hAnsi="Book Antiqua" w:cs="Book Antiqua"/>
          <w:b/>
          <w:bCs/>
          <w:color w:val="000000" w:themeColor="text1"/>
        </w:rPr>
        <w:t>Poté N</w:t>
      </w:r>
      <w:r w:rsidRPr="00F04BAD">
        <w:rPr>
          <w:rFonts w:ascii="Book Antiqua" w:eastAsia="Book Antiqua" w:hAnsi="Book Antiqua" w:cs="Book Antiqua"/>
          <w:color w:val="000000" w:themeColor="text1"/>
        </w:rPr>
        <w:t xml:space="preserve">, Cros J, Laouirem S, Raffenne J, Negrão M, Albuquerque M, Bedossa P, Godinho Ferreira M, Ait Si Ali S, Fior R, Paradis V. The histone acetyltransferase hMOF promotes vascular invasion in hepatocellular carcinoma. </w:t>
      </w:r>
      <w:r w:rsidRPr="00F04BAD">
        <w:rPr>
          <w:rFonts w:ascii="Book Antiqua" w:eastAsia="Book Antiqua" w:hAnsi="Book Antiqua" w:cs="Book Antiqua"/>
          <w:i/>
          <w:iCs/>
          <w:color w:val="000000" w:themeColor="text1"/>
        </w:rPr>
        <w:t>Liver Int</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40</w:t>
      </w:r>
      <w:r w:rsidRPr="00F04BAD">
        <w:rPr>
          <w:rFonts w:ascii="Book Antiqua" w:eastAsia="Book Antiqua" w:hAnsi="Book Antiqua" w:cs="Book Antiqua"/>
          <w:color w:val="000000" w:themeColor="text1"/>
        </w:rPr>
        <w:t>: 956-967 [PMID: 31943753 DOI: 10.1111/</w:t>
      </w:r>
      <w:r w:rsidR="00E647EF" w:rsidRPr="00F04BAD">
        <w:rPr>
          <w:rFonts w:ascii="Book Antiqua" w:hAnsi="Book Antiqua" w:cs="Book Antiqua"/>
          <w:color w:val="000000" w:themeColor="text1"/>
          <w:lang w:eastAsia="zh-CN"/>
        </w:rPr>
        <w:t>l</w:t>
      </w:r>
      <w:r w:rsidRPr="00F04BAD">
        <w:rPr>
          <w:rFonts w:ascii="Book Antiqua" w:eastAsia="Book Antiqua" w:hAnsi="Book Antiqua" w:cs="Book Antiqua"/>
          <w:color w:val="000000" w:themeColor="text1"/>
        </w:rPr>
        <w:t>iv.14381]</w:t>
      </w:r>
    </w:p>
    <w:p w14:paraId="7FA3B0C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139 </w:t>
      </w:r>
      <w:r w:rsidRPr="00F04BAD">
        <w:rPr>
          <w:rFonts w:ascii="Book Antiqua" w:eastAsia="Book Antiqua" w:hAnsi="Book Antiqua" w:cs="Book Antiqua"/>
          <w:b/>
          <w:bCs/>
          <w:color w:val="000000" w:themeColor="text1"/>
        </w:rPr>
        <w:t>Zhao J</w:t>
      </w:r>
      <w:r w:rsidRPr="00F04BAD">
        <w:rPr>
          <w:rFonts w:ascii="Book Antiqua" w:eastAsia="Book Antiqua" w:hAnsi="Book Antiqua" w:cs="Book Antiqua"/>
          <w:color w:val="000000" w:themeColor="text1"/>
        </w:rPr>
        <w:t xml:space="preserve">, Gray SG, Greene CM, Lawless MW. Unmasking the pathological and therapeutic potential of histone deacetylases for liver cancer. </w:t>
      </w:r>
      <w:r w:rsidRPr="00F04BAD">
        <w:rPr>
          <w:rFonts w:ascii="Book Antiqua" w:eastAsia="Book Antiqua" w:hAnsi="Book Antiqua" w:cs="Book Antiqua"/>
          <w:i/>
          <w:iCs/>
          <w:color w:val="000000" w:themeColor="text1"/>
        </w:rPr>
        <w:t>Expert Rev Gastroenterol Hepatol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13</w:t>
      </w:r>
      <w:r w:rsidRPr="00F04BAD">
        <w:rPr>
          <w:rFonts w:ascii="Book Antiqua" w:eastAsia="Book Antiqua" w:hAnsi="Book Antiqua" w:cs="Book Antiqua"/>
          <w:color w:val="000000" w:themeColor="text1"/>
        </w:rPr>
        <w:t>: 247-256 [PMID: 30791763 DOI: 10.1080/17474124.2019.1568870]</w:t>
      </w:r>
    </w:p>
    <w:p w14:paraId="45C12DE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140 </w:t>
      </w:r>
      <w:r w:rsidRPr="00F04BAD">
        <w:rPr>
          <w:rFonts w:ascii="Book Antiqua" w:eastAsia="Book Antiqua" w:hAnsi="Book Antiqua" w:cs="Book Antiqua"/>
          <w:b/>
          <w:bCs/>
          <w:color w:val="000000" w:themeColor="text1"/>
        </w:rPr>
        <w:t>Wei L</w:t>
      </w:r>
      <w:r w:rsidRPr="00F04BAD">
        <w:rPr>
          <w:rFonts w:ascii="Book Antiqua" w:eastAsia="Book Antiqua" w:hAnsi="Book Antiqua" w:cs="Book Antiqua"/>
          <w:color w:val="000000" w:themeColor="text1"/>
        </w:rPr>
        <w:t xml:space="preserve">, Chiu DK, Tsang FH, Law CT, Cheng CL, Au SL, Lee JM, Wong CC, Ng IO, Wong CM. Histone methyltransferase G9a promotes liver cancer development by epigenetic silencing of tumor suppressor gene RARRES3.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67</w:t>
      </w:r>
      <w:r w:rsidRPr="00F04BAD">
        <w:rPr>
          <w:rFonts w:ascii="Book Antiqua" w:eastAsia="Book Antiqua" w:hAnsi="Book Antiqua" w:cs="Book Antiqua"/>
          <w:color w:val="000000" w:themeColor="text1"/>
        </w:rPr>
        <w:t>: 758-769 [PMID: 28532996 DOI: 10.1016/j.jhep.2017.05.015]</w:t>
      </w:r>
    </w:p>
    <w:p w14:paraId="1F0B344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141 </w:t>
      </w:r>
      <w:r w:rsidRPr="00F04BAD">
        <w:rPr>
          <w:rFonts w:ascii="Book Antiqua" w:eastAsia="Book Antiqua" w:hAnsi="Book Antiqua" w:cs="Book Antiqua"/>
          <w:b/>
          <w:bCs/>
          <w:color w:val="000000" w:themeColor="text1"/>
        </w:rPr>
        <w:t>Chiba T</w:t>
      </w:r>
      <w:r w:rsidRPr="00F04BAD">
        <w:rPr>
          <w:rFonts w:ascii="Book Antiqua" w:eastAsia="Book Antiqua" w:hAnsi="Book Antiqua" w:cs="Book Antiqua"/>
          <w:color w:val="000000" w:themeColor="text1"/>
        </w:rPr>
        <w:t xml:space="preserve">, Saito T, Yuki K, Zen Y, Koide S, Kanogawa N, Motoyama T, Ogasawara S, Suzuki E, Ooka Y, Tawada A, Otsuka M, Miyazaki M, Iwama A, Yokosuka O. Histone lysine methyltransferase SUV39H1 is a potent target for epigenetic therapy of hepatocellular carcinoma. </w:t>
      </w:r>
      <w:r w:rsidRPr="00F04BAD">
        <w:rPr>
          <w:rFonts w:ascii="Book Antiqua" w:eastAsia="Book Antiqua" w:hAnsi="Book Antiqua" w:cs="Book Antiqua"/>
          <w:i/>
          <w:iCs/>
          <w:color w:val="000000" w:themeColor="text1"/>
        </w:rPr>
        <w:t>Int J Cancer</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136</w:t>
      </w:r>
      <w:r w:rsidRPr="00F04BAD">
        <w:rPr>
          <w:rFonts w:ascii="Book Antiqua" w:eastAsia="Book Antiqua" w:hAnsi="Book Antiqua" w:cs="Book Antiqua"/>
          <w:color w:val="000000" w:themeColor="text1"/>
        </w:rPr>
        <w:t>: 289-298 [PMID: 24844570 DOI: 10.1002/ijc.28985]</w:t>
      </w:r>
    </w:p>
    <w:p w14:paraId="0BE0C86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142 </w:t>
      </w:r>
      <w:r w:rsidRPr="00F04BAD">
        <w:rPr>
          <w:rFonts w:ascii="Book Antiqua" w:eastAsia="Book Antiqua" w:hAnsi="Book Antiqua" w:cs="Book Antiqua"/>
          <w:b/>
          <w:bCs/>
          <w:color w:val="000000" w:themeColor="text1"/>
        </w:rPr>
        <w:t>Yeo W</w:t>
      </w:r>
      <w:r w:rsidRPr="00F04BAD">
        <w:rPr>
          <w:rFonts w:ascii="Book Antiqua" w:eastAsia="Book Antiqua" w:hAnsi="Book Antiqua" w:cs="Book Antiqua"/>
          <w:color w:val="000000" w:themeColor="text1"/>
        </w:rPr>
        <w:t xml:space="preserve">, Chung HC, Chan SL, Wang LZ, Lim R, Picus J, Boyer M, Mo FK, Koh J, Rha SY, Hui EP, Jeung HC, Roh JK, Yu SC, To KF, Tao Q, Ma BB, Chan AW, Tong JH, Erlichman C, Chan AT, Goh BC. Epigenetic therapy using belinostat for patients with unresectable hepatocellular carcinoma: a multicenter phase I/II study with biomarker and pharmacokinetic analysis of tumors from patients in the Mayo Phase II Consortium and the Cancer Therapeutics Research Group. </w:t>
      </w:r>
      <w:r w:rsidRPr="00F04BAD">
        <w:rPr>
          <w:rFonts w:ascii="Book Antiqua" w:eastAsia="Book Antiqua" w:hAnsi="Book Antiqua" w:cs="Book Antiqua"/>
          <w:i/>
          <w:iCs/>
          <w:color w:val="000000" w:themeColor="text1"/>
        </w:rPr>
        <w:t>J Clin Oncol</w:t>
      </w:r>
      <w:r w:rsidRPr="00F04BAD">
        <w:rPr>
          <w:rFonts w:ascii="Book Antiqua" w:eastAsia="Book Antiqua" w:hAnsi="Book Antiqua" w:cs="Book Antiqua"/>
          <w:color w:val="000000" w:themeColor="text1"/>
        </w:rPr>
        <w:t xml:space="preserve"> 2012; </w:t>
      </w:r>
      <w:r w:rsidRPr="00F04BAD">
        <w:rPr>
          <w:rFonts w:ascii="Book Antiqua" w:eastAsia="Book Antiqua" w:hAnsi="Book Antiqua" w:cs="Book Antiqua"/>
          <w:b/>
          <w:bCs/>
          <w:color w:val="000000" w:themeColor="text1"/>
        </w:rPr>
        <w:t>30</w:t>
      </w:r>
      <w:r w:rsidRPr="00F04BAD">
        <w:rPr>
          <w:rFonts w:ascii="Book Antiqua" w:eastAsia="Book Antiqua" w:hAnsi="Book Antiqua" w:cs="Book Antiqua"/>
          <w:color w:val="000000" w:themeColor="text1"/>
        </w:rPr>
        <w:t>: 3361-3367 [PMID: 22915658 DOI: 10.1200/JCO.2011.41.2395]</w:t>
      </w:r>
    </w:p>
    <w:p w14:paraId="4974FDFF"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143 </w:t>
      </w:r>
      <w:r w:rsidRPr="00F04BAD">
        <w:rPr>
          <w:rFonts w:ascii="Book Antiqua" w:eastAsia="Book Antiqua" w:hAnsi="Book Antiqua" w:cs="Book Antiqua"/>
          <w:b/>
          <w:bCs/>
          <w:color w:val="000000" w:themeColor="text1"/>
        </w:rPr>
        <w:t>Bitzer M</w:t>
      </w:r>
      <w:r w:rsidRPr="00F04BAD">
        <w:rPr>
          <w:rFonts w:ascii="Book Antiqua" w:eastAsia="Book Antiqua" w:hAnsi="Book Antiqua" w:cs="Book Antiqua"/>
          <w:color w:val="000000" w:themeColor="text1"/>
        </w:rPr>
        <w:t xml:space="preserve">, Horger M, Giannini EG, Ganten TM, Wörns MA, Siveke JT, Dollinger MM, Gerken G, Scheulen ME, Wege H, Zagonel V, Cillo U, Trevisani F, Santoro A, Montesarchio V, Malek NP, Holzapfel J, Herz T, Ammendola AS, Pegoraro S, Hauns B, Mais A, Lauer UM, Henning SW, Hentsch B. Resminostat plus sorafenib as second-line therapy of advanced hepatocellular carcinoma - The SHELTER study. </w:t>
      </w:r>
      <w:r w:rsidRPr="00F04BAD">
        <w:rPr>
          <w:rFonts w:ascii="Book Antiqua" w:eastAsia="Book Antiqua" w:hAnsi="Book Antiqua" w:cs="Book Antiqua"/>
          <w:i/>
          <w:iCs/>
          <w:color w:val="000000" w:themeColor="text1"/>
        </w:rPr>
        <w:t>J Hepatol</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65</w:t>
      </w:r>
      <w:r w:rsidRPr="00F04BAD">
        <w:rPr>
          <w:rFonts w:ascii="Book Antiqua" w:eastAsia="Book Antiqua" w:hAnsi="Book Antiqua" w:cs="Book Antiqua"/>
          <w:color w:val="000000" w:themeColor="text1"/>
        </w:rPr>
        <w:t>: 280-288 [PMID: 26952006 DOI: 10.1016/j.jhep.2016.02.043]</w:t>
      </w:r>
    </w:p>
    <w:p w14:paraId="2840ECA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144 </w:t>
      </w:r>
      <w:r w:rsidRPr="00F04BAD">
        <w:rPr>
          <w:rFonts w:ascii="Book Antiqua" w:eastAsia="Book Antiqua" w:hAnsi="Book Antiqua" w:cs="Book Antiqua"/>
          <w:b/>
          <w:bCs/>
          <w:color w:val="000000" w:themeColor="text1"/>
        </w:rPr>
        <w:t>Liu M</w:t>
      </w:r>
      <w:r w:rsidRPr="00F04BAD">
        <w:rPr>
          <w:rFonts w:ascii="Book Antiqua" w:eastAsia="Book Antiqua" w:hAnsi="Book Antiqua" w:cs="Book Antiqua"/>
          <w:color w:val="000000" w:themeColor="text1"/>
        </w:rPr>
        <w:t xml:space="preserve">, Zhou J, Liu X, Feng Y, Yang W, Wu F, Cheung OK, Sun H, Zeng X, Tang W, Mok MTS, Wong J, Yeung PC, Lai PBS, Chen Z, Jin H, Chen J, Chan SL, Chan AWH, To KF, Sung JJY, Chen M, Cheng AS. Targeting monocyte-intrinsic enhancer reprogramming improves immunotherapy efficacy in hepatocellular carcinoma. </w:t>
      </w:r>
      <w:r w:rsidRPr="00F04BAD">
        <w:rPr>
          <w:rFonts w:ascii="Book Antiqua" w:eastAsia="Book Antiqua" w:hAnsi="Book Antiqua" w:cs="Book Antiqua"/>
          <w:i/>
          <w:iCs/>
          <w:color w:val="000000" w:themeColor="text1"/>
        </w:rPr>
        <w:t>Gut</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69</w:t>
      </w:r>
      <w:r w:rsidRPr="00F04BAD">
        <w:rPr>
          <w:rFonts w:ascii="Book Antiqua" w:eastAsia="Book Antiqua" w:hAnsi="Book Antiqua" w:cs="Book Antiqua"/>
          <w:color w:val="000000" w:themeColor="text1"/>
        </w:rPr>
        <w:t>: 365-379 [PMID: 31076403 DOI: 10.1136/gutjnl-2018-317257]</w:t>
      </w:r>
    </w:p>
    <w:p w14:paraId="5DC4051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145 </w:t>
      </w:r>
      <w:r w:rsidRPr="00F04BAD">
        <w:rPr>
          <w:rFonts w:ascii="Book Antiqua" w:eastAsia="Book Antiqua" w:hAnsi="Book Antiqua" w:cs="Book Antiqua"/>
          <w:b/>
          <w:bCs/>
          <w:color w:val="000000" w:themeColor="text1"/>
        </w:rPr>
        <w:t>Bárcena-Varela M</w:t>
      </w:r>
      <w:r w:rsidRPr="00F04BAD">
        <w:rPr>
          <w:rFonts w:ascii="Book Antiqua" w:eastAsia="Book Antiqua" w:hAnsi="Book Antiqua" w:cs="Book Antiqua"/>
          <w:color w:val="000000" w:themeColor="text1"/>
        </w:rPr>
        <w:t xml:space="preserve">, Caruso S, Llerena S, Álvarez-Sola G, Uriarte I, Latasa MU, Urtasun R, Rebouissou S, Alvarez L, Jimenez M, Santamaría E, Rodriguez-Ortigosa C, Mazza G, Rombouts K, San José-Eneriz E, Rabal O, Agirre X, Iraburu M, Santos-Laso A, Banales JM, Zucman-Rossi J, Prósper F, Oyarzabal J, Berasain C, Ávila MA, Fernández-Barrena MG. Dual Targeting of Histone Methyltransferase G9a and DNA-Methyltransferase 1 for the Treatment of Experimental Hepatocellular Carcinoma. </w:t>
      </w:r>
      <w:r w:rsidRPr="00F04BAD">
        <w:rPr>
          <w:rFonts w:ascii="Book Antiqua" w:eastAsia="Book Antiqua" w:hAnsi="Book Antiqua" w:cs="Book Antiqua"/>
          <w:i/>
          <w:iCs/>
          <w:color w:val="000000" w:themeColor="text1"/>
        </w:rPr>
        <w:t>Hepatology</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69</w:t>
      </w:r>
      <w:r w:rsidRPr="00F04BAD">
        <w:rPr>
          <w:rFonts w:ascii="Book Antiqua" w:eastAsia="Book Antiqua" w:hAnsi="Book Antiqua" w:cs="Book Antiqua"/>
          <w:color w:val="000000" w:themeColor="text1"/>
        </w:rPr>
        <w:t>: 587-603 [PMID: 30014490 DOI: 10.1002/hep.30168]</w:t>
      </w:r>
    </w:p>
    <w:p w14:paraId="4404C45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146 </w:t>
      </w:r>
      <w:r w:rsidRPr="00F04BAD">
        <w:rPr>
          <w:rFonts w:ascii="Book Antiqua" w:eastAsia="Book Antiqua" w:hAnsi="Book Antiqua" w:cs="Book Antiqua"/>
          <w:b/>
          <w:bCs/>
          <w:color w:val="000000" w:themeColor="text1"/>
        </w:rPr>
        <w:t>Fratta E</w:t>
      </w:r>
      <w:r w:rsidRPr="00F04BAD">
        <w:rPr>
          <w:rFonts w:ascii="Book Antiqua" w:eastAsia="Book Antiqua" w:hAnsi="Book Antiqua" w:cs="Book Antiqua"/>
          <w:color w:val="000000" w:themeColor="text1"/>
        </w:rPr>
        <w:t xml:space="preserve">, Coral S, Covre A, Parisi G, Colizzi F, Danielli R, Nicolay HJ, Sigalotti L, Maio M. The biology of cancer testis antigens: putative function, regulation and therapeutic potential. </w:t>
      </w:r>
      <w:r w:rsidRPr="00F04BAD">
        <w:rPr>
          <w:rFonts w:ascii="Book Antiqua" w:eastAsia="Book Antiqua" w:hAnsi="Book Antiqua" w:cs="Book Antiqua"/>
          <w:i/>
          <w:iCs/>
          <w:color w:val="000000" w:themeColor="text1"/>
        </w:rPr>
        <w:t>Mol Oncol</w:t>
      </w:r>
      <w:r w:rsidRPr="00F04BAD">
        <w:rPr>
          <w:rFonts w:ascii="Book Antiqua" w:eastAsia="Book Antiqua" w:hAnsi="Book Antiqua" w:cs="Book Antiqua"/>
          <w:color w:val="000000" w:themeColor="text1"/>
        </w:rPr>
        <w:t xml:space="preserve"> 2011; </w:t>
      </w:r>
      <w:r w:rsidRPr="00F04BAD">
        <w:rPr>
          <w:rFonts w:ascii="Book Antiqua" w:eastAsia="Book Antiqua" w:hAnsi="Book Antiqua" w:cs="Book Antiqua"/>
          <w:b/>
          <w:bCs/>
          <w:color w:val="000000" w:themeColor="text1"/>
        </w:rPr>
        <w:t>5</w:t>
      </w:r>
      <w:r w:rsidRPr="00F04BAD">
        <w:rPr>
          <w:rFonts w:ascii="Book Antiqua" w:eastAsia="Book Antiqua" w:hAnsi="Book Antiqua" w:cs="Book Antiqua"/>
          <w:color w:val="000000" w:themeColor="text1"/>
        </w:rPr>
        <w:t>: 164-182 [PMID: 21376678 DOI: 10.1016/j.molonc.2011.02.001]</w:t>
      </w:r>
    </w:p>
    <w:p w14:paraId="05EDD85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147 </w:t>
      </w:r>
      <w:r w:rsidRPr="00F04BAD">
        <w:rPr>
          <w:rFonts w:ascii="Book Antiqua" w:eastAsia="Book Antiqua" w:hAnsi="Book Antiqua" w:cs="Book Antiqua"/>
          <w:b/>
          <w:bCs/>
          <w:color w:val="000000" w:themeColor="text1"/>
        </w:rPr>
        <w:t>Chiappinelli KB</w:t>
      </w:r>
      <w:r w:rsidRPr="00F04BAD">
        <w:rPr>
          <w:rFonts w:ascii="Book Antiqua" w:eastAsia="Book Antiqua" w:hAnsi="Book Antiqua" w:cs="Book Antiqua"/>
          <w:color w:val="000000" w:themeColor="text1"/>
        </w:rPr>
        <w:t xml:space="preserve">, Zahnow CA, Ahuja N, Baylin SB. Combining Epigenetic and Immunotherapy to Combat Cancer. </w:t>
      </w:r>
      <w:r w:rsidRPr="00F04BAD">
        <w:rPr>
          <w:rFonts w:ascii="Book Antiqua" w:eastAsia="Book Antiqua" w:hAnsi="Book Antiqua" w:cs="Book Antiqua"/>
          <w:i/>
          <w:iCs/>
          <w:color w:val="000000" w:themeColor="text1"/>
        </w:rPr>
        <w:t>Cancer Res</w:t>
      </w:r>
      <w:r w:rsidRPr="00F04BAD">
        <w:rPr>
          <w:rFonts w:ascii="Book Antiqua" w:eastAsia="Book Antiqua" w:hAnsi="Book Antiqua" w:cs="Book Antiqua"/>
          <w:color w:val="000000" w:themeColor="text1"/>
        </w:rPr>
        <w:t xml:space="preserve"> 2016; </w:t>
      </w:r>
      <w:r w:rsidRPr="00F04BAD">
        <w:rPr>
          <w:rFonts w:ascii="Book Antiqua" w:eastAsia="Book Antiqua" w:hAnsi="Book Antiqua" w:cs="Book Antiqua"/>
          <w:b/>
          <w:bCs/>
          <w:color w:val="000000" w:themeColor="text1"/>
        </w:rPr>
        <w:t>76</w:t>
      </w:r>
      <w:r w:rsidRPr="00F04BAD">
        <w:rPr>
          <w:rFonts w:ascii="Book Antiqua" w:eastAsia="Book Antiqua" w:hAnsi="Book Antiqua" w:cs="Book Antiqua"/>
          <w:color w:val="000000" w:themeColor="text1"/>
        </w:rPr>
        <w:t>: 1683-1689 [PMID: 26988985 DOI: 10.1158/0008-5472.CAN-15-2125]</w:t>
      </w:r>
    </w:p>
    <w:p w14:paraId="1090353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148 </w:t>
      </w:r>
      <w:r w:rsidRPr="00F04BAD">
        <w:rPr>
          <w:rFonts w:ascii="Book Antiqua" w:eastAsia="Book Antiqua" w:hAnsi="Book Antiqua" w:cs="Book Antiqua"/>
          <w:b/>
          <w:bCs/>
          <w:color w:val="000000" w:themeColor="text1"/>
        </w:rPr>
        <w:t>Sigalotti L</w:t>
      </w:r>
      <w:r w:rsidRPr="00F04BAD">
        <w:rPr>
          <w:rFonts w:ascii="Book Antiqua" w:eastAsia="Book Antiqua" w:hAnsi="Book Antiqua" w:cs="Book Antiqua"/>
          <w:color w:val="000000" w:themeColor="text1"/>
        </w:rPr>
        <w:t xml:space="preserve">, Fratta E, Coral S, Maio M. Epigenetic drugs as immunomodulators for combination therapies in solid tumors. </w:t>
      </w:r>
      <w:r w:rsidRPr="00F04BAD">
        <w:rPr>
          <w:rFonts w:ascii="Book Antiqua" w:eastAsia="Book Antiqua" w:hAnsi="Book Antiqua" w:cs="Book Antiqua"/>
          <w:i/>
          <w:iCs/>
          <w:color w:val="000000" w:themeColor="text1"/>
        </w:rPr>
        <w:t>Pharmacol Ther</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142</w:t>
      </w:r>
      <w:r w:rsidRPr="00F04BAD">
        <w:rPr>
          <w:rFonts w:ascii="Book Antiqua" w:eastAsia="Book Antiqua" w:hAnsi="Book Antiqua" w:cs="Book Antiqua"/>
          <w:color w:val="000000" w:themeColor="text1"/>
        </w:rPr>
        <w:t>: 339-350 [PMID: 24384533 DOI: 10.1016/j.pharmthera.2013.12.015]</w:t>
      </w:r>
    </w:p>
    <w:p w14:paraId="0755D1F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149 </w:t>
      </w:r>
      <w:r w:rsidRPr="00F04BAD">
        <w:rPr>
          <w:rFonts w:ascii="Book Antiqua" w:eastAsia="Book Antiqua" w:hAnsi="Book Antiqua" w:cs="Book Antiqua"/>
          <w:b/>
          <w:bCs/>
          <w:color w:val="000000" w:themeColor="text1"/>
        </w:rPr>
        <w:t>Weber J</w:t>
      </w:r>
      <w:r w:rsidRPr="00F04BAD">
        <w:rPr>
          <w:rFonts w:ascii="Book Antiqua" w:eastAsia="Book Antiqua" w:hAnsi="Book Antiqua" w:cs="Book Antiqua"/>
          <w:color w:val="000000" w:themeColor="text1"/>
        </w:rPr>
        <w:t xml:space="preserve">, Salgaller M, Samid D, Johnson B, Herlyn M, Lassam N, Treisman J, Rosenberg SA. Expression of the MAGE-1 tumor antigen is up-regulated by the demethylating agent 5-aza-2'-deoxycytidine. </w:t>
      </w:r>
      <w:r w:rsidRPr="00F04BAD">
        <w:rPr>
          <w:rFonts w:ascii="Book Antiqua" w:eastAsia="Book Antiqua" w:hAnsi="Book Antiqua" w:cs="Book Antiqua"/>
          <w:i/>
          <w:iCs/>
          <w:color w:val="000000" w:themeColor="text1"/>
        </w:rPr>
        <w:t>Cancer Res</w:t>
      </w:r>
      <w:r w:rsidRPr="00F04BAD">
        <w:rPr>
          <w:rFonts w:ascii="Book Antiqua" w:eastAsia="Book Antiqua" w:hAnsi="Book Antiqua" w:cs="Book Antiqua"/>
          <w:color w:val="000000" w:themeColor="text1"/>
        </w:rPr>
        <w:t xml:space="preserve"> 1994; </w:t>
      </w:r>
      <w:r w:rsidRPr="00F04BAD">
        <w:rPr>
          <w:rFonts w:ascii="Book Antiqua" w:eastAsia="Book Antiqua" w:hAnsi="Book Antiqua" w:cs="Book Antiqua"/>
          <w:b/>
          <w:bCs/>
          <w:color w:val="000000" w:themeColor="text1"/>
        </w:rPr>
        <w:t>54</w:t>
      </w:r>
      <w:r w:rsidRPr="00F04BAD">
        <w:rPr>
          <w:rFonts w:ascii="Book Antiqua" w:eastAsia="Book Antiqua" w:hAnsi="Book Antiqua" w:cs="Book Antiqua"/>
          <w:color w:val="000000" w:themeColor="text1"/>
        </w:rPr>
        <w:t>: 1766-1771 [PMID: 7511051]</w:t>
      </w:r>
    </w:p>
    <w:p w14:paraId="02642AC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150 </w:t>
      </w:r>
      <w:r w:rsidRPr="00F04BAD">
        <w:rPr>
          <w:rFonts w:ascii="Book Antiqua" w:eastAsia="Book Antiqua" w:hAnsi="Book Antiqua" w:cs="Book Antiqua"/>
          <w:b/>
          <w:bCs/>
          <w:color w:val="000000" w:themeColor="text1"/>
        </w:rPr>
        <w:t>Wischnewski F</w:t>
      </w:r>
      <w:r w:rsidRPr="00F04BAD">
        <w:rPr>
          <w:rFonts w:ascii="Book Antiqua" w:eastAsia="Book Antiqua" w:hAnsi="Book Antiqua" w:cs="Book Antiqua"/>
          <w:color w:val="000000" w:themeColor="text1"/>
        </w:rPr>
        <w:t xml:space="preserve">, Pantel K, Schwarzenbach H. Promoter demethylation and histone acetylation mediate gene expression of MAGE-A1, -A2, -A3, and -A12 in human cancer cells. </w:t>
      </w:r>
      <w:r w:rsidRPr="00F04BAD">
        <w:rPr>
          <w:rFonts w:ascii="Book Antiqua" w:eastAsia="Book Antiqua" w:hAnsi="Book Antiqua" w:cs="Book Antiqua"/>
          <w:i/>
          <w:iCs/>
          <w:color w:val="000000" w:themeColor="text1"/>
        </w:rPr>
        <w:t>Mol Cancer Res</w:t>
      </w:r>
      <w:r w:rsidRPr="00F04BAD">
        <w:rPr>
          <w:rFonts w:ascii="Book Antiqua" w:eastAsia="Book Antiqua" w:hAnsi="Book Antiqua" w:cs="Book Antiqua"/>
          <w:color w:val="000000" w:themeColor="text1"/>
        </w:rPr>
        <w:t xml:space="preserve"> 2006;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339-349 [PMID: 16687489 DOI: 10.1158/1541-7786.MCR-05-0229]</w:t>
      </w:r>
    </w:p>
    <w:p w14:paraId="57C8C89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151 </w:t>
      </w:r>
      <w:r w:rsidRPr="00F04BAD">
        <w:rPr>
          <w:rFonts w:ascii="Book Antiqua" w:eastAsia="Book Antiqua" w:hAnsi="Book Antiqua" w:cs="Book Antiqua"/>
          <w:b/>
          <w:bCs/>
          <w:color w:val="000000" w:themeColor="text1"/>
        </w:rPr>
        <w:t>Dunn J</w:t>
      </w:r>
      <w:r w:rsidRPr="00F04BAD">
        <w:rPr>
          <w:rFonts w:ascii="Book Antiqua" w:eastAsia="Book Antiqua" w:hAnsi="Book Antiqua" w:cs="Book Antiqua"/>
          <w:color w:val="000000" w:themeColor="text1"/>
        </w:rPr>
        <w:t xml:space="preserve">, Rao S. Epigenetics and immunotherapy: The current state of play. </w:t>
      </w:r>
      <w:r w:rsidRPr="00F04BAD">
        <w:rPr>
          <w:rFonts w:ascii="Book Antiqua" w:eastAsia="Book Antiqua" w:hAnsi="Book Antiqua" w:cs="Book Antiqua"/>
          <w:i/>
          <w:iCs/>
          <w:color w:val="000000" w:themeColor="text1"/>
        </w:rPr>
        <w:t>Mol Immunol</w:t>
      </w:r>
      <w:r w:rsidRPr="00F04BAD">
        <w:rPr>
          <w:rFonts w:ascii="Book Antiqua" w:eastAsia="Book Antiqua" w:hAnsi="Book Antiqua" w:cs="Book Antiqua"/>
          <w:color w:val="000000" w:themeColor="text1"/>
        </w:rPr>
        <w:t xml:space="preserve"> 2017; </w:t>
      </w:r>
      <w:r w:rsidRPr="00F04BAD">
        <w:rPr>
          <w:rFonts w:ascii="Book Antiqua" w:eastAsia="Book Antiqua" w:hAnsi="Book Antiqua" w:cs="Book Antiqua"/>
          <w:b/>
          <w:bCs/>
          <w:color w:val="000000" w:themeColor="text1"/>
        </w:rPr>
        <w:t>87</w:t>
      </w:r>
      <w:r w:rsidRPr="00F04BAD">
        <w:rPr>
          <w:rFonts w:ascii="Book Antiqua" w:eastAsia="Book Antiqua" w:hAnsi="Book Antiqua" w:cs="Book Antiqua"/>
          <w:color w:val="000000" w:themeColor="text1"/>
        </w:rPr>
        <w:t>: 227-239 [PMID: 28511092 DOI: 10.1016/j.molimm.2017.04.012]</w:t>
      </w:r>
    </w:p>
    <w:p w14:paraId="4CC31AB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152 </w:t>
      </w:r>
      <w:r w:rsidRPr="00F04BAD">
        <w:rPr>
          <w:rFonts w:ascii="Book Antiqua" w:eastAsia="Book Antiqua" w:hAnsi="Book Antiqua" w:cs="Book Antiqua"/>
          <w:b/>
          <w:bCs/>
          <w:color w:val="000000" w:themeColor="text1"/>
        </w:rPr>
        <w:t>Khan AN</w:t>
      </w:r>
      <w:r w:rsidRPr="00F04BAD">
        <w:rPr>
          <w:rFonts w:ascii="Book Antiqua" w:eastAsia="Book Antiqua" w:hAnsi="Book Antiqua" w:cs="Book Antiqua"/>
          <w:color w:val="000000" w:themeColor="text1"/>
        </w:rPr>
        <w:t xml:space="preserve">, Gregorie CJ, Tomasi TB. Histone deacetylase inhibitors induce TAP, LMP, Tapasin genes and MHC class I antigen presentation by melanoma cells. </w:t>
      </w:r>
      <w:r w:rsidRPr="00F04BAD">
        <w:rPr>
          <w:rFonts w:ascii="Book Antiqua" w:eastAsia="Book Antiqua" w:hAnsi="Book Antiqua" w:cs="Book Antiqua"/>
          <w:i/>
          <w:iCs/>
          <w:color w:val="000000" w:themeColor="text1"/>
        </w:rPr>
        <w:t>Cancer Immunol Immunother</w:t>
      </w:r>
      <w:r w:rsidRPr="00F04BAD">
        <w:rPr>
          <w:rFonts w:ascii="Book Antiqua" w:eastAsia="Book Antiqua" w:hAnsi="Book Antiqua" w:cs="Book Antiqua"/>
          <w:color w:val="000000" w:themeColor="text1"/>
        </w:rPr>
        <w:t xml:space="preserve"> 2008; </w:t>
      </w:r>
      <w:r w:rsidRPr="00F04BAD">
        <w:rPr>
          <w:rFonts w:ascii="Book Antiqua" w:eastAsia="Book Antiqua" w:hAnsi="Book Antiqua" w:cs="Book Antiqua"/>
          <w:b/>
          <w:bCs/>
          <w:color w:val="000000" w:themeColor="text1"/>
        </w:rPr>
        <w:t>57</w:t>
      </w:r>
      <w:r w:rsidRPr="00F04BAD">
        <w:rPr>
          <w:rFonts w:ascii="Book Antiqua" w:eastAsia="Book Antiqua" w:hAnsi="Book Antiqua" w:cs="Book Antiqua"/>
          <w:color w:val="000000" w:themeColor="text1"/>
        </w:rPr>
        <w:t>: 647-654 [PMID: 18046553 DOI: 10.1007/s00262-007-0402-4]</w:t>
      </w:r>
    </w:p>
    <w:p w14:paraId="73E516F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153 </w:t>
      </w:r>
      <w:r w:rsidRPr="00F04BAD">
        <w:rPr>
          <w:rFonts w:ascii="Book Antiqua" w:eastAsia="Book Antiqua" w:hAnsi="Book Antiqua" w:cs="Book Antiqua"/>
          <w:b/>
          <w:bCs/>
          <w:color w:val="000000" w:themeColor="text1"/>
        </w:rPr>
        <w:t>Setiadi AF</w:t>
      </w:r>
      <w:r w:rsidRPr="00F04BAD">
        <w:rPr>
          <w:rFonts w:ascii="Book Antiqua" w:eastAsia="Book Antiqua" w:hAnsi="Book Antiqua" w:cs="Book Antiqua"/>
          <w:color w:val="000000" w:themeColor="text1"/>
        </w:rPr>
        <w:t xml:space="preserve">, Omilusik K, David MD, Seipp RP, Hartikainen J, Gopaul R, Choi KB, Jefferies WA. Epigenetic enhancement of antigen processing and presentation promotes immune recognition of tumors. </w:t>
      </w:r>
      <w:r w:rsidRPr="00F04BAD">
        <w:rPr>
          <w:rFonts w:ascii="Book Antiqua" w:eastAsia="Book Antiqua" w:hAnsi="Book Antiqua" w:cs="Book Antiqua"/>
          <w:i/>
          <w:iCs/>
          <w:color w:val="000000" w:themeColor="text1"/>
        </w:rPr>
        <w:t>Cancer Res</w:t>
      </w:r>
      <w:r w:rsidRPr="00F04BAD">
        <w:rPr>
          <w:rFonts w:ascii="Book Antiqua" w:eastAsia="Book Antiqua" w:hAnsi="Book Antiqua" w:cs="Book Antiqua"/>
          <w:color w:val="000000" w:themeColor="text1"/>
        </w:rPr>
        <w:t xml:space="preserve"> 2008; </w:t>
      </w:r>
      <w:r w:rsidRPr="00F04BAD">
        <w:rPr>
          <w:rFonts w:ascii="Book Antiqua" w:eastAsia="Book Antiqua" w:hAnsi="Book Antiqua" w:cs="Book Antiqua"/>
          <w:b/>
          <w:bCs/>
          <w:color w:val="000000" w:themeColor="text1"/>
        </w:rPr>
        <w:t>68</w:t>
      </w:r>
      <w:r w:rsidRPr="00F04BAD">
        <w:rPr>
          <w:rFonts w:ascii="Book Antiqua" w:eastAsia="Book Antiqua" w:hAnsi="Book Antiqua" w:cs="Book Antiqua"/>
          <w:color w:val="000000" w:themeColor="text1"/>
        </w:rPr>
        <w:t>: 9601-9607 [PMID: 19047136 DOI: 10.1158/0008-5472.CAN-07-5270]</w:t>
      </w:r>
    </w:p>
    <w:p w14:paraId="36AE702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154 </w:t>
      </w:r>
      <w:r w:rsidRPr="00F04BAD">
        <w:rPr>
          <w:rFonts w:ascii="Book Antiqua" w:eastAsia="Book Antiqua" w:hAnsi="Book Antiqua" w:cs="Book Antiqua"/>
          <w:b/>
          <w:bCs/>
          <w:color w:val="000000" w:themeColor="text1"/>
        </w:rPr>
        <w:t>Wrangle J</w:t>
      </w:r>
      <w:r w:rsidRPr="00F04BAD">
        <w:rPr>
          <w:rFonts w:ascii="Book Antiqua" w:eastAsia="Book Antiqua" w:hAnsi="Book Antiqua" w:cs="Book Antiqua"/>
          <w:color w:val="000000" w:themeColor="text1"/>
        </w:rPr>
        <w:t xml:space="preserve">, Wang W, Koch A, Easwaran H, Mohammad HP, Vendetti F, Vancriekinge W, Demeyer T, Du Z, Parsana P, Rodgers K, Yen RW, Zahnow CA, Taube JM, Brahmer JR, Tykodi SS, Easton K, Carvajal RD, Jones PA, Laird PW, Weisenberger DJ, Tsai S, Juergens RA, Topalian SL, Rudin CM, Brock MV, Pardoll D, Baylin SB. Alterations of immune response of Non-Small Cell Lung Cancer with Azacytidine. </w:t>
      </w:r>
      <w:r w:rsidRPr="00F04BAD">
        <w:rPr>
          <w:rFonts w:ascii="Book Antiqua" w:eastAsia="Book Antiqua" w:hAnsi="Book Antiqua" w:cs="Book Antiqua"/>
          <w:i/>
          <w:iCs/>
          <w:color w:val="000000" w:themeColor="text1"/>
        </w:rPr>
        <w:t>Oncotarget</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2067-2079 [PMID: 24162015 DOI: 10.18632/oncotarget.1542]</w:t>
      </w:r>
    </w:p>
    <w:p w14:paraId="5D103B3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155 </w:t>
      </w:r>
      <w:r w:rsidRPr="00F04BAD">
        <w:rPr>
          <w:rFonts w:ascii="Book Antiqua" w:eastAsia="Book Antiqua" w:hAnsi="Book Antiqua" w:cs="Book Antiqua"/>
          <w:b/>
          <w:bCs/>
          <w:color w:val="000000" w:themeColor="text1"/>
        </w:rPr>
        <w:t>Armeanu S</w:t>
      </w:r>
      <w:r w:rsidRPr="00F04BAD">
        <w:rPr>
          <w:rFonts w:ascii="Book Antiqua" w:eastAsia="Book Antiqua" w:hAnsi="Book Antiqua" w:cs="Book Antiqua"/>
          <w:color w:val="000000" w:themeColor="text1"/>
        </w:rPr>
        <w:t xml:space="preserve">, Bitzer M, Lauer UM, Venturelli S, Pathil A, Krusch M, Kaiser S, Jobst J, Smirnow I, Wagner A, Steinle A, Salih HR. Natural killer cell-mediated lysis of hepatoma cells </w:t>
      </w:r>
      <w:r w:rsidRPr="00F04BAD">
        <w:rPr>
          <w:rFonts w:ascii="Book Antiqua" w:eastAsia="Book Antiqua" w:hAnsi="Book Antiqua" w:cs="Book Antiqua"/>
          <w:i/>
          <w:iCs/>
          <w:color w:val="000000" w:themeColor="text1"/>
        </w:rPr>
        <w:t>via</w:t>
      </w:r>
      <w:r w:rsidRPr="00F04BAD">
        <w:rPr>
          <w:rFonts w:ascii="Book Antiqua" w:eastAsia="Book Antiqua" w:hAnsi="Book Antiqua" w:cs="Book Antiqua"/>
          <w:color w:val="000000" w:themeColor="text1"/>
        </w:rPr>
        <w:t xml:space="preserve"> specific induction of NKG2D ligands by the histone deacetylase inhibitor sodium valproate. </w:t>
      </w:r>
      <w:r w:rsidRPr="00F04BAD">
        <w:rPr>
          <w:rFonts w:ascii="Book Antiqua" w:eastAsia="Book Antiqua" w:hAnsi="Book Antiqua" w:cs="Book Antiqua"/>
          <w:i/>
          <w:iCs/>
          <w:color w:val="000000" w:themeColor="text1"/>
        </w:rPr>
        <w:t>Cancer Res</w:t>
      </w:r>
      <w:r w:rsidRPr="00F04BAD">
        <w:rPr>
          <w:rFonts w:ascii="Book Antiqua" w:eastAsia="Book Antiqua" w:hAnsi="Book Antiqua" w:cs="Book Antiqua"/>
          <w:color w:val="000000" w:themeColor="text1"/>
        </w:rPr>
        <w:t xml:space="preserve"> 2005; </w:t>
      </w:r>
      <w:r w:rsidRPr="00F04BAD">
        <w:rPr>
          <w:rFonts w:ascii="Book Antiqua" w:eastAsia="Book Antiqua" w:hAnsi="Book Antiqua" w:cs="Book Antiqua"/>
          <w:b/>
          <w:bCs/>
          <w:color w:val="000000" w:themeColor="text1"/>
        </w:rPr>
        <w:t>65</w:t>
      </w:r>
      <w:r w:rsidRPr="00F04BAD">
        <w:rPr>
          <w:rFonts w:ascii="Book Antiqua" w:eastAsia="Book Antiqua" w:hAnsi="Book Antiqua" w:cs="Book Antiqua"/>
          <w:color w:val="000000" w:themeColor="text1"/>
        </w:rPr>
        <w:t>: 6321-6329 [PMID: 16024634 DOI: 10.1158/0008-5472.CAN-04-4252]</w:t>
      </w:r>
    </w:p>
    <w:p w14:paraId="52BD752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156 </w:t>
      </w:r>
      <w:r w:rsidRPr="00F04BAD">
        <w:rPr>
          <w:rFonts w:ascii="Book Antiqua" w:eastAsia="Book Antiqua" w:hAnsi="Book Antiqua" w:cs="Book Antiqua"/>
          <w:b/>
          <w:bCs/>
          <w:color w:val="000000" w:themeColor="text1"/>
        </w:rPr>
        <w:t>Insinga A</w:t>
      </w:r>
      <w:r w:rsidRPr="00F04BAD">
        <w:rPr>
          <w:rFonts w:ascii="Book Antiqua" w:eastAsia="Book Antiqua" w:hAnsi="Book Antiqua" w:cs="Book Antiqua"/>
          <w:color w:val="000000" w:themeColor="text1"/>
        </w:rPr>
        <w:t xml:space="preserve">, Monestiroli S, Ronzoni S, Gelmetti V, Marchesi F, Viale A, Altucci L, Nervi C, Minucci S, Pelicci PG. Inhibitors of histone deacetylases induce tumor-selective apoptosis through activation of the death receptor pathway. </w:t>
      </w:r>
      <w:r w:rsidRPr="00F04BAD">
        <w:rPr>
          <w:rFonts w:ascii="Book Antiqua" w:eastAsia="Book Antiqua" w:hAnsi="Book Antiqua" w:cs="Book Antiqua"/>
          <w:i/>
          <w:iCs/>
          <w:color w:val="000000" w:themeColor="text1"/>
        </w:rPr>
        <w:t>Nat Med</w:t>
      </w:r>
      <w:r w:rsidRPr="00F04BAD">
        <w:rPr>
          <w:rFonts w:ascii="Book Antiqua" w:eastAsia="Book Antiqua" w:hAnsi="Book Antiqua" w:cs="Book Antiqua"/>
          <w:color w:val="000000" w:themeColor="text1"/>
        </w:rPr>
        <w:t xml:space="preserve"> 2005; </w:t>
      </w:r>
      <w:r w:rsidRPr="00F04BAD">
        <w:rPr>
          <w:rFonts w:ascii="Book Antiqua" w:eastAsia="Book Antiqua" w:hAnsi="Book Antiqua" w:cs="Book Antiqua"/>
          <w:b/>
          <w:bCs/>
          <w:color w:val="000000" w:themeColor="text1"/>
        </w:rPr>
        <w:t>11</w:t>
      </w:r>
      <w:r w:rsidRPr="00F04BAD">
        <w:rPr>
          <w:rFonts w:ascii="Book Antiqua" w:eastAsia="Book Antiqua" w:hAnsi="Book Antiqua" w:cs="Book Antiqua"/>
          <w:color w:val="000000" w:themeColor="text1"/>
        </w:rPr>
        <w:t>: 71-76 [PMID: 15619634 DOI: 10.1038/nm1160]</w:t>
      </w:r>
    </w:p>
    <w:p w14:paraId="4944BC9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157 </w:t>
      </w:r>
      <w:r w:rsidRPr="00F04BAD">
        <w:rPr>
          <w:rFonts w:ascii="Book Antiqua" w:eastAsia="Book Antiqua" w:hAnsi="Book Antiqua" w:cs="Book Antiqua"/>
          <w:b/>
          <w:bCs/>
          <w:color w:val="000000" w:themeColor="text1"/>
        </w:rPr>
        <w:t>López-Soto A</w:t>
      </w:r>
      <w:r w:rsidRPr="00F04BAD">
        <w:rPr>
          <w:rFonts w:ascii="Book Antiqua" w:eastAsia="Book Antiqua" w:hAnsi="Book Antiqua" w:cs="Book Antiqua"/>
          <w:color w:val="000000" w:themeColor="text1"/>
        </w:rPr>
        <w:t xml:space="preserve">, Folgueras AR, Seto E, Gonzalez S. HDAC3 represses the expression of NKG2D ligands ULBPs in epithelial tumour cells: potential implications for the immunosurveillance of cancer. </w:t>
      </w:r>
      <w:r w:rsidRPr="00F04BAD">
        <w:rPr>
          <w:rFonts w:ascii="Book Antiqua" w:eastAsia="Book Antiqua" w:hAnsi="Book Antiqua" w:cs="Book Antiqua"/>
          <w:i/>
          <w:iCs/>
          <w:color w:val="000000" w:themeColor="text1"/>
        </w:rPr>
        <w:t>Oncogene</w:t>
      </w:r>
      <w:r w:rsidRPr="00F04BAD">
        <w:rPr>
          <w:rFonts w:ascii="Book Antiqua" w:eastAsia="Book Antiqua" w:hAnsi="Book Antiqua" w:cs="Book Antiqua"/>
          <w:color w:val="000000" w:themeColor="text1"/>
        </w:rPr>
        <w:t xml:space="preserve"> 2009; </w:t>
      </w:r>
      <w:r w:rsidRPr="00F04BAD">
        <w:rPr>
          <w:rFonts w:ascii="Book Antiqua" w:eastAsia="Book Antiqua" w:hAnsi="Book Antiqua" w:cs="Book Antiqua"/>
          <w:b/>
          <w:bCs/>
          <w:color w:val="000000" w:themeColor="text1"/>
        </w:rPr>
        <w:t>28</w:t>
      </w:r>
      <w:r w:rsidRPr="00F04BAD">
        <w:rPr>
          <w:rFonts w:ascii="Book Antiqua" w:eastAsia="Book Antiqua" w:hAnsi="Book Antiqua" w:cs="Book Antiqua"/>
          <w:color w:val="000000" w:themeColor="text1"/>
        </w:rPr>
        <w:t>: 2370-2382 [PMID: 19430493 DOI: 10.1038/onc.2009.117]</w:t>
      </w:r>
    </w:p>
    <w:p w14:paraId="6D0337F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158 </w:t>
      </w:r>
      <w:r w:rsidRPr="00F04BAD">
        <w:rPr>
          <w:rFonts w:ascii="Book Antiqua" w:eastAsia="Book Antiqua" w:hAnsi="Book Antiqua" w:cs="Book Antiqua"/>
          <w:b/>
          <w:bCs/>
          <w:color w:val="000000" w:themeColor="text1"/>
        </w:rPr>
        <w:t>Maeda T</w:t>
      </w:r>
      <w:r w:rsidRPr="00F04BAD">
        <w:rPr>
          <w:rFonts w:ascii="Book Antiqua" w:eastAsia="Book Antiqua" w:hAnsi="Book Antiqua" w:cs="Book Antiqua"/>
          <w:color w:val="000000" w:themeColor="text1"/>
        </w:rPr>
        <w:t xml:space="preserve">, Towatari M, Kosugi H, Saito H. Up-regulation of costimulatory/adhesion molecules by histone deacetylase inhibitors in acute myeloid leukemia cells. </w:t>
      </w:r>
      <w:r w:rsidRPr="00F04BAD">
        <w:rPr>
          <w:rFonts w:ascii="Book Antiqua" w:eastAsia="Book Antiqua" w:hAnsi="Book Antiqua" w:cs="Book Antiqua"/>
          <w:i/>
          <w:iCs/>
          <w:color w:val="000000" w:themeColor="text1"/>
        </w:rPr>
        <w:t>Blood</w:t>
      </w:r>
      <w:r w:rsidRPr="00F04BAD">
        <w:rPr>
          <w:rFonts w:ascii="Book Antiqua" w:eastAsia="Book Antiqua" w:hAnsi="Book Antiqua" w:cs="Book Antiqua"/>
          <w:color w:val="000000" w:themeColor="text1"/>
        </w:rPr>
        <w:t xml:space="preserve"> 2000; </w:t>
      </w:r>
      <w:r w:rsidRPr="00F04BAD">
        <w:rPr>
          <w:rFonts w:ascii="Book Antiqua" w:eastAsia="Book Antiqua" w:hAnsi="Book Antiqua" w:cs="Book Antiqua"/>
          <w:b/>
          <w:bCs/>
          <w:color w:val="000000" w:themeColor="text1"/>
        </w:rPr>
        <w:t>96</w:t>
      </w:r>
      <w:r w:rsidRPr="00F04BAD">
        <w:rPr>
          <w:rFonts w:ascii="Book Antiqua" w:eastAsia="Book Antiqua" w:hAnsi="Book Antiqua" w:cs="Book Antiqua"/>
          <w:color w:val="000000" w:themeColor="text1"/>
        </w:rPr>
        <w:t>: 3847-3856 [PMID: 11090069]</w:t>
      </w:r>
    </w:p>
    <w:p w14:paraId="2F8682B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159 </w:t>
      </w:r>
      <w:r w:rsidRPr="00F04BAD">
        <w:rPr>
          <w:rFonts w:ascii="Book Antiqua" w:eastAsia="Book Antiqua" w:hAnsi="Book Antiqua" w:cs="Book Antiqua"/>
          <w:b/>
          <w:bCs/>
          <w:color w:val="000000" w:themeColor="text1"/>
        </w:rPr>
        <w:t>Magner WJ</w:t>
      </w:r>
      <w:r w:rsidRPr="00F04BAD">
        <w:rPr>
          <w:rFonts w:ascii="Book Antiqua" w:eastAsia="Book Antiqua" w:hAnsi="Book Antiqua" w:cs="Book Antiqua"/>
          <w:color w:val="000000" w:themeColor="text1"/>
        </w:rPr>
        <w:t xml:space="preserve">, Kazim AL, Stewart C, Romano MA, Catalano G, Grande C, Keiser N, Santaniello F, Tomasi TB. Activation of MHC class I, II, and CD40 gene expression by histone deacetylase inhibitors. </w:t>
      </w:r>
      <w:r w:rsidRPr="00F04BAD">
        <w:rPr>
          <w:rFonts w:ascii="Book Antiqua" w:eastAsia="Book Antiqua" w:hAnsi="Book Antiqua" w:cs="Book Antiqua"/>
          <w:i/>
          <w:iCs/>
          <w:color w:val="000000" w:themeColor="text1"/>
        </w:rPr>
        <w:t>J Immunol</w:t>
      </w:r>
      <w:r w:rsidRPr="00F04BAD">
        <w:rPr>
          <w:rFonts w:ascii="Book Antiqua" w:eastAsia="Book Antiqua" w:hAnsi="Book Antiqua" w:cs="Book Antiqua"/>
          <w:color w:val="000000" w:themeColor="text1"/>
        </w:rPr>
        <w:t xml:space="preserve"> 2000; </w:t>
      </w:r>
      <w:r w:rsidRPr="00F04BAD">
        <w:rPr>
          <w:rFonts w:ascii="Book Antiqua" w:eastAsia="Book Antiqua" w:hAnsi="Book Antiqua" w:cs="Book Antiqua"/>
          <w:b/>
          <w:bCs/>
          <w:color w:val="000000" w:themeColor="text1"/>
        </w:rPr>
        <w:t>165</w:t>
      </w:r>
      <w:r w:rsidRPr="00F04BAD">
        <w:rPr>
          <w:rFonts w:ascii="Book Antiqua" w:eastAsia="Book Antiqua" w:hAnsi="Book Antiqua" w:cs="Book Antiqua"/>
          <w:color w:val="000000" w:themeColor="text1"/>
        </w:rPr>
        <w:t>: 7017-7024 [PMID: 11120829 DOI: 10.4049/jimmunol.165.12.7017]</w:t>
      </w:r>
    </w:p>
    <w:p w14:paraId="5650FEF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160 </w:t>
      </w:r>
      <w:r w:rsidRPr="00F04BAD">
        <w:rPr>
          <w:rFonts w:ascii="Book Antiqua" w:eastAsia="Book Antiqua" w:hAnsi="Book Antiqua" w:cs="Book Antiqua"/>
          <w:b/>
          <w:bCs/>
          <w:color w:val="000000" w:themeColor="text1"/>
        </w:rPr>
        <w:t>Nakata S</w:t>
      </w:r>
      <w:r w:rsidRPr="00F04BAD">
        <w:rPr>
          <w:rFonts w:ascii="Book Antiqua" w:eastAsia="Book Antiqua" w:hAnsi="Book Antiqua" w:cs="Book Antiqua"/>
          <w:color w:val="000000" w:themeColor="text1"/>
        </w:rPr>
        <w:t xml:space="preserve">, Yoshida T, Horinaka M, Shiraishi T, Wakada M, Sakai T. Histone deacetylase inhibitors upregulate death receptor 5/TRAIL-R2 and sensitize apoptosis induced by TRAIL/APO2-L in human malignant tumor cells. </w:t>
      </w:r>
      <w:r w:rsidRPr="00F04BAD">
        <w:rPr>
          <w:rFonts w:ascii="Book Antiqua" w:eastAsia="Book Antiqua" w:hAnsi="Book Antiqua" w:cs="Book Antiqua"/>
          <w:i/>
          <w:iCs/>
          <w:color w:val="000000" w:themeColor="text1"/>
        </w:rPr>
        <w:t>Oncogene</w:t>
      </w:r>
      <w:r w:rsidRPr="00F04BAD">
        <w:rPr>
          <w:rFonts w:ascii="Book Antiqua" w:eastAsia="Book Antiqua" w:hAnsi="Book Antiqua" w:cs="Book Antiqua"/>
          <w:color w:val="000000" w:themeColor="text1"/>
        </w:rPr>
        <w:t xml:space="preserve"> 2004; </w:t>
      </w:r>
      <w:r w:rsidRPr="00F04BAD">
        <w:rPr>
          <w:rFonts w:ascii="Book Antiqua" w:eastAsia="Book Antiqua" w:hAnsi="Book Antiqua" w:cs="Book Antiqua"/>
          <w:b/>
          <w:bCs/>
          <w:color w:val="000000" w:themeColor="text1"/>
        </w:rPr>
        <w:t>23</w:t>
      </w:r>
      <w:r w:rsidRPr="00F04BAD">
        <w:rPr>
          <w:rFonts w:ascii="Book Antiqua" w:eastAsia="Book Antiqua" w:hAnsi="Book Antiqua" w:cs="Book Antiqua"/>
          <w:color w:val="000000" w:themeColor="text1"/>
        </w:rPr>
        <w:t>: 6261-6271 [PMID: 15208660 DOI: 10.1038/sj.onc.1207830]</w:t>
      </w:r>
    </w:p>
    <w:p w14:paraId="7C533AA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161 </w:t>
      </w:r>
      <w:r w:rsidRPr="00F04BAD">
        <w:rPr>
          <w:rFonts w:ascii="Book Antiqua" w:eastAsia="Book Antiqua" w:hAnsi="Book Antiqua" w:cs="Book Antiqua"/>
          <w:b/>
          <w:bCs/>
          <w:color w:val="000000" w:themeColor="text1"/>
        </w:rPr>
        <w:t>Wang LX</w:t>
      </w:r>
      <w:r w:rsidRPr="00F04BAD">
        <w:rPr>
          <w:rFonts w:ascii="Book Antiqua" w:eastAsia="Book Antiqua" w:hAnsi="Book Antiqua" w:cs="Book Antiqua"/>
          <w:color w:val="000000" w:themeColor="text1"/>
        </w:rPr>
        <w:t xml:space="preserve">, Mei ZY, Zhou JH, Yao YS, Li YH, Xu YH, Li JX, Gao XN, Zhou MH, Jiang MM, Gao L, Ding Y, Lu XC, Shi JL, Luo XF, Wang J, Wang LL, Qu C, Bai XF, Yu L. Low dose decitabine treatment induces CD80 expression in cancer cells and stimulates tumor specific cytotoxic T lymphocyte responses. </w:t>
      </w:r>
      <w:r w:rsidRPr="00F04BAD">
        <w:rPr>
          <w:rFonts w:ascii="Book Antiqua" w:eastAsia="Book Antiqua" w:hAnsi="Book Antiqua" w:cs="Book Antiqua"/>
          <w:i/>
          <w:iCs/>
          <w:color w:val="000000" w:themeColor="text1"/>
        </w:rPr>
        <w:t>PLoS One</w:t>
      </w:r>
      <w:r w:rsidRPr="00F04BAD">
        <w:rPr>
          <w:rFonts w:ascii="Book Antiqua" w:eastAsia="Book Antiqua" w:hAnsi="Book Antiqua" w:cs="Book Antiqua"/>
          <w:color w:val="000000" w:themeColor="text1"/>
        </w:rPr>
        <w:t xml:space="preserve"> 2013; </w:t>
      </w:r>
      <w:r w:rsidRPr="00F04BAD">
        <w:rPr>
          <w:rFonts w:ascii="Book Antiqua" w:eastAsia="Book Antiqua" w:hAnsi="Book Antiqua" w:cs="Book Antiqua"/>
          <w:b/>
          <w:bCs/>
          <w:color w:val="000000" w:themeColor="text1"/>
        </w:rPr>
        <w:t>8</w:t>
      </w:r>
      <w:r w:rsidRPr="00F04BAD">
        <w:rPr>
          <w:rFonts w:ascii="Book Antiqua" w:eastAsia="Book Antiqua" w:hAnsi="Book Antiqua" w:cs="Book Antiqua"/>
          <w:color w:val="000000" w:themeColor="text1"/>
        </w:rPr>
        <w:t>: e62924 [PMID: 23671644 DOI: 10.1371/journal.pone.0062924]</w:t>
      </w:r>
    </w:p>
    <w:p w14:paraId="1FFEE7F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162 </w:t>
      </w:r>
      <w:r w:rsidRPr="00F04BAD">
        <w:rPr>
          <w:rFonts w:ascii="Book Antiqua" w:eastAsia="Book Antiqua" w:hAnsi="Book Antiqua" w:cs="Book Antiqua"/>
          <w:b/>
          <w:bCs/>
          <w:color w:val="000000" w:themeColor="text1"/>
        </w:rPr>
        <w:t>Woods DM</w:t>
      </w:r>
      <w:r w:rsidRPr="00F04BAD">
        <w:rPr>
          <w:rFonts w:ascii="Book Antiqua" w:eastAsia="Book Antiqua" w:hAnsi="Book Antiqua" w:cs="Book Antiqua"/>
          <w:color w:val="000000" w:themeColor="text1"/>
        </w:rPr>
        <w:t xml:space="preserve">, Sodré AL, Villagra A, Sarnaik A, Sotomayor EM, Weber J. HDAC Inhibition Upregulates PD-1 Ligands in Melanoma and Augments Immunotherapy with PD-1 Blockade. </w:t>
      </w:r>
      <w:r w:rsidRPr="00F04BAD">
        <w:rPr>
          <w:rFonts w:ascii="Book Antiqua" w:eastAsia="Book Antiqua" w:hAnsi="Book Antiqua" w:cs="Book Antiqua"/>
          <w:i/>
          <w:iCs/>
          <w:color w:val="000000" w:themeColor="text1"/>
        </w:rPr>
        <w:t>Cancer Immunol Res</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3</w:t>
      </w:r>
      <w:r w:rsidRPr="00F04BAD">
        <w:rPr>
          <w:rFonts w:ascii="Book Antiqua" w:eastAsia="Book Antiqua" w:hAnsi="Book Antiqua" w:cs="Book Antiqua"/>
          <w:color w:val="000000" w:themeColor="text1"/>
        </w:rPr>
        <w:t>: 1375-1385 [PMID: 26297712 DOI: 10.1158/2326-6066.CIR-15-0077-T]</w:t>
      </w:r>
    </w:p>
    <w:p w14:paraId="11160F4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highlight w:val="yellow"/>
        </w:rPr>
        <w:t xml:space="preserve">163 </w:t>
      </w:r>
      <w:r w:rsidR="00B17465" w:rsidRPr="00F04BAD">
        <w:rPr>
          <w:rFonts w:ascii="Book Antiqua" w:eastAsia="Book Antiqua" w:hAnsi="Book Antiqua" w:cs="Book Antiqua"/>
          <w:b/>
          <w:bCs/>
          <w:color w:val="000000" w:themeColor="text1"/>
          <w:highlight w:val="yellow"/>
        </w:rPr>
        <w:t>Goswami S</w:t>
      </w:r>
      <w:r w:rsidRPr="00F04BAD">
        <w:rPr>
          <w:rFonts w:ascii="Book Antiqua" w:eastAsia="Book Antiqua" w:hAnsi="Book Antiqua" w:cs="Book Antiqua"/>
          <w:b/>
          <w:bCs/>
          <w:color w:val="000000" w:themeColor="text1"/>
          <w:highlight w:val="yellow"/>
        </w:rPr>
        <w:t>CJ</w:t>
      </w:r>
      <w:r w:rsidRPr="00F04BAD">
        <w:rPr>
          <w:rFonts w:ascii="Book Antiqua" w:eastAsia="Book Antiqua" w:hAnsi="Book Antiqua" w:cs="Book Antiqua"/>
          <w:bCs/>
          <w:color w:val="000000" w:themeColor="text1"/>
          <w:highlight w:val="yellow"/>
        </w:rPr>
        <w:t>,</w:t>
      </w:r>
      <w:r w:rsidRPr="00F04BAD">
        <w:rPr>
          <w:rFonts w:ascii="Book Antiqua" w:eastAsia="Book Antiqua" w:hAnsi="Book Antiqua" w:cs="Book Antiqua"/>
          <w:color w:val="000000" w:themeColor="text1"/>
          <w:highlight w:val="yellow"/>
        </w:rPr>
        <w:t xml:space="preserve"> Zhao H, Zhang X, Sharma P. Epigenetic changes in T cells in response to immune checkpoint blockade [abstract]. Proceedings of the 107th Annual Meeting of the American Association for Cancer Research</w:t>
      </w:r>
      <w:r w:rsidR="00B17465" w:rsidRPr="00F04BAD">
        <w:rPr>
          <w:rFonts w:ascii="Book Antiqua" w:hAnsi="Book Antiqua" w:cs="Book Antiqua"/>
          <w:color w:val="000000" w:themeColor="text1"/>
          <w:highlight w:val="yellow"/>
          <w:lang w:eastAsia="zh-CN"/>
        </w:rPr>
        <w:t>; 2016 April 16-20; New Orleans, LA, USA</w:t>
      </w:r>
      <w:r w:rsidRPr="00F04BAD">
        <w:rPr>
          <w:rFonts w:ascii="Book Antiqua" w:eastAsia="Book Antiqua" w:hAnsi="Book Antiqua" w:cs="Book Antiqua"/>
          <w:color w:val="000000" w:themeColor="text1"/>
          <w:highlight w:val="yellow"/>
        </w:rPr>
        <w:t>. Cancer Res</w:t>
      </w:r>
      <w:r w:rsidR="00B17465" w:rsidRPr="00F04BAD">
        <w:rPr>
          <w:rFonts w:ascii="Book Antiqua" w:hAnsi="Book Antiqua" w:cs="Book Antiqua"/>
          <w:color w:val="000000" w:themeColor="text1"/>
          <w:highlight w:val="yellow"/>
          <w:lang w:eastAsia="zh-CN"/>
        </w:rPr>
        <w:t>,</w:t>
      </w:r>
      <w:r w:rsidRPr="00F04BAD">
        <w:rPr>
          <w:rFonts w:ascii="Book Antiqua" w:eastAsia="Book Antiqua" w:hAnsi="Book Antiqua" w:cs="Book Antiqua"/>
          <w:color w:val="000000" w:themeColor="text1"/>
          <w:highlight w:val="yellow"/>
        </w:rPr>
        <w:t xml:space="preserve"> 2016</w:t>
      </w:r>
      <w:r w:rsidR="00B17465" w:rsidRPr="00F04BAD">
        <w:rPr>
          <w:rFonts w:ascii="Book Antiqua" w:hAnsi="Book Antiqua" w:cs="Book Antiqua"/>
          <w:color w:val="000000" w:themeColor="text1"/>
          <w:highlight w:val="yellow"/>
          <w:lang w:eastAsia="zh-CN"/>
        </w:rPr>
        <w:t xml:space="preserve">: </w:t>
      </w:r>
      <w:r w:rsidRPr="00F04BAD">
        <w:rPr>
          <w:rFonts w:ascii="Book Antiqua" w:eastAsia="Book Antiqua" w:hAnsi="Book Antiqua" w:cs="Book Antiqua"/>
          <w:color w:val="000000" w:themeColor="text1"/>
          <w:highlight w:val="yellow"/>
        </w:rPr>
        <w:t>76</w:t>
      </w:r>
    </w:p>
    <w:p w14:paraId="1655E0A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164 </w:t>
      </w:r>
      <w:r w:rsidRPr="00F04BAD">
        <w:rPr>
          <w:rFonts w:ascii="Book Antiqua" w:eastAsia="Book Antiqua" w:hAnsi="Book Antiqua" w:cs="Book Antiqua"/>
          <w:b/>
          <w:bCs/>
          <w:color w:val="000000" w:themeColor="text1"/>
        </w:rPr>
        <w:t>Goswami S</w:t>
      </w:r>
      <w:r w:rsidRPr="00F04BAD">
        <w:rPr>
          <w:rFonts w:ascii="Book Antiqua" w:eastAsia="Book Antiqua" w:hAnsi="Book Antiqua" w:cs="Book Antiqua"/>
          <w:color w:val="000000" w:themeColor="text1"/>
        </w:rPr>
        <w:t xml:space="preserve">, Apostolou I, Zhang J, Skepner J, Anandhan S, Zhang X, Xiong L, Trojer P, Aparicio A, Subudhi SK, Allison JP, Zhao H, Sharma P. Modulation of EZH2 expression in T cells improves efficacy of anti-CTLA-4 therapy. </w:t>
      </w:r>
      <w:r w:rsidRPr="00F04BAD">
        <w:rPr>
          <w:rFonts w:ascii="Book Antiqua" w:eastAsia="Book Antiqua" w:hAnsi="Book Antiqua" w:cs="Book Antiqua"/>
          <w:i/>
          <w:iCs/>
          <w:color w:val="000000" w:themeColor="text1"/>
        </w:rPr>
        <w:t>J Clin Invest</w:t>
      </w:r>
      <w:r w:rsidRPr="00F04BAD">
        <w:rPr>
          <w:rFonts w:ascii="Book Antiqua" w:eastAsia="Book Antiqua" w:hAnsi="Book Antiqua" w:cs="Book Antiqua"/>
          <w:color w:val="000000" w:themeColor="text1"/>
        </w:rPr>
        <w:t xml:space="preserve"> 2018; </w:t>
      </w:r>
      <w:r w:rsidRPr="00F04BAD">
        <w:rPr>
          <w:rFonts w:ascii="Book Antiqua" w:eastAsia="Book Antiqua" w:hAnsi="Book Antiqua" w:cs="Book Antiqua"/>
          <w:b/>
          <w:bCs/>
          <w:color w:val="000000" w:themeColor="text1"/>
        </w:rPr>
        <w:t>128</w:t>
      </w:r>
      <w:r w:rsidRPr="00F04BAD">
        <w:rPr>
          <w:rFonts w:ascii="Book Antiqua" w:eastAsia="Book Antiqua" w:hAnsi="Book Antiqua" w:cs="Book Antiqua"/>
          <w:color w:val="000000" w:themeColor="text1"/>
        </w:rPr>
        <w:t>: 3813-3818 [PMID: 29905573 DOI: 10.1172/JCI99760]</w:t>
      </w:r>
    </w:p>
    <w:p w14:paraId="77974A4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165 </w:t>
      </w:r>
      <w:r w:rsidRPr="00F04BAD">
        <w:rPr>
          <w:rFonts w:ascii="Book Antiqua" w:eastAsia="Book Antiqua" w:hAnsi="Book Antiqua" w:cs="Book Antiqua"/>
          <w:b/>
          <w:bCs/>
          <w:color w:val="000000" w:themeColor="text1"/>
        </w:rPr>
        <w:t>Zhou L</w:t>
      </w:r>
      <w:r w:rsidRPr="00F04BAD">
        <w:rPr>
          <w:rFonts w:ascii="Book Antiqua" w:eastAsia="Book Antiqua" w:hAnsi="Book Antiqua" w:cs="Book Antiqua"/>
          <w:color w:val="000000" w:themeColor="text1"/>
        </w:rPr>
        <w:t xml:space="preserve">, Mudianto T, Ma X, Riley R, Uppaluri R. Targeting EZH2 Enhances Antigen Presentation, Antitumor Immunity, and Circumvents Anti-PD-1 Resistance in Head and Neck Cancer. </w:t>
      </w:r>
      <w:r w:rsidRPr="00F04BAD">
        <w:rPr>
          <w:rFonts w:ascii="Book Antiqua" w:eastAsia="Book Antiqua" w:hAnsi="Book Antiqua" w:cs="Book Antiqua"/>
          <w:i/>
          <w:iCs/>
          <w:color w:val="000000" w:themeColor="text1"/>
        </w:rPr>
        <w:t>Clin Cancer Res</w:t>
      </w:r>
      <w:r w:rsidRPr="00F04BAD">
        <w:rPr>
          <w:rFonts w:ascii="Book Antiqua" w:eastAsia="Book Antiqua" w:hAnsi="Book Antiqua" w:cs="Book Antiqua"/>
          <w:color w:val="000000" w:themeColor="text1"/>
        </w:rPr>
        <w:t xml:space="preserve"> 2020; </w:t>
      </w:r>
      <w:r w:rsidRPr="00F04BAD">
        <w:rPr>
          <w:rFonts w:ascii="Book Antiqua" w:eastAsia="Book Antiqua" w:hAnsi="Book Antiqua" w:cs="Book Antiqua"/>
          <w:b/>
          <w:bCs/>
          <w:color w:val="000000" w:themeColor="text1"/>
        </w:rPr>
        <w:t>26</w:t>
      </w:r>
      <w:r w:rsidRPr="00F04BAD">
        <w:rPr>
          <w:rFonts w:ascii="Book Antiqua" w:eastAsia="Book Antiqua" w:hAnsi="Book Antiqua" w:cs="Book Antiqua"/>
          <w:color w:val="000000" w:themeColor="text1"/>
        </w:rPr>
        <w:t>: 290-300 [PMID: 31562203 DOI: 10.1158/1078-0432.CCR-19-1351]</w:t>
      </w:r>
    </w:p>
    <w:p w14:paraId="0209F5DE"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166 </w:t>
      </w:r>
      <w:r w:rsidRPr="00F04BAD">
        <w:rPr>
          <w:rFonts w:ascii="Book Antiqua" w:eastAsia="Book Antiqua" w:hAnsi="Book Antiqua" w:cs="Book Antiqua"/>
          <w:b/>
          <w:bCs/>
          <w:color w:val="000000" w:themeColor="text1"/>
        </w:rPr>
        <w:t>Covre A</w:t>
      </w:r>
      <w:r w:rsidRPr="00F04BAD">
        <w:rPr>
          <w:rFonts w:ascii="Book Antiqua" w:eastAsia="Book Antiqua" w:hAnsi="Book Antiqua" w:cs="Book Antiqua"/>
          <w:color w:val="000000" w:themeColor="text1"/>
        </w:rPr>
        <w:t xml:space="preserve">, Coral S, Nicolay H, Parisi G, Fazio C, Colizzi F, Fratta E, Di Giacomo AM, Sigalotti L, Natali PG, Maio M. Antitumor activity of epigenetic immunomodulation combined with CTLA-4 blockade in syngeneic mouse models. </w:t>
      </w:r>
      <w:r w:rsidRPr="00F04BAD">
        <w:rPr>
          <w:rFonts w:ascii="Book Antiqua" w:eastAsia="Book Antiqua" w:hAnsi="Book Antiqua" w:cs="Book Antiqua"/>
          <w:i/>
          <w:iCs/>
          <w:color w:val="000000" w:themeColor="text1"/>
        </w:rPr>
        <w:t>Oncoimmunology</w:t>
      </w:r>
      <w:r w:rsidRPr="00F04BAD">
        <w:rPr>
          <w:rFonts w:ascii="Book Antiqua" w:eastAsia="Book Antiqua" w:hAnsi="Book Antiqua" w:cs="Book Antiqua"/>
          <w:color w:val="000000" w:themeColor="text1"/>
        </w:rPr>
        <w:t xml:space="preserve"> 2015; </w:t>
      </w:r>
      <w:r w:rsidRPr="00F04BAD">
        <w:rPr>
          <w:rFonts w:ascii="Book Antiqua" w:eastAsia="Book Antiqua" w:hAnsi="Book Antiqua" w:cs="Book Antiqua"/>
          <w:b/>
          <w:bCs/>
          <w:color w:val="000000" w:themeColor="text1"/>
        </w:rPr>
        <w:t>4</w:t>
      </w:r>
      <w:r w:rsidRPr="00F04BAD">
        <w:rPr>
          <w:rFonts w:ascii="Book Antiqua" w:eastAsia="Book Antiqua" w:hAnsi="Book Antiqua" w:cs="Book Antiqua"/>
          <w:color w:val="000000" w:themeColor="text1"/>
        </w:rPr>
        <w:t>: e1019978 [PMID: 26405573 DOI: 10.1080/2162402X.2015.1019978]</w:t>
      </w:r>
    </w:p>
    <w:p w14:paraId="5329F839"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167 </w:t>
      </w:r>
      <w:r w:rsidRPr="00F04BAD">
        <w:rPr>
          <w:rFonts w:ascii="Book Antiqua" w:eastAsia="Book Antiqua" w:hAnsi="Book Antiqua" w:cs="Book Antiqua"/>
          <w:b/>
          <w:bCs/>
          <w:color w:val="000000" w:themeColor="text1"/>
        </w:rPr>
        <w:t>Kim K</w:t>
      </w:r>
      <w:r w:rsidRPr="00F04BAD">
        <w:rPr>
          <w:rFonts w:ascii="Book Antiqua" w:eastAsia="Book Antiqua" w:hAnsi="Book Antiqua" w:cs="Book Antiqua"/>
          <w:color w:val="000000" w:themeColor="text1"/>
        </w:rPr>
        <w:t xml:space="preserve">, Skora AD, Li Z, Liu Q, Tam AJ, Blosser RL, Diaz LA Jr, Papadopoulos N, Kinzler KW, Vogelstein B, Zhou S. Eradication of metastatic mouse cancers resistant to immune checkpoint blockade by suppression of myeloid-derived cells. </w:t>
      </w:r>
      <w:r w:rsidRPr="00F04BAD">
        <w:rPr>
          <w:rFonts w:ascii="Book Antiqua" w:eastAsia="Book Antiqua" w:hAnsi="Book Antiqua" w:cs="Book Antiqua"/>
          <w:i/>
          <w:iCs/>
          <w:color w:val="000000" w:themeColor="text1"/>
        </w:rPr>
        <w:t>Proc Natl Acad Sci U S A</w:t>
      </w:r>
      <w:r w:rsidRPr="00F04BAD">
        <w:rPr>
          <w:rFonts w:ascii="Book Antiqua" w:eastAsia="Book Antiqua" w:hAnsi="Book Antiqua" w:cs="Book Antiqua"/>
          <w:color w:val="000000" w:themeColor="text1"/>
        </w:rPr>
        <w:t xml:space="preserve"> 2014; </w:t>
      </w:r>
      <w:r w:rsidRPr="00F04BAD">
        <w:rPr>
          <w:rFonts w:ascii="Book Antiqua" w:eastAsia="Book Antiqua" w:hAnsi="Book Antiqua" w:cs="Book Antiqua"/>
          <w:b/>
          <w:bCs/>
          <w:color w:val="000000" w:themeColor="text1"/>
        </w:rPr>
        <w:t>111</w:t>
      </w:r>
      <w:r w:rsidRPr="00F04BAD">
        <w:rPr>
          <w:rFonts w:ascii="Book Antiqua" w:eastAsia="Book Antiqua" w:hAnsi="Book Antiqua" w:cs="Book Antiqua"/>
          <w:color w:val="000000" w:themeColor="text1"/>
        </w:rPr>
        <w:t>: 11774-11779 [PMID: 25071169 DOI: 10.1073/pnas.1410626111]</w:t>
      </w:r>
    </w:p>
    <w:p w14:paraId="0C2493D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168 </w:t>
      </w:r>
      <w:r w:rsidRPr="00F04BAD">
        <w:rPr>
          <w:rFonts w:ascii="Book Antiqua" w:eastAsia="Book Antiqua" w:hAnsi="Book Antiqua" w:cs="Book Antiqua"/>
          <w:b/>
          <w:bCs/>
          <w:color w:val="000000" w:themeColor="text1"/>
        </w:rPr>
        <w:t>Zhang X</w:t>
      </w:r>
      <w:r w:rsidRPr="00F04BAD">
        <w:rPr>
          <w:rFonts w:ascii="Book Antiqua" w:eastAsia="Book Antiqua" w:hAnsi="Book Antiqua" w:cs="Book Antiqua"/>
          <w:color w:val="000000" w:themeColor="text1"/>
        </w:rPr>
        <w:t xml:space="preserve">, Fu X, Li T, Yan H. The prognostic value of myeloid derived suppressor cell level in hepatocellular carcinoma: A systematic review and meta-analysis. </w:t>
      </w:r>
      <w:r w:rsidRPr="00F04BAD">
        <w:rPr>
          <w:rFonts w:ascii="Book Antiqua" w:eastAsia="Book Antiqua" w:hAnsi="Book Antiqua" w:cs="Book Antiqua"/>
          <w:i/>
          <w:iCs/>
          <w:color w:val="000000" w:themeColor="text1"/>
        </w:rPr>
        <w:t>PLoS One</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14</w:t>
      </w:r>
      <w:r w:rsidRPr="00F04BAD">
        <w:rPr>
          <w:rFonts w:ascii="Book Antiqua" w:eastAsia="Book Antiqua" w:hAnsi="Book Antiqua" w:cs="Book Antiqua"/>
          <w:color w:val="000000" w:themeColor="text1"/>
        </w:rPr>
        <w:t>: e0225327 [PMID: 31790437 DOI: 10.1371/journal.pone.0225327]</w:t>
      </w:r>
    </w:p>
    <w:p w14:paraId="7248E750"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169 </w:t>
      </w:r>
      <w:r w:rsidRPr="00F04BAD">
        <w:rPr>
          <w:rFonts w:ascii="Book Antiqua" w:eastAsia="Book Antiqua" w:hAnsi="Book Antiqua" w:cs="Book Antiqua"/>
          <w:b/>
          <w:bCs/>
          <w:color w:val="000000" w:themeColor="text1"/>
        </w:rPr>
        <w:t>Hong YK</w:t>
      </w:r>
      <w:r w:rsidRPr="00F04BAD">
        <w:rPr>
          <w:rFonts w:ascii="Book Antiqua" w:eastAsia="Book Antiqua" w:hAnsi="Book Antiqua" w:cs="Book Antiqua"/>
          <w:color w:val="000000" w:themeColor="text1"/>
        </w:rPr>
        <w:t xml:space="preserve">, Li Y, Pandit H, Li S, Pulliam Z, Zheng Q, Yu Y, Martin RCG. Epigenetic modulation enhances immunotherapy for hepatocellular carcinoma. </w:t>
      </w:r>
      <w:r w:rsidRPr="00F04BAD">
        <w:rPr>
          <w:rFonts w:ascii="Book Antiqua" w:eastAsia="Book Antiqua" w:hAnsi="Book Antiqua" w:cs="Book Antiqua"/>
          <w:i/>
          <w:iCs/>
          <w:color w:val="000000" w:themeColor="text1"/>
        </w:rPr>
        <w:t>Cell Immunol</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336</w:t>
      </w:r>
      <w:r w:rsidRPr="00F04BAD">
        <w:rPr>
          <w:rFonts w:ascii="Book Antiqua" w:eastAsia="Book Antiqua" w:hAnsi="Book Antiqua" w:cs="Book Antiqua"/>
          <w:color w:val="000000" w:themeColor="text1"/>
        </w:rPr>
        <w:t>: 66-74 [PMID: 30626493 DOI: 10.1016/j.cellimm.2018.12.010]</w:t>
      </w:r>
    </w:p>
    <w:p w14:paraId="71DECF1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 xml:space="preserve">170 </w:t>
      </w:r>
      <w:r w:rsidRPr="00F04BAD">
        <w:rPr>
          <w:rFonts w:ascii="Book Antiqua" w:eastAsia="Book Antiqua" w:hAnsi="Book Antiqua" w:cs="Book Antiqua"/>
          <w:b/>
          <w:bCs/>
          <w:color w:val="000000" w:themeColor="text1"/>
        </w:rPr>
        <w:t>Llopiz D</w:t>
      </w:r>
      <w:r w:rsidRPr="00F04BAD">
        <w:rPr>
          <w:rFonts w:ascii="Book Antiqua" w:eastAsia="Book Antiqua" w:hAnsi="Book Antiqua" w:cs="Book Antiqua"/>
          <w:color w:val="000000" w:themeColor="text1"/>
        </w:rPr>
        <w:t xml:space="preserve">, Ruiz M, Villanueva L, Iglesias T, Silva L, Egea J, Lasarte JJ, Pivette P, Trochon-Joseph V, Vasseur B, Dixon G, Sangro B, Sarobe P. Enhanced anti-tumor efficacy of checkpoint inhibitors in combination with the histone deacetylase inhibitor Belinostat in a murine hepatocellular carcinoma model. </w:t>
      </w:r>
      <w:r w:rsidRPr="00F04BAD">
        <w:rPr>
          <w:rFonts w:ascii="Book Antiqua" w:eastAsia="Book Antiqua" w:hAnsi="Book Antiqua" w:cs="Book Antiqua"/>
          <w:i/>
          <w:iCs/>
          <w:color w:val="000000" w:themeColor="text1"/>
        </w:rPr>
        <w:t>Cancer Immunol Immunother</w:t>
      </w:r>
      <w:r w:rsidRPr="00F04BAD">
        <w:rPr>
          <w:rFonts w:ascii="Book Antiqua" w:eastAsia="Book Antiqua" w:hAnsi="Book Antiqua" w:cs="Book Antiqua"/>
          <w:color w:val="000000" w:themeColor="text1"/>
        </w:rPr>
        <w:t xml:space="preserve"> 2019; </w:t>
      </w:r>
      <w:r w:rsidRPr="00F04BAD">
        <w:rPr>
          <w:rFonts w:ascii="Book Antiqua" w:eastAsia="Book Antiqua" w:hAnsi="Book Antiqua" w:cs="Book Antiqua"/>
          <w:b/>
          <w:bCs/>
          <w:color w:val="000000" w:themeColor="text1"/>
        </w:rPr>
        <w:t>68</w:t>
      </w:r>
      <w:r w:rsidRPr="00F04BAD">
        <w:rPr>
          <w:rFonts w:ascii="Book Antiqua" w:eastAsia="Book Antiqua" w:hAnsi="Book Antiqua" w:cs="Book Antiqua"/>
          <w:color w:val="000000" w:themeColor="text1"/>
        </w:rPr>
        <w:t>: 379-393 [PMID: 30547218 DOI: 10.1007/s00262-018-2283-0]</w:t>
      </w:r>
    </w:p>
    <w:bookmarkEnd w:id="5"/>
    <w:p w14:paraId="0BBB75E8" w14:textId="77777777" w:rsidR="00A77B3E" w:rsidRPr="00F04BAD" w:rsidRDefault="00A77B3E">
      <w:pPr>
        <w:spacing w:line="360" w:lineRule="auto"/>
        <w:jc w:val="both"/>
        <w:rPr>
          <w:rFonts w:ascii="Book Antiqua" w:hAnsi="Book Antiqua"/>
          <w:color w:val="000000" w:themeColor="text1"/>
        </w:rPr>
        <w:sectPr w:rsidR="00A77B3E" w:rsidRPr="00F04BAD">
          <w:pgSz w:w="12240" w:h="15840"/>
          <w:pgMar w:top="1440" w:right="1440" w:bottom="1440" w:left="1440" w:header="720" w:footer="720" w:gutter="0"/>
          <w:cols w:space="720"/>
          <w:docGrid w:linePitch="360"/>
        </w:sectPr>
      </w:pPr>
    </w:p>
    <w:p w14:paraId="31A702F3"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Footnotes</w:t>
      </w:r>
    </w:p>
    <w:p w14:paraId="6F28EA8F" w14:textId="08D8D5F4"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Conflict-of-interest statement: </w:t>
      </w:r>
      <w:r w:rsidRPr="00F04BAD">
        <w:rPr>
          <w:rFonts w:ascii="Book Antiqua" w:eastAsia="Book Antiqua" w:hAnsi="Book Antiqua" w:cs="Book Antiqua"/>
          <w:color w:val="000000" w:themeColor="text1"/>
        </w:rPr>
        <w:t>Authors declare no conflict</w:t>
      </w:r>
      <w:r w:rsidR="00306AA0" w:rsidRPr="00FD5C87">
        <w:rPr>
          <w:rFonts w:ascii="Book Antiqua" w:eastAsia="Book Antiqua" w:hAnsi="Book Antiqua" w:cs="Book Antiqua"/>
          <w:color w:val="000000" w:themeColor="text1"/>
        </w:rPr>
        <w:t>s</w:t>
      </w:r>
      <w:r w:rsidRPr="00F04BAD">
        <w:rPr>
          <w:rFonts w:ascii="Book Antiqua" w:eastAsia="Book Antiqua" w:hAnsi="Book Antiqua" w:cs="Book Antiqua"/>
          <w:color w:val="000000" w:themeColor="text1"/>
        </w:rPr>
        <w:t xml:space="preserve"> of interest for this article.</w:t>
      </w:r>
    </w:p>
    <w:p w14:paraId="0FBB5854" w14:textId="77777777" w:rsidR="00A77B3E" w:rsidRPr="00F04BAD" w:rsidRDefault="00A77B3E">
      <w:pPr>
        <w:spacing w:line="360" w:lineRule="auto"/>
        <w:jc w:val="both"/>
        <w:rPr>
          <w:rFonts w:ascii="Book Antiqua" w:hAnsi="Book Antiqua"/>
          <w:color w:val="000000" w:themeColor="text1"/>
        </w:rPr>
      </w:pPr>
    </w:p>
    <w:p w14:paraId="2138430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 xml:space="preserve">Open-Access: </w:t>
      </w:r>
      <w:r w:rsidRPr="00F04BAD">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70BD23" w14:textId="77777777" w:rsidR="00A77B3E" w:rsidRPr="00F04BAD" w:rsidRDefault="00A77B3E">
      <w:pPr>
        <w:spacing w:line="360" w:lineRule="auto"/>
        <w:jc w:val="both"/>
        <w:rPr>
          <w:rFonts w:ascii="Book Antiqua" w:hAnsi="Book Antiqua"/>
          <w:color w:val="000000" w:themeColor="text1"/>
        </w:rPr>
      </w:pPr>
    </w:p>
    <w:p w14:paraId="2E14ADC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Manuscript source: </w:t>
      </w:r>
      <w:r w:rsidRPr="00F04BAD">
        <w:rPr>
          <w:rFonts w:ascii="Book Antiqua" w:eastAsia="Book Antiqua" w:hAnsi="Book Antiqua" w:cs="Book Antiqua"/>
          <w:color w:val="000000" w:themeColor="text1"/>
        </w:rPr>
        <w:t xml:space="preserve">Invited </w:t>
      </w:r>
      <w:r w:rsidR="00FC3341" w:rsidRPr="00F04BAD">
        <w:rPr>
          <w:rFonts w:ascii="Book Antiqua" w:hAnsi="Book Antiqua" w:cs="Book Antiqua"/>
          <w:color w:val="000000" w:themeColor="text1"/>
          <w:lang w:eastAsia="zh-CN"/>
        </w:rPr>
        <w:t>m</w:t>
      </w:r>
      <w:r w:rsidRPr="00F04BAD">
        <w:rPr>
          <w:rFonts w:ascii="Book Antiqua" w:eastAsia="Book Antiqua" w:hAnsi="Book Antiqua" w:cs="Book Antiqua"/>
          <w:color w:val="000000" w:themeColor="text1"/>
        </w:rPr>
        <w:t>anuscript</w:t>
      </w:r>
    </w:p>
    <w:p w14:paraId="6A5B5866" w14:textId="77777777" w:rsidR="00A77B3E" w:rsidRPr="00F04BAD" w:rsidRDefault="00A77B3E">
      <w:pPr>
        <w:spacing w:line="360" w:lineRule="auto"/>
        <w:jc w:val="both"/>
        <w:rPr>
          <w:rFonts w:ascii="Book Antiqua" w:hAnsi="Book Antiqua"/>
          <w:color w:val="000000" w:themeColor="text1"/>
        </w:rPr>
      </w:pPr>
    </w:p>
    <w:p w14:paraId="4D5B283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Peer-review started: </w:t>
      </w:r>
      <w:r w:rsidRPr="00F04BAD">
        <w:rPr>
          <w:rFonts w:ascii="Book Antiqua" w:eastAsia="Book Antiqua" w:hAnsi="Book Antiqua" w:cs="Book Antiqua"/>
          <w:color w:val="000000" w:themeColor="text1"/>
        </w:rPr>
        <w:t>February 23, 2021</w:t>
      </w:r>
    </w:p>
    <w:p w14:paraId="3D233DD8"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First decision: </w:t>
      </w:r>
      <w:r w:rsidRPr="00F04BAD">
        <w:rPr>
          <w:rFonts w:ascii="Book Antiqua" w:eastAsia="Book Antiqua" w:hAnsi="Book Antiqua" w:cs="Book Antiqua"/>
          <w:color w:val="000000" w:themeColor="text1"/>
        </w:rPr>
        <w:t>May 3, 2021</w:t>
      </w:r>
    </w:p>
    <w:p w14:paraId="0C085C37"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Article in press: </w:t>
      </w:r>
    </w:p>
    <w:p w14:paraId="37C66E2B" w14:textId="77777777" w:rsidR="00A77B3E" w:rsidRPr="00F04BAD" w:rsidRDefault="00A77B3E">
      <w:pPr>
        <w:spacing w:line="360" w:lineRule="auto"/>
        <w:jc w:val="both"/>
        <w:rPr>
          <w:rFonts w:ascii="Book Antiqua" w:hAnsi="Book Antiqua"/>
          <w:color w:val="000000" w:themeColor="text1"/>
        </w:rPr>
      </w:pPr>
    </w:p>
    <w:p w14:paraId="527D2656"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Specialty type: </w:t>
      </w:r>
      <w:r w:rsidR="00FC3341" w:rsidRPr="00F04BAD">
        <w:rPr>
          <w:rFonts w:ascii="Book Antiqua" w:eastAsia="Microsoft YaHei" w:hAnsi="Book Antiqua" w:cs="SimSun"/>
          <w:color w:val="000000" w:themeColor="text1"/>
        </w:rPr>
        <w:t>Gastroenterology and hepatology</w:t>
      </w:r>
    </w:p>
    <w:p w14:paraId="26348C5B"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 xml:space="preserve">Country/Territory of origin: </w:t>
      </w:r>
      <w:r w:rsidRPr="00F04BAD">
        <w:rPr>
          <w:rFonts w:ascii="Book Antiqua" w:eastAsia="Book Antiqua" w:hAnsi="Book Antiqua" w:cs="Book Antiqua"/>
          <w:color w:val="000000" w:themeColor="text1"/>
        </w:rPr>
        <w:t>France</w:t>
      </w:r>
    </w:p>
    <w:p w14:paraId="48F9541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color w:val="000000" w:themeColor="text1"/>
        </w:rPr>
        <w:t>Peer-review report’s scientific quality classification</w:t>
      </w:r>
    </w:p>
    <w:p w14:paraId="201C4981"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Grade A (Excellent): 0</w:t>
      </w:r>
    </w:p>
    <w:p w14:paraId="783CAE74"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Grade B (Very good): B</w:t>
      </w:r>
    </w:p>
    <w:p w14:paraId="4AFD9B1D"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Grade C (Good): 0</w:t>
      </w:r>
    </w:p>
    <w:p w14:paraId="7E3494DA"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Grade D (Fair): 0</w:t>
      </w:r>
    </w:p>
    <w:p w14:paraId="423F6FEC" w14:textId="77777777"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color w:val="000000" w:themeColor="text1"/>
        </w:rPr>
        <w:t>Grade E (Poor): 0</w:t>
      </w:r>
    </w:p>
    <w:p w14:paraId="16B58CF9" w14:textId="77777777" w:rsidR="00A77B3E" w:rsidRPr="00F04BAD" w:rsidRDefault="00A77B3E">
      <w:pPr>
        <w:spacing w:line="360" w:lineRule="auto"/>
        <w:jc w:val="both"/>
        <w:rPr>
          <w:rFonts w:ascii="Book Antiqua" w:hAnsi="Book Antiqua"/>
          <w:color w:val="000000" w:themeColor="text1"/>
        </w:rPr>
      </w:pPr>
    </w:p>
    <w:p w14:paraId="4DEDF6EF" w14:textId="439FE198" w:rsidR="00A77B3E" w:rsidRPr="00F04BAD" w:rsidRDefault="000D0918">
      <w:pPr>
        <w:spacing w:line="360" w:lineRule="auto"/>
        <w:jc w:val="both"/>
        <w:rPr>
          <w:rFonts w:ascii="Book Antiqua" w:hAnsi="Book Antiqua"/>
          <w:color w:val="000000" w:themeColor="text1"/>
        </w:rPr>
        <w:sectPr w:rsidR="00A77B3E" w:rsidRPr="00F04BAD">
          <w:pgSz w:w="12240" w:h="15840"/>
          <w:pgMar w:top="1440" w:right="1440" w:bottom="1440" w:left="1440" w:header="720" w:footer="720" w:gutter="0"/>
          <w:cols w:space="720"/>
          <w:docGrid w:linePitch="360"/>
        </w:sectPr>
      </w:pPr>
      <w:r w:rsidRPr="00F04BAD">
        <w:rPr>
          <w:rFonts w:ascii="Book Antiqua" w:eastAsia="Book Antiqua" w:hAnsi="Book Antiqua" w:cs="Book Antiqua"/>
          <w:b/>
          <w:color w:val="000000" w:themeColor="text1"/>
        </w:rPr>
        <w:t xml:space="preserve">P-Reviewer: </w:t>
      </w:r>
      <w:r w:rsidRPr="00F04BAD">
        <w:rPr>
          <w:rFonts w:ascii="Book Antiqua" w:eastAsia="Book Antiqua" w:hAnsi="Book Antiqua" w:cs="Book Antiqua"/>
          <w:color w:val="000000" w:themeColor="text1"/>
        </w:rPr>
        <w:t>Shuang WB</w:t>
      </w:r>
      <w:r w:rsidRPr="00F04BAD">
        <w:rPr>
          <w:rFonts w:ascii="Book Antiqua" w:eastAsia="Book Antiqua" w:hAnsi="Book Antiqua" w:cs="Book Antiqua"/>
          <w:b/>
          <w:color w:val="000000" w:themeColor="text1"/>
        </w:rPr>
        <w:t xml:space="preserve"> S-Editor: </w:t>
      </w:r>
      <w:r w:rsidRPr="00F04BAD">
        <w:rPr>
          <w:rFonts w:ascii="Book Antiqua" w:eastAsia="Book Antiqua" w:hAnsi="Book Antiqua" w:cs="Book Antiqua"/>
          <w:color w:val="000000" w:themeColor="text1"/>
        </w:rPr>
        <w:t>Gao CC</w:t>
      </w:r>
      <w:r w:rsidRPr="00F04BAD">
        <w:rPr>
          <w:rFonts w:ascii="Book Antiqua" w:eastAsia="Book Antiqua" w:hAnsi="Book Antiqua" w:cs="Book Antiqua"/>
          <w:b/>
          <w:color w:val="000000" w:themeColor="text1"/>
        </w:rPr>
        <w:t xml:space="preserve"> L-Editor:</w:t>
      </w:r>
      <w:r w:rsidR="00FE1D9D" w:rsidRPr="00F04BAD">
        <w:rPr>
          <w:rFonts w:ascii="Book Antiqua" w:eastAsia="Book Antiqua" w:hAnsi="Book Antiqua" w:cs="Book Antiqua"/>
          <w:b/>
          <w:color w:val="000000" w:themeColor="text1"/>
        </w:rPr>
        <w:t xml:space="preserve"> </w:t>
      </w:r>
      <w:r w:rsidR="00FE1D9D" w:rsidRPr="00F04BAD">
        <w:rPr>
          <w:rFonts w:ascii="Book Antiqua" w:eastAsia="Book Antiqua" w:hAnsi="Book Antiqua" w:cs="Book Antiqua"/>
          <w:bCs/>
          <w:color w:val="000000" w:themeColor="text1"/>
        </w:rPr>
        <w:t>Filipodia</w:t>
      </w:r>
      <w:r w:rsidRPr="00F04BAD">
        <w:rPr>
          <w:rFonts w:ascii="Book Antiqua" w:eastAsia="Book Antiqua" w:hAnsi="Book Antiqua" w:cs="Book Antiqua"/>
          <w:b/>
          <w:color w:val="000000" w:themeColor="text1"/>
        </w:rPr>
        <w:t xml:space="preserve"> P-Editor: </w:t>
      </w:r>
    </w:p>
    <w:p w14:paraId="3D271DCB" w14:textId="77777777" w:rsidR="00A77B3E" w:rsidRPr="00F04BAD" w:rsidRDefault="000D0918">
      <w:pPr>
        <w:spacing w:line="360" w:lineRule="auto"/>
        <w:jc w:val="both"/>
        <w:rPr>
          <w:rFonts w:ascii="Book Antiqua" w:hAnsi="Book Antiqua" w:cs="Book Antiqua"/>
          <w:b/>
          <w:color w:val="000000" w:themeColor="text1"/>
          <w:lang w:eastAsia="zh-CN"/>
        </w:rPr>
      </w:pPr>
      <w:r w:rsidRPr="00F04BAD">
        <w:rPr>
          <w:rFonts w:ascii="Book Antiqua" w:eastAsia="Book Antiqua" w:hAnsi="Book Antiqua" w:cs="Book Antiqua"/>
          <w:b/>
          <w:color w:val="000000" w:themeColor="text1"/>
        </w:rPr>
        <w:t>Figure Legends</w:t>
      </w:r>
    </w:p>
    <w:p w14:paraId="20AECEF6" w14:textId="77777777" w:rsidR="00242775" w:rsidRPr="00F04BAD" w:rsidRDefault="00242775">
      <w:pPr>
        <w:spacing w:line="360" w:lineRule="auto"/>
        <w:jc w:val="both"/>
        <w:rPr>
          <w:rFonts w:ascii="Book Antiqua" w:hAnsi="Book Antiqua"/>
          <w:color w:val="000000" w:themeColor="text1"/>
          <w:lang w:eastAsia="zh-CN"/>
        </w:rPr>
      </w:pPr>
      <w:r w:rsidRPr="00F04BAD">
        <w:rPr>
          <w:rFonts w:ascii="Book Antiqua" w:hAnsi="Book Antiqua"/>
          <w:noProof/>
          <w:color w:val="000000" w:themeColor="text1"/>
          <w:lang w:eastAsia="zh-CN"/>
        </w:rPr>
        <w:drawing>
          <wp:inline distT="0" distB="0" distL="0" distR="0" wp14:anchorId="5EEA9EEF" wp14:editId="69E00FC3">
            <wp:extent cx="4746171" cy="2955471"/>
            <wp:effectExtent l="0" t="0" r="0" b="0"/>
            <wp:docPr id="2" name="Image 1">
              <a:extLst xmlns:a="http://schemas.openxmlformats.org/drawingml/2006/main">
                <a:ext uri="{FF2B5EF4-FFF2-40B4-BE49-F238E27FC236}">
                  <a16:creationId xmlns:a16="http://schemas.microsoft.com/office/drawing/2014/main" id="{FFEB7E7B-84CF-4BEA-8107-6B0678F7611A}"/>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FFEB7E7B-84CF-4BEA-8107-6B0678F7611A}"/>
                        </a:ext>
                      </a:extLst>
                    </pic:cNvPr>
                    <pic:cNvPicPr/>
                  </pic:nvPicPr>
                  <pic:blipFill rotWithShape="1">
                    <a:blip r:embed="rId7" cstate="print">
                      <a:extLst>
                        <a:ext uri="{28A0092B-C50C-407E-A947-70E740481C1C}">
                          <a14:useLocalDpi xmlns:a14="http://schemas.microsoft.com/office/drawing/2010/main" val="0"/>
                        </a:ext>
                      </a:extLst>
                    </a:blip>
                    <a:srcRect t="5489"/>
                    <a:stretch/>
                  </pic:blipFill>
                  <pic:spPr bwMode="auto">
                    <a:xfrm>
                      <a:off x="0" y="0"/>
                      <a:ext cx="4746171" cy="2955471"/>
                    </a:xfrm>
                    <a:prstGeom prst="rect">
                      <a:avLst/>
                    </a:prstGeom>
                    <a:ln>
                      <a:noFill/>
                    </a:ln>
                    <a:extLst>
                      <a:ext uri="{53640926-AAD7-44D8-BBD7-CCE9431645EC}">
                        <a14:shadowObscured xmlns:a14="http://schemas.microsoft.com/office/drawing/2010/main"/>
                      </a:ext>
                    </a:extLst>
                  </pic:spPr>
                </pic:pic>
              </a:graphicData>
            </a:graphic>
          </wp:inline>
        </w:drawing>
      </w:r>
    </w:p>
    <w:p w14:paraId="6D468184" w14:textId="77777777" w:rsidR="00A77B3E" w:rsidRPr="00F04BAD" w:rsidRDefault="000D0918">
      <w:pPr>
        <w:spacing w:line="360" w:lineRule="auto"/>
        <w:jc w:val="both"/>
        <w:rPr>
          <w:rFonts w:ascii="Book Antiqua" w:hAnsi="Book Antiqua"/>
          <w:color w:val="000000" w:themeColor="text1"/>
          <w:lang w:eastAsia="zh-CN"/>
        </w:rPr>
      </w:pPr>
      <w:r w:rsidRPr="00F04BAD">
        <w:rPr>
          <w:rFonts w:ascii="Book Antiqua" w:eastAsia="Book Antiqua" w:hAnsi="Book Antiqua" w:cs="Book Antiqua"/>
          <w:b/>
          <w:bCs/>
          <w:color w:val="000000" w:themeColor="text1"/>
        </w:rPr>
        <w:t>Figure 1</w:t>
      </w:r>
      <w:r w:rsidR="00242775" w:rsidRPr="00F04BAD">
        <w:rPr>
          <w:rFonts w:ascii="Book Antiqua" w:hAnsi="Book Antiqua" w:cs="Book Antiqua"/>
          <w:b/>
          <w:bCs/>
          <w:color w:val="000000" w:themeColor="text1"/>
          <w:lang w:eastAsia="zh-CN"/>
        </w:rPr>
        <w:t xml:space="preserve"> </w:t>
      </w:r>
      <w:r w:rsidRPr="00F04BAD">
        <w:rPr>
          <w:rFonts w:ascii="Book Antiqua" w:eastAsia="Book Antiqua" w:hAnsi="Book Antiqua" w:cs="Book Antiqua"/>
          <w:b/>
          <w:bCs/>
          <w:color w:val="000000" w:themeColor="text1"/>
        </w:rPr>
        <w:t>Overview of the main immune checkpoint and their respective targeted therapies.</w:t>
      </w:r>
      <w:r w:rsidR="00242775" w:rsidRPr="00F04BAD">
        <w:rPr>
          <w:rFonts w:ascii="Book Antiqua" w:hAnsi="Book Antiqua" w:cs="Book Antiqua"/>
          <w:b/>
          <w:bCs/>
          <w:color w:val="000000" w:themeColor="text1"/>
          <w:lang w:eastAsia="zh-CN"/>
        </w:rPr>
        <w:t xml:space="preserve"> </w:t>
      </w:r>
      <w:r w:rsidR="00242775" w:rsidRPr="00F04BAD">
        <w:rPr>
          <w:rFonts w:ascii="Book Antiqua" w:hAnsi="Book Antiqua" w:cs="Book Antiqua"/>
          <w:color w:val="000000" w:themeColor="text1"/>
          <w:lang w:eastAsia="zh-CN"/>
        </w:rPr>
        <w:t>M</w:t>
      </w:r>
      <w:r w:rsidR="00242775" w:rsidRPr="00F04BAD">
        <w:rPr>
          <w:rFonts w:ascii="Book Antiqua" w:eastAsia="Book Antiqua" w:hAnsi="Book Antiqua" w:cs="Book Antiqua"/>
          <w:color w:val="000000" w:themeColor="text1"/>
        </w:rPr>
        <w:t>ade with biorender.com</w:t>
      </w:r>
      <w:r w:rsidR="00242775" w:rsidRPr="00F04BAD">
        <w:rPr>
          <w:rFonts w:ascii="Book Antiqua" w:hAnsi="Book Antiqua" w:cs="Book Antiqua"/>
          <w:color w:val="000000" w:themeColor="text1"/>
          <w:lang w:eastAsia="zh-CN"/>
        </w:rPr>
        <w:t>.</w:t>
      </w:r>
      <w:r w:rsidR="00242775" w:rsidRPr="00F04BAD">
        <w:rPr>
          <w:rFonts w:ascii="Book Antiqua" w:eastAsia="Book Antiqua" w:hAnsi="Book Antiqua" w:cs="Book Antiqua"/>
          <w:color w:val="000000" w:themeColor="text1"/>
        </w:rPr>
        <w:t xml:space="preserve"> </w:t>
      </w:r>
      <w:r w:rsidRPr="00F04BAD">
        <w:rPr>
          <w:rFonts w:ascii="Book Antiqua" w:eastAsia="Book Antiqua" w:hAnsi="Book Antiqua" w:cs="Book Antiqua"/>
          <w:color w:val="000000" w:themeColor="text1"/>
        </w:rPr>
        <w:t xml:space="preserve">APC: </w:t>
      </w:r>
      <w:r w:rsidR="00242775" w:rsidRPr="00F04BAD">
        <w:rPr>
          <w:rFonts w:ascii="Book Antiqua" w:hAnsi="Book Antiqua" w:cs="Book Antiqua"/>
          <w:color w:val="000000" w:themeColor="text1"/>
          <w:lang w:eastAsia="zh-CN"/>
        </w:rPr>
        <w:t>A</w:t>
      </w:r>
      <w:r w:rsidRPr="00F04BAD">
        <w:rPr>
          <w:rFonts w:ascii="Book Antiqua" w:eastAsia="Book Antiqua" w:hAnsi="Book Antiqua" w:cs="Book Antiqua"/>
          <w:color w:val="000000" w:themeColor="text1"/>
        </w:rPr>
        <w:t>ntigen presenting cell</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LT: T lymphocyte</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MDSC: </w:t>
      </w:r>
      <w:r w:rsidR="00242775" w:rsidRPr="00F04BAD">
        <w:rPr>
          <w:rFonts w:ascii="Book Antiqua" w:hAnsi="Book Antiqua" w:cs="Book Antiqua"/>
          <w:color w:val="000000" w:themeColor="text1"/>
          <w:lang w:eastAsia="zh-CN"/>
        </w:rPr>
        <w:t>M</w:t>
      </w:r>
      <w:r w:rsidRPr="00F04BAD">
        <w:rPr>
          <w:rFonts w:ascii="Book Antiqua" w:eastAsia="Book Antiqua" w:hAnsi="Book Antiqua" w:cs="Book Antiqua"/>
          <w:color w:val="000000" w:themeColor="text1"/>
        </w:rPr>
        <w:t>yeloid derived suppressive cell</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NK: </w:t>
      </w:r>
      <w:r w:rsidR="00242775" w:rsidRPr="00F04BAD">
        <w:rPr>
          <w:rFonts w:ascii="Book Antiqua" w:hAnsi="Book Antiqua" w:cs="Book Antiqua"/>
          <w:color w:val="000000" w:themeColor="text1"/>
          <w:lang w:eastAsia="zh-CN"/>
        </w:rPr>
        <w:t>N</w:t>
      </w:r>
      <w:r w:rsidRPr="00F04BAD">
        <w:rPr>
          <w:rFonts w:ascii="Book Antiqua" w:eastAsia="Book Antiqua" w:hAnsi="Book Antiqua" w:cs="Book Antiqua"/>
          <w:color w:val="000000" w:themeColor="text1"/>
        </w:rPr>
        <w:t>atural killer</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Treg: Lymphocyte T regulator</w:t>
      </w:r>
      <w:r w:rsidR="00242775" w:rsidRPr="00F04BAD">
        <w:rPr>
          <w:rFonts w:ascii="Book Antiqua" w:hAnsi="Book Antiqua" w:cs="Book Antiqua"/>
          <w:color w:val="000000" w:themeColor="text1"/>
          <w:lang w:eastAsia="zh-CN"/>
        </w:rPr>
        <w:t>; LAG-3: L</w:t>
      </w:r>
      <w:r w:rsidR="00242775" w:rsidRPr="00F04BAD">
        <w:rPr>
          <w:rFonts w:ascii="Book Antiqua" w:eastAsia="Book Antiqua" w:hAnsi="Book Antiqua" w:cs="Book Antiqua"/>
          <w:color w:val="000000" w:themeColor="text1"/>
        </w:rPr>
        <w:t>ymphocyte-activation gene 3</w:t>
      </w:r>
      <w:r w:rsidR="00242775" w:rsidRPr="00F04BAD">
        <w:rPr>
          <w:rFonts w:ascii="Book Antiqua" w:hAnsi="Book Antiqua" w:cs="Book Antiqua"/>
          <w:color w:val="000000" w:themeColor="text1"/>
          <w:lang w:eastAsia="zh-CN"/>
        </w:rPr>
        <w:t>; PD-L1: P</w:t>
      </w:r>
      <w:r w:rsidR="00242775" w:rsidRPr="00F04BAD">
        <w:rPr>
          <w:rFonts w:ascii="Book Antiqua" w:eastAsia="Book Antiqua" w:hAnsi="Book Antiqua" w:cs="Book Antiqua"/>
          <w:color w:val="000000" w:themeColor="text1"/>
        </w:rPr>
        <w:t>rogram cell death ligand 1</w:t>
      </w:r>
      <w:r w:rsidR="00242775" w:rsidRPr="00F04BAD">
        <w:rPr>
          <w:rFonts w:ascii="Book Antiqua" w:hAnsi="Book Antiqua" w:cs="Book Antiqua"/>
          <w:color w:val="000000" w:themeColor="text1"/>
          <w:lang w:eastAsia="zh-CN"/>
        </w:rPr>
        <w:t>;</w:t>
      </w:r>
      <w:r w:rsidR="00242775" w:rsidRPr="00F04BAD">
        <w:rPr>
          <w:rFonts w:ascii="Book Antiqua" w:eastAsia="Book Antiqua" w:hAnsi="Book Antiqua" w:cs="Book Antiqua"/>
          <w:color w:val="000000" w:themeColor="text1"/>
        </w:rPr>
        <w:t xml:space="preserve"> TCR: T cell receptor</w:t>
      </w:r>
      <w:r w:rsidR="00242775" w:rsidRPr="00F04BAD">
        <w:rPr>
          <w:rFonts w:ascii="Book Antiqua" w:hAnsi="Book Antiqua" w:cs="Book Antiqua"/>
          <w:color w:val="000000" w:themeColor="text1"/>
          <w:lang w:eastAsia="zh-CN"/>
        </w:rPr>
        <w:t>.</w:t>
      </w:r>
    </w:p>
    <w:p w14:paraId="44E3901A" w14:textId="77777777" w:rsidR="00A77B3E" w:rsidRPr="00F04BAD" w:rsidRDefault="00242775">
      <w:pPr>
        <w:spacing w:line="360" w:lineRule="auto"/>
        <w:jc w:val="both"/>
        <w:rPr>
          <w:rFonts w:ascii="Book Antiqua" w:hAnsi="Book Antiqua"/>
          <w:color w:val="000000" w:themeColor="text1"/>
        </w:rPr>
      </w:pPr>
      <w:r w:rsidRPr="00F04BAD">
        <w:rPr>
          <w:rFonts w:ascii="Book Antiqua" w:hAnsi="Book Antiqua"/>
          <w:color w:val="000000" w:themeColor="text1"/>
        </w:rPr>
        <w:br w:type="page"/>
      </w:r>
      <w:r w:rsidRPr="00F04BAD">
        <w:rPr>
          <w:rFonts w:ascii="Book Antiqua" w:hAnsi="Book Antiqua"/>
          <w:noProof/>
          <w:color w:val="000000" w:themeColor="text1"/>
          <w:lang w:eastAsia="zh-CN"/>
        </w:rPr>
        <w:drawing>
          <wp:inline distT="0" distB="0" distL="0" distR="0" wp14:anchorId="53C99CFB" wp14:editId="78982DA9">
            <wp:extent cx="5486400" cy="3618230"/>
            <wp:effectExtent l="0" t="0" r="0" b="1270"/>
            <wp:docPr id="1" name="Image 2">
              <a:extLst xmlns:a="http://schemas.openxmlformats.org/drawingml/2006/main">
                <a:ext uri="{FF2B5EF4-FFF2-40B4-BE49-F238E27FC236}">
                  <a16:creationId xmlns:a16="http://schemas.microsoft.com/office/drawing/2014/main" id="{3503FF67-A64E-4F18-B970-956A9EE7D741}"/>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3503FF67-A64E-4F18-B970-956A9EE7D741}"/>
                        </a:ext>
                      </a:extLst>
                    </pic:cNvPr>
                    <pic:cNvPicPr/>
                  </pic:nvPicPr>
                  <pic:blipFill rotWithShape="1">
                    <a:blip r:embed="rId8" cstate="print">
                      <a:extLst>
                        <a:ext uri="{28A0092B-C50C-407E-A947-70E740481C1C}">
                          <a14:useLocalDpi xmlns:a14="http://schemas.microsoft.com/office/drawing/2010/main" val="0"/>
                        </a:ext>
                      </a:extLst>
                    </a:blip>
                    <a:srcRect t="1171"/>
                    <a:stretch/>
                  </pic:blipFill>
                  <pic:spPr bwMode="auto">
                    <a:xfrm>
                      <a:off x="0" y="0"/>
                      <a:ext cx="5486400" cy="3618230"/>
                    </a:xfrm>
                    <a:prstGeom prst="rect">
                      <a:avLst/>
                    </a:prstGeom>
                    <a:ln>
                      <a:noFill/>
                    </a:ln>
                    <a:extLst>
                      <a:ext uri="{53640926-AAD7-44D8-BBD7-CCE9431645EC}">
                        <a14:shadowObscured xmlns:a14="http://schemas.microsoft.com/office/drawing/2010/main"/>
                      </a:ext>
                    </a:extLst>
                  </pic:spPr>
                </pic:pic>
              </a:graphicData>
            </a:graphic>
          </wp:inline>
        </w:drawing>
      </w:r>
    </w:p>
    <w:p w14:paraId="691C05B1" w14:textId="6F37E835"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Figure 2</w:t>
      </w:r>
      <w:r w:rsidR="00242775" w:rsidRPr="00F04BAD">
        <w:rPr>
          <w:rFonts w:ascii="Book Antiqua" w:hAnsi="Book Antiqua" w:cs="Book Antiqua"/>
          <w:b/>
          <w:bCs/>
          <w:color w:val="000000" w:themeColor="text1"/>
          <w:lang w:eastAsia="zh-CN"/>
        </w:rPr>
        <w:t xml:space="preserve"> </w:t>
      </w:r>
      <w:r w:rsidRPr="00F04BAD">
        <w:rPr>
          <w:rFonts w:ascii="Book Antiqua" w:eastAsia="Book Antiqua" w:hAnsi="Book Antiqua" w:cs="Book Antiqua"/>
          <w:b/>
          <w:bCs/>
          <w:color w:val="000000" w:themeColor="text1"/>
        </w:rPr>
        <w:t xml:space="preserve">Overview of the main epigenetic and transcriptional regulations of </w:t>
      </w:r>
      <w:r w:rsidR="004F727C" w:rsidRPr="00F04BAD">
        <w:rPr>
          <w:rFonts w:ascii="Book Antiqua" w:eastAsia="Book Antiqua" w:hAnsi="Book Antiqua" w:cs="Book Antiqua"/>
          <w:b/>
          <w:bCs/>
          <w:color w:val="000000" w:themeColor="text1"/>
        </w:rPr>
        <w:t>program cell death 1</w:t>
      </w:r>
      <w:r w:rsidRPr="00F04BAD">
        <w:rPr>
          <w:rFonts w:ascii="Book Antiqua" w:eastAsia="Book Antiqua" w:hAnsi="Book Antiqua" w:cs="Book Antiqua"/>
          <w:b/>
          <w:bCs/>
          <w:color w:val="000000" w:themeColor="text1"/>
        </w:rPr>
        <w:t xml:space="preserve">, </w:t>
      </w:r>
      <w:r w:rsidR="004F727C" w:rsidRPr="00F04BAD">
        <w:rPr>
          <w:rFonts w:ascii="Book Antiqua" w:hAnsi="Book Antiqua" w:cs="Book Antiqua"/>
          <w:b/>
          <w:bCs/>
          <w:color w:val="000000" w:themeColor="text1"/>
          <w:lang w:eastAsia="zh-CN"/>
        </w:rPr>
        <w:t>p</w:t>
      </w:r>
      <w:r w:rsidR="004F727C" w:rsidRPr="00F04BAD">
        <w:rPr>
          <w:rFonts w:ascii="Book Antiqua" w:eastAsia="Book Antiqua" w:hAnsi="Book Antiqua" w:cs="Book Antiqua"/>
          <w:b/>
          <w:bCs/>
          <w:color w:val="000000" w:themeColor="text1"/>
        </w:rPr>
        <w:t>rogram cell death ligand 1</w:t>
      </w:r>
      <w:r w:rsidRPr="00F04BAD">
        <w:rPr>
          <w:rFonts w:ascii="Book Antiqua" w:eastAsia="Book Antiqua" w:hAnsi="Book Antiqua" w:cs="Book Antiqua"/>
          <w:b/>
          <w:bCs/>
          <w:color w:val="000000" w:themeColor="text1"/>
        </w:rPr>
        <w:t xml:space="preserve"> and </w:t>
      </w:r>
      <w:r w:rsidR="004F727C" w:rsidRPr="00F04BAD">
        <w:rPr>
          <w:rFonts w:ascii="Book Antiqua" w:eastAsia="Book Antiqua" w:hAnsi="Book Antiqua" w:cs="Book Antiqua"/>
          <w:b/>
          <w:bCs/>
          <w:color w:val="000000" w:themeColor="text1"/>
        </w:rPr>
        <w:t>cytotoxic T lymphocyte antigen 4</w:t>
      </w:r>
      <w:r w:rsidRPr="00F04BAD">
        <w:rPr>
          <w:rFonts w:ascii="Book Antiqua" w:eastAsia="Book Antiqua" w:hAnsi="Book Antiqua" w:cs="Book Antiqua"/>
          <w:b/>
          <w:bCs/>
          <w:color w:val="000000" w:themeColor="text1"/>
        </w:rPr>
        <w:t>.</w:t>
      </w:r>
      <w:r w:rsidR="00242775" w:rsidRPr="00F04BAD">
        <w:rPr>
          <w:rFonts w:ascii="Book Antiqua" w:hAnsi="Book Antiqua" w:cs="Book Antiqua"/>
          <w:b/>
          <w:bCs/>
          <w:color w:val="000000" w:themeColor="text1"/>
          <w:lang w:eastAsia="zh-CN"/>
        </w:rPr>
        <w:t xml:space="preserve"> </w:t>
      </w:r>
      <w:r w:rsidR="00242775" w:rsidRPr="00F04BAD">
        <w:rPr>
          <w:rFonts w:ascii="Book Antiqua" w:hAnsi="Book Antiqua" w:cs="Book Antiqua"/>
          <w:color w:val="000000" w:themeColor="text1"/>
          <w:lang w:eastAsia="zh-CN"/>
        </w:rPr>
        <w:t>M</w:t>
      </w:r>
      <w:r w:rsidR="00242775" w:rsidRPr="00F04BAD">
        <w:rPr>
          <w:rFonts w:ascii="Book Antiqua" w:eastAsia="Book Antiqua" w:hAnsi="Book Antiqua" w:cs="Book Antiqua"/>
          <w:color w:val="000000" w:themeColor="text1"/>
        </w:rPr>
        <w:t>ade with biorender.com</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Ac: </w:t>
      </w:r>
      <w:r w:rsidR="00242775" w:rsidRPr="00F04BAD">
        <w:rPr>
          <w:rFonts w:ascii="Book Antiqua" w:hAnsi="Book Antiqua" w:cs="Book Antiqua"/>
          <w:color w:val="000000" w:themeColor="text1"/>
          <w:lang w:eastAsia="zh-CN"/>
        </w:rPr>
        <w:t>A</w:t>
      </w:r>
      <w:r w:rsidRPr="00F04BAD">
        <w:rPr>
          <w:rFonts w:ascii="Book Antiqua" w:eastAsia="Book Antiqua" w:hAnsi="Book Antiqua" w:cs="Book Antiqua"/>
          <w:color w:val="000000" w:themeColor="text1"/>
        </w:rPr>
        <w:t>cetylation</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Me: </w:t>
      </w:r>
      <w:r w:rsidR="00242775" w:rsidRPr="00F04BAD">
        <w:rPr>
          <w:rFonts w:ascii="Book Antiqua" w:hAnsi="Book Antiqua" w:cs="Book Antiqua"/>
          <w:color w:val="000000" w:themeColor="text1"/>
          <w:lang w:eastAsia="zh-CN"/>
        </w:rPr>
        <w:t>M</w:t>
      </w:r>
      <w:r w:rsidRPr="00F04BAD">
        <w:rPr>
          <w:rFonts w:ascii="Book Antiqua" w:eastAsia="Book Antiqua" w:hAnsi="Book Antiqua" w:cs="Book Antiqua"/>
          <w:color w:val="000000" w:themeColor="text1"/>
        </w:rPr>
        <w:t>ethylation of DNA or histone</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EGFR: </w:t>
      </w:r>
      <w:r w:rsidR="00242775" w:rsidRPr="00F04BAD">
        <w:rPr>
          <w:rFonts w:ascii="Book Antiqua" w:hAnsi="Book Antiqua" w:cs="Book Antiqua"/>
          <w:color w:val="000000" w:themeColor="text1"/>
          <w:lang w:eastAsia="zh-CN"/>
        </w:rPr>
        <w:t>E</w:t>
      </w:r>
      <w:r w:rsidRPr="00F04BAD">
        <w:rPr>
          <w:rFonts w:ascii="Book Antiqua" w:eastAsia="Book Antiqua" w:hAnsi="Book Antiqua" w:cs="Book Antiqua"/>
          <w:color w:val="000000" w:themeColor="text1"/>
        </w:rPr>
        <w:t>pidermal growth factor receptor</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GFR: </w:t>
      </w:r>
      <w:r w:rsidR="00242775" w:rsidRPr="00F04BAD">
        <w:rPr>
          <w:rFonts w:ascii="Book Antiqua" w:hAnsi="Book Antiqua" w:cs="Book Antiqua"/>
          <w:color w:val="000000" w:themeColor="text1"/>
          <w:lang w:eastAsia="zh-CN"/>
        </w:rPr>
        <w:t>G</w:t>
      </w:r>
      <w:r w:rsidRPr="00F04BAD">
        <w:rPr>
          <w:rFonts w:ascii="Book Antiqua" w:eastAsia="Book Antiqua" w:hAnsi="Book Antiqua" w:cs="Book Antiqua"/>
          <w:color w:val="000000" w:themeColor="text1"/>
        </w:rPr>
        <w:t>rowth factor receptor</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ILR: </w:t>
      </w:r>
      <w:r w:rsidR="00242775" w:rsidRPr="00F04BAD">
        <w:rPr>
          <w:rFonts w:ascii="Book Antiqua" w:hAnsi="Book Antiqua" w:cs="Book Antiqua"/>
          <w:color w:val="000000" w:themeColor="text1"/>
          <w:lang w:eastAsia="zh-CN"/>
        </w:rPr>
        <w:t>I</w:t>
      </w:r>
      <w:r w:rsidRPr="00F04BAD">
        <w:rPr>
          <w:rFonts w:ascii="Book Antiqua" w:eastAsia="Book Antiqua" w:hAnsi="Book Antiqua" w:cs="Book Antiqua"/>
          <w:color w:val="000000" w:themeColor="text1"/>
        </w:rPr>
        <w:t>nterleukin receptor</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IFNR: </w:t>
      </w:r>
      <w:r w:rsidR="00242775" w:rsidRPr="00F04BAD">
        <w:rPr>
          <w:rFonts w:ascii="Book Antiqua" w:hAnsi="Book Antiqua" w:cs="Book Antiqua"/>
          <w:color w:val="000000" w:themeColor="text1"/>
          <w:lang w:eastAsia="zh-CN"/>
        </w:rPr>
        <w:t>I</w:t>
      </w:r>
      <w:r w:rsidRPr="00F04BAD">
        <w:rPr>
          <w:rFonts w:ascii="Book Antiqua" w:eastAsia="Book Antiqua" w:hAnsi="Book Antiqua" w:cs="Book Antiqua"/>
          <w:color w:val="000000" w:themeColor="text1"/>
        </w:rPr>
        <w:t>nterferon receptor</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TCR: T cell receptor</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TGN: Trans-Golgi Network</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TLR: Toll like receptor</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TNFR: Tumor necrosis factor receptor.</w:t>
      </w:r>
    </w:p>
    <w:p w14:paraId="731345BE" w14:textId="77777777" w:rsidR="00A77B3E" w:rsidRPr="00F04BAD" w:rsidRDefault="00242775">
      <w:pPr>
        <w:spacing w:line="360" w:lineRule="auto"/>
        <w:jc w:val="both"/>
        <w:rPr>
          <w:rFonts w:ascii="Book Antiqua" w:hAnsi="Book Antiqua"/>
          <w:color w:val="000000" w:themeColor="text1"/>
        </w:rPr>
      </w:pPr>
      <w:r w:rsidRPr="00F04BAD">
        <w:rPr>
          <w:rFonts w:ascii="Book Antiqua" w:hAnsi="Book Antiqua"/>
          <w:color w:val="000000" w:themeColor="text1"/>
        </w:rPr>
        <w:br w:type="page"/>
      </w:r>
      <w:r w:rsidRPr="00F04BAD">
        <w:rPr>
          <w:rFonts w:ascii="Book Antiqua" w:hAnsi="Book Antiqua"/>
          <w:noProof/>
          <w:color w:val="000000" w:themeColor="text1"/>
          <w:lang w:eastAsia="zh-CN"/>
        </w:rPr>
        <w:drawing>
          <wp:inline distT="0" distB="0" distL="0" distR="0" wp14:anchorId="011C9C7E" wp14:editId="41AC370F">
            <wp:extent cx="5486400" cy="3914140"/>
            <wp:effectExtent l="0" t="0" r="0" b="0"/>
            <wp:docPr id="3" name="Image 3">
              <a:extLst xmlns:a="http://schemas.openxmlformats.org/drawingml/2006/main">
                <a:ext uri="{FF2B5EF4-FFF2-40B4-BE49-F238E27FC236}">
                  <a16:creationId xmlns:a16="http://schemas.microsoft.com/office/drawing/2014/main" id="{D295A92B-7285-49AE-A0FE-4A685C547B3D}"/>
                </a:ext>
              </a:extLst>
            </wp:docPr>
            <wp:cNvGraphicFramePr/>
            <a:graphic xmlns:a="http://schemas.openxmlformats.org/drawingml/2006/main">
              <a:graphicData uri="http://schemas.openxmlformats.org/drawingml/2006/picture">
                <pic:pic xmlns:pic="http://schemas.openxmlformats.org/drawingml/2006/picture">
                  <pic:nvPicPr>
                    <pic:cNvPr id="2" name="Image 3">
                      <a:extLst>
                        <a:ext uri="{FF2B5EF4-FFF2-40B4-BE49-F238E27FC236}">
                          <a16:creationId xmlns:a16="http://schemas.microsoft.com/office/drawing/2014/main" id="{D295A92B-7285-49AE-A0FE-4A685C547B3D}"/>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914140"/>
                    </a:xfrm>
                    <a:prstGeom prst="rect">
                      <a:avLst/>
                    </a:prstGeom>
                  </pic:spPr>
                </pic:pic>
              </a:graphicData>
            </a:graphic>
          </wp:inline>
        </w:drawing>
      </w:r>
    </w:p>
    <w:p w14:paraId="4567802F" w14:textId="32D0C392" w:rsidR="00A77B3E" w:rsidRPr="00F04BAD" w:rsidRDefault="000D0918">
      <w:pPr>
        <w:spacing w:line="360" w:lineRule="auto"/>
        <w:jc w:val="both"/>
        <w:rPr>
          <w:rFonts w:ascii="Book Antiqua" w:hAnsi="Book Antiqua"/>
          <w:color w:val="000000" w:themeColor="text1"/>
        </w:rPr>
      </w:pPr>
      <w:r w:rsidRPr="00F04BAD">
        <w:rPr>
          <w:rFonts w:ascii="Book Antiqua" w:eastAsia="Book Antiqua" w:hAnsi="Book Antiqua" w:cs="Book Antiqua"/>
          <w:b/>
          <w:bCs/>
          <w:color w:val="000000" w:themeColor="text1"/>
        </w:rPr>
        <w:t>Figure 3</w:t>
      </w:r>
      <w:r w:rsidR="00242775" w:rsidRPr="00F04BAD">
        <w:rPr>
          <w:rFonts w:ascii="Book Antiqua" w:hAnsi="Book Antiqua" w:cs="Book Antiqua"/>
          <w:b/>
          <w:bCs/>
          <w:color w:val="000000" w:themeColor="text1"/>
          <w:lang w:eastAsia="zh-CN"/>
        </w:rPr>
        <w:t xml:space="preserve"> </w:t>
      </w:r>
      <w:r w:rsidRPr="00F04BAD">
        <w:rPr>
          <w:rFonts w:ascii="Book Antiqua" w:eastAsia="Book Antiqua" w:hAnsi="Book Antiqua" w:cs="Book Antiqua"/>
          <w:b/>
          <w:bCs/>
          <w:color w:val="000000" w:themeColor="text1"/>
        </w:rPr>
        <w:t>Overview of the main mechanisms involved in tumor evasion to immune response</w:t>
      </w:r>
      <w:r w:rsidR="00242775" w:rsidRPr="00F04BAD">
        <w:rPr>
          <w:rFonts w:ascii="Book Antiqua" w:hAnsi="Book Antiqua" w:cs="Book Antiqua"/>
          <w:b/>
          <w:bCs/>
          <w:color w:val="000000" w:themeColor="text1"/>
          <w:lang w:eastAsia="zh-CN"/>
        </w:rPr>
        <w:t xml:space="preserve">. </w:t>
      </w:r>
      <w:r w:rsidR="00242775" w:rsidRPr="00F04BAD">
        <w:rPr>
          <w:rFonts w:ascii="Book Antiqua" w:hAnsi="Book Antiqua" w:cs="Book Antiqua"/>
          <w:color w:val="000000" w:themeColor="text1"/>
          <w:lang w:eastAsia="zh-CN"/>
        </w:rPr>
        <w:t>M</w:t>
      </w:r>
      <w:r w:rsidR="00242775" w:rsidRPr="00F04BAD">
        <w:rPr>
          <w:rFonts w:ascii="Book Antiqua" w:eastAsia="Book Antiqua" w:hAnsi="Book Antiqua" w:cs="Book Antiqua"/>
          <w:color w:val="000000" w:themeColor="text1"/>
        </w:rPr>
        <w:t>ade with biorender.com</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APC: </w:t>
      </w:r>
      <w:r w:rsidR="00242775" w:rsidRPr="00F04BAD">
        <w:rPr>
          <w:rFonts w:ascii="Book Antiqua" w:hAnsi="Book Antiqua" w:cs="Book Antiqua"/>
          <w:color w:val="000000" w:themeColor="text1"/>
          <w:lang w:eastAsia="zh-CN"/>
        </w:rPr>
        <w:t>A</w:t>
      </w:r>
      <w:r w:rsidRPr="00F04BAD">
        <w:rPr>
          <w:rFonts w:ascii="Book Antiqua" w:eastAsia="Book Antiqua" w:hAnsi="Book Antiqua" w:cs="Book Antiqua"/>
          <w:color w:val="000000" w:themeColor="text1"/>
        </w:rPr>
        <w:t>ntigen presenting cell</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ICI: </w:t>
      </w:r>
      <w:r w:rsidR="00242775" w:rsidRPr="00F04BAD">
        <w:rPr>
          <w:rFonts w:ascii="Book Antiqua" w:hAnsi="Book Antiqua" w:cs="Book Antiqua"/>
          <w:color w:val="000000" w:themeColor="text1"/>
          <w:lang w:eastAsia="zh-CN"/>
        </w:rPr>
        <w:t>I</w:t>
      </w:r>
      <w:r w:rsidRPr="00F04BAD">
        <w:rPr>
          <w:rFonts w:ascii="Book Antiqua" w:eastAsia="Book Antiqua" w:hAnsi="Book Antiqua" w:cs="Book Antiqua"/>
          <w:color w:val="000000" w:themeColor="text1"/>
        </w:rPr>
        <w:t>mmune checkpoint inhibitors</w:t>
      </w:r>
      <w:r w:rsidR="00242775"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LT: T lymphocyte</w:t>
      </w:r>
      <w:r w:rsidR="00242775"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MHC: Major histocompa</w:t>
      </w:r>
      <w:r w:rsidR="00306AA0" w:rsidRPr="00FD5C87">
        <w:rPr>
          <w:rFonts w:ascii="Book Antiqua" w:eastAsia="Book Antiqua" w:hAnsi="Book Antiqua" w:cs="Book Antiqua"/>
          <w:color w:val="000000" w:themeColor="text1"/>
        </w:rPr>
        <w:t>ti</w:t>
      </w:r>
      <w:r w:rsidRPr="00F04BAD">
        <w:rPr>
          <w:rFonts w:ascii="Book Antiqua" w:eastAsia="Book Antiqua" w:hAnsi="Book Antiqua" w:cs="Book Antiqua"/>
          <w:color w:val="000000" w:themeColor="text1"/>
        </w:rPr>
        <w:t>bility complex</w:t>
      </w:r>
      <w:r w:rsidR="00F5364C"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MDSC: </w:t>
      </w:r>
      <w:r w:rsidR="00F5364C" w:rsidRPr="00F04BAD">
        <w:rPr>
          <w:rFonts w:ascii="Book Antiqua" w:hAnsi="Book Antiqua" w:cs="Book Antiqua"/>
          <w:color w:val="000000" w:themeColor="text1"/>
          <w:lang w:eastAsia="zh-CN"/>
        </w:rPr>
        <w:t>M</w:t>
      </w:r>
      <w:r w:rsidRPr="00F04BAD">
        <w:rPr>
          <w:rFonts w:ascii="Book Antiqua" w:eastAsia="Book Antiqua" w:hAnsi="Book Antiqua" w:cs="Book Antiqua"/>
          <w:color w:val="000000" w:themeColor="text1"/>
        </w:rPr>
        <w:t>yeloid derived suppressive cell</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NK: </w:t>
      </w:r>
      <w:r w:rsidR="00F5364C" w:rsidRPr="00F04BAD">
        <w:rPr>
          <w:rFonts w:ascii="Book Antiqua" w:hAnsi="Book Antiqua" w:cs="Book Antiqua"/>
          <w:color w:val="000000" w:themeColor="text1"/>
          <w:lang w:eastAsia="zh-CN"/>
        </w:rPr>
        <w:t>N</w:t>
      </w:r>
      <w:r w:rsidRPr="00F04BAD">
        <w:rPr>
          <w:rFonts w:ascii="Book Antiqua" w:eastAsia="Book Antiqua" w:hAnsi="Book Antiqua" w:cs="Book Antiqua"/>
          <w:color w:val="000000" w:themeColor="text1"/>
        </w:rPr>
        <w:t>atural killer</w:t>
      </w:r>
      <w:r w:rsidR="00F5364C"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shd w:val="clear" w:color="auto" w:fill="FFFFFF"/>
        </w:rPr>
        <w:t xml:space="preserve">NKG2D: Natural </w:t>
      </w:r>
      <w:r w:rsidR="00F5364C" w:rsidRPr="00F04BAD">
        <w:rPr>
          <w:rFonts w:ascii="Book Antiqua" w:hAnsi="Book Antiqua" w:cs="Book Antiqua"/>
          <w:color w:val="000000" w:themeColor="text1"/>
          <w:shd w:val="clear" w:color="auto" w:fill="FFFFFF"/>
          <w:lang w:eastAsia="zh-CN"/>
        </w:rPr>
        <w:t>k</w:t>
      </w:r>
      <w:r w:rsidRPr="00F04BAD">
        <w:rPr>
          <w:rFonts w:ascii="Book Antiqua" w:eastAsia="Book Antiqua" w:hAnsi="Book Antiqua" w:cs="Book Antiqua"/>
          <w:color w:val="000000" w:themeColor="text1"/>
          <w:shd w:val="clear" w:color="auto" w:fill="FFFFFF"/>
        </w:rPr>
        <w:t>iller group 2D</w:t>
      </w:r>
      <w:r w:rsidR="00F5364C" w:rsidRPr="00F04BAD">
        <w:rPr>
          <w:rFonts w:ascii="Book Antiqua" w:hAnsi="Book Antiqua" w:cs="Book Antiqua"/>
          <w:color w:val="000000" w:themeColor="text1"/>
          <w:shd w:val="clear" w:color="auto" w:fill="FFFFFF"/>
          <w:lang w:eastAsia="zh-CN"/>
        </w:rPr>
        <w:t xml:space="preserve">; </w:t>
      </w:r>
      <w:r w:rsidRPr="00F04BAD">
        <w:rPr>
          <w:rFonts w:ascii="Book Antiqua" w:eastAsia="Book Antiqua" w:hAnsi="Book Antiqua" w:cs="Book Antiqua"/>
          <w:color w:val="000000" w:themeColor="text1"/>
        </w:rPr>
        <w:t xml:space="preserve">NO: </w:t>
      </w:r>
      <w:r w:rsidR="00F5364C" w:rsidRPr="00F04BAD">
        <w:rPr>
          <w:rFonts w:ascii="Book Antiqua" w:hAnsi="Book Antiqua" w:cs="Book Antiqua"/>
          <w:color w:val="000000" w:themeColor="text1"/>
          <w:lang w:eastAsia="zh-CN"/>
        </w:rPr>
        <w:t>N</w:t>
      </w:r>
      <w:r w:rsidRPr="00F04BAD">
        <w:rPr>
          <w:rFonts w:ascii="Book Antiqua" w:eastAsia="Book Antiqua" w:hAnsi="Book Antiqua" w:cs="Book Antiqua"/>
          <w:color w:val="000000" w:themeColor="text1"/>
        </w:rPr>
        <w:t>itric oxide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TAA: </w:t>
      </w:r>
      <w:r w:rsidR="00F5364C" w:rsidRPr="00F04BAD">
        <w:rPr>
          <w:rFonts w:ascii="Book Antiqua" w:hAnsi="Book Antiqua" w:cs="Book Antiqua"/>
          <w:color w:val="000000" w:themeColor="text1"/>
          <w:lang w:eastAsia="zh-CN"/>
        </w:rPr>
        <w:t>T</w:t>
      </w:r>
      <w:r w:rsidRPr="00F04BAD">
        <w:rPr>
          <w:rFonts w:ascii="Book Antiqua" w:eastAsia="Book Antiqua" w:hAnsi="Book Antiqua" w:cs="Book Antiqua"/>
          <w:color w:val="000000" w:themeColor="text1"/>
        </w:rPr>
        <w:t>umor-associated antigens</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TAM: </w:t>
      </w:r>
      <w:r w:rsidR="00F5364C" w:rsidRPr="00F04BAD">
        <w:rPr>
          <w:rFonts w:ascii="Book Antiqua" w:hAnsi="Book Antiqua" w:cs="Book Antiqua"/>
          <w:color w:val="000000" w:themeColor="text1"/>
          <w:lang w:eastAsia="zh-CN"/>
        </w:rPr>
        <w:t>T</w:t>
      </w:r>
      <w:r w:rsidRPr="00F04BAD">
        <w:rPr>
          <w:rFonts w:ascii="Book Antiqua" w:eastAsia="Book Antiqua" w:hAnsi="Book Antiqua" w:cs="Book Antiqua"/>
          <w:color w:val="000000" w:themeColor="text1"/>
        </w:rPr>
        <w:t>umor-associated macrophage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TSA: </w:t>
      </w:r>
      <w:r w:rsidR="00F5364C" w:rsidRPr="00F04BAD">
        <w:rPr>
          <w:rFonts w:ascii="Book Antiqua" w:hAnsi="Book Antiqua" w:cs="Book Antiqua"/>
          <w:color w:val="000000" w:themeColor="text1"/>
          <w:lang w:eastAsia="zh-CN"/>
        </w:rPr>
        <w:t>T</w:t>
      </w:r>
      <w:r w:rsidRPr="00F04BAD">
        <w:rPr>
          <w:rFonts w:ascii="Book Antiqua" w:eastAsia="Book Antiqua" w:hAnsi="Book Antiqua" w:cs="Book Antiqua"/>
          <w:color w:val="000000" w:themeColor="text1"/>
        </w:rPr>
        <w:t>umor-specific antigen</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Treg: Lymphocyte T regulator.</w:t>
      </w:r>
    </w:p>
    <w:p w14:paraId="2EAD7626" w14:textId="77777777" w:rsidR="00A77B3E" w:rsidRPr="00F04BAD" w:rsidRDefault="00F5364C">
      <w:pPr>
        <w:spacing w:line="360" w:lineRule="auto"/>
        <w:jc w:val="both"/>
        <w:rPr>
          <w:rFonts w:ascii="Book Antiqua" w:hAnsi="Book Antiqua"/>
          <w:color w:val="000000" w:themeColor="text1"/>
        </w:rPr>
      </w:pPr>
      <w:r w:rsidRPr="00F04BAD">
        <w:rPr>
          <w:rFonts w:ascii="Book Antiqua" w:hAnsi="Book Antiqua"/>
          <w:color w:val="000000" w:themeColor="text1"/>
        </w:rPr>
        <w:br w:type="page"/>
      </w:r>
      <w:r w:rsidRPr="00F04BAD">
        <w:rPr>
          <w:rFonts w:ascii="Book Antiqua" w:hAnsi="Book Antiqua"/>
          <w:noProof/>
          <w:color w:val="000000" w:themeColor="text1"/>
          <w:lang w:eastAsia="zh-CN"/>
        </w:rPr>
        <w:drawing>
          <wp:inline distT="0" distB="0" distL="0" distR="0" wp14:anchorId="06C91784" wp14:editId="6B97D275">
            <wp:extent cx="5486400" cy="3556635"/>
            <wp:effectExtent l="0" t="0" r="0" b="5715"/>
            <wp:docPr id="4" name="Image 4">
              <a:extLst xmlns:a="http://schemas.openxmlformats.org/drawingml/2006/main">
                <a:ext uri="{FF2B5EF4-FFF2-40B4-BE49-F238E27FC236}">
                  <a16:creationId xmlns:a16="http://schemas.microsoft.com/office/drawing/2014/main" id="{18C68D16-DA33-4426-8557-35EA8CF3EF9E}"/>
                </a:ext>
              </a:extLst>
            </wp:docPr>
            <wp:cNvGraphicFramePr/>
            <a:graphic xmlns:a="http://schemas.openxmlformats.org/drawingml/2006/main">
              <a:graphicData uri="http://schemas.openxmlformats.org/drawingml/2006/picture">
                <pic:pic xmlns:pic="http://schemas.openxmlformats.org/drawingml/2006/picture">
                  <pic:nvPicPr>
                    <pic:cNvPr id="2" name="Image 4">
                      <a:extLst>
                        <a:ext uri="{FF2B5EF4-FFF2-40B4-BE49-F238E27FC236}">
                          <a16:creationId xmlns:a16="http://schemas.microsoft.com/office/drawing/2014/main" id="{18C68D16-DA33-4426-8557-35EA8CF3EF9E}"/>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556635"/>
                    </a:xfrm>
                    <a:prstGeom prst="rect">
                      <a:avLst/>
                    </a:prstGeom>
                  </pic:spPr>
                </pic:pic>
              </a:graphicData>
            </a:graphic>
          </wp:inline>
        </w:drawing>
      </w:r>
    </w:p>
    <w:p w14:paraId="4F9A58EF" w14:textId="77777777" w:rsidR="00A77B3E" w:rsidRPr="00F04BAD" w:rsidRDefault="000D0918">
      <w:pPr>
        <w:spacing w:line="360" w:lineRule="auto"/>
        <w:jc w:val="both"/>
        <w:rPr>
          <w:rFonts w:ascii="Book Antiqua" w:hAnsi="Book Antiqua"/>
          <w:color w:val="000000" w:themeColor="text1"/>
          <w:lang w:eastAsia="zh-CN"/>
        </w:rPr>
      </w:pPr>
      <w:r w:rsidRPr="00F04BAD">
        <w:rPr>
          <w:rFonts w:ascii="Book Antiqua" w:eastAsia="Book Antiqua" w:hAnsi="Book Antiqua" w:cs="Book Antiqua"/>
          <w:b/>
          <w:bCs/>
          <w:color w:val="000000" w:themeColor="text1"/>
        </w:rPr>
        <w:t>Figure 4</w:t>
      </w:r>
      <w:r w:rsidR="00F5364C" w:rsidRPr="00F04BAD">
        <w:rPr>
          <w:rFonts w:ascii="Book Antiqua" w:hAnsi="Book Antiqua" w:cs="Book Antiqua"/>
          <w:b/>
          <w:bCs/>
          <w:color w:val="000000" w:themeColor="text1"/>
          <w:lang w:eastAsia="zh-CN"/>
        </w:rPr>
        <w:t xml:space="preserve"> </w:t>
      </w:r>
      <w:r w:rsidRPr="00F04BAD">
        <w:rPr>
          <w:rFonts w:ascii="Book Antiqua" w:eastAsia="Book Antiqua" w:hAnsi="Book Antiqua" w:cs="Book Antiqua"/>
          <w:b/>
          <w:bCs/>
          <w:color w:val="000000" w:themeColor="text1"/>
        </w:rPr>
        <w:t xml:space="preserve">Overview of the main epigenetic mechanisms in </w:t>
      </w:r>
      <w:r w:rsidR="00F5364C" w:rsidRPr="00F04BAD">
        <w:rPr>
          <w:rFonts w:ascii="Book Antiqua" w:eastAsia="Book Antiqua" w:hAnsi="Book Antiqua" w:cs="Book Antiqua"/>
          <w:b/>
          <w:bCs/>
          <w:color w:val="000000" w:themeColor="text1"/>
        </w:rPr>
        <w:t>hepatocellular carcinoma</w:t>
      </w:r>
      <w:r w:rsidRPr="00F04BAD">
        <w:rPr>
          <w:rFonts w:ascii="Book Antiqua" w:eastAsia="Book Antiqua" w:hAnsi="Book Antiqua" w:cs="Book Antiqua"/>
          <w:b/>
          <w:bCs/>
          <w:color w:val="000000" w:themeColor="text1"/>
        </w:rPr>
        <w:t xml:space="preserve"> and their inhibitors.</w:t>
      </w:r>
      <w:r w:rsidRPr="00F04BAD">
        <w:rPr>
          <w:rFonts w:ascii="Book Antiqua" w:eastAsia="Book Antiqua" w:hAnsi="Book Antiqua" w:cs="Book Antiqua"/>
          <w:bCs/>
          <w:color w:val="000000" w:themeColor="text1"/>
        </w:rPr>
        <w:t xml:space="preserve"> </w:t>
      </w:r>
      <w:r w:rsidR="00F5364C" w:rsidRPr="00F04BAD">
        <w:rPr>
          <w:rFonts w:ascii="Book Antiqua" w:hAnsi="Book Antiqua" w:cs="Book Antiqua"/>
          <w:color w:val="000000" w:themeColor="text1"/>
          <w:lang w:eastAsia="zh-CN"/>
        </w:rPr>
        <w:t>M</w:t>
      </w:r>
      <w:r w:rsidR="00F5364C" w:rsidRPr="00F04BAD">
        <w:rPr>
          <w:rFonts w:ascii="Book Antiqua" w:eastAsia="Book Antiqua" w:hAnsi="Book Antiqua" w:cs="Book Antiqua"/>
          <w:color w:val="000000" w:themeColor="text1"/>
        </w:rPr>
        <w:t>ade with biorender.com</w:t>
      </w:r>
      <w:r w:rsidR="00F5364C"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bCs/>
          <w:color w:val="000000" w:themeColor="text1"/>
        </w:rPr>
        <w:t>A</w:t>
      </w:r>
      <w:r w:rsidR="00F5364C" w:rsidRPr="00F04BAD">
        <w:rPr>
          <w:rFonts w:ascii="Book Antiqua" w:hAnsi="Book Antiqua" w:cs="Book Antiqua"/>
          <w:bCs/>
          <w:color w:val="000000" w:themeColor="text1"/>
          <w:lang w:eastAsia="zh-CN"/>
        </w:rPr>
        <w:t>:</w:t>
      </w:r>
      <w:r w:rsidRPr="00F04BAD">
        <w:rPr>
          <w:rFonts w:ascii="Book Antiqua" w:eastAsia="Book Antiqua" w:hAnsi="Book Antiqua" w:cs="Book Antiqua"/>
          <w:bCs/>
          <w:color w:val="000000" w:themeColor="text1"/>
        </w:rPr>
        <w:t xml:space="preserve"> DNA methylation</w:t>
      </w:r>
      <w:r w:rsidR="00F5364C" w:rsidRPr="00F04BAD">
        <w:rPr>
          <w:rFonts w:ascii="Book Antiqua" w:hAnsi="Book Antiqua" w:cs="Book Antiqua"/>
          <w:bCs/>
          <w:color w:val="000000" w:themeColor="text1"/>
          <w:lang w:eastAsia="zh-CN"/>
        </w:rPr>
        <w:t xml:space="preserve">; </w:t>
      </w:r>
      <w:r w:rsidR="00F5364C" w:rsidRPr="00F04BAD">
        <w:rPr>
          <w:rFonts w:ascii="Book Antiqua" w:eastAsia="Book Antiqua" w:hAnsi="Book Antiqua" w:cs="Book Antiqua"/>
          <w:bCs/>
          <w:color w:val="000000" w:themeColor="text1"/>
        </w:rPr>
        <w:t>B</w:t>
      </w:r>
      <w:r w:rsidR="00F5364C" w:rsidRPr="00F04BAD">
        <w:rPr>
          <w:rFonts w:ascii="Book Antiqua" w:hAnsi="Book Antiqua" w:cs="Book Antiqua"/>
          <w:bCs/>
          <w:color w:val="000000" w:themeColor="text1"/>
          <w:lang w:eastAsia="zh-CN"/>
        </w:rPr>
        <w:t>:</w:t>
      </w:r>
      <w:r w:rsidR="00F5364C" w:rsidRPr="00F04BAD">
        <w:rPr>
          <w:rFonts w:ascii="Book Antiqua" w:eastAsia="Book Antiqua" w:hAnsi="Book Antiqua" w:cs="Book Antiqua"/>
          <w:bCs/>
          <w:color w:val="000000" w:themeColor="text1"/>
        </w:rPr>
        <w:t xml:space="preserve"> Histone modification</w:t>
      </w:r>
      <w:r w:rsidRPr="00F04BAD">
        <w:rPr>
          <w:rFonts w:ascii="Book Antiqua" w:eastAsia="Book Antiqua" w:hAnsi="Book Antiqua" w:cs="Book Antiqua"/>
          <w:bCs/>
          <w:color w:val="000000" w:themeColor="text1"/>
        </w:rPr>
        <w:t>.</w:t>
      </w:r>
      <w:r w:rsidR="00242775" w:rsidRPr="00F04BAD">
        <w:rPr>
          <w:rFonts w:ascii="Book Antiqua" w:hAnsi="Book Antiqua" w:cs="Book Antiqua"/>
          <w:bCs/>
          <w:color w:val="000000" w:themeColor="text1"/>
          <w:lang w:eastAsia="zh-CN"/>
        </w:rPr>
        <w:t xml:space="preserve"> </w:t>
      </w:r>
      <w:r w:rsidRPr="00F04BAD">
        <w:rPr>
          <w:rFonts w:ascii="Book Antiqua" w:eastAsia="Book Antiqua" w:hAnsi="Book Antiqua" w:cs="Book Antiqua"/>
          <w:color w:val="000000" w:themeColor="text1"/>
        </w:rPr>
        <w:t>DNMT: DNA methyltransferase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TET: Ten-eleven translocation</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DNMTis: DNA methyltransferase inhibitors</w:t>
      </w:r>
      <w:r w:rsidR="00F5364C"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 xml:space="preserve">HAT: </w:t>
      </w:r>
      <w:r w:rsidR="00F5364C" w:rsidRPr="00F04BAD">
        <w:rPr>
          <w:rFonts w:ascii="Book Antiqua" w:hAnsi="Book Antiqua" w:cs="Book Antiqua"/>
          <w:color w:val="000000" w:themeColor="text1"/>
          <w:lang w:eastAsia="zh-CN"/>
        </w:rPr>
        <w:t>H</w:t>
      </w:r>
      <w:r w:rsidRPr="00F04BAD">
        <w:rPr>
          <w:rFonts w:ascii="Book Antiqua" w:eastAsia="Book Antiqua" w:hAnsi="Book Antiqua" w:cs="Book Antiqua"/>
          <w:color w:val="000000" w:themeColor="text1"/>
        </w:rPr>
        <w:t>istone acetyl transferase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HDAC: Histone deacetylase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HDACis: Histone deacetylase inhibitors</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HMT: Histone methyl transferase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HDM: Histone demethylase</w:t>
      </w:r>
      <w:r w:rsidR="00F5364C" w:rsidRPr="00F04BAD">
        <w:rPr>
          <w:rFonts w:ascii="Book Antiqua" w:hAnsi="Book Antiqua" w:cs="Book Antiqua"/>
          <w:color w:val="000000" w:themeColor="text1"/>
          <w:lang w:eastAsia="zh-CN"/>
        </w:rPr>
        <w:t>;</w:t>
      </w:r>
      <w:r w:rsidRPr="00F04BAD">
        <w:rPr>
          <w:rFonts w:ascii="Book Antiqua" w:eastAsia="Book Antiqua" w:hAnsi="Book Antiqua" w:cs="Book Antiqua"/>
          <w:color w:val="000000" w:themeColor="text1"/>
        </w:rPr>
        <w:t xml:space="preserve"> HMTis: Histone methyl transferase inhibitors</w:t>
      </w:r>
      <w:r w:rsidR="00F5364C" w:rsidRPr="00F04BAD">
        <w:rPr>
          <w:rFonts w:ascii="Book Antiqua" w:hAnsi="Book Antiqua" w:cs="Book Antiqua"/>
          <w:color w:val="000000" w:themeColor="text1"/>
          <w:lang w:eastAsia="zh-CN"/>
        </w:rPr>
        <w:t>;</w:t>
      </w:r>
      <w:r w:rsidR="00F5364C" w:rsidRPr="00F04BAD">
        <w:rPr>
          <w:rFonts w:ascii="Book Antiqua" w:eastAsia="Book Antiqua" w:hAnsi="Book Antiqua" w:cs="Book Antiqua"/>
          <w:color w:val="000000" w:themeColor="text1"/>
        </w:rPr>
        <w:t xml:space="preserve"> HCC: </w:t>
      </w:r>
      <w:r w:rsidR="00F5364C" w:rsidRPr="00F04BAD">
        <w:rPr>
          <w:rFonts w:ascii="Book Antiqua" w:hAnsi="Book Antiqua" w:cs="Book Antiqua"/>
          <w:color w:val="000000" w:themeColor="text1"/>
          <w:lang w:eastAsia="zh-CN"/>
        </w:rPr>
        <w:t>H</w:t>
      </w:r>
      <w:r w:rsidR="00F5364C" w:rsidRPr="00F04BAD">
        <w:rPr>
          <w:rFonts w:ascii="Book Antiqua" w:eastAsia="Book Antiqua" w:hAnsi="Book Antiqua" w:cs="Book Antiqua"/>
          <w:color w:val="000000" w:themeColor="text1"/>
        </w:rPr>
        <w:t>epatocellular carcinoma</w:t>
      </w:r>
      <w:r w:rsidR="00F5364C" w:rsidRPr="00F04BAD">
        <w:rPr>
          <w:rFonts w:ascii="Book Antiqua" w:hAnsi="Book Antiqua" w:cs="Book Antiqua"/>
          <w:color w:val="000000" w:themeColor="text1"/>
          <w:lang w:eastAsia="zh-CN"/>
        </w:rPr>
        <w:t>.</w:t>
      </w:r>
    </w:p>
    <w:p w14:paraId="6F52AD73" w14:textId="77777777" w:rsidR="00F5364C" w:rsidRPr="00F04BAD" w:rsidRDefault="00F5364C">
      <w:pPr>
        <w:spacing w:line="360" w:lineRule="auto"/>
        <w:jc w:val="both"/>
        <w:rPr>
          <w:rFonts w:ascii="Book Antiqua" w:hAnsi="Book Antiqua" w:cs="Book Antiqua"/>
          <w:b/>
          <w:bCs/>
          <w:color w:val="000000" w:themeColor="text1"/>
          <w:lang w:eastAsia="zh-CN"/>
        </w:rPr>
      </w:pPr>
      <w:r w:rsidRPr="00F04BAD">
        <w:rPr>
          <w:rFonts w:ascii="Book Antiqua" w:hAnsi="Book Antiqua"/>
          <w:color w:val="000000" w:themeColor="text1"/>
        </w:rPr>
        <w:br w:type="page"/>
      </w:r>
      <w:r w:rsidR="000D0918" w:rsidRPr="00F04BAD">
        <w:rPr>
          <w:rFonts w:ascii="Book Antiqua" w:eastAsia="Book Antiqua" w:hAnsi="Book Antiqua" w:cs="Book Antiqua"/>
          <w:b/>
          <w:bCs/>
          <w:color w:val="000000" w:themeColor="text1"/>
        </w:rPr>
        <w:t xml:space="preserve">Table </w:t>
      </w:r>
      <w:r w:rsidRPr="00F04BAD">
        <w:rPr>
          <w:rFonts w:ascii="Book Antiqua" w:hAnsi="Book Antiqua" w:cs="Book Antiqua"/>
          <w:b/>
          <w:bCs/>
          <w:color w:val="000000" w:themeColor="text1"/>
          <w:lang w:eastAsia="zh-CN"/>
        </w:rPr>
        <w:t>1</w:t>
      </w:r>
      <w:r w:rsidR="000D0918" w:rsidRPr="00F04BAD">
        <w:rPr>
          <w:rFonts w:ascii="Book Antiqua" w:eastAsia="Book Antiqua" w:hAnsi="Book Antiqua" w:cs="Book Antiqua"/>
          <w:b/>
          <w:bCs/>
          <w:color w:val="000000" w:themeColor="text1"/>
        </w:rPr>
        <w:t xml:space="preserve"> Main clinical trials on immunotherapies and epigenetic agents in monotherapies or in combination</w:t>
      </w:r>
    </w:p>
    <w:tbl>
      <w:tblPr>
        <w:tblW w:w="0" w:type="auto"/>
        <w:tblLayout w:type="fixed"/>
        <w:tblCellMar>
          <w:left w:w="70" w:type="dxa"/>
          <w:right w:w="70" w:type="dxa"/>
        </w:tblCellMar>
        <w:tblLook w:val="04A0" w:firstRow="1" w:lastRow="0" w:firstColumn="1" w:lastColumn="0" w:noHBand="0" w:noVBand="1"/>
      </w:tblPr>
      <w:tblGrid>
        <w:gridCol w:w="1812"/>
        <w:gridCol w:w="877"/>
        <w:gridCol w:w="2976"/>
        <w:gridCol w:w="1493"/>
        <w:gridCol w:w="2268"/>
      </w:tblGrid>
      <w:tr w:rsidR="00FC660A" w:rsidRPr="00FD5C87" w14:paraId="4EDE838E" w14:textId="77777777" w:rsidTr="00F5364C">
        <w:trPr>
          <w:trHeight w:val="320"/>
        </w:trPr>
        <w:tc>
          <w:tcPr>
            <w:tcW w:w="1812" w:type="dxa"/>
            <w:tcBorders>
              <w:top w:val="single" w:sz="4" w:space="0" w:color="auto"/>
              <w:bottom w:val="single" w:sz="4" w:space="0" w:color="auto"/>
            </w:tcBorders>
            <w:shd w:val="clear" w:color="auto" w:fill="auto"/>
            <w:noWrap/>
            <w:hideMark/>
          </w:tcPr>
          <w:p w14:paraId="51D512CE" w14:textId="77777777" w:rsidR="00F5364C" w:rsidRPr="00F04BAD" w:rsidRDefault="00F5364C" w:rsidP="00F5364C">
            <w:pPr>
              <w:spacing w:line="360" w:lineRule="auto"/>
              <w:jc w:val="both"/>
              <w:rPr>
                <w:rFonts w:ascii="Book Antiqua" w:eastAsia="Times New Roman" w:hAnsi="Book Antiqua" w:cs="Calibri"/>
                <w:b/>
                <w:bCs/>
                <w:color w:val="000000" w:themeColor="text1"/>
                <w:lang w:eastAsia="fr-FR"/>
              </w:rPr>
            </w:pPr>
            <w:r w:rsidRPr="00F04BAD">
              <w:rPr>
                <w:rFonts w:ascii="Book Antiqua" w:eastAsia="Times New Roman" w:hAnsi="Book Antiqua" w:cs="Calibri"/>
                <w:b/>
                <w:bCs/>
                <w:color w:val="000000" w:themeColor="text1"/>
                <w:lang w:eastAsia="fr-FR"/>
              </w:rPr>
              <w:t xml:space="preserve">Clinical </w:t>
            </w:r>
            <w:r w:rsidRPr="00F04BAD">
              <w:rPr>
                <w:rFonts w:ascii="Book Antiqua" w:hAnsi="Book Antiqua" w:cs="Calibri"/>
                <w:b/>
                <w:bCs/>
                <w:color w:val="000000" w:themeColor="text1"/>
                <w:lang w:eastAsia="zh-CN"/>
              </w:rPr>
              <w:t>t</w:t>
            </w:r>
            <w:r w:rsidRPr="00F04BAD">
              <w:rPr>
                <w:rFonts w:ascii="Book Antiqua" w:eastAsia="Times New Roman" w:hAnsi="Book Antiqua" w:cs="Calibri"/>
                <w:b/>
                <w:bCs/>
                <w:color w:val="000000" w:themeColor="text1"/>
                <w:lang w:eastAsia="fr-FR"/>
              </w:rPr>
              <w:t>rial</w:t>
            </w:r>
          </w:p>
        </w:tc>
        <w:tc>
          <w:tcPr>
            <w:tcW w:w="877" w:type="dxa"/>
            <w:tcBorders>
              <w:top w:val="single" w:sz="4" w:space="0" w:color="auto"/>
              <w:bottom w:val="single" w:sz="4" w:space="0" w:color="auto"/>
            </w:tcBorders>
            <w:shd w:val="clear" w:color="auto" w:fill="auto"/>
            <w:noWrap/>
            <w:hideMark/>
          </w:tcPr>
          <w:p w14:paraId="763F56C1" w14:textId="77777777" w:rsidR="00F5364C" w:rsidRPr="00F04BAD" w:rsidRDefault="00F5364C" w:rsidP="00F5364C">
            <w:pPr>
              <w:spacing w:line="360" w:lineRule="auto"/>
              <w:jc w:val="both"/>
              <w:rPr>
                <w:rFonts w:ascii="Book Antiqua" w:eastAsia="Times New Roman" w:hAnsi="Book Antiqua" w:cs="Calibri"/>
                <w:b/>
                <w:bCs/>
                <w:color w:val="000000" w:themeColor="text1"/>
                <w:lang w:eastAsia="fr-FR"/>
              </w:rPr>
            </w:pPr>
            <w:r w:rsidRPr="00F04BAD">
              <w:rPr>
                <w:rFonts w:ascii="Book Antiqua" w:eastAsia="Times New Roman" w:hAnsi="Book Antiqua" w:cs="Calibri"/>
                <w:b/>
                <w:bCs/>
                <w:color w:val="000000" w:themeColor="text1"/>
                <w:lang w:eastAsia="fr-FR"/>
              </w:rPr>
              <w:t>Phase</w:t>
            </w:r>
          </w:p>
        </w:tc>
        <w:tc>
          <w:tcPr>
            <w:tcW w:w="2976" w:type="dxa"/>
            <w:tcBorders>
              <w:top w:val="single" w:sz="4" w:space="0" w:color="auto"/>
              <w:bottom w:val="single" w:sz="4" w:space="0" w:color="auto"/>
            </w:tcBorders>
            <w:shd w:val="clear" w:color="auto" w:fill="auto"/>
            <w:noWrap/>
            <w:hideMark/>
          </w:tcPr>
          <w:p w14:paraId="76F015DB" w14:textId="77777777" w:rsidR="00F5364C" w:rsidRPr="00F04BAD" w:rsidRDefault="00F5364C" w:rsidP="00F5364C">
            <w:pPr>
              <w:spacing w:line="360" w:lineRule="auto"/>
              <w:jc w:val="both"/>
              <w:rPr>
                <w:rFonts w:ascii="Book Antiqua" w:eastAsia="Times New Roman" w:hAnsi="Book Antiqua" w:cs="Calibri"/>
                <w:b/>
                <w:bCs/>
                <w:color w:val="000000" w:themeColor="text1"/>
                <w:lang w:eastAsia="fr-FR"/>
              </w:rPr>
            </w:pPr>
            <w:r w:rsidRPr="00F04BAD">
              <w:rPr>
                <w:rFonts w:ascii="Book Antiqua" w:eastAsia="Times New Roman" w:hAnsi="Book Antiqua" w:cs="Calibri"/>
                <w:b/>
                <w:bCs/>
                <w:color w:val="000000" w:themeColor="text1"/>
                <w:lang w:eastAsia="fr-FR"/>
              </w:rPr>
              <w:t>Drugs</w:t>
            </w:r>
          </w:p>
        </w:tc>
        <w:tc>
          <w:tcPr>
            <w:tcW w:w="1493" w:type="dxa"/>
            <w:tcBorders>
              <w:top w:val="single" w:sz="4" w:space="0" w:color="auto"/>
              <w:bottom w:val="single" w:sz="4" w:space="0" w:color="auto"/>
            </w:tcBorders>
            <w:shd w:val="clear" w:color="auto" w:fill="auto"/>
            <w:noWrap/>
            <w:hideMark/>
          </w:tcPr>
          <w:p w14:paraId="73837A8D" w14:textId="77777777" w:rsidR="00F5364C" w:rsidRPr="00F04BAD" w:rsidRDefault="00F5364C" w:rsidP="00F5364C">
            <w:pPr>
              <w:spacing w:line="360" w:lineRule="auto"/>
              <w:jc w:val="both"/>
              <w:rPr>
                <w:rFonts w:ascii="Book Antiqua" w:eastAsia="Times New Roman" w:hAnsi="Book Antiqua" w:cs="Calibri"/>
                <w:b/>
                <w:bCs/>
                <w:color w:val="000000" w:themeColor="text1"/>
                <w:lang w:eastAsia="fr-FR"/>
              </w:rPr>
            </w:pPr>
            <w:r w:rsidRPr="00F04BAD">
              <w:rPr>
                <w:rFonts w:ascii="Book Antiqua" w:eastAsia="Times New Roman" w:hAnsi="Book Antiqua" w:cs="Calibri"/>
                <w:b/>
                <w:bCs/>
                <w:color w:val="000000" w:themeColor="text1"/>
                <w:lang w:eastAsia="fr-FR"/>
              </w:rPr>
              <w:t>Line/</w:t>
            </w:r>
            <w:r w:rsidRPr="00F04BAD">
              <w:rPr>
                <w:rFonts w:ascii="Book Antiqua" w:hAnsi="Book Antiqua" w:cs="Calibri"/>
                <w:b/>
                <w:bCs/>
                <w:color w:val="000000" w:themeColor="text1"/>
                <w:lang w:eastAsia="zh-CN"/>
              </w:rPr>
              <w:t>s</w:t>
            </w:r>
            <w:r w:rsidRPr="00F04BAD">
              <w:rPr>
                <w:rFonts w:ascii="Book Antiqua" w:eastAsia="Times New Roman" w:hAnsi="Book Antiqua" w:cs="Calibri"/>
                <w:b/>
                <w:bCs/>
                <w:color w:val="000000" w:themeColor="text1"/>
                <w:lang w:eastAsia="fr-FR"/>
              </w:rPr>
              <w:t>etting</w:t>
            </w:r>
          </w:p>
        </w:tc>
        <w:tc>
          <w:tcPr>
            <w:tcW w:w="2268" w:type="dxa"/>
            <w:tcBorders>
              <w:top w:val="single" w:sz="4" w:space="0" w:color="auto"/>
              <w:bottom w:val="single" w:sz="4" w:space="0" w:color="auto"/>
            </w:tcBorders>
            <w:shd w:val="clear" w:color="auto" w:fill="auto"/>
            <w:noWrap/>
            <w:hideMark/>
          </w:tcPr>
          <w:p w14:paraId="16016724" w14:textId="77777777" w:rsidR="00F5364C" w:rsidRPr="00F04BAD" w:rsidRDefault="00F5364C" w:rsidP="00F5364C">
            <w:pPr>
              <w:spacing w:line="360" w:lineRule="auto"/>
              <w:jc w:val="both"/>
              <w:rPr>
                <w:rFonts w:ascii="Book Antiqua" w:eastAsia="Times New Roman" w:hAnsi="Book Antiqua" w:cs="Calibri"/>
                <w:b/>
                <w:bCs/>
                <w:color w:val="000000" w:themeColor="text1"/>
                <w:lang w:eastAsia="fr-FR"/>
              </w:rPr>
            </w:pPr>
            <w:r w:rsidRPr="00F04BAD">
              <w:rPr>
                <w:rFonts w:ascii="Book Antiqua" w:eastAsia="Times New Roman" w:hAnsi="Book Antiqua" w:cs="Calibri"/>
                <w:b/>
                <w:bCs/>
                <w:color w:val="000000" w:themeColor="text1"/>
                <w:lang w:eastAsia="fr-FR"/>
              </w:rPr>
              <w:t>Cancer type</w:t>
            </w:r>
          </w:p>
        </w:tc>
      </w:tr>
      <w:tr w:rsidR="00FC660A" w:rsidRPr="00FD5C87" w14:paraId="2B37411D" w14:textId="77777777" w:rsidTr="00405BEF">
        <w:trPr>
          <w:trHeight w:val="320"/>
        </w:trPr>
        <w:tc>
          <w:tcPr>
            <w:tcW w:w="1812" w:type="dxa"/>
            <w:tcBorders>
              <w:top w:val="single" w:sz="4" w:space="0" w:color="auto"/>
            </w:tcBorders>
            <w:shd w:val="clear" w:color="auto" w:fill="auto"/>
            <w:noWrap/>
            <w:hideMark/>
          </w:tcPr>
          <w:p w14:paraId="4969B042"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NCT03383458</w:t>
            </w:r>
            <w:r w:rsidRPr="00F04BAD">
              <w:rPr>
                <w:rFonts w:ascii="Book Antiqua" w:eastAsia="Times New Roman" w:hAnsi="Book Antiqua" w:cs="Calibri"/>
                <w:color w:val="000000" w:themeColor="text1"/>
                <w:vertAlign w:val="superscript"/>
                <w:lang w:eastAsia="fr-FR"/>
              </w:rPr>
              <w:t>1</w:t>
            </w:r>
          </w:p>
        </w:tc>
        <w:tc>
          <w:tcPr>
            <w:tcW w:w="877" w:type="dxa"/>
            <w:tcBorders>
              <w:top w:val="single" w:sz="4" w:space="0" w:color="auto"/>
            </w:tcBorders>
            <w:shd w:val="clear" w:color="auto" w:fill="auto"/>
            <w:noWrap/>
            <w:hideMark/>
          </w:tcPr>
          <w:p w14:paraId="769BAD5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tcBorders>
              <w:top w:val="single" w:sz="4" w:space="0" w:color="auto"/>
            </w:tcBorders>
            <w:shd w:val="clear" w:color="auto" w:fill="auto"/>
            <w:noWrap/>
            <w:hideMark/>
          </w:tcPr>
          <w:p w14:paraId="4D56BD60" w14:textId="385B76C2"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Nivolumab </w:t>
            </w:r>
            <w:r w:rsidRPr="00F04BAD">
              <w:rPr>
                <w:rFonts w:ascii="Book Antiqua" w:eastAsia="Times New Roman" w:hAnsi="Book Antiqua" w:cs="Calibri"/>
                <w:i/>
                <w:iCs/>
                <w:color w:val="000000" w:themeColor="text1"/>
                <w:lang w:eastAsia="fr-FR"/>
              </w:rPr>
              <w:t xml:space="preserve">vs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lacebo</w:t>
            </w:r>
          </w:p>
        </w:tc>
        <w:tc>
          <w:tcPr>
            <w:tcW w:w="1493" w:type="dxa"/>
            <w:tcBorders>
              <w:top w:val="single" w:sz="4" w:space="0" w:color="auto"/>
            </w:tcBorders>
            <w:shd w:val="clear" w:color="auto" w:fill="auto"/>
            <w:noWrap/>
            <w:hideMark/>
          </w:tcPr>
          <w:p w14:paraId="13ABD7A1"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ADJ</w:t>
            </w:r>
          </w:p>
        </w:tc>
        <w:tc>
          <w:tcPr>
            <w:tcW w:w="2268" w:type="dxa"/>
            <w:tcBorders>
              <w:top w:val="single" w:sz="4" w:space="0" w:color="auto"/>
            </w:tcBorders>
            <w:shd w:val="clear" w:color="auto" w:fill="auto"/>
            <w:noWrap/>
            <w:hideMark/>
          </w:tcPr>
          <w:p w14:paraId="427C077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36CFDEF5" w14:textId="77777777" w:rsidTr="00405BEF">
        <w:trPr>
          <w:trHeight w:val="320"/>
        </w:trPr>
        <w:tc>
          <w:tcPr>
            <w:tcW w:w="1812" w:type="dxa"/>
            <w:shd w:val="clear" w:color="auto" w:fill="auto"/>
            <w:noWrap/>
            <w:hideMark/>
          </w:tcPr>
          <w:p w14:paraId="01C9CA0F"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NCT03867084</w:t>
            </w:r>
            <w:r w:rsidRPr="00F04BAD">
              <w:rPr>
                <w:rFonts w:ascii="Book Antiqua" w:eastAsia="Times New Roman" w:hAnsi="Book Antiqua" w:cs="Calibri"/>
                <w:color w:val="000000" w:themeColor="text1"/>
                <w:vertAlign w:val="superscript"/>
                <w:lang w:eastAsia="fr-FR"/>
              </w:rPr>
              <w:t>1</w:t>
            </w:r>
          </w:p>
        </w:tc>
        <w:tc>
          <w:tcPr>
            <w:tcW w:w="877" w:type="dxa"/>
            <w:shd w:val="clear" w:color="auto" w:fill="auto"/>
            <w:noWrap/>
            <w:hideMark/>
          </w:tcPr>
          <w:p w14:paraId="355950B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3E7AE104" w14:textId="7FEDB241"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Pembrolizumab </w:t>
            </w:r>
            <w:r w:rsidRPr="00F04BAD">
              <w:rPr>
                <w:rFonts w:ascii="Book Antiqua" w:eastAsia="Times New Roman" w:hAnsi="Book Antiqua" w:cs="Calibri"/>
                <w:i/>
                <w:iCs/>
                <w:color w:val="000000" w:themeColor="text1"/>
                <w:lang w:eastAsia="fr-FR"/>
              </w:rPr>
              <w:t xml:space="preserve">vs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lacebo</w:t>
            </w:r>
          </w:p>
        </w:tc>
        <w:tc>
          <w:tcPr>
            <w:tcW w:w="1493" w:type="dxa"/>
            <w:shd w:val="clear" w:color="auto" w:fill="auto"/>
            <w:noWrap/>
            <w:hideMark/>
          </w:tcPr>
          <w:p w14:paraId="0B172116"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ADJ</w:t>
            </w:r>
          </w:p>
        </w:tc>
        <w:tc>
          <w:tcPr>
            <w:tcW w:w="2268" w:type="dxa"/>
            <w:shd w:val="clear" w:color="auto" w:fill="auto"/>
            <w:noWrap/>
            <w:hideMark/>
          </w:tcPr>
          <w:p w14:paraId="115CF92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740E9C85" w14:textId="77777777" w:rsidTr="00405BEF">
        <w:trPr>
          <w:trHeight w:val="320"/>
        </w:trPr>
        <w:tc>
          <w:tcPr>
            <w:tcW w:w="1812" w:type="dxa"/>
            <w:shd w:val="clear" w:color="auto" w:fill="auto"/>
            <w:noWrap/>
            <w:hideMark/>
          </w:tcPr>
          <w:p w14:paraId="5FA92BE7"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NCT03062358</w:t>
            </w:r>
            <w:r w:rsidRPr="00F04BAD">
              <w:rPr>
                <w:rFonts w:ascii="Book Antiqua" w:eastAsia="Times New Roman" w:hAnsi="Book Antiqua" w:cs="Calibri"/>
                <w:color w:val="000000" w:themeColor="text1"/>
                <w:vertAlign w:val="superscript"/>
                <w:lang w:eastAsia="fr-FR"/>
              </w:rPr>
              <w:t>1</w:t>
            </w:r>
          </w:p>
        </w:tc>
        <w:tc>
          <w:tcPr>
            <w:tcW w:w="877" w:type="dxa"/>
            <w:shd w:val="clear" w:color="auto" w:fill="auto"/>
            <w:noWrap/>
            <w:hideMark/>
          </w:tcPr>
          <w:p w14:paraId="78062105"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1E2DB06F" w14:textId="0BECACAE"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Pembrolizumab + BSC </w:t>
            </w:r>
            <w:r w:rsidRPr="00F04BAD">
              <w:rPr>
                <w:rFonts w:ascii="Book Antiqua" w:eastAsia="Times New Roman" w:hAnsi="Book Antiqua" w:cs="Calibri"/>
                <w:i/>
                <w:iCs/>
                <w:color w:val="000000" w:themeColor="text1"/>
                <w:lang w:eastAsia="fr-FR"/>
              </w:rPr>
              <w:t>vs</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lacebo + BSC</w:t>
            </w:r>
          </w:p>
        </w:tc>
        <w:tc>
          <w:tcPr>
            <w:tcW w:w="1493" w:type="dxa"/>
            <w:shd w:val="clear" w:color="auto" w:fill="auto"/>
            <w:noWrap/>
            <w:hideMark/>
          </w:tcPr>
          <w:p w14:paraId="59D6504A"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ADJ</w:t>
            </w:r>
          </w:p>
        </w:tc>
        <w:tc>
          <w:tcPr>
            <w:tcW w:w="2268" w:type="dxa"/>
            <w:shd w:val="clear" w:color="auto" w:fill="auto"/>
            <w:noWrap/>
            <w:hideMark/>
          </w:tcPr>
          <w:p w14:paraId="0DD3090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26165E11" w14:textId="77777777" w:rsidTr="00405BEF">
        <w:trPr>
          <w:trHeight w:val="320"/>
        </w:trPr>
        <w:tc>
          <w:tcPr>
            <w:tcW w:w="1812" w:type="dxa"/>
            <w:shd w:val="clear" w:color="auto" w:fill="auto"/>
            <w:noWrap/>
            <w:hideMark/>
          </w:tcPr>
          <w:p w14:paraId="6F979CFD"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NCT03412773</w:t>
            </w:r>
            <w:r w:rsidRPr="00F04BAD">
              <w:rPr>
                <w:rFonts w:ascii="Book Antiqua" w:eastAsia="Times New Roman" w:hAnsi="Book Antiqua" w:cs="Calibri"/>
                <w:color w:val="000000" w:themeColor="text1"/>
                <w:vertAlign w:val="superscript"/>
                <w:lang w:eastAsia="fr-FR"/>
              </w:rPr>
              <w:t>1</w:t>
            </w:r>
          </w:p>
        </w:tc>
        <w:tc>
          <w:tcPr>
            <w:tcW w:w="877" w:type="dxa"/>
            <w:shd w:val="clear" w:color="auto" w:fill="auto"/>
            <w:noWrap/>
            <w:hideMark/>
          </w:tcPr>
          <w:p w14:paraId="266E8DB9"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7A3FB6C3" w14:textId="25F74588"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Tislelizumab </w:t>
            </w:r>
            <w:r w:rsidRPr="00F04BAD">
              <w:rPr>
                <w:rFonts w:ascii="Book Antiqua" w:eastAsia="Times New Roman" w:hAnsi="Book Antiqua" w:cs="Calibri"/>
                <w:i/>
                <w:iCs/>
                <w:color w:val="000000" w:themeColor="text1"/>
                <w:lang w:eastAsia="fr-FR"/>
              </w:rPr>
              <w:t>vs</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s</w:t>
            </w:r>
            <w:r w:rsidRPr="00F04BAD">
              <w:rPr>
                <w:rFonts w:ascii="Book Antiqua" w:eastAsia="Times New Roman" w:hAnsi="Book Antiqua" w:cs="Calibri"/>
                <w:color w:val="000000" w:themeColor="text1"/>
                <w:lang w:eastAsia="fr-FR"/>
              </w:rPr>
              <w:t>orafenib</w:t>
            </w:r>
          </w:p>
        </w:tc>
        <w:tc>
          <w:tcPr>
            <w:tcW w:w="1493" w:type="dxa"/>
            <w:shd w:val="clear" w:color="auto" w:fill="auto"/>
            <w:noWrap/>
            <w:hideMark/>
          </w:tcPr>
          <w:p w14:paraId="79535EC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0E672580"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034D5986" w14:textId="77777777" w:rsidTr="00405BEF">
        <w:trPr>
          <w:trHeight w:val="320"/>
        </w:trPr>
        <w:tc>
          <w:tcPr>
            <w:tcW w:w="1812" w:type="dxa"/>
            <w:shd w:val="clear" w:color="auto" w:fill="auto"/>
            <w:noWrap/>
            <w:hideMark/>
          </w:tcPr>
          <w:p w14:paraId="43237F5A"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NCT03755791</w:t>
            </w:r>
            <w:r w:rsidRPr="00F04BAD">
              <w:rPr>
                <w:rFonts w:ascii="Book Antiqua" w:eastAsia="Times New Roman" w:hAnsi="Book Antiqua" w:cs="Calibri"/>
                <w:color w:val="000000" w:themeColor="text1"/>
                <w:vertAlign w:val="superscript"/>
                <w:lang w:eastAsia="fr-FR"/>
              </w:rPr>
              <w:t>2</w:t>
            </w:r>
          </w:p>
        </w:tc>
        <w:tc>
          <w:tcPr>
            <w:tcW w:w="877" w:type="dxa"/>
            <w:shd w:val="clear" w:color="auto" w:fill="auto"/>
            <w:noWrap/>
            <w:hideMark/>
          </w:tcPr>
          <w:p w14:paraId="43D97CF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099C887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hAnsi="Book Antiqua" w:cs="Calibri"/>
                <w:color w:val="000000" w:themeColor="text1"/>
                <w:lang w:eastAsia="zh-CN"/>
              </w:rPr>
              <w:t>C</w:t>
            </w:r>
            <w:r w:rsidRPr="00F04BAD">
              <w:rPr>
                <w:rFonts w:ascii="Book Antiqua" w:eastAsia="Times New Roman" w:hAnsi="Book Antiqua" w:cs="Calibri"/>
                <w:color w:val="000000" w:themeColor="text1"/>
                <w:lang w:eastAsia="fr-FR"/>
              </w:rPr>
              <w:t xml:space="preserve">abozantinib + atezolizumab </w:t>
            </w:r>
            <w:r w:rsidRPr="00F04BAD">
              <w:rPr>
                <w:rFonts w:ascii="Book Antiqua" w:eastAsia="Times New Roman" w:hAnsi="Book Antiqua" w:cs="Calibri"/>
                <w:i/>
                <w:iCs/>
                <w:color w:val="000000" w:themeColor="text1"/>
                <w:lang w:eastAsia="fr-FR"/>
              </w:rPr>
              <w:t>vs</w:t>
            </w:r>
            <w:r w:rsidRPr="00F04BAD">
              <w:rPr>
                <w:rFonts w:ascii="Book Antiqua" w:eastAsia="Times New Roman" w:hAnsi="Book Antiqua" w:cs="Calibri"/>
                <w:color w:val="000000" w:themeColor="text1"/>
                <w:lang w:eastAsia="fr-FR"/>
              </w:rPr>
              <w:t xml:space="preserve"> sorafenib</w:t>
            </w:r>
          </w:p>
        </w:tc>
        <w:tc>
          <w:tcPr>
            <w:tcW w:w="1493" w:type="dxa"/>
            <w:shd w:val="clear" w:color="auto" w:fill="auto"/>
            <w:noWrap/>
            <w:hideMark/>
          </w:tcPr>
          <w:p w14:paraId="552D2569"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40010C9A"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258FC574" w14:textId="77777777" w:rsidTr="00405BEF">
        <w:trPr>
          <w:trHeight w:val="320"/>
        </w:trPr>
        <w:tc>
          <w:tcPr>
            <w:tcW w:w="1812" w:type="dxa"/>
            <w:shd w:val="clear" w:color="auto" w:fill="auto"/>
            <w:noWrap/>
            <w:hideMark/>
          </w:tcPr>
          <w:p w14:paraId="49701A88"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NCT04487067</w:t>
            </w:r>
            <w:r w:rsidRPr="00F04BAD">
              <w:rPr>
                <w:rFonts w:ascii="Book Antiqua" w:eastAsia="Times New Roman" w:hAnsi="Book Antiqua" w:cs="Calibri"/>
                <w:color w:val="000000" w:themeColor="text1"/>
                <w:vertAlign w:val="superscript"/>
                <w:lang w:eastAsia="fr-FR"/>
              </w:rPr>
              <w:t>2</w:t>
            </w:r>
          </w:p>
        </w:tc>
        <w:tc>
          <w:tcPr>
            <w:tcW w:w="877" w:type="dxa"/>
            <w:shd w:val="clear" w:color="auto" w:fill="auto"/>
            <w:noWrap/>
            <w:hideMark/>
          </w:tcPr>
          <w:p w14:paraId="6CB6BDB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3999961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hAnsi="Book Antiqua" w:cs="Calibri"/>
                <w:color w:val="000000" w:themeColor="text1"/>
                <w:lang w:eastAsia="zh-CN"/>
              </w:rPr>
              <w:t>A</w:t>
            </w:r>
            <w:r w:rsidRPr="00F04BAD">
              <w:rPr>
                <w:rFonts w:ascii="Book Antiqua" w:eastAsia="Times New Roman" w:hAnsi="Book Antiqua" w:cs="Calibri"/>
                <w:color w:val="000000" w:themeColor="text1"/>
                <w:lang w:eastAsia="fr-FR"/>
              </w:rPr>
              <w:t>tezolizumab</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bevacizumab</w:t>
            </w:r>
          </w:p>
        </w:tc>
        <w:tc>
          <w:tcPr>
            <w:tcW w:w="1493" w:type="dxa"/>
            <w:shd w:val="clear" w:color="auto" w:fill="auto"/>
            <w:noWrap/>
            <w:hideMark/>
          </w:tcPr>
          <w:p w14:paraId="54208EA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000D9EB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3FD7DCEF" w14:textId="77777777" w:rsidTr="00405BEF">
        <w:trPr>
          <w:trHeight w:val="320"/>
        </w:trPr>
        <w:tc>
          <w:tcPr>
            <w:tcW w:w="1812" w:type="dxa"/>
            <w:shd w:val="clear" w:color="auto" w:fill="auto"/>
            <w:noWrap/>
            <w:hideMark/>
          </w:tcPr>
          <w:p w14:paraId="1796B23C"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NCT04310709</w:t>
            </w:r>
            <w:r w:rsidRPr="00F04BAD">
              <w:rPr>
                <w:rFonts w:ascii="Book Antiqua" w:eastAsia="Times New Roman" w:hAnsi="Book Antiqua" w:cs="Calibri"/>
                <w:color w:val="000000" w:themeColor="text1"/>
                <w:vertAlign w:val="superscript"/>
                <w:lang w:eastAsia="fr-FR"/>
              </w:rPr>
              <w:t>2</w:t>
            </w:r>
          </w:p>
        </w:tc>
        <w:tc>
          <w:tcPr>
            <w:tcW w:w="877" w:type="dxa"/>
            <w:shd w:val="clear" w:color="auto" w:fill="auto"/>
            <w:noWrap/>
            <w:hideMark/>
          </w:tcPr>
          <w:p w14:paraId="0B4066AA"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40AF4A72" w14:textId="3CA7C291"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Regorafenib + </w:t>
            </w:r>
            <w:r w:rsidR="00FD3ED7" w:rsidRPr="00F04BAD">
              <w:rPr>
                <w:rFonts w:ascii="Book Antiqua" w:hAnsi="Book Antiqua" w:cs="Calibri"/>
                <w:color w:val="000000" w:themeColor="text1"/>
                <w:lang w:eastAsia="zh-CN"/>
              </w:rPr>
              <w:t>n</w:t>
            </w:r>
            <w:r w:rsidRPr="00F04BAD">
              <w:rPr>
                <w:rFonts w:ascii="Book Antiqua" w:eastAsia="Times New Roman" w:hAnsi="Book Antiqua" w:cs="Calibri"/>
                <w:color w:val="000000" w:themeColor="text1"/>
                <w:lang w:eastAsia="fr-FR"/>
              </w:rPr>
              <w:t>ivolumab</w:t>
            </w:r>
          </w:p>
        </w:tc>
        <w:tc>
          <w:tcPr>
            <w:tcW w:w="1493" w:type="dxa"/>
            <w:shd w:val="clear" w:color="auto" w:fill="auto"/>
            <w:noWrap/>
            <w:hideMark/>
          </w:tcPr>
          <w:p w14:paraId="1FC7C43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4DBF52CA"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12B905A2" w14:textId="77777777" w:rsidTr="00405BEF">
        <w:trPr>
          <w:trHeight w:val="320"/>
        </w:trPr>
        <w:tc>
          <w:tcPr>
            <w:tcW w:w="1812" w:type="dxa"/>
            <w:shd w:val="clear" w:color="auto" w:fill="auto"/>
            <w:noWrap/>
            <w:hideMark/>
          </w:tcPr>
          <w:p w14:paraId="57439696"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NCT04443309</w:t>
            </w:r>
            <w:r w:rsidRPr="00F04BAD">
              <w:rPr>
                <w:rFonts w:ascii="Book Antiqua" w:eastAsia="Times New Roman" w:hAnsi="Book Antiqua" w:cs="Calibri"/>
                <w:color w:val="000000" w:themeColor="text1"/>
                <w:vertAlign w:val="superscript"/>
                <w:lang w:eastAsia="fr-FR"/>
              </w:rPr>
              <w:t>2</w:t>
            </w:r>
          </w:p>
        </w:tc>
        <w:tc>
          <w:tcPr>
            <w:tcW w:w="877" w:type="dxa"/>
            <w:shd w:val="clear" w:color="auto" w:fill="auto"/>
            <w:noWrap/>
            <w:hideMark/>
          </w:tcPr>
          <w:p w14:paraId="56F4E98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shd w:val="clear" w:color="auto" w:fill="auto"/>
            <w:noWrap/>
            <w:hideMark/>
          </w:tcPr>
          <w:p w14:paraId="0CB0F077" w14:textId="526E3A8B"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hAnsi="Book Antiqua" w:cs="Calibri"/>
                <w:color w:val="000000" w:themeColor="text1"/>
                <w:lang w:eastAsia="zh-CN"/>
              </w:rPr>
              <w:t>L</w:t>
            </w:r>
            <w:r w:rsidRPr="00F04BAD">
              <w:rPr>
                <w:rFonts w:ascii="Book Antiqua" w:eastAsia="Times New Roman" w:hAnsi="Book Antiqua" w:cs="Calibri"/>
                <w:color w:val="000000" w:themeColor="text1"/>
                <w:lang w:eastAsia="fr-FR"/>
              </w:rPr>
              <w:t xml:space="preserve">envatinib + </w:t>
            </w:r>
            <w:r w:rsidR="00FD3ED7" w:rsidRPr="00F04BAD">
              <w:rPr>
                <w:rFonts w:ascii="Book Antiqua" w:hAnsi="Book Antiqua" w:cs="Calibri"/>
                <w:color w:val="000000" w:themeColor="text1"/>
                <w:lang w:eastAsia="zh-CN"/>
              </w:rPr>
              <w:t>c</w:t>
            </w:r>
            <w:r w:rsidRPr="00F04BAD">
              <w:rPr>
                <w:rFonts w:ascii="Book Antiqua" w:eastAsia="Times New Roman" w:hAnsi="Book Antiqua" w:cs="Calibri"/>
                <w:color w:val="000000" w:themeColor="text1"/>
                <w:lang w:eastAsia="fr-FR"/>
              </w:rPr>
              <w:t>amrelizumab</w:t>
            </w:r>
          </w:p>
        </w:tc>
        <w:tc>
          <w:tcPr>
            <w:tcW w:w="1493" w:type="dxa"/>
            <w:shd w:val="clear" w:color="auto" w:fill="auto"/>
            <w:noWrap/>
            <w:hideMark/>
          </w:tcPr>
          <w:p w14:paraId="7B05ACB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23BFDE1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7E8386E9" w14:textId="77777777" w:rsidTr="00405BEF">
        <w:trPr>
          <w:trHeight w:val="320"/>
        </w:trPr>
        <w:tc>
          <w:tcPr>
            <w:tcW w:w="1812" w:type="dxa"/>
            <w:shd w:val="clear" w:color="auto" w:fill="auto"/>
            <w:noWrap/>
            <w:hideMark/>
          </w:tcPr>
          <w:p w14:paraId="5F19DE6F"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NCT04393220</w:t>
            </w:r>
            <w:r w:rsidRPr="00F04BAD">
              <w:rPr>
                <w:rFonts w:ascii="Book Antiqua" w:eastAsia="Times New Roman" w:hAnsi="Book Antiqua" w:cs="Calibri"/>
                <w:color w:val="000000" w:themeColor="text1"/>
                <w:vertAlign w:val="superscript"/>
                <w:lang w:eastAsia="fr-FR"/>
              </w:rPr>
              <w:t>2</w:t>
            </w:r>
          </w:p>
        </w:tc>
        <w:tc>
          <w:tcPr>
            <w:tcW w:w="877" w:type="dxa"/>
            <w:shd w:val="clear" w:color="auto" w:fill="auto"/>
            <w:noWrap/>
            <w:hideMark/>
          </w:tcPr>
          <w:p w14:paraId="7E772635"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3C01AFF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Nivolumab + bevacizumab</w:t>
            </w:r>
          </w:p>
        </w:tc>
        <w:tc>
          <w:tcPr>
            <w:tcW w:w="1493" w:type="dxa"/>
            <w:shd w:val="clear" w:color="auto" w:fill="auto"/>
            <w:noWrap/>
            <w:hideMark/>
          </w:tcPr>
          <w:p w14:paraId="27C7B7F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33E8A15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413FC62D" w14:textId="77777777" w:rsidTr="00405BEF">
        <w:trPr>
          <w:trHeight w:val="320"/>
        </w:trPr>
        <w:tc>
          <w:tcPr>
            <w:tcW w:w="1812" w:type="dxa"/>
            <w:shd w:val="clear" w:color="auto" w:fill="auto"/>
            <w:noWrap/>
            <w:hideMark/>
          </w:tcPr>
          <w:p w14:paraId="16DB8AD7"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NCT03778957</w:t>
            </w:r>
            <w:r w:rsidRPr="00F04BAD">
              <w:rPr>
                <w:rFonts w:ascii="Book Antiqua" w:eastAsia="Times New Roman" w:hAnsi="Book Antiqua" w:cs="Calibri"/>
                <w:color w:val="000000" w:themeColor="text1"/>
                <w:vertAlign w:val="superscript"/>
                <w:lang w:eastAsia="fr-FR"/>
              </w:rPr>
              <w:t>3</w:t>
            </w:r>
          </w:p>
        </w:tc>
        <w:tc>
          <w:tcPr>
            <w:tcW w:w="877" w:type="dxa"/>
            <w:shd w:val="clear" w:color="auto" w:fill="auto"/>
            <w:noWrap/>
            <w:hideMark/>
          </w:tcPr>
          <w:p w14:paraId="7F6A06A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218F6AB3" w14:textId="7446EEF4"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TACE + </w:t>
            </w:r>
            <w:r w:rsidR="00FD3ED7" w:rsidRPr="00F04BAD">
              <w:rPr>
                <w:rFonts w:ascii="Book Antiqua" w:hAnsi="Book Antiqua" w:cs="Calibri"/>
                <w:color w:val="000000" w:themeColor="text1"/>
                <w:lang w:eastAsia="zh-CN"/>
              </w:rPr>
              <w:t>d</w:t>
            </w:r>
            <w:r w:rsidRPr="00F04BAD">
              <w:rPr>
                <w:rFonts w:ascii="Book Antiqua" w:eastAsia="Times New Roman" w:hAnsi="Book Antiqua" w:cs="Calibri"/>
                <w:color w:val="000000" w:themeColor="text1"/>
                <w:lang w:eastAsia="fr-FR"/>
              </w:rPr>
              <w:t xml:space="preserve">urvalumab + </w:t>
            </w:r>
            <w:r w:rsidR="00FD3ED7" w:rsidRPr="00F04BAD">
              <w:rPr>
                <w:rFonts w:ascii="Book Antiqua" w:hAnsi="Book Antiqua" w:cs="Calibri"/>
                <w:color w:val="000000" w:themeColor="text1"/>
                <w:lang w:eastAsia="zh-CN"/>
              </w:rPr>
              <w:t>b</w:t>
            </w:r>
            <w:r w:rsidRPr="00F04BAD">
              <w:rPr>
                <w:rFonts w:ascii="Book Antiqua" w:eastAsia="Times New Roman" w:hAnsi="Book Antiqua" w:cs="Calibri"/>
                <w:color w:val="000000" w:themeColor="text1"/>
                <w:lang w:eastAsia="fr-FR"/>
              </w:rPr>
              <w:t>evacizumab</w:t>
            </w:r>
          </w:p>
        </w:tc>
        <w:tc>
          <w:tcPr>
            <w:tcW w:w="1493" w:type="dxa"/>
            <w:shd w:val="clear" w:color="auto" w:fill="auto"/>
            <w:noWrap/>
            <w:hideMark/>
          </w:tcPr>
          <w:p w14:paraId="15FD2A1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2C43D499"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77C51AFA" w14:textId="77777777" w:rsidTr="00405BEF">
        <w:trPr>
          <w:trHeight w:val="320"/>
        </w:trPr>
        <w:tc>
          <w:tcPr>
            <w:tcW w:w="1812" w:type="dxa"/>
            <w:shd w:val="clear" w:color="auto" w:fill="auto"/>
            <w:noWrap/>
            <w:hideMark/>
          </w:tcPr>
          <w:p w14:paraId="46A288F5"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NCT04246177</w:t>
            </w:r>
            <w:r w:rsidRPr="00F04BAD">
              <w:rPr>
                <w:rFonts w:ascii="Book Antiqua" w:eastAsia="Times New Roman" w:hAnsi="Book Antiqua" w:cs="Calibri"/>
                <w:color w:val="000000" w:themeColor="text1"/>
                <w:vertAlign w:val="superscript"/>
                <w:lang w:eastAsia="fr-FR"/>
              </w:rPr>
              <w:t>3</w:t>
            </w:r>
            <w:r w:rsidRPr="00F04BAD">
              <w:rPr>
                <w:rFonts w:ascii="Book Antiqua" w:eastAsia="Times New Roman" w:hAnsi="Book Antiqua" w:cs="Calibri"/>
                <w:color w:val="000000" w:themeColor="text1"/>
                <w:lang w:eastAsia="fr-FR"/>
              </w:rPr>
              <w:t xml:space="preserve"> </w:t>
            </w:r>
          </w:p>
        </w:tc>
        <w:tc>
          <w:tcPr>
            <w:tcW w:w="877" w:type="dxa"/>
            <w:shd w:val="clear" w:color="auto" w:fill="auto"/>
            <w:noWrap/>
            <w:hideMark/>
          </w:tcPr>
          <w:p w14:paraId="646D0C5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467EA684" w14:textId="13C734B4"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Lenvatinib +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embrolizumab + TACE</w:t>
            </w:r>
          </w:p>
        </w:tc>
        <w:tc>
          <w:tcPr>
            <w:tcW w:w="1493" w:type="dxa"/>
            <w:shd w:val="clear" w:color="auto" w:fill="auto"/>
            <w:noWrap/>
            <w:hideMark/>
          </w:tcPr>
          <w:p w14:paraId="03C6F20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02404C8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6F76C68C" w14:textId="77777777" w:rsidTr="00405BEF">
        <w:trPr>
          <w:trHeight w:val="320"/>
        </w:trPr>
        <w:tc>
          <w:tcPr>
            <w:tcW w:w="1812" w:type="dxa"/>
            <w:shd w:val="clear" w:color="auto" w:fill="auto"/>
            <w:noWrap/>
            <w:hideMark/>
          </w:tcPr>
          <w:p w14:paraId="5FA8E8A6"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NCT04340193</w:t>
            </w:r>
            <w:r w:rsidRPr="00F04BAD">
              <w:rPr>
                <w:rFonts w:ascii="Book Antiqua" w:eastAsia="Times New Roman" w:hAnsi="Book Antiqua" w:cs="Calibri"/>
                <w:color w:val="000000" w:themeColor="text1"/>
                <w:vertAlign w:val="superscript"/>
                <w:lang w:eastAsia="fr-FR"/>
              </w:rPr>
              <w:t>3</w:t>
            </w:r>
          </w:p>
        </w:tc>
        <w:tc>
          <w:tcPr>
            <w:tcW w:w="877" w:type="dxa"/>
            <w:shd w:val="clear" w:color="auto" w:fill="auto"/>
            <w:noWrap/>
            <w:hideMark/>
          </w:tcPr>
          <w:p w14:paraId="6DF2149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7B0C374C" w14:textId="41C2FC9F"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Nivolumab</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i</w:t>
            </w:r>
            <w:r w:rsidRPr="00F04BAD">
              <w:rPr>
                <w:rFonts w:ascii="Book Antiqua" w:eastAsia="Times New Roman" w:hAnsi="Book Antiqua" w:cs="Calibri"/>
                <w:color w:val="000000" w:themeColor="text1"/>
                <w:lang w:eastAsia="fr-FR"/>
              </w:rPr>
              <w:t>pilimumab + TACE</w:t>
            </w:r>
          </w:p>
        </w:tc>
        <w:tc>
          <w:tcPr>
            <w:tcW w:w="1493" w:type="dxa"/>
            <w:shd w:val="clear" w:color="auto" w:fill="auto"/>
            <w:noWrap/>
            <w:hideMark/>
          </w:tcPr>
          <w:p w14:paraId="1EB24E0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3968404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62EF56D0" w14:textId="77777777" w:rsidTr="00405BEF">
        <w:trPr>
          <w:trHeight w:val="320"/>
        </w:trPr>
        <w:tc>
          <w:tcPr>
            <w:tcW w:w="1812" w:type="dxa"/>
            <w:shd w:val="clear" w:color="auto" w:fill="auto"/>
            <w:noWrap/>
            <w:hideMark/>
          </w:tcPr>
          <w:p w14:paraId="3AABD222"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NCT04268888</w:t>
            </w:r>
            <w:r w:rsidRPr="00F04BAD">
              <w:rPr>
                <w:rFonts w:ascii="Book Antiqua" w:eastAsia="Times New Roman" w:hAnsi="Book Antiqua" w:cs="Calibri"/>
                <w:color w:val="000000" w:themeColor="text1"/>
                <w:vertAlign w:val="superscript"/>
                <w:lang w:eastAsia="fr-FR"/>
              </w:rPr>
              <w:t>3</w:t>
            </w:r>
          </w:p>
        </w:tc>
        <w:tc>
          <w:tcPr>
            <w:tcW w:w="877" w:type="dxa"/>
            <w:shd w:val="clear" w:color="auto" w:fill="auto"/>
            <w:noWrap/>
            <w:hideMark/>
          </w:tcPr>
          <w:p w14:paraId="6CA94421"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2-3</w:t>
            </w:r>
          </w:p>
        </w:tc>
        <w:tc>
          <w:tcPr>
            <w:tcW w:w="2976" w:type="dxa"/>
            <w:shd w:val="clear" w:color="auto" w:fill="auto"/>
            <w:noWrap/>
            <w:hideMark/>
          </w:tcPr>
          <w:p w14:paraId="34A7A7C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Nivolumab + TACE/TAE</w:t>
            </w:r>
          </w:p>
        </w:tc>
        <w:tc>
          <w:tcPr>
            <w:tcW w:w="1493" w:type="dxa"/>
            <w:shd w:val="clear" w:color="auto" w:fill="auto"/>
            <w:noWrap/>
            <w:hideMark/>
          </w:tcPr>
          <w:p w14:paraId="1EDBD4C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727DE60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59F65B3B" w14:textId="77777777" w:rsidTr="00405BEF">
        <w:trPr>
          <w:trHeight w:val="334"/>
        </w:trPr>
        <w:tc>
          <w:tcPr>
            <w:tcW w:w="1812" w:type="dxa"/>
            <w:shd w:val="clear" w:color="auto" w:fill="auto"/>
            <w:noWrap/>
            <w:hideMark/>
          </w:tcPr>
          <w:p w14:paraId="12E25E87"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NCT03482102</w:t>
            </w:r>
            <w:r w:rsidRPr="00F04BAD">
              <w:rPr>
                <w:rFonts w:ascii="Book Antiqua" w:eastAsia="Times New Roman" w:hAnsi="Book Antiqua" w:cs="Calibri"/>
                <w:color w:val="000000" w:themeColor="text1"/>
                <w:vertAlign w:val="superscript"/>
                <w:lang w:eastAsia="fr-FR"/>
              </w:rPr>
              <w:t>3</w:t>
            </w:r>
          </w:p>
        </w:tc>
        <w:tc>
          <w:tcPr>
            <w:tcW w:w="877" w:type="dxa"/>
            <w:shd w:val="clear" w:color="auto" w:fill="auto"/>
            <w:noWrap/>
            <w:hideMark/>
          </w:tcPr>
          <w:p w14:paraId="1151294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hideMark/>
          </w:tcPr>
          <w:p w14:paraId="71A9402A" w14:textId="5C3B5A54"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Durvalumab + </w:t>
            </w:r>
            <w:r w:rsidR="00FD3ED7" w:rsidRPr="00F04BAD">
              <w:rPr>
                <w:rFonts w:ascii="Book Antiqua" w:hAnsi="Book Antiqua" w:cs="Calibri"/>
                <w:color w:val="000000" w:themeColor="text1"/>
                <w:lang w:eastAsia="zh-CN"/>
              </w:rPr>
              <w:t>t</w:t>
            </w:r>
            <w:r w:rsidRPr="00F04BAD">
              <w:rPr>
                <w:rFonts w:ascii="Book Antiqua" w:eastAsia="Times New Roman" w:hAnsi="Book Antiqua" w:cs="Calibri"/>
                <w:color w:val="000000" w:themeColor="text1"/>
                <w:lang w:eastAsia="fr-FR"/>
              </w:rPr>
              <w:t>remelimumab +</w:t>
            </w:r>
            <w:r w:rsidR="00FD3ED7" w:rsidRPr="00F04BAD">
              <w:rPr>
                <w:rFonts w:ascii="Book Antiqua" w:hAnsi="Book Antiqua" w:cs="Calibri"/>
                <w:color w:val="000000" w:themeColor="text1"/>
                <w:lang w:eastAsia="zh-CN"/>
              </w:rPr>
              <w:t xml:space="preserve"> r</w:t>
            </w:r>
            <w:r w:rsidRPr="00F04BAD">
              <w:rPr>
                <w:rFonts w:ascii="Book Antiqua" w:eastAsia="Times New Roman" w:hAnsi="Book Antiqua" w:cs="Calibri"/>
                <w:color w:val="000000" w:themeColor="text1"/>
                <w:lang w:eastAsia="fr-FR"/>
              </w:rPr>
              <w:t>adiation</w:t>
            </w:r>
          </w:p>
        </w:tc>
        <w:tc>
          <w:tcPr>
            <w:tcW w:w="1493" w:type="dxa"/>
            <w:shd w:val="clear" w:color="auto" w:fill="auto"/>
            <w:noWrap/>
            <w:hideMark/>
          </w:tcPr>
          <w:p w14:paraId="050F6E0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3BFC528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30059CF0" w14:textId="77777777" w:rsidTr="00405BEF">
        <w:trPr>
          <w:trHeight w:val="680"/>
        </w:trPr>
        <w:tc>
          <w:tcPr>
            <w:tcW w:w="1812" w:type="dxa"/>
            <w:shd w:val="clear" w:color="auto" w:fill="auto"/>
            <w:noWrap/>
            <w:hideMark/>
          </w:tcPr>
          <w:p w14:paraId="5B16D8FF"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NCT03298451</w:t>
            </w:r>
            <w:r w:rsidRPr="00F04BAD">
              <w:rPr>
                <w:rFonts w:ascii="Book Antiqua" w:eastAsia="Times New Roman" w:hAnsi="Book Antiqua" w:cs="Calibri"/>
                <w:color w:val="000000" w:themeColor="text1"/>
                <w:vertAlign w:val="superscript"/>
                <w:lang w:eastAsia="fr-FR"/>
              </w:rPr>
              <w:t>4</w:t>
            </w:r>
          </w:p>
        </w:tc>
        <w:tc>
          <w:tcPr>
            <w:tcW w:w="877" w:type="dxa"/>
            <w:shd w:val="clear" w:color="auto" w:fill="auto"/>
            <w:noWrap/>
            <w:hideMark/>
          </w:tcPr>
          <w:p w14:paraId="168FA46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hideMark/>
          </w:tcPr>
          <w:p w14:paraId="1FA3B1C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hAnsi="Book Antiqua" w:cs="Calibri"/>
                <w:color w:val="000000" w:themeColor="text1"/>
                <w:lang w:eastAsia="zh-CN"/>
              </w:rPr>
              <w:t>D</w:t>
            </w:r>
            <w:r w:rsidRPr="00F04BAD">
              <w:rPr>
                <w:rFonts w:ascii="Book Antiqua" w:eastAsia="Times New Roman" w:hAnsi="Book Antiqua" w:cs="Calibri"/>
                <w:color w:val="000000" w:themeColor="text1"/>
                <w:lang w:eastAsia="fr-FR"/>
              </w:rPr>
              <w:t>urvalumab + tremelimumab and</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durvalumab </w:t>
            </w:r>
            <w:r w:rsidRPr="00F04BAD">
              <w:rPr>
                <w:rFonts w:ascii="Book Antiqua" w:eastAsia="Times New Roman" w:hAnsi="Book Antiqua" w:cs="Calibri"/>
                <w:i/>
                <w:iCs/>
                <w:color w:val="000000" w:themeColor="text1"/>
                <w:lang w:eastAsia="fr-FR"/>
              </w:rPr>
              <w:t>vs</w:t>
            </w:r>
            <w:r w:rsidRPr="00F04BAD">
              <w:rPr>
                <w:rFonts w:ascii="Book Antiqua" w:eastAsia="Times New Roman" w:hAnsi="Book Antiqua" w:cs="Calibri"/>
                <w:color w:val="000000" w:themeColor="text1"/>
                <w:lang w:eastAsia="fr-FR"/>
              </w:rPr>
              <w:t xml:space="preserve"> sorafenib</w:t>
            </w:r>
          </w:p>
        </w:tc>
        <w:tc>
          <w:tcPr>
            <w:tcW w:w="1493" w:type="dxa"/>
            <w:shd w:val="clear" w:color="auto" w:fill="auto"/>
            <w:noWrap/>
            <w:hideMark/>
          </w:tcPr>
          <w:p w14:paraId="65E70FE1"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6C59119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26952C0F" w14:textId="77777777" w:rsidTr="00405BEF">
        <w:trPr>
          <w:trHeight w:val="320"/>
        </w:trPr>
        <w:tc>
          <w:tcPr>
            <w:tcW w:w="1812" w:type="dxa"/>
            <w:shd w:val="clear" w:color="auto" w:fill="auto"/>
            <w:noWrap/>
            <w:hideMark/>
          </w:tcPr>
          <w:p w14:paraId="6262620D"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NCT04039607</w:t>
            </w:r>
            <w:r w:rsidRPr="00F04BAD">
              <w:rPr>
                <w:rFonts w:ascii="Book Antiqua" w:eastAsia="Times New Roman" w:hAnsi="Book Antiqua" w:cs="Calibri"/>
                <w:color w:val="000000" w:themeColor="text1"/>
                <w:vertAlign w:val="superscript"/>
                <w:lang w:eastAsia="fr-FR"/>
              </w:rPr>
              <w:t>4</w:t>
            </w:r>
          </w:p>
        </w:tc>
        <w:tc>
          <w:tcPr>
            <w:tcW w:w="877" w:type="dxa"/>
            <w:shd w:val="clear" w:color="auto" w:fill="auto"/>
            <w:noWrap/>
            <w:hideMark/>
          </w:tcPr>
          <w:p w14:paraId="735875C5"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23AAF9BC" w14:textId="1C2EECCB"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Nivolumab</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i</w:t>
            </w:r>
            <w:r w:rsidRPr="00F04BAD">
              <w:rPr>
                <w:rFonts w:ascii="Book Antiqua" w:eastAsia="Times New Roman" w:hAnsi="Book Antiqua" w:cs="Calibri"/>
                <w:color w:val="000000" w:themeColor="text1"/>
                <w:lang w:eastAsia="fr-FR"/>
              </w:rPr>
              <w:t xml:space="preserve">pilimumab </w:t>
            </w:r>
            <w:r w:rsidRPr="00F04BAD">
              <w:rPr>
                <w:rFonts w:ascii="Book Antiqua" w:eastAsia="Times New Roman" w:hAnsi="Book Antiqua" w:cs="Calibri"/>
                <w:i/>
                <w:iCs/>
                <w:color w:val="000000" w:themeColor="text1"/>
                <w:lang w:eastAsia="fr-FR"/>
              </w:rPr>
              <w:t>vs</w:t>
            </w:r>
            <w:r w:rsidRPr="00F04BAD">
              <w:rPr>
                <w:rFonts w:ascii="Book Antiqua" w:eastAsia="Times New Roman" w:hAnsi="Book Antiqua" w:cs="Calibri"/>
                <w:color w:val="000000" w:themeColor="text1"/>
                <w:lang w:eastAsia="fr-FR"/>
              </w:rPr>
              <w:t xml:space="preserve"> SOC</w:t>
            </w:r>
          </w:p>
        </w:tc>
        <w:tc>
          <w:tcPr>
            <w:tcW w:w="1493" w:type="dxa"/>
            <w:shd w:val="clear" w:color="auto" w:fill="auto"/>
            <w:noWrap/>
            <w:hideMark/>
          </w:tcPr>
          <w:p w14:paraId="713B5BD0"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0D3E357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18D48619" w14:textId="77777777" w:rsidTr="00405BEF">
        <w:trPr>
          <w:trHeight w:val="320"/>
        </w:trPr>
        <w:tc>
          <w:tcPr>
            <w:tcW w:w="1812" w:type="dxa"/>
            <w:shd w:val="clear" w:color="auto" w:fill="auto"/>
            <w:noWrap/>
            <w:hideMark/>
          </w:tcPr>
          <w:p w14:paraId="43C80687"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NCT03605706</w:t>
            </w:r>
            <w:r w:rsidRPr="00F04BAD">
              <w:rPr>
                <w:rFonts w:ascii="Book Antiqua" w:eastAsia="Times New Roman" w:hAnsi="Book Antiqua" w:cs="Calibri"/>
                <w:color w:val="000000" w:themeColor="text1"/>
                <w:vertAlign w:val="superscript"/>
                <w:lang w:eastAsia="fr-FR"/>
              </w:rPr>
              <w:t>5</w:t>
            </w:r>
          </w:p>
        </w:tc>
        <w:tc>
          <w:tcPr>
            <w:tcW w:w="877" w:type="dxa"/>
            <w:shd w:val="clear" w:color="auto" w:fill="auto"/>
            <w:noWrap/>
            <w:hideMark/>
          </w:tcPr>
          <w:p w14:paraId="6BAF430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3</w:t>
            </w:r>
          </w:p>
        </w:tc>
        <w:tc>
          <w:tcPr>
            <w:tcW w:w="2976" w:type="dxa"/>
            <w:shd w:val="clear" w:color="auto" w:fill="auto"/>
            <w:noWrap/>
            <w:hideMark/>
          </w:tcPr>
          <w:p w14:paraId="3DAB698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Camrelizumab + FOLFOX4</w:t>
            </w:r>
          </w:p>
        </w:tc>
        <w:tc>
          <w:tcPr>
            <w:tcW w:w="1493" w:type="dxa"/>
            <w:shd w:val="clear" w:color="auto" w:fill="auto"/>
            <w:noWrap/>
            <w:hideMark/>
          </w:tcPr>
          <w:p w14:paraId="73FBBE19"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1BB8BA6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6CC271DA" w14:textId="77777777" w:rsidTr="00405BEF">
        <w:trPr>
          <w:trHeight w:val="320"/>
        </w:trPr>
        <w:tc>
          <w:tcPr>
            <w:tcW w:w="1812" w:type="dxa"/>
            <w:shd w:val="clear" w:color="auto" w:fill="auto"/>
            <w:noWrap/>
            <w:hideMark/>
          </w:tcPr>
          <w:p w14:paraId="2C291DC9"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NCT03439891</w:t>
            </w:r>
            <w:r w:rsidRPr="00F04BAD">
              <w:rPr>
                <w:rFonts w:ascii="Book Antiqua" w:eastAsia="Times New Roman" w:hAnsi="Book Antiqua" w:cs="Calibri"/>
                <w:color w:val="000000" w:themeColor="text1"/>
                <w:vertAlign w:val="superscript"/>
                <w:lang w:eastAsia="fr-FR"/>
              </w:rPr>
              <w:t>5</w:t>
            </w:r>
          </w:p>
        </w:tc>
        <w:tc>
          <w:tcPr>
            <w:tcW w:w="877" w:type="dxa"/>
            <w:shd w:val="clear" w:color="auto" w:fill="auto"/>
            <w:noWrap/>
            <w:hideMark/>
          </w:tcPr>
          <w:p w14:paraId="4068846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04AC6233" w14:textId="3B9A924A"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Sorafenib + </w:t>
            </w:r>
            <w:r w:rsidR="00FD3ED7" w:rsidRPr="00F04BAD">
              <w:rPr>
                <w:rFonts w:ascii="Book Antiqua" w:hAnsi="Book Antiqua" w:cs="Calibri"/>
                <w:color w:val="000000" w:themeColor="text1"/>
                <w:lang w:eastAsia="zh-CN"/>
              </w:rPr>
              <w:t>n</w:t>
            </w:r>
            <w:r w:rsidRPr="00F04BAD">
              <w:rPr>
                <w:rFonts w:ascii="Book Antiqua" w:eastAsia="Times New Roman" w:hAnsi="Book Antiqua" w:cs="Calibri"/>
                <w:color w:val="000000" w:themeColor="text1"/>
                <w:lang w:eastAsia="fr-FR"/>
              </w:rPr>
              <w:t>ivolumab</w:t>
            </w:r>
          </w:p>
        </w:tc>
        <w:tc>
          <w:tcPr>
            <w:tcW w:w="1493" w:type="dxa"/>
            <w:shd w:val="clear" w:color="auto" w:fill="auto"/>
            <w:noWrap/>
            <w:hideMark/>
          </w:tcPr>
          <w:p w14:paraId="643FFEE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06224BC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HCC</w:t>
            </w:r>
          </w:p>
        </w:tc>
      </w:tr>
      <w:tr w:rsidR="00FC660A" w:rsidRPr="00FD5C87" w14:paraId="7FC8EE5F" w14:textId="77777777" w:rsidTr="00405BEF">
        <w:trPr>
          <w:trHeight w:val="660"/>
        </w:trPr>
        <w:tc>
          <w:tcPr>
            <w:tcW w:w="1812" w:type="dxa"/>
            <w:shd w:val="clear" w:color="auto" w:fill="auto"/>
            <w:noWrap/>
            <w:hideMark/>
          </w:tcPr>
          <w:p w14:paraId="7A96A07E"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NCT03257761</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7F97FBFA"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976" w:type="dxa"/>
            <w:shd w:val="clear" w:color="auto" w:fill="auto"/>
            <w:noWrap/>
            <w:hideMark/>
          </w:tcPr>
          <w:p w14:paraId="04AAAFEB" w14:textId="597BD30D"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Guadecitabine + </w:t>
            </w:r>
            <w:r w:rsidR="00FD3ED7" w:rsidRPr="00F04BAD">
              <w:rPr>
                <w:rFonts w:ascii="Book Antiqua" w:hAnsi="Book Antiqua" w:cs="Calibri"/>
                <w:color w:val="000000" w:themeColor="text1"/>
                <w:lang w:eastAsia="zh-CN"/>
              </w:rPr>
              <w:t>d</w:t>
            </w:r>
            <w:r w:rsidRPr="00F04BAD">
              <w:rPr>
                <w:rFonts w:ascii="Book Antiqua" w:eastAsia="Times New Roman" w:hAnsi="Book Antiqua" w:cs="Calibri"/>
                <w:color w:val="000000" w:themeColor="text1"/>
                <w:lang w:eastAsia="fr-FR"/>
              </w:rPr>
              <w:t>urvalumab</w:t>
            </w:r>
          </w:p>
        </w:tc>
        <w:tc>
          <w:tcPr>
            <w:tcW w:w="1493" w:type="dxa"/>
            <w:shd w:val="clear" w:color="auto" w:fill="auto"/>
            <w:noWrap/>
            <w:hideMark/>
          </w:tcPr>
          <w:p w14:paraId="232B74D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hideMark/>
          </w:tcPr>
          <w:p w14:paraId="552ECF06"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Liver, pancreatic, bile duct or gallbladder cancer</w:t>
            </w:r>
          </w:p>
        </w:tc>
      </w:tr>
      <w:tr w:rsidR="00FC660A" w:rsidRPr="00FD5C87" w14:paraId="5A794A28" w14:textId="77777777" w:rsidTr="00405BEF">
        <w:trPr>
          <w:trHeight w:val="320"/>
        </w:trPr>
        <w:tc>
          <w:tcPr>
            <w:tcW w:w="1812" w:type="dxa"/>
            <w:shd w:val="clear" w:color="auto" w:fill="auto"/>
            <w:noWrap/>
            <w:hideMark/>
          </w:tcPr>
          <w:p w14:paraId="5A6DA081"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NCT02816021</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3AB3679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0F997621" w14:textId="3AC778A0"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Azacitidine</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embrolizumab</w:t>
            </w:r>
          </w:p>
        </w:tc>
        <w:tc>
          <w:tcPr>
            <w:tcW w:w="1493" w:type="dxa"/>
            <w:shd w:val="clear" w:color="auto" w:fill="auto"/>
            <w:noWrap/>
            <w:hideMark/>
          </w:tcPr>
          <w:p w14:paraId="0D558FE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267E6870"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Melanoma</w:t>
            </w:r>
          </w:p>
        </w:tc>
      </w:tr>
      <w:tr w:rsidR="00FC660A" w:rsidRPr="00FD5C87" w14:paraId="64A72CE8" w14:textId="77777777" w:rsidTr="00405BEF">
        <w:trPr>
          <w:trHeight w:val="320"/>
        </w:trPr>
        <w:tc>
          <w:tcPr>
            <w:tcW w:w="1812" w:type="dxa"/>
            <w:shd w:val="clear" w:color="auto" w:fill="auto"/>
            <w:noWrap/>
            <w:hideMark/>
          </w:tcPr>
          <w:p w14:paraId="7A1EC695"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NCT04541277</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09B52B1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064370B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Tislelizumab + DNMTi +/- chemotherapy</w:t>
            </w:r>
          </w:p>
        </w:tc>
        <w:tc>
          <w:tcPr>
            <w:tcW w:w="1493" w:type="dxa"/>
            <w:shd w:val="clear" w:color="auto" w:fill="auto"/>
            <w:noWrap/>
            <w:hideMark/>
          </w:tcPr>
          <w:p w14:paraId="64480860"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3A763A4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AML</w:t>
            </w:r>
          </w:p>
        </w:tc>
      </w:tr>
      <w:tr w:rsidR="00FC660A" w:rsidRPr="00FD5C87" w14:paraId="371DF303" w14:textId="77777777" w:rsidTr="00405BEF">
        <w:trPr>
          <w:trHeight w:val="320"/>
        </w:trPr>
        <w:tc>
          <w:tcPr>
            <w:tcW w:w="1812" w:type="dxa"/>
            <w:shd w:val="clear" w:color="auto" w:fill="auto"/>
            <w:noWrap/>
            <w:hideMark/>
          </w:tcPr>
          <w:p w14:paraId="7C729C11"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NCT02530463</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53DA259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72E0335E" w14:textId="65BD2BBC"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Nivolumab and/or </w:t>
            </w:r>
            <w:r w:rsidR="00FD3ED7" w:rsidRPr="00F04BAD">
              <w:rPr>
                <w:rFonts w:ascii="Book Antiqua" w:hAnsi="Book Antiqua" w:cs="Calibri"/>
                <w:color w:val="000000" w:themeColor="text1"/>
                <w:lang w:eastAsia="zh-CN"/>
              </w:rPr>
              <w:t>i</w:t>
            </w:r>
            <w:r w:rsidRPr="00F04BAD">
              <w:rPr>
                <w:rFonts w:ascii="Book Antiqua" w:eastAsia="Times New Roman" w:hAnsi="Book Antiqua" w:cs="Calibri"/>
                <w:color w:val="000000" w:themeColor="text1"/>
                <w:lang w:eastAsia="fr-FR"/>
              </w:rPr>
              <w:t xml:space="preserve">pilimumab +/- </w:t>
            </w:r>
            <w:r w:rsidR="00FD3ED7" w:rsidRPr="00F04BAD">
              <w:rPr>
                <w:rFonts w:ascii="Book Antiqua" w:hAnsi="Book Antiqua" w:cs="Calibri"/>
                <w:color w:val="000000" w:themeColor="text1"/>
                <w:lang w:eastAsia="zh-CN"/>
              </w:rPr>
              <w:t>a</w:t>
            </w:r>
            <w:r w:rsidRPr="00F04BAD">
              <w:rPr>
                <w:rFonts w:ascii="Book Antiqua" w:eastAsia="Times New Roman" w:hAnsi="Book Antiqua" w:cs="Calibri"/>
                <w:color w:val="000000" w:themeColor="text1"/>
                <w:lang w:eastAsia="fr-FR"/>
              </w:rPr>
              <w:t>zacitidine</w:t>
            </w:r>
          </w:p>
        </w:tc>
        <w:tc>
          <w:tcPr>
            <w:tcW w:w="1493" w:type="dxa"/>
            <w:shd w:val="clear" w:color="auto" w:fill="auto"/>
            <w:noWrap/>
            <w:hideMark/>
          </w:tcPr>
          <w:p w14:paraId="1E1F9B7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268" w:type="dxa"/>
            <w:shd w:val="clear" w:color="auto" w:fill="auto"/>
            <w:noWrap/>
            <w:hideMark/>
          </w:tcPr>
          <w:p w14:paraId="3D9C7AC0"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Myelodysplastic Syndrome</w:t>
            </w:r>
          </w:p>
        </w:tc>
      </w:tr>
      <w:tr w:rsidR="00FC660A" w:rsidRPr="00FD5C87" w14:paraId="5C0792ED" w14:textId="77777777" w:rsidTr="00405BEF">
        <w:trPr>
          <w:trHeight w:val="320"/>
        </w:trPr>
        <w:tc>
          <w:tcPr>
            <w:tcW w:w="1812" w:type="dxa"/>
            <w:shd w:val="clear" w:color="auto" w:fill="auto"/>
            <w:noWrap/>
            <w:hideMark/>
          </w:tcPr>
          <w:p w14:paraId="13009D13"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NCT03552380</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1996935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409FDF67" w14:textId="5DCA5F33"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Entinostat</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n</w:t>
            </w:r>
            <w:r w:rsidRPr="00F04BAD">
              <w:rPr>
                <w:rFonts w:ascii="Book Antiqua" w:eastAsia="Times New Roman" w:hAnsi="Book Antiqua" w:cs="Calibri"/>
                <w:color w:val="000000" w:themeColor="text1"/>
                <w:lang w:eastAsia="fr-FR"/>
              </w:rPr>
              <w:t xml:space="preserve">ivolumab + </w:t>
            </w:r>
            <w:r w:rsidR="00FD3ED7" w:rsidRPr="00F04BAD">
              <w:rPr>
                <w:rFonts w:ascii="Book Antiqua" w:hAnsi="Book Antiqua" w:cs="Calibri"/>
                <w:color w:val="000000" w:themeColor="text1"/>
                <w:lang w:eastAsia="zh-CN"/>
              </w:rPr>
              <w:t>i</w:t>
            </w:r>
            <w:r w:rsidRPr="00F04BAD">
              <w:rPr>
                <w:rFonts w:ascii="Book Antiqua" w:eastAsia="Times New Roman" w:hAnsi="Book Antiqua" w:cs="Calibri"/>
                <w:color w:val="000000" w:themeColor="text1"/>
                <w:lang w:eastAsia="fr-FR"/>
              </w:rPr>
              <w:t>pilimumab</w:t>
            </w:r>
          </w:p>
        </w:tc>
        <w:tc>
          <w:tcPr>
            <w:tcW w:w="1493" w:type="dxa"/>
            <w:shd w:val="clear" w:color="auto" w:fill="auto"/>
            <w:noWrap/>
            <w:hideMark/>
          </w:tcPr>
          <w:p w14:paraId="504A47F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noWrap/>
            <w:hideMark/>
          </w:tcPr>
          <w:p w14:paraId="4CB87905"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Kidney</w:t>
            </w:r>
          </w:p>
        </w:tc>
      </w:tr>
      <w:tr w:rsidR="00FC660A" w:rsidRPr="00FD5C87" w14:paraId="1FA5A959" w14:textId="77777777" w:rsidTr="00405BEF">
        <w:trPr>
          <w:trHeight w:val="320"/>
        </w:trPr>
        <w:tc>
          <w:tcPr>
            <w:tcW w:w="1812" w:type="dxa"/>
            <w:shd w:val="clear" w:color="auto" w:fill="auto"/>
            <w:noWrap/>
            <w:hideMark/>
          </w:tcPr>
          <w:p w14:paraId="299C6D55"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NCT03179930</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711B2A8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3A3C2071" w14:textId="6C6D209B"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Entinostat</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embrolizumab</w:t>
            </w:r>
          </w:p>
        </w:tc>
        <w:tc>
          <w:tcPr>
            <w:tcW w:w="1493" w:type="dxa"/>
            <w:shd w:val="clear" w:color="auto" w:fill="auto"/>
            <w:noWrap/>
            <w:hideMark/>
          </w:tcPr>
          <w:p w14:paraId="2FB551F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noWrap/>
            <w:hideMark/>
          </w:tcPr>
          <w:p w14:paraId="5A162C1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Lymphoma</w:t>
            </w:r>
          </w:p>
        </w:tc>
      </w:tr>
      <w:tr w:rsidR="00FC660A" w:rsidRPr="00FD5C87" w14:paraId="73DB6DAD" w14:textId="77777777" w:rsidTr="00405BEF">
        <w:trPr>
          <w:trHeight w:val="320"/>
        </w:trPr>
        <w:tc>
          <w:tcPr>
            <w:tcW w:w="1812" w:type="dxa"/>
            <w:shd w:val="clear" w:color="auto" w:fill="auto"/>
            <w:noWrap/>
            <w:hideMark/>
          </w:tcPr>
          <w:p w14:paraId="315E8A02"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NCT02697630</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12E13DEE"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661186B6" w14:textId="69AF6B49"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Pembrolizumab +</w:t>
            </w:r>
            <w:r w:rsidRPr="00F04BAD">
              <w:rPr>
                <w:rFonts w:ascii="Book Antiqua" w:hAnsi="Book Antiqua" w:cs="Calibri"/>
                <w:color w:val="000000" w:themeColor="text1"/>
                <w:lang w:eastAsia="zh-CN"/>
              </w:rPr>
              <w:t xml:space="preserve"> </w:t>
            </w:r>
            <w:r w:rsidR="00FD3ED7" w:rsidRPr="00F04BAD">
              <w:rPr>
                <w:rFonts w:ascii="Book Antiqua" w:hAnsi="Book Antiqua" w:cs="Calibri"/>
                <w:color w:val="000000" w:themeColor="text1"/>
                <w:lang w:eastAsia="zh-CN"/>
              </w:rPr>
              <w:t>e</w:t>
            </w:r>
            <w:r w:rsidRPr="00F04BAD">
              <w:rPr>
                <w:rFonts w:ascii="Book Antiqua" w:eastAsia="Times New Roman" w:hAnsi="Book Antiqua" w:cs="Calibri"/>
                <w:color w:val="000000" w:themeColor="text1"/>
                <w:lang w:eastAsia="fr-FR"/>
              </w:rPr>
              <w:t>ntinostat</w:t>
            </w:r>
          </w:p>
        </w:tc>
        <w:tc>
          <w:tcPr>
            <w:tcW w:w="1493" w:type="dxa"/>
            <w:shd w:val="clear" w:color="auto" w:fill="auto"/>
            <w:noWrap/>
            <w:hideMark/>
          </w:tcPr>
          <w:p w14:paraId="4969D73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w:t>
            </w:r>
          </w:p>
        </w:tc>
        <w:tc>
          <w:tcPr>
            <w:tcW w:w="2268" w:type="dxa"/>
            <w:shd w:val="clear" w:color="auto" w:fill="auto"/>
            <w:noWrap/>
            <w:hideMark/>
          </w:tcPr>
          <w:p w14:paraId="7C7371A3"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Metastatic uveal melanoma</w:t>
            </w:r>
          </w:p>
        </w:tc>
      </w:tr>
      <w:tr w:rsidR="00FC660A" w:rsidRPr="00FD5C87" w14:paraId="408F6CB6" w14:textId="77777777" w:rsidTr="00405BEF">
        <w:trPr>
          <w:trHeight w:val="680"/>
        </w:trPr>
        <w:tc>
          <w:tcPr>
            <w:tcW w:w="1812" w:type="dxa"/>
            <w:shd w:val="clear" w:color="auto" w:fill="auto"/>
            <w:noWrap/>
            <w:hideMark/>
          </w:tcPr>
          <w:p w14:paraId="440B829A"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NCT03250273</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089E386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38E73EFB" w14:textId="4D18D8B9"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Entinostat + </w:t>
            </w:r>
            <w:r w:rsidR="00FD3ED7" w:rsidRPr="00F04BAD">
              <w:rPr>
                <w:rFonts w:ascii="Book Antiqua" w:hAnsi="Book Antiqua" w:cs="Calibri"/>
                <w:color w:val="000000" w:themeColor="text1"/>
                <w:lang w:eastAsia="zh-CN"/>
              </w:rPr>
              <w:t>n</w:t>
            </w:r>
            <w:r w:rsidRPr="00F04BAD">
              <w:rPr>
                <w:rFonts w:ascii="Book Antiqua" w:eastAsia="Times New Roman" w:hAnsi="Book Antiqua" w:cs="Calibri"/>
                <w:color w:val="000000" w:themeColor="text1"/>
                <w:lang w:eastAsia="fr-FR"/>
              </w:rPr>
              <w:t>ivolumab</w:t>
            </w:r>
          </w:p>
        </w:tc>
        <w:tc>
          <w:tcPr>
            <w:tcW w:w="1493" w:type="dxa"/>
            <w:shd w:val="clear" w:color="auto" w:fill="auto"/>
            <w:noWrap/>
            <w:hideMark/>
          </w:tcPr>
          <w:p w14:paraId="1A68026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hideMark/>
          </w:tcPr>
          <w:p w14:paraId="2331978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Cholangiocarcinoma and pancreatic adenocarcinoma</w:t>
            </w:r>
          </w:p>
        </w:tc>
      </w:tr>
      <w:tr w:rsidR="00FC660A" w:rsidRPr="00FD5C87" w14:paraId="522496A4" w14:textId="77777777" w:rsidTr="00405BEF">
        <w:trPr>
          <w:trHeight w:val="320"/>
        </w:trPr>
        <w:tc>
          <w:tcPr>
            <w:tcW w:w="1812" w:type="dxa"/>
            <w:shd w:val="clear" w:color="auto" w:fill="auto"/>
            <w:noWrap/>
            <w:hideMark/>
          </w:tcPr>
          <w:p w14:paraId="594A6B51"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NCT02915523</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1703DD2B"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shd w:val="clear" w:color="auto" w:fill="auto"/>
            <w:noWrap/>
            <w:hideMark/>
          </w:tcPr>
          <w:p w14:paraId="0A486CD4" w14:textId="05D145F5"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Avelumab +/-</w:t>
            </w:r>
            <w:r w:rsidRPr="00F04BAD">
              <w:rPr>
                <w:rFonts w:ascii="Book Antiqua" w:hAnsi="Book Antiqua" w:cs="Calibri"/>
                <w:color w:val="000000" w:themeColor="text1"/>
                <w:lang w:eastAsia="zh-CN"/>
              </w:rPr>
              <w:t xml:space="preserve"> </w:t>
            </w:r>
            <w:r w:rsidR="00FD3ED7" w:rsidRPr="00F04BAD">
              <w:rPr>
                <w:rFonts w:ascii="Book Antiqua" w:hAnsi="Book Antiqua" w:cs="Calibri"/>
                <w:color w:val="000000" w:themeColor="text1"/>
                <w:lang w:eastAsia="zh-CN"/>
              </w:rPr>
              <w:t>e</w:t>
            </w:r>
            <w:r w:rsidRPr="00F04BAD">
              <w:rPr>
                <w:rFonts w:ascii="Book Antiqua" w:eastAsia="Times New Roman" w:hAnsi="Book Antiqua" w:cs="Calibri"/>
                <w:color w:val="000000" w:themeColor="text1"/>
                <w:lang w:eastAsia="fr-FR"/>
              </w:rPr>
              <w:t>ntinostat</w:t>
            </w:r>
          </w:p>
        </w:tc>
        <w:tc>
          <w:tcPr>
            <w:tcW w:w="1493" w:type="dxa"/>
            <w:shd w:val="clear" w:color="auto" w:fill="auto"/>
            <w:noWrap/>
            <w:hideMark/>
          </w:tcPr>
          <w:p w14:paraId="1783A8F5"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268" w:type="dxa"/>
            <w:shd w:val="clear" w:color="auto" w:fill="auto"/>
            <w:noWrap/>
            <w:hideMark/>
          </w:tcPr>
          <w:p w14:paraId="30F56B5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Ovarian cancer</w:t>
            </w:r>
          </w:p>
        </w:tc>
      </w:tr>
      <w:tr w:rsidR="00FC660A" w:rsidRPr="00FD5C87" w14:paraId="32183AAC" w14:textId="77777777" w:rsidTr="00405BEF">
        <w:trPr>
          <w:trHeight w:val="320"/>
        </w:trPr>
        <w:tc>
          <w:tcPr>
            <w:tcW w:w="1812" w:type="dxa"/>
            <w:shd w:val="clear" w:color="auto" w:fill="auto"/>
            <w:noWrap/>
            <w:hideMark/>
          </w:tcPr>
          <w:p w14:paraId="60B3F2D5"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NCT03838042</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7277CCB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shd w:val="clear" w:color="auto" w:fill="auto"/>
            <w:noWrap/>
            <w:hideMark/>
          </w:tcPr>
          <w:p w14:paraId="78F6560F" w14:textId="605C34D8"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Nivolumab +</w:t>
            </w:r>
            <w:r w:rsidRPr="00F04BAD">
              <w:rPr>
                <w:rFonts w:ascii="Book Antiqua" w:hAnsi="Book Antiqua" w:cs="Calibri"/>
                <w:color w:val="000000" w:themeColor="text1"/>
                <w:lang w:eastAsia="zh-CN"/>
              </w:rPr>
              <w:t xml:space="preserve"> </w:t>
            </w:r>
            <w:r w:rsidR="00FD3ED7" w:rsidRPr="00F04BAD">
              <w:rPr>
                <w:rFonts w:ascii="Book Antiqua" w:hAnsi="Book Antiqua" w:cs="Calibri"/>
                <w:color w:val="000000" w:themeColor="text1"/>
                <w:lang w:eastAsia="zh-CN"/>
              </w:rPr>
              <w:t>e</w:t>
            </w:r>
            <w:r w:rsidRPr="00F04BAD">
              <w:rPr>
                <w:rFonts w:ascii="Book Antiqua" w:eastAsia="Times New Roman" w:hAnsi="Book Antiqua" w:cs="Calibri"/>
                <w:color w:val="000000" w:themeColor="text1"/>
                <w:lang w:eastAsia="fr-FR"/>
              </w:rPr>
              <w:t>ntinostat</w:t>
            </w:r>
          </w:p>
        </w:tc>
        <w:tc>
          <w:tcPr>
            <w:tcW w:w="1493" w:type="dxa"/>
            <w:shd w:val="clear" w:color="auto" w:fill="auto"/>
            <w:noWrap/>
            <w:hideMark/>
          </w:tcPr>
          <w:p w14:paraId="1D5070C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268" w:type="dxa"/>
            <w:shd w:val="clear" w:color="auto" w:fill="auto"/>
            <w:noWrap/>
            <w:hideMark/>
          </w:tcPr>
          <w:p w14:paraId="3202D7A9"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CNS, solid tumors</w:t>
            </w:r>
          </w:p>
        </w:tc>
      </w:tr>
      <w:tr w:rsidR="00FC660A" w:rsidRPr="00FD5C87" w14:paraId="1C62FA27" w14:textId="77777777" w:rsidTr="00405BEF">
        <w:trPr>
          <w:trHeight w:val="339"/>
        </w:trPr>
        <w:tc>
          <w:tcPr>
            <w:tcW w:w="1812" w:type="dxa"/>
            <w:shd w:val="clear" w:color="auto" w:fill="auto"/>
            <w:noWrap/>
            <w:hideMark/>
          </w:tcPr>
          <w:p w14:paraId="668FAEE0"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NCT03024437</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3134B1C6"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shd w:val="clear" w:color="auto" w:fill="auto"/>
            <w:hideMark/>
          </w:tcPr>
          <w:p w14:paraId="4D94D012" w14:textId="5B4B2DB2"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Atezolizumab with</w:t>
            </w:r>
            <w:r w:rsidRPr="00F04BAD">
              <w:rPr>
                <w:rFonts w:ascii="Book Antiqua" w:hAnsi="Book Antiqua" w:cs="Calibri"/>
                <w:color w:val="000000" w:themeColor="text1"/>
                <w:lang w:eastAsia="zh-CN"/>
              </w:rPr>
              <w:t xml:space="preserve"> </w:t>
            </w:r>
            <w:r w:rsidR="00FD3ED7" w:rsidRPr="00F04BAD">
              <w:rPr>
                <w:rFonts w:ascii="Book Antiqua" w:hAnsi="Book Antiqua" w:cs="Calibri"/>
                <w:color w:val="000000" w:themeColor="text1"/>
                <w:lang w:eastAsia="zh-CN"/>
              </w:rPr>
              <w:t>e</w:t>
            </w:r>
            <w:r w:rsidRPr="00F04BAD">
              <w:rPr>
                <w:rFonts w:ascii="Book Antiqua" w:eastAsia="Times New Roman" w:hAnsi="Book Antiqua" w:cs="Calibri"/>
                <w:color w:val="000000" w:themeColor="text1"/>
                <w:lang w:eastAsia="fr-FR"/>
              </w:rPr>
              <w:t>ntinostat</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and </w:t>
            </w:r>
            <w:r w:rsidR="00FD3ED7" w:rsidRPr="00F04BAD">
              <w:rPr>
                <w:rFonts w:ascii="Book Antiqua" w:hAnsi="Book Antiqua" w:cs="Calibri"/>
                <w:color w:val="000000" w:themeColor="text1"/>
                <w:lang w:eastAsia="zh-CN"/>
              </w:rPr>
              <w:t>b</w:t>
            </w:r>
            <w:r w:rsidRPr="00F04BAD">
              <w:rPr>
                <w:rFonts w:ascii="Book Antiqua" w:eastAsia="Times New Roman" w:hAnsi="Book Antiqua" w:cs="Calibri"/>
                <w:color w:val="000000" w:themeColor="text1"/>
                <w:lang w:eastAsia="fr-FR"/>
              </w:rPr>
              <w:t>evacizumab</w:t>
            </w:r>
          </w:p>
        </w:tc>
        <w:tc>
          <w:tcPr>
            <w:tcW w:w="1493" w:type="dxa"/>
            <w:shd w:val="clear" w:color="auto" w:fill="auto"/>
            <w:noWrap/>
            <w:hideMark/>
          </w:tcPr>
          <w:p w14:paraId="60FF25E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268" w:type="dxa"/>
            <w:shd w:val="clear" w:color="auto" w:fill="auto"/>
            <w:noWrap/>
            <w:hideMark/>
          </w:tcPr>
          <w:p w14:paraId="375D967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Kidney</w:t>
            </w:r>
          </w:p>
        </w:tc>
      </w:tr>
      <w:tr w:rsidR="00FC660A" w:rsidRPr="00FD5C87" w14:paraId="613C75C0" w14:textId="77777777" w:rsidTr="00405BEF">
        <w:trPr>
          <w:trHeight w:val="320"/>
        </w:trPr>
        <w:tc>
          <w:tcPr>
            <w:tcW w:w="1812" w:type="dxa"/>
            <w:shd w:val="clear" w:color="auto" w:fill="auto"/>
            <w:noWrap/>
            <w:hideMark/>
          </w:tcPr>
          <w:p w14:paraId="1C235B40"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NCT01928576</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137058C1"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5809A7EC" w14:textId="18BBBCBC"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Nivolumab +/-</w:t>
            </w:r>
            <w:r w:rsidRPr="00F04BAD">
              <w:rPr>
                <w:rFonts w:ascii="Book Antiqua" w:hAnsi="Book Antiqua" w:cs="Calibri"/>
                <w:color w:val="000000" w:themeColor="text1"/>
                <w:lang w:eastAsia="zh-CN"/>
              </w:rPr>
              <w:t xml:space="preserve"> </w:t>
            </w:r>
            <w:r w:rsidR="00FD3ED7" w:rsidRPr="00F04BAD">
              <w:rPr>
                <w:rFonts w:ascii="Book Antiqua" w:hAnsi="Book Antiqua" w:cs="Calibri"/>
                <w:color w:val="000000" w:themeColor="text1"/>
                <w:lang w:eastAsia="zh-CN"/>
              </w:rPr>
              <w:t>e</w:t>
            </w:r>
            <w:r w:rsidRPr="00F04BAD">
              <w:rPr>
                <w:rFonts w:ascii="Book Antiqua" w:eastAsia="Times New Roman" w:hAnsi="Book Antiqua" w:cs="Calibri"/>
                <w:color w:val="000000" w:themeColor="text1"/>
                <w:lang w:eastAsia="fr-FR"/>
              </w:rPr>
              <w:t>ntinostat + azacitidine</w:t>
            </w:r>
          </w:p>
        </w:tc>
        <w:tc>
          <w:tcPr>
            <w:tcW w:w="1493" w:type="dxa"/>
            <w:shd w:val="clear" w:color="auto" w:fill="auto"/>
            <w:noWrap/>
            <w:hideMark/>
          </w:tcPr>
          <w:p w14:paraId="057BF15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noWrap/>
            <w:hideMark/>
          </w:tcPr>
          <w:p w14:paraId="7EE6399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NSCLC</w:t>
            </w:r>
          </w:p>
        </w:tc>
      </w:tr>
      <w:tr w:rsidR="00FC660A" w:rsidRPr="00FD5C87" w14:paraId="38CB10C0" w14:textId="77777777" w:rsidTr="00405BEF">
        <w:trPr>
          <w:trHeight w:val="680"/>
        </w:trPr>
        <w:tc>
          <w:tcPr>
            <w:tcW w:w="1812" w:type="dxa"/>
            <w:shd w:val="clear" w:color="auto" w:fill="auto"/>
            <w:noWrap/>
            <w:hideMark/>
          </w:tcPr>
          <w:p w14:paraId="677E3890"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NCT02901899</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704CE924"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5198FB72" w14:textId="555B4510"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Guadecitabine</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and </w:t>
            </w:r>
            <w:r w:rsidR="00FD3ED7" w:rsidRPr="00F04BAD">
              <w:rPr>
                <w:rFonts w:ascii="Book Antiqua" w:hAnsi="Book Antiqua" w:cs="Calibri"/>
                <w:color w:val="000000" w:themeColor="text1"/>
                <w:lang w:eastAsia="zh-CN"/>
              </w:rPr>
              <w:t>p</w:t>
            </w:r>
            <w:r w:rsidRPr="00F04BAD">
              <w:rPr>
                <w:rFonts w:ascii="Book Antiqua" w:eastAsia="Times New Roman" w:hAnsi="Book Antiqua" w:cs="Calibri"/>
                <w:color w:val="000000" w:themeColor="text1"/>
                <w:lang w:eastAsia="fr-FR"/>
              </w:rPr>
              <w:t>embrolizumab</w:t>
            </w:r>
          </w:p>
        </w:tc>
        <w:tc>
          <w:tcPr>
            <w:tcW w:w="1493" w:type="dxa"/>
            <w:shd w:val="clear" w:color="auto" w:fill="auto"/>
            <w:noWrap/>
            <w:hideMark/>
          </w:tcPr>
          <w:p w14:paraId="74F3178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hideMark/>
          </w:tcPr>
          <w:p w14:paraId="2CD9C0ED"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Ovarian, primary peritoneal, or fallopian tube cancer</w:t>
            </w:r>
          </w:p>
        </w:tc>
      </w:tr>
      <w:tr w:rsidR="00FC660A" w:rsidRPr="00FD5C87" w14:paraId="6F67D97F" w14:textId="77777777" w:rsidTr="00405BEF">
        <w:trPr>
          <w:trHeight w:val="320"/>
        </w:trPr>
        <w:tc>
          <w:tcPr>
            <w:tcW w:w="1812" w:type="dxa"/>
            <w:shd w:val="clear" w:color="auto" w:fill="auto"/>
            <w:noWrap/>
            <w:hideMark/>
          </w:tcPr>
          <w:p w14:paraId="614E689E"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NCT03179943</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1810718F"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976" w:type="dxa"/>
            <w:shd w:val="clear" w:color="auto" w:fill="auto"/>
            <w:noWrap/>
            <w:hideMark/>
          </w:tcPr>
          <w:p w14:paraId="49E12D9A" w14:textId="1727CB60"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Atezolizumab +</w:t>
            </w:r>
            <w:r w:rsidRPr="00F04BAD">
              <w:rPr>
                <w:rFonts w:ascii="Book Antiqua" w:hAnsi="Book Antiqua" w:cs="Calibri"/>
                <w:color w:val="000000" w:themeColor="text1"/>
                <w:lang w:eastAsia="zh-CN"/>
              </w:rPr>
              <w:t xml:space="preserve"> </w:t>
            </w:r>
            <w:r w:rsidR="00FD3ED7" w:rsidRPr="00F04BAD">
              <w:rPr>
                <w:rFonts w:ascii="Book Antiqua" w:hAnsi="Book Antiqua" w:cs="Calibri"/>
                <w:color w:val="000000" w:themeColor="text1"/>
                <w:lang w:eastAsia="zh-CN"/>
              </w:rPr>
              <w:t>g</w:t>
            </w:r>
            <w:r w:rsidRPr="00F04BAD">
              <w:rPr>
                <w:rFonts w:ascii="Book Antiqua" w:eastAsia="Times New Roman" w:hAnsi="Book Antiqua" w:cs="Calibri"/>
                <w:color w:val="000000" w:themeColor="text1"/>
                <w:lang w:eastAsia="fr-FR"/>
              </w:rPr>
              <w:t>uadecitabine</w:t>
            </w:r>
          </w:p>
        </w:tc>
        <w:tc>
          <w:tcPr>
            <w:tcW w:w="1493" w:type="dxa"/>
            <w:shd w:val="clear" w:color="auto" w:fill="auto"/>
            <w:noWrap/>
            <w:hideMark/>
          </w:tcPr>
          <w:p w14:paraId="5E9F3EB1"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noWrap/>
            <w:hideMark/>
          </w:tcPr>
          <w:p w14:paraId="1E34ECA9"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Urothelial carcinoma</w:t>
            </w:r>
          </w:p>
        </w:tc>
      </w:tr>
      <w:tr w:rsidR="00FC660A" w:rsidRPr="00FD5C87" w14:paraId="02EC3EE0" w14:textId="77777777" w:rsidTr="00405BEF">
        <w:trPr>
          <w:trHeight w:val="320"/>
        </w:trPr>
        <w:tc>
          <w:tcPr>
            <w:tcW w:w="1812" w:type="dxa"/>
            <w:shd w:val="clear" w:color="auto" w:fill="auto"/>
            <w:noWrap/>
            <w:hideMark/>
          </w:tcPr>
          <w:p w14:paraId="7E0FCFA0"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NCT03576963</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3F9D1BF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shd w:val="clear" w:color="auto" w:fill="auto"/>
            <w:noWrap/>
            <w:hideMark/>
          </w:tcPr>
          <w:p w14:paraId="0945DF45" w14:textId="7CE57447"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Guadecitabine</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n</w:t>
            </w:r>
            <w:r w:rsidRPr="00F04BAD">
              <w:rPr>
                <w:rFonts w:ascii="Book Antiqua" w:eastAsia="Times New Roman" w:hAnsi="Book Antiqua" w:cs="Calibri"/>
                <w:color w:val="000000" w:themeColor="text1"/>
                <w:lang w:eastAsia="fr-FR"/>
              </w:rPr>
              <w:t>ivolumab</w:t>
            </w:r>
          </w:p>
        </w:tc>
        <w:tc>
          <w:tcPr>
            <w:tcW w:w="1493" w:type="dxa"/>
            <w:shd w:val="clear" w:color="auto" w:fill="auto"/>
            <w:noWrap/>
            <w:hideMark/>
          </w:tcPr>
          <w:p w14:paraId="58931110"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shd w:val="clear" w:color="auto" w:fill="auto"/>
            <w:noWrap/>
            <w:hideMark/>
          </w:tcPr>
          <w:p w14:paraId="1D027918"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Metastatic colorectal cancer</w:t>
            </w:r>
          </w:p>
        </w:tc>
      </w:tr>
      <w:tr w:rsidR="00FC660A" w:rsidRPr="00FD5C87" w14:paraId="2DD8EF97" w14:textId="77777777" w:rsidTr="00405BEF">
        <w:trPr>
          <w:trHeight w:val="320"/>
        </w:trPr>
        <w:tc>
          <w:tcPr>
            <w:tcW w:w="1812" w:type="dxa"/>
            <w:shd w:val="clear" w:color="auto" w:fill="auto"/>
            <w:noWrap/>
            <w:hideMark/>
          </w:tcPr>
          <w:p w14:paraId="3C34D0D8"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NCT03308396</w:t>
            </w:r>
            <w:r w:rsidRPr="00F04BAD">
              <w:rPr>
                <w:rFonts w:ascii="Book Antiqua" w:eastAsia="Times New Roman" w:hAnsi="Book Antiqua" w:cs="Calibri"/>
                <w:color w:val="000000" w:themeColor="text1"/>
                <w:vertAlign w:val="superscript"/>
                <w:lang w:eastAsia="fr-FR"/>
              </w:rPr>
              <w:t>6</w:t>
            </w:r>
          </w:p>
        </w:tc>
        <w:tc>
          <w:tcPr>
            <w:tcW w:w="877" w:type="dxa"/>
            <w:shd w:val="clear" w:color="auto" w:fill="auto"/>
            <w:noWrap/>
            <w:hideMark/>
          </w:tcPr>
          <w:p w14:paraId="513CD486"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shd w:val="clear" w:color="auto" w:fill="auto"/>
            <w:noWrap/>
            <w:hideMark/>
          </w:tcPr>
          <w:p w14:paraId="25B1F24C" w14:textId="782ECEBA"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 xml:space="preserve">Durvalumab + </w:t>
            </w:r>
            <w:r w:rsidR="00FD3ED7" w:rsidRPr="00F04BAD">
              <w:rPr>
                <w:rFonts w:ascii="Book Antiqua" w:hAnsi="Book Antiqua" w:cs="Calibri"/>
                <w:color w:val="000000" w:themeColor="text1"/>
                <w:lang w:eastAsia="zh-CN"/>
              </w:rPr>
              <w:t>g</w:t>
            </w:r>
            <w:r w:rsidRPr="00F04BAD">
              <w:rPr>
                <w:rFonts w:ascii="Book Antiqua" w:eastAsia="Times New Roman" w:hAnsi="Book Antiqua" w:cs="Calibri"/>
                <w:color w:val="000000" w:themeColor="text1"/>
                <w:lang w:eastAsia="fr-FR"/>
              </w:rPr>
              <w:t>uadecitabine</w:t>
            </w:r>
          </w:p>
        </w:tc>
        <w:tc>
          <w:tcPr>
            <w:tcW w:w="1493" w:type="dxa"/>
            <w:shd w:val="clear" w:color="auto" w:fill="auto"/>
            <w:noWrap/>
            <w:hideMark/>
          </w:tcPr>
          <w:p w14:paraId="36A90A61"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268" w:type="dxa"/>
            <w:shd w:val="clear" w:color="auto" w:fill="auto"/>
            <w:noWrap/>
            <w:hideMark/>
          </w:tcPr>
          <w:p w14:paraId="0DFFEAA2"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Kidney</w:t>
            </w:r>
          </w:p>
        </w:tc>
      </w:tr>
      <w:tr w:rsidR="00FC660A" w:rsidRPr="00FD5C87" w14:paraId="42366223" w14:textId="77777777" w:rsidTr="00405BEF">
        <w:trPr>
          <w:trHeight w:val="680"/>
        </w:trPr>
        <w:tc>
          <w:tcPr>
            <w:tcW w:w="1812" w:type="dxa"/>
            <w:tcBorders>
              <w:bottom w:val="single" w:sz="4" w:space="0" w:color="auto"/>
            </w:tcBorders>
            <w:shd w:val="clear" w:color="auto" w:fill="auto"/>
            <w:noWrap/>
            <w:hideMark/>
          </w:tcPr>
          <w:p w14:paraId="766C4A2B" w14:textId="77777777" w:rsidR="00405BEF" w:rsidRPr="00F04BAD" w:rsidRDefault="00405BEF" w:rsidP="00CC2DE3">
            <w:pPr>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NCT02935361</w:t>
            </w:r>
            <w:r w:rsidRPr="00F04BAD">
              <w:rPr>
                <w:rFonts w:ascii="Book Antiqua" w:eastAsia="Times New Roman" w:hAnsi="Book Antiqua" w:cs="Calibri"/>
                <w:color w:val="000000" w:themeColor="text1"/>
                <w:vertAlign w:val="superscript"/>
                <w:lang w:eastAsia="fr-FR"/>
              </w:rPr>
              <w:t>6</w:t>
            </w:r>
          </w:p>
        </w:tc>
        <w:tc>
          <w:tcPr>
            <w:tcW w:w="877" w:type="dxa"/>
            <w:tcBorders>
              <w:bottom w:val="single" w:sz="4" w:space="0" w:color="auto"/>
            </w:tcBorders>
            <w:shd w:val="clear" w:color="auto" w:fill="auto"/>
            <w:noWrap/>
            <w:hideMark/>
          </w:tcPr>
          <w:p w14:paraId="33665D6A"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1/2</w:t>
            </w:r>
          </w:p>
        </w:tc>
        <w:tc>
          <w:tcPr>
            <w:tcW w:w="2976" w:type="dxa"/>
            <w:tcBorders>
              <w:bottom w:val="single" w:sz="4" w:space="0" w:color="auto"/>
            </w:tcBorders>
            <w:shd w:val="clear" w:color="auto" w:fill="auto"/>
            <w:noWrap/>
            <w:hideMark/>
          </w:tcPr>
          <w:p w14:paraId="791A86D8" w14:textId="22F10CC6" w:rsidR="00405BEF" w:rsidRPr="00F04BAD" w:rsidRDefault="00405BEF" w:rsidP="00FD3ED7">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Guadecitabine</w:t>
            </w:r>
            <w:r w:rsidRPr="00F04BAD">
              <w:rPr>
                <w:rFonts w:ascii="Book Antiqua" w:hAnsi="Book Antiqua" w:cs="Calibri"/>
                <w:color w:val="000000" w:themeColor="text1"/>
                <w:lang w:eastAsia="zh-CN"/>
              </w:rPr>
              <w:t xml:space="preserve"> </w:t>
            </w:r>
            <w:r w:rsidRPr="00F04BAD">
              <w:rPr>
                <w:rFonts w:ascii="Book Antiqua" w:eastAsia="Times New Roman" w:hAnsi="Book Antiqua" w:cs="Calibri"/>
                <w:color w:val="000000" w:themeColor="text1"/>
                <w:lang w:eastAsia="fr-FR"/>
              </w:rPr>
              <w:t xml:space="preserve">+ </w:t>
            </w:r>
            <w:r w:rsidR="00FD3ED7" w:rsidRPr="00F04BAD">
              <w:rPr>
                <w:rFonts w:ascii="Book Antiqua" w:hAnsi="Book Antiqua" w:cs="Calibri"/>
                <w:color w:val="000000" w:themeColor="text1"/>
                <w:lang w:eastAsia="zh-CN"/>
              </w:rPr>
              <w:t>a</w:t>
            </w:r>
            <w:r w:rsidRPr="00F04BAD">
              <w:rPr>
                <w:rFonts w:ascii="Book Antiqua" w:eastAsia="Times New Roman" w:hAnsi="Book Antiqua" w:cs="Calibri"/>
                <w:color w:val="000000" w:themeColor="text1"/>
                <w:lang w:eastAsia="fr-FR"/>
              </w:rPr>
              <w:t>tezolizumab</w:t>
            </w:r>
          </w:p>
        </w:tc>
        <w:tc>
          <w:tcPr>
            <w:tcW w:w="1493" w:type="dxa"/>
            <w:tcBorders>
              <w:bottom w:val="single" w:sz="4" w:space="0" w:color="auto"/>
            </w:tcBorders>
            <w:shd w:val="clear" w:color="auto" w:fill="auto"/>
            <w:noWrap/>
            <w:hideMark/>
          </w:tcPr>
          <w:p w14:paraId="09B3F66C"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2</w:t>
            </w:r>
          </w:p>
        </w:tc>
        <w:tc>
          <w:tcPr>
            <w:tcW w:w="2268" w:type="dxa"/>
            <w:tcBorders>
              <w:bottom w:val="single" w:sz="4" w:space="0" w:color="auto"/>
            </w:tcBorders>
            <w:shd w:val="clear" w:color="auto" w:fill="auto"/>
            <w:hideMark/>
          </w:tcPr>
          <w:p w14:paraId="58013AB7" w14:textId="77777777" w:rsidR="00405BEF" w:rsidRPr="00F04BAD" w:rsidRDefault="00405BEF" w:rsidP="00F5364C">
            <w:pPr>
              <w:spacing w:line="360" w:lineRule="auto"/>
              <w:jc w:val="both"/>
              <w:rPr>
                <w:rFonts w:ascii="Book Antiqua" w:eastAsia="Times New Roman" w:hAnsi="Book Antiqua" w:cs="Calibri"/>
                <w:color w:val="000000" w:themeColor="text1"/>
                <w:lang w:eastAsia="fr-FR"/>
              </w:rPr>
            </w:pPr>
            <w:r w:rsidRPr="00F04BAD">
              <w:rPr>
                <w:rFonts w:ascii="Book Antiqua" w:eastAsia="Times New Roman" w:hAnsi="Book Antiqua" w:cs="Calibri"/>
                <w:color w:val="000000" w:themeColor="text1"/>
                <w:lang w:eastAsia="fr-FR"/>
              </w:rPr>
              <w:t>Myelodysplastic syndrome or chronic myelomonocytic leukemia</w:t>
            </w:r>
          </w:p>
        </w:tc>
      </w:tr>
    </w:tbl>
    <w:p w14:paraId="3B5FA285" w14:textId="5D7B8A4F" w:rsidR="00A77B3E" w:rsidRPr="00F04BAD" w:rsidRDefault="00405BEF">
      <w:pPr>
        <w:spacing w:line="360" w:lineRule="auto"/>
        <w:jc w:val="both"/>
        <w:rPr>
          <w:rFonts w:ascii="Book Antiqua" w:hAnsi="Book Antiqua"/>
          <w:color w:val="000000" w:themeColor="text1"/>
          <w:lang w:eastAsia="zh-CN"/>
        </w:rPr>
      </w:pPr>
      <w:r w:rsidRPr="00F04BAD">
        <w:rPr>
          <w:rFonts w:ascii="Book Antiqua" w:eastAsia="Calibri" w:hAnsi="Book Antiqua" w:cs="Arial"/>
          <w:color w:val="000000" w:themeColor="text1"/>
          <w:vertAlign w:val="superscript"/>
        </w:rPr>
        <w:t>1</w:t>
      </w:r>
      <w:r w:rsidRPr="00F04BAD">
        <w:rPr>
          <w:rFonts w:ascii="Book Antiqua" w:hAnsi="Book Antiqua" w:cs="Book Antiqua"/>
          <w:color w:val="000000" w:themeColor="text1"/>
          <w:lang w:eastAsia="zh-CN"/>
        </w:rPr>
        <w:t>I</w:t>
      </w:r>
      <w:r w:rsidRPr="00F04BAD">
        <w:rPr>
          <w:rFonts w:ascii="Book Antiqua" w:eastAsia="Book Antiqua" w:hAnsi="Book Antiqua" w:cs="Book Antiqua"/>
          <w:color w:val="000000" w:themeColor="text1"/>
        </w:rPr>
        <w:t>mmune checkpoint inhibitor</w:t>
      </w:r>
      <w:r w:rsidRPr="00F04BAD">
        <w:rPr>
          <w:rFonts w:ascii="Book Antiqua" w:hAnsi="Book Antiqua" w:cs="Book Antiqua"/>
          <w:color w:val="000000" w:themeColor="text1"/>
          <w:lang w:eastAsia="zh-CN"/>
        </w:rPr>
        <w:t xml:space="preserve"> </w:t>
      </w:r>
      <w:r w:rsidRPr="00F04BAD">
        <w:rPr>
          <w:rFonts w:ascii="Book Antiqua" w:eastAsia="Book Antiqua" w:hAnsi="Book Antiqua" w:cs="Book Antiqua"/>
          <w:color w:val="000000" w:themeColor="text1"/>
        </w:rPr>
        <w:t>(ICI)</w:t>
      </w:r>
      <w:r w:rsidRPr="00F04BAD">
        <w:rPr>
          <w:rFonts w:ascii="Book Antiqua" w:eastAsia="Calibri" w:hAnsi="Book Antiqua" w:cs="Arial"/>
          <w:color w:val="000000" w:themeColor="text1"/>
        </w:rPr>
        <w:t xml:space="preserve"> monotherapy</w:t>
      </w:r>
      <w:r w:rsidR="00BB780F" w:rsidRPr="00FD5C87">
        <w:rPr>
          <w:rFonts w:ascii="Book Antiqua" w:hAnsi="Book Antiqua" w:cs="Arial"/>
          <w:color w:val="000000" w:themeColor="text1"/>
          <w:lang w:eastAsia="zh-CN"/>
        </w:rPr>
        <w:t>;</w:t>
      </w:r>
      <w:r w:rsidRPr="00F04BAD">
        <w:rPr>
          <w:rFonts w:ascii="Book Antiqua" w:eastAsia="Calibri" w:hAnsi="Book Antiqua" w:cs="Arial"/>
          <w:color w:val="000000" w:themeColor="text1"/>
        </w:rPr>
        <w:t xml:space="preserve"> </w:t>
      </w:r>
      <w:r w:rsidRPr="00F04BAD">
        <w:rPr>
          <w:rFonts w:ascii="Book Antiqua" w:eastAsia="Calibri" w:hAnsi="Book Antiqua" w:cs="Arial"/>
          <w:color w:val="000000" w:themeColor="text1"/>
          <w:vertAlign w:val="superscript"/>
        </w:rPr>
        <w:t>2</w:t>
      </w:r>
      <w:r w:rsidRPr="00F04BAD">
        <w:rPr>
          <w:rFonts w:ascii="Book Antiqua" w:eastAsia="Calibri" w:hAnsi="Book Antiqua" w:cs="Arial"/>
          <w:color w:val="000000" w:themeColor="text1"/>
        </w:rPr>
        <w:t>Combination ICI with anti-angiogenic agents</w:t>
      </w:r>
      <w:r w:rsidR="00BB780F" w:rsidRPr="00FD5C87">
        <w:rPr>
          <w:rFonts w:ascii="Book Antiqua" w:hAnsi="Book Antiqua" w:cs="Arial"/>
          <w:color w:val="000000" w:themeColor="text1"/>
          <w:lang w:eastAsia="zh-CN"/>
        </w:rPr>
        <w:t>;</w:t>
      </w:r>
      <w:r w:rsidRPr="00F04BAD">
        <w:rPr>
          <w:rFonts w:ascii="Book Antiqua" w:eastAsia="Calibri" w:hAnsi="Book Antiqua" w:cs="Arial"/>
          <w:color w:val="000000" w:themeColor="text1"/>
        </w:rPr>
        <w:t xml:space="preserve"> </w:t>
      </w:r>
      <w:r w:rsidRPr="00F04BAD">
        <w:rPr>
          <w:rFonts w:ascii="Book Antiqua" w:eastAsia="Calibri" w:hAnsi="Book Antiqua" w:cs="Arial"/>
          <w:color w:val="000000" w:themeColor="text1"/>
          <w:vertAlign w:val="superscript"/>
        </w:rPr>
        <w:t>3</w:t>
      </w:r>
      <w:r w:rsidRPr="00F04BAD">
        <w:rPr>
          <w:rFonts w:ascii="Book Antiqua" w:eastAsia="Calibri" w:hAnsi="Book Antiqua" w:cs="Arial"/>
          <w:color w:val="000000" w:themeColor="text1"/>
        </w:rPr>
        <w:t>Combination ICI with locoregional treatment</w:t>
      </w:r>
      <w:r w:rsidR="00BB780F" w:rsidRPr="00FD5C87">
        <w:rPr>
          <w:rFonts w:ascii="Book Antiqua" w:hAnsi="Book Antiqua" w:cs="Arial"/>
          <w:color w:val="000000" w:themeColor="text1"/>
          <w:lang w:eastAsia="zh-CN"/>
        </w:rPr>
        <w:t>;</w:t>
      </w:r>
      <w:r w:rsidRPr="00F04BAD">
        <w:rPr>
          <w:rFonts w:ascii="Book Antiqua" w:eastAsia="Calibri" w:hAnsi="Book Antiqua" w:cs="Arial"/>
          <w:color w:val="000000" w:themeColor="text1"/>
        </w:rPr>
        <w:t xml:space="preserve"> </w:t>
      </w:r>
      <w:r w:rsidRPr="00F04BAD">
        <w:rPr>
          <w:rFonts w:ascii="Book Antiqua" w:eastAsia="Calibri" w:hAnsi="Book Antiqua" w:cs="Arial"/>
          <w:color w:val="000000" w:themeColor="text1"/>
          <w:vertAlign w:val="superscript"/>
        </w:rPr>
        <w:t>4</w:t>
      </w:r>
      <w:r w:rsidRPr="00F04BAD">
        <w:rPr>
          <w:rFonts w:ascii="Book Antiqua" w:eastAsia="Calibri" w:hAnsi="Book Antiqua" w:cs="Arial"/>
          <w:color w:val="000000" w:themeColor="text1"/>
        </w:rPr>
        <w:t>ICI combination</w:t>
      </w:r>
      <w:r w:rsidR="00BB780F" w:rsidRPr="00FD5C87">
        <w:rPr>
          <w:rFonts w:ascii="Book Antiqua" w:hAnsi="Book Antiqua" w:cs="Arial"/>
          <w:color w:val="000000" w:themeColor="text1"/>
          <w:lang w:eastAsia="zh-CN"/>
        </w:rPr>
        <w:t>;</w:t>
      </w:r>
      <w:r w:rsidRPr="00F04BAD">
        <w:rPr>
          <w:rFonts w:ascii="Book Antiqua" w:eastAsia="Calibri" w:hAnsi="Book Antiqua" w:cs="Arial"/>
          <w:color w:val="000000" w:themeColor="text1"/>
        </w:rPr>
        <w:t xml:space="preserve"> </w:t>
      </w:r>
      <w:r w:rsidRPr="00F04BAD">
        <w:rPr>
          <w:rFonts w:ascii="Book Antiqua" w:eastAsia="Calibri" w:hAnsi="Book Antiqua" w:cs="Arial"/>
          <w:color w:val="000000" w:themeColor="text1"/>
          <w:vertAlign w:val="superscript"/>
        </w:rPr>
        <w:t>5</w:t>
      </w:r>
      <w:r w:rsidRPr="00F04BAD">
        <w:rPr>
          <w:rFonts w:ascii="Book Antiqua" w:eastAsia="Calibri" w:hAnsi="Book Antiqua" w:cs="Arial"/>
          <w:color w:val="000000" w:themeColor="text1"/>
        </w:rPr>
        <w:t>Other ICI combinations</w:t>
      </w:r>
      <w:r w:rsidR="00BB780F" w:rsidRPr="00FD5C87">
        <w:rPr>
          <w:rFonts w:ascii="Book Antiqua" w:hAnsi="Book Antiqua" w:cs="Arial"/>
          <w:color w:val="000000" w:themeColor="text1"/>
          <w:lang w:eastAsia="zh-CN"/>
        </w:rPr>
        <w:t>;</w:t>
      </w:r>
      <w:r w:rsidRPr="00F04BAD">
        <w:rPr>
          <w:rFonts w:ascii="Book Antiqua" w:eastAsia="Calibri" w:hAnsi="Book Antiqua" w:cs="Arial"/>
          <w:color w:val="000000" w:themeColor="text1"/>
        </w:rPr>
        <w:t xml:space="preserve"> </w:t>
      </w:r>
      <w:r w:rsidRPr="00F04BAD">
        <w:rPr>
          <w:rFonts w:ascii="Book Antiqua" w:eastAsia="Calibri" w:hAnsi="Book Antiqua" w:cs="Arial"/>
          <w:color w:val="000000" w:themeColor="text1"/>
          <w:vertAlign w:val="superscript"/>
        </w:rPr>
        <w:t>6</w:t>
      </w:r>
      <w:r w:rsidRPr="00F04BAD">
        <w:rPr>
          <w:rFonts w:ascii="Book Antiqua" w:eastAsia="Calibri" w:hAnsi="Book Antiqua" w:cs="Arial"/>
          <w:color w:val="000000" w:themeColor="text1"/>
        </w:rPr>
        <w:t>ICI + epigenetic drugs</w:t>
      </w:r>
      <w:r w:rsidRPr="00F04BAD">
        <w:rPr>
          <w:rFonts w:ascii="Book Antiqua" w:hAnsi="Book Antiqua" w:cs="Arial"/>
          <w:color w:val="000000" w:themeColor="text1"/>
          <w:lang w:eastAsia="zh-CN"/>
        </w:rPr>
        <w:t>.</w:t>
      </w:r>
      <w:r w:rsidRPr="00F04BAD">
        <w:rPr>
          <w:rFonts w:ascii="Book Antiqua" w:eastAsia="Calibri" w:hAnsi="Book Antiqua" w:cs="Arial"/>
          <w:color w:val="000000" w:themeColor="text1"/>
        </w:rPr>
        <w:t xml:space="preserve"> </w:t>
      </w:r>
      <w:r w:rsidR="000D0918" w:rsidRPr="00F04BAD">
        <w:rPr>
          <w:rFonts w:ascii="Book Antiqua" w:eastAsia="Book Antiqua" w:hAnsi="Book Antiqua" w:cs="Book Antiqua"/>
          <w:color w:val="000000" w:themeColor="text1"/>
        </w:rPr>
        <w:t xml:space="preserve">AML: </w:t>
      </w:r>
      <w:r w:rsidR="00F5364C" w:rsidRPr="00F04BAD">
        <w:rPr>
          <w:rFonts w:ascii="Book Antiqua" w:hAnsi="Book Antiqua" w:cs="Book Antiqua"/>
          <w:color w:val="000000" w:themeColor="text1"/>
          <w:lang w:eastAsia="zh-CN"/>
        </w:rPr>
        <w:t>A</w:t>
      </w:r>
      <w:r w:rsidR="000D0918" w:rsidRPr="00F04BAD">
        <w:rPr>
          <w:rFonts w:ascii="Book Antiqua" w:eastAsia="Book Antiqua" w:hAnsi="Book Antiqua" w:cs="Book Antiqua"/>
          <w:color w:val="000000" w:themeColor="text1"/>
        </w:rPr>
        <w:t>cute myeloid leukemia</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BSC: </w:t>
      </w:r>
      <w:r w:rsidR="00F5364C" w:rsidRPr="00F04BAD">
        <w:rPr>
          <w:rFonts w:ascii="Book Antiqua" w:hAnsi="Book Antiqua" w:cs="Book Antiqua"/>
          <w:color w:val="000000" w:themeColor="text1"/>
          <w:lang w:eastAsia="zh-CN"/>
        </w:rPr>
        <w:t>B</w:t>
      </w:r>
      <w:r w:rsidR="000D0918" w:rsidRPr="00F04BAD">
        <w:rPr>
          <w:rFonts w:ascii="Book Antiqua" w:eastAsia="Book Antiqua" w:hAnsi="Book Antiqua" w:cs="Book Antiqua"/>
          <w:color w:val="000000" w:themeColor="text1"/>
        </w:rPr>
        <w:t>est supportive care</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CNS: </w:t>
      </w:r>
      <w:r w:rsidR="00F5364C" w:rsidRPr="00F04BAD">
        <w:rPr>
          <w:rFonts w:ascii="Book Antiqua" w:hAnsi="Book Antiqua" w:cs="Book Antiqua"/>
          <w:color w:val="000000" w:themeColor="text1"/>
          <w:lang w:eastAsia="zh-CN"/>
        </w:rPr>
        <w:t>C</w:t>
      </w:r>
      <w:r w:rsidR="000D0918" w:rsidRPr="00F04BAD">
        <w:rPr>
          <w:rFonts w:ascii="Book Antiqua" w:eastAsia="Book Antiqua" w:hAnsi="Book Antiqua" w:cs="Book Antiqua"/>
          <w:color w:val="000000" w:themeColor="text1"/>
        </w:rPr>
        <w:t>entral nervous system</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HCC: </w:t>
      </w:r>
      <w:r w:rsidR="00F5364C" w:rsidRPr="00F04BAD">
        <w:rPr>
          <w:rFonts w:ascii="Book Antiqua" w:hAnsi="Book Antiqua" w:cs="Book Antiqua"/>
          <w:color w:val="000000" w:themeColor="text1"/>
          <w:lang w:eastAsia="zh-CN"/>
        </w:rPr>
        <w:t>H</w:t>
      </w:r>
      <w:r w:rsidR="000D0918" w:rsidRPr="00F04BAD">
        <w:rPr>
          <w:rFonts w:ascii="Book Antiqua" w:eastAsia="Book Antiqua" w:hAnsi="Book Antiqua" w:cs="Book Antiqua"/>
          <w:color w:val="000000" w:themeColor="text1"/>
        </w:rPr>
        <w:t>epatocellular carcinoma</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NSCLC: Non-small-cell lung carcinoma</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SOC: </w:t>
      </w:r>
      <w:r w:rsidR="00F5364C" w:rsidRPr="00F04BAD">
        <w:rPr>
          <w:rFonts w:ascii="Book Antiqua" w:hAnsi="Book Antiqua" w:cs="Book Antiqua"/>
          <w:color w:val="000000" w:themeColor="text1"/>
          <w:lang w:eastAsia="zh-CN"/>
        </w:rPr>
        <w:t>S</w:t>
      </w:r>
      <w:r w:rsidR="000D0918" w:rsidRPr="00F04BAD">
        <w:rPr>
          <w:rFonts w:ascii="Book Antiqua" w:eastAsia="Book Antiqua" w:hAnsi="Book Antiqua" w:cs="Book Antiqua"/>
          <w:color w:val="000000" w:themeColor="text1"/>
        </w:rPr>
        <w:t>tandard of care</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TACE: Transarterial chemoembolization</w:t>
      </w:r>
      <w:r w:rsidR="00F5364C" w:rsidRPr="00F04BAD">
        <w:rPr>
          <w:rFonts w:ascii="Book Antiqua" w:hAnsi="Book Antiqua" w:cs="Book Antiqua"/>
          <w:color w:val="000000" w:themeColor="text1"/>
          <w:lang w:eastAsia="zh-CN"/>
        </w:rPr>
        <w:t>;</w:t>
      </w:r>
      <w:r w:rsidR="000D0918" w:rsidRPr="00F04BAD">
        <w:rPr>
          <w:rFonts w:ascii="Book Antiqua" w:eastAsia="Book Antiqua" w:hAnsi="Book Antiqua" w:cs="Book Antiqua"/>
          <w:color w:val="000000" w:themeColor="text1"/>
        </w:rPr>
        <w:t xml:space="preserve"> TAE: Transarterial embolization</w:t>
      </w:r>
      <w:r w:rsidR="00F5364C" w:rsidRPr="00F04BAD">
        <w:rPr>
          <w:rFonts w:ascii="Book Antiqua" w:hAnsi="Book Antiqua" w:cs="Book Antiqua"/>
          <w:color w:val="000000" w:themeColor="text1"/>
          <w:lang w:eastAsia="zh-CN"/>
        </w:rPr>
        <w:t>.</w:t>
      </w:r>
    </w:p>
    <w:sectPr w:rsidR="00A77B3E" w:rsidRPr="00F04B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0B47F" w14:textId="77777777" w:rsidR="00091C15" w:rsidRDefault="00091C15" w:rsidP="000151E9">
      <w:r>
        <w:separator/>
      </w:r>
    </w:p>
  </w:endnote>
  <w:endnote w:type="continuationSeparator" w:id="0">
    <w:p w14:paraId="4F198E42" w14:textId="77777777" w:rsidR="00091C15" w:rsidRDefault="00091C15" w:rsidP="0001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295116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AF45085" w14:textId="77777777" w:rsidR="00CC2DE3" w:rsidRPr="00124F97" w:rsidRDefault="00CC2DE3" w:rsidP="000151E9">
            <w:pPr>
              <w:pStyle w:val="Footer"/>
              <w:jc w:val="right"/>
              <w:rPr>
                <w:rFonts w:ascii="Book Antiqua" w:hAnsi="Book Antiqua"/>
                <w:sz w:val="24"/>
                <w:szCs w:val="24"/>
              </w:rPr>
            </w:pPr>
            <w:r w:rsidRPr="00124F97">
              <w:rPr>
                <w:rFonts w:ascii="Book Antiqua" w:hAnsi="Book Antiqua"/>
                <w:sz w:val="24"/>
                <w:szCs w:val="24"/>
                <w:lang w:val="zh-CN" w:eastAsia="zh-CN"/>
              </w:rPr>
              <w:t xml:space="preserve"> </w:t>
            </w:r>
            <w:r w:rsidRPr="00124F97">
              <w:rPr>
                <w:rFonts w:ascii="Book Antiqua" w:hAnsi="Book Antiqua"/>
                <w:bCs/>
                <w:sz w:val="24"/>
                <w:szCs w:val="24"/>
              </w:rPr>
              <w:fldChar w:fldCharType="begin"/>
            </w:r>
            <w:r w:rsidRPr="00124F97">
              <w:rPr>
                <w:rFonts w:ascii="Book Antiqua" w:hAnsi="Book Antiqua"/>
                <w:bCs/>
                <w:sz w:val="24"/>
                <w:szCs w:val="24"/>
              </w:rPr>
              <w:instrText>PAGE</w:instrText>
            </w:r>
            <w:r w:rsidRPr="00124F97">
              <w:rPr>
                <w:rFonts w:ascii="Book Antiqua" w:hAnsi="Book Antiqua"/>
                <w:bCs/>
                <w:sz w:val="24"/>
                <w:szCs w:val="24"/>
              </w:rPr>
              <w:fldChar w:fldCharType="separate"/>
            </w:r>
            <w:r w:rsidR="004F727C">
              <w:rPr>
                <w:rFonts w:ascii="Book Antiqua" w:hAnsi="Book Antiqua"/>
                <w:bCs/>
                <w:noProof/>
                <w:sz w:val="24"/>
                <w:szCs w:val="24"/>
              </w:rPr>
              <w:t>52</w:t>
            </w:r>
            <w:r w:rsidRPr="00124F97">
              <w:rPr>
                <w:rFonts w:ascii="Book Antiqua" w:hAnsi="Book Antiqua"/>
                <w:bCs/>
                <w:sz w:val="24"/>
                <w:szCs w:val="24"/>
              </w:rPr>
              <w:fldChar w:fldCharType="end"/>
            </w:r>
            <w:r w:rsidRPr="00124F97">
              <w:rPr>
                <w:rFonts w:ascii="Book Antiqua" w:hAnsi="Book Antiqua"/>
                <w:sz w:val="24"/>
                <w:szCs w:val="24"/>
                <w:lang w:val="zh-CN" w:eastAsia="zh-CN"/>
              </w:rPr>
              <w:t xml:space="preserve"> / </w:t>
            </w:r>
            <w:r w:rsidRPr="00124F97">
              <w:rPr>
                <w:rFonts w:ascii="Book Antiqua" w:hAnsi="Book Antiqua"/>
                <w:bCs/>
                <w:sz w:val="24"/>
                <w:szCs w:val="24"/>
              </w:rPr>
              <w:fldChar w:fldCharType="begin"/>
            </w:r>
            <w:r w:rsidRPr="00124F97">
              <w:rPr>
                <w:rFonts w:ascii="Book Antiqua" w:hAnsi="Book Antiqua"/>
                <w:bCs/>
                <w:sz w:val="24"/>
                <w:szCs w:val="24"/>
              </w:rPr>
              <w:instrText>NUMPAGES</w:instrText>
            </w:r>
            <w:r w:rsidRPr="00124F97">
              <w:rPr>
                <w:rFonts w:ascii="Book Antiqua" w:hAnsi="Book Antiqua"/>
                <w:bCs/>
                <w:sz w:val="24"/>
                <w:szCs w:val="24"/>
              </w:rPr>
              <w:fldChar w:fldCharType="separate"/>
            </w:r>
            <w:r w:rsidR="004F727C">
              <w:rPr>
                <w:rFonts w:ascii="Book Antiqua" w:hAnsi="Book Antiqua"/>
                <w:bCs/>
                <w:noProof/>
                <w:sz w:val="24"/>
                <w:szCs w:val="24"/>
              </w:rPr>
              <w:t>57</w:t>
            </w:r>
            <w:r w:rsidRPr="00124F97">
              <w:rPr>
                <w:rFonts w:ascii="Book Antiqua" w:hAnsi="Book Antiqua"/>
                <w:bCs/>
                <w:sz w:val="24"/>
                <w:szCs w:val="24"/>
              </w:rPr>
              <w:fldChar w:fldCharType="end"/>
            </w:r>
          </w:p>
        </w:sdtContent>
      </w:sdt>
    </w:sdtContent>
  </w:sdt>
  <w:p w14:paraId="19C1CF2B" w14:textId="77777777" w:rsidR="00CC2DE3" w:rsidRPr="000151E9" w:rsidRDefault="00CC2DE3" w:rsidP="000151E9">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81630" w14:textId="77777777" w:rsidR="00091C15" w:rsidRDefault="00091C15" w:rsidP="000151E9">
      <w:r>
        <w:separator/>
      </w:r>
    </w:p>
  </w:footnote>
  <w:footnote w:type="continuationSeparator" w:id="0">
    <w:p w14:paraId="3C38804D" w14:textId="77777777" w:rsidR="00091C15" w:rsidRDefault="00091C15" w:rsidP="000151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1E9"/>
    <w:rsid w:val="000554E0"/>
    <w:rsid w:val="00082D72"/>
    <w:rsid w:val="00091C15"/>
    <w:rsid w:val="000D0918"/>
    <w:rsid w:val="00124F97"/>
    <w:rsid w:val="00153510"/>
    <w:rsid w:val="00183528"/>
    <w:rsid w:val="002100B9"/>
    <w:rsid w:val="00242775"/>
    <w:rsid w:val="002D46AD"/>
    <w:rsid w:val="002F1107"/>
    <w:rsid w:val="00306AA0"/>
    <w:rsid w:val="00312664"/>
    <w:rsid w:val="003177F2"/>
    <w:rsid w:val="00335A7C"/>
    <w:rsid w:val="003B77A8"/>
    <w:rsid w:val="00405BEF"/>
    <w:rsid w:val="00414104"/>
    <w:rsid w:val="00450F4B"/>
    <w:rsid w:val="00491E44"/>
    <w:rsid w:val="00495AAD"/>
    <w:rsid w:val="004F727C"/>
    <w:rsid w:val="0053488A"/>
    <w:rsid w:val="00537C11"/>
    <w:rsid w:val="005A7506"/>
    <w:rsid w:val="005B1B95"/>
    <w:rsid w:val="005C247B"/>
    <w:rsid w:val="005C73AC"/>
    <w:rsid w:val="005D08E0"/>
    <w:rsid w:val="00635290"/>
    <w:rsid w:val="00697DB4"/>
    <w:rsid w:val="0070125E"/>
    <w:rsid w:val="008A42A7"/>
    <w:rsid w:val="008A620E"/>
    <w:rsid w:val="008C037B"/>
    <w:rsid w:val="008C397D"/>
    <w:rsid w:val="00916BFD"/>
    <w:rsid w:val="009B5D8E"/>
    <w:rsid w:val="009D41BD"/>
    <w:rsid w:val="009E218E"/>
    <w:rsid w:val="00A310BD"/>
    <w:rsid w:val="00A77B3E"/>
    <w:rsid w:val="00AD46A0"/>
    <w:rsid w:val="00B17465"/>
    <w:rsid w:val="00B27E88"/>
    <w:rsid w:val="00B56E65"/>
    <w:rsid w:val="00BB780F"/>
    <w:rsid w:val="00BC5687"/>
    <w:rsid w:val="00C50F4B"/>
    <w:rsid w:val="00CA2A55"/>
    <w:rsid w:val="00CC2DE3"/>
    <w:rsid w:val="00CC5397"/>
    <w:rsid w:val="00D7416C"/>
    <w:rsid w:val="00D836B9"/>
    <w:rsid w:val="00DA57B3"/>
    <w:rsid w:val="00DB698B"/>
    <w:rsid w:val="00DC288D"/>
    <w:rsid w:val="00DE6AC5"/>
    <w:rsid w:val="00E647EF"/>
    <w:rsid w:val="00EB7892"/>
    <w:rsid w:val="00EE72EF"/>
    <w:rsid w:val="00F04BAD"/>
    <w:rsid w:val="00F52F4C"/>
    <w:rsid w:val="00F5364C"/>
    <w:rsid w:val="00FA3649"/>
    <w:rsid w:val="00FC3341"/>
    <w:rsid w:val="00FC660A"/>
    <w:rsid w:val="00FD3ED7"/>
    <w:rsid w:val="00FD5C87"/>
    <w:rsid w:val="00FE1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8EB13"/>
  <w15:docId w15:val="{E3FBF2B2-FD59-4F6B-9C36-D4E639CF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2775"/>
    <w:rPr>
      <w:sz w:val="18"/>
      <w:szCs w:val="18"/>
    </w:rPr>
  </w:style>
  <w:style w:type="character" w:customStyle="1" w:styleId="BalloonTextChar">
    <w:name w:val="Balloon Text Char"/>
    <w:basedOn w:val="DefaultParagraphFont"/>
    <w:link w:val="BalloonText"/>
    <w:rsid w:val="00242775"/>
    <w:rPr>
      <w:sz w:val="18"/>
      <w:szCs w:val="18"/>
    </w:rPr>
  </w:style>
  <w:style w:type="paragraph" w:styleId="Header">
    <w:name w:val="header"/>
    <w:basedOn w:val="Normal"/>
    <w:link w:val="HeaderChar"/>
    <w:rsid w:val="000151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151E9"/>
    <w:rPr>
      <w:sz w:val="18"/>
      <w:szCs w:val="18"/>
    </w:rPr>
  </w:style>
  <w:style w:type="paragraph" w:styleId="Footer">
    <w:name w:val="footer"/>
    <w:basedOn w:val="Normal"/>
    <w:link w:val="FooterChar"/>
    <w:uiPriority w:val="99"/>
    <w:rsid w:val="000151E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51E9"/>
    <w:rPr>
      <w:sz w:val="18"/>
      <w:szCs w:val="18"/>
    </w:rPr>
  </w:style>
  <w:style w:type="character" w:styleId="CommentReference">
    <w:name w:val="annotation reference"/>
    <w:basedOn w:val="DefaultParagraphFont"/>
    <w:semiHidden/>
    <w:unhideWhenUsed/>
    <w:rsid w:val="00AD46A0"/>
    <w:rPr>
      <w:sz w:val="16"/>
      <w:szCs w:val="16"/>
    </w:rPr>
  </w:style>
  <w:style w:type="paragraph" w:styleId="CommentText">
    <w:name w:val="annotation text"/>
    <w:basedOn w:val="Normal"/>
    <w:link w:val="CommentTextChar"/>
    <w:semiHidden/>
    <w:unhideWhenUsed/>
    <w:rsid w:val="00AD46A0"/>
    <w:rPr>
      <w:sz w:val="20"/>
      <w:szCs w:val="20"/>
    </w:rPr>
  </w:style>
  <w:style w:type="character" w:customStyle="1" w:styleId="CommentTextChar">
    <w:name w:val="Comment Text Char"/>
    <w:basedOn w:val="DefaultParagraphFont"/>
    <w:link w:val="CommentText"/>
    <w:semiHidden/>
    <w:rsid w:val="00AD46A0"/>
  </w:style>
  <w:style w:type="paragraph" w:styleId="CommentSubject">
    <w:name w:val="annotation subject"/>
    <w:basedOn w:val="CommentText"/>
    <w:next w:val="CommentText"/>
    <w:link w:val="CommentSubjectChar"/>
    <w:semiHidden/>
    <w:unhideWhenUsed/>
    <w:rsid w:val="00AD46A0"/>
    <w:rPr>
      <w:b/>
      <w:bCs/>
    </w:rPr>
  </w:style>
  <w:style w:type="character" w:customStyle="1" w:styleId="CommentSubjectChar">
    <w:name w:val="Comment Subject Char"/>
    <w:basedOn w:val="CommentTextChar"/>
    <w:link w:val="CommentSubject"/>
    <w:semiHidden/>
    <w:rsid w:val="00AD46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16043</Words>
  <Characters>91450</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Microsoft Office User</cp:lastModifiedBy>
  <cp:revision>2</cp:revision>
  <dcterms:created xsi:type="dcterms:W3CDTF">2021-08-14T18:39:00Z</dcterms:created>
  <dcterms:modified xsi:type="dcterms:W3CDTF">2021-08-14T18:39:00Z</dcterms:modified>
</cp:coreProperties>
</file>