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62F3AC" w14:textId="77777777" w:rsidR="008F1352" w:rsidRDefault="00BA640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92B0047" w14:textId="77777777" w:rsidR="008F1352" w:rsidRDefault="00BA640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64678</w:t>
      </w:r>
    </w:p>
    <w:p w14:paraId="51B661C2" w14:textId="77777777" w:rsidR="008F1352" w:rsidRDefault="00BA640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CD131A2" w14:textId="77777777" w:rsidR="008F1352" w:rsidRDefault="008F1352">
      <w:pPr>
        <w:spacing w:line="360" w:lineRule="auto"/>
        <w:jc w:val="both"/>
      </w:pPr>
    </w:p>
    <w:p w14:paraId="6069EBBE" w14:textId="77777777" w:rsidR="008F1352" w:rsidRDefault="00BA640E">
      <w:pPr>
        <w:spacing w:line="360" w:lineRule="auto"/>
        <w:jc w:val="both"/>
      </w:pPr>
      <w:r>
        <w:rPr>
          <w:rFonts w:ascii="Book Antiqua" w:eastAsia="Book Antiqua" w:hAnsi="Book Antiqua" w:cs="Book Antiqua"/>
          <w:b/>
          <w:bCs/>
          <w:color w:val="000000"/>
          <w:szCs w:val="21"/>
        </w:rPr>
        <w:t xml:space="preserve">Disseminated </w:t>
      </w:r>
      <w:r>
        <w:rPr>
          <w:rFonts w:ascii="Book Antiqua" w:eastAsia="Book Antiqua" w:hAnsi="Book Antiqua" w:cs="Book Antiqua"/>
          <w:b/>
          <w:bCs/>
          <w:i/>
          <w:iCs/>
          <w:color w:val="000000"/>
          <w:szCs w:val="21"/>
        </w:rPr>
        <w:t>Fusarium</w:t>
      </w:r>
      <w:r>
        <w:rPr>
          <w:rFonts w:ascii="Book Antiqua" w:eastAsia="Book Antiqua" w:hAnsi="Book Antiqua" w:cs="Book Antiqua"/>
          <w:b/>
          <w:bCs/>
          <w:color w:val="000000"/>
          <w:szCs w:val="21"/>
        </w:rPr>
        <w:t xml:space="preserve"> bloodstream infection in a child with acute myeloid leukemia: A case report</w:t>
      </w:r>
    </w:p>
    <w:p w14:paraId="5A85B455" w14:textId="77777777" w:rsidR="008F1352" w:rsidRDefault="008F1352">
      <w:pPr>
        <w:spacing w:line="360" w:lineRule="auto"/>
        <w:jc w:val="both"/>
      </w:pPr>
    </w:p>
    <w:p w14:paraId="566418B0" w14:textId="77777777" w:rsidR="008F1352" w:rsidRDefault="00BA640E">
      <w:pPr>
        <w:spacing w:line="360" w:lineRule="auto"/>
        <w:jc w:val="both"/>
      </w:pPr>
      <w:r>
        <w:rPr>
          <w:rFonts w:ascii="Book Antiqua" w:eastAsia="Book Antiqua" w:hAnsi="Book Antiqua" w:cs="Book Antiqua"/>
          <w:color w:val="000000"/>
        </w:rPr>
        <w:t>Ning</w:t>
      </w:r>
      <w:r>
        <w:rPr>
          <w:rFonts w:ascii="Book Antiqua" w:eastAsia="Book Antiqua" w:hAnsi="Book Antiqua" w:cs="Book Antiqua"/>
          <w:color w:val="000000"/>
          <w:szCs w:val="21"/>
        </w:rPr>
        <w:t xml:space="preserve"> JJ </w:t>
      </w:r>
      <w:r>
        <w:rPr>
          <w:rFonts w:ascii="Book Antiqua" w:eastAsia="Book Antiqua" w:hAnsi="Book Antiqua" w:cs="Book Antiqua"/>
          <w:i/>
          <w:iCs/>
          <w:color w:val="000000"/>
          <w:szCs w:val="21"/>
        </w:rPr>
        <w:t>et al</w:t>
      </w:r>
      <w:r>
        <w:rPr>
          <w:rFonts w:ascii="Book Antiqua" w:eastAsia="Book Antiqua" w:hAnsi="Book Antiqua" w:cs="Book Antiqua"/>
          <w:color w:val="000000"/>
          <w:szCs w:val="21"/>
        </w:rPr>
        <w:t xml:space="preserve">. 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bloodstream infection</w:t>
      </w:r>
    </w:p>
    <w:p w14:paraId="591402C9" w14:textId="77777777" w:rsidR="008F1352" w:rsidRDefault="008F1352">
      <w:pPr>
        <w:spacing w:line="360" w:lineRule="auto"/>
        <w:jc w:val="both"/>
      </w:pPr>
    </w:p>
    <w:p w14:paraId="6FBBB39B" w14:textId="77777777" w:rsidR="008F1352" w:rsidRDefault="00BA640E">
      <w:pPr>
        <w:spacing w:line="360" w:lineRule="auto"/>
        <w:jc w:val="both"/>
      </w:pPr>
      <w:r>
        <w:rPr>
          <w:rFonts w:ascii="Book Antiqua" w:eastAsia="Book Antiqua" w:hAnsi="Book Antiqua" w:cs="Book Antiqua"/>
          <w:color w:val="000000"/>
        </w:rPr>
        <w:t>Jun-Jie Ning, Xue-Mei Li, Sheng-Qiu Li</w:t>
      </w:r>
    </w:p>
    <w:p w14:paraId="0EE6324E" w14:textId="77777777" w:rsidR="008F1352" w:rsidRDefault="008F1352">
      <w:pPr>
        <w:spacing w:line="360" w:lineRule="auto"/>
        <w:jc w:val="both"/>
      </w:pPr>
    </w:p>
    <w:p w14:paraId="30248A84" w14:textId="77777777" w:rsidR="008F1352" w:rsidRDefault="00BA640E">
      <w:pPr>
        <w:spacing w:line="360" w:lineRule="auto"/>
        <w:jc w:val="both"/>
      </w:pPr>
      <w:r>
        <w:rPr>
          <w:rFonts w:ascii="Book Antiqua" w:eastAsia="Book Antiqua" w:hAnsi="Book Antiqua" w:cs="Book Antiqua"/>
          <w:b/>
          <w:bCs/>
          <w:color w:val="000000"/>
        </w:rPr>
        <w:t xml:space="preserve">Jun-Jie Ning, Xue-Mei Li, Sheng-Qiu Li, </w:t>
      </w:r>
      <w:r>
        <w:rPr>
          <w:rFonts w:ascii="Book Antiqua" w:eastAsia="Book Antiqua" w:hAnsi="Book Antiqua" w:cs="Book Antiqua"/>
          <w:color w:val="000000"/>
        </w:rPr>
        <w:t>Department of PICU, First People's Hospital of Zigong City, Zigong 643000, Sichuan Province, China</w:t>
      </w:r>
    </w:p>
    <w:p w14:paraId="04E2BBEE" w14:textId="77777777" w:rsidR="008F1352" w:rsidRDefault="008F1352">
      <w:pPr>
        <w:spacing w:line="360" w:lineRule="auto"/>
        <w:jc w:val="both"/>
      </w:pPr>
    </w:p>
    <w:p w14:paraId="09504200" w14:textId="436A6712" w:rsidR="008F1352" w:rsidRDefault="00BA640E">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shd w:val="clear" w:color="auto" w:fill="FFFFFF"/>
        </w:rPr>
        <w:t>Ning</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shd w:val="clear" w:color="auto" w:fill="FFFFFF"/>
        </w:rPr>
        <w:t xml:space="preserve">JJ </w:t>
      </w:r>
      <w:r>
        <w:rPr>
          <w:rFonts w:ascii="Book Antiqua" w:eastAsia="Book Antiqua" w:hAnsi="Book Antiqua" w:cs="Book Antiqua"/>
          <w:color w:val="000000"/>
          <w:szCs w:val="21"/>
        </w:rPr>
        <w:t>was the patient’s doctor, reviewed the literature</w:t>
      </w:r>
      <w:r w:rsidR="004821E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contributed to drafting the manuscript; </w:t>
      </w:r>
      <w:r>
        <w:rPr>
          <w:rFonts w:ascii="Book Antiqua" w:eastAsia="Book Antiqua" w:hAnsi="Book Antiqua" w:cs="Book Antiqua"/>
          <w:color w:val="000000"/>
          <w:szCs w:val="21"/>
          <w:shd w:val="clear" w:color="auto" w:fill="FFFFFF"/>
        </w:rPr>
        <w:t xml:space="preserve">Li XM </w:t>
      </w:r>
      <w:r>
        <w:rPr>
          <w:rFonts w:ascii="Book Antiqua" w:eastAsia="Book Antiqua" w:hAnsi="Book Antiqua" w:cs="Book Antiqua"/>
          <w:color w:val="000000"/>
          <w:szCs w:val="21"/>
        </w:rPr>
        <w:t>provided the plans for the treatment; Li SQ was the nurse in charge of the child and provided skin pictures of various periods; all authors issued final approval of the version to be submitted.</w:t>
      </w:r>
    </w:p>
    <w:p w14:paraId="6700B7BD" w14:textId="77777777" w:rsidR="008F1352" w:rsidRDefault="008F1352">
      <w:pPr>
        <w:spacing w:line="360" w:lineRule="auto"/>
        <w:jc w:val="both"/>
      </w:pPr>
    </w:p>
    <w:p w14:paraId="2195C147" w14:textId="77777777" w:rsidR="008F1352" w:rsidRDefault="00BA640E">
      <w:pPr>
        <w:spacing w:line="360" w:lineRule="auto"/>
        <w:jc w:val="both"/>
      </w:pPr>
      <w:r>
        <w:rPr>
          <w:rFonts w:ascii="Book Antiqua" w:eastAsia="Book Antiqua" w:hAnsi="Book Antiqua" w:cs="Book Antiqua"/>
          <w:b/>
          <w:bCs/>
          <w:color w:val="000000"/>
        </w:rPr>
        <w:t xml:space="preserve">Corresponding author: Jun-Jie Ning, MD, Doctor, </w:t>
      </w:r>
      <w:r>
        <w:rPr>
          <w:rFonts w:ascii="Book Antiqua" w:eastAsia="Book Antiqua" w:hAnsi="Book Antiqua" w:cs="Book Antiqua"/>
          <w:color w:val="000000"/>
        </w:rPr>
        <w:t>Department of PICU, First People's Hospital of Zigong City, No. 42 Yizhi Road, Shangyihao, Zigong 643000, Sichuan Province, China. nestlord@foxmail.com</w:t>
      </w:r>
    </w:p>
    <w:p w14:paraId="09247EB0" w14:textId="77777777" w:rsidR="008F1352" w:rsidRDefault="008F1352">
      <w:pPr>
        <w:spacing w:line="360" w:lineRule="auto"/>
        <w:jc w:val="both"/>
      </w:pPr>
    </w:p>
    <w:p w14:paraId="581CDAC3" w14:textId="77777777" w:rsidR="008F1352" w:rsidRDefault="00BA640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22, 2021</w:t>
      </w:r>
    </w:p>
    <w:p w14:paraId="660146DA" w14:textId="77777777" w:rsidR="008F1352" w:rsidRDefault="00BA640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6, 2021</w:t>
      </w:r>
    </w:p>
    <w:p w14:paraId="5A07F522" w14:textId="40ACAC49" w:rsidR="008F1352" w:rsidRDefault="00BA640E">
      <w:pPr>
        <w:spacing w:line="360" w:lineRule="auto"/>
        <w:jc w:val="both"/>
      </w:pPr>
      <w:r>
        <w:rPr>
          <w:rFonts w:ascii="Book Antiqua" w:eastAsia="Book Antiqua" w:hAnsi="Book Antiqua" w:cs="Book Antiqua"/>
          <w:b/>
          <w:bCs/>
          <w:color w:val="000000"/>
        </w:rPr>
        <w:t xml:space="preserve">Accepted: </w:t>
      </w:r>
      <w:r w:rsidR="00132341" w:rsidRPr="00132341">
        <w:rPr>
          <w:rFonts w:ascii="Book Antiqua" w:eastAsia="Book Antiqua" w:hAnsi="Book Antiqua" w:cs="Book Antiqua"/>
          <w:color w:val="000000"/>
        </w:rPr>
        <w:t>May 25, 2021</w:t>
      </w:r>
    </w:p>
    <w:p w14:paraId="7E53EE51" w14:textId="3F27AA93" w:rsidR="008F1352" w:rsidRDefault="00BA640E">
      <w:pPr>
        <w:spacing w:line="360" w:lineRule="auto"/>
        <w:jc w:val="both"/>
      </w:pPr>
      <w:r>
        <w:rPr>
          <w:rFonts w:ascii="Book Antiqua" w:eastAsia="Book Antiqua" w:hAnsi="Book Antiqua" w:cs="Book Antiqua"/>
          <w:b/>
          <w:bCs/>
          <w:color w:val="000000"/>
        </w:rPr>
        <w:t xml:space="preserve">Published online: </w:t>
      </w:r>
      <w:r w:rsidR="008B0F42" w:rsidRPr="004A055A">
        <w:rPr>
          <w:rFonts w:ascii="Book Antiqua" w:eastAsia="Book Antiqua" w:hAnsi="Book Antiqua" w:cs="Book Antiqua"/>
          <w:bCs/>
          <w:color w:val="000000"/>
        </w:rPr>
        <w:t>July 26, 2021</w:t>
      </w:r>
    </w:p>
    <w:p w14:paraId="585A7B55" w14:textId="77777777" w:rsidR="008F1352" w:rsidRDefault="008F1352">
      <w:pPr>
        <w:spacing w:line="360" w:lineRule="auto"/>
        <w:jc w:val="both"/>
        <w:sectPr w:rsidR="008F1352">
          <w:footerReference w:type="default" r:id="rId8"/>
          <w:pgSz w:w="12240" w:h="15840"/>
          <w:pgMar w:top="1440" w:right="1440" w:bottom="1440" w:left="1440" w:header="720" w:footer="720" w:gutter="0"/>
          <w:cols w:space="720"/>
          <w:docGrid w:linePitch="360"/>
        </w:sectPr>
      </w:pPr>
    </w:p>
    <w:p w14:paraId="223A4C17" w14:textId="77777777" w:rsidR="008F1352" w:rsidRDefault="00BA640E">
      <w:pPr>
        <w:spacing w:line="360" w:lineRule="auto"/>
        <w:jc w:val="both"/>
      </w:pPr>
      <w:r>
        <w:rPr>
          <w:rFonts w:ascii="Book Antiqua" w:eastAsia="Book Antiqua" w:hAnsi="Book Antiqua" w:cs="Book Antiqua"/>
          <w:b/>
          <w:color w:val="000000"/>
        </w:rPr>
        <w:lastRenderedPageBreak/>
        <w:t>Abstract</w:t>
      </w:r>
    </w:p>
    <w:p w14:paraId="3185CA86" w14:textId="77777777" w:rsidR="008F1352" w:rsidRDefault="00BA640E">
      <w:pPr>
        <w:spacing w:line="360" w:lineRule="auto"/>
        <w:jc w:val="both"/>
      </w:pPr>
      <w:r>
        <w:rPr>
          <w:rFonts w:ascii="Book Antiqua" w:eastAsia="Book Antiqua" w:hAnsi="Book Antiqua" w:cs="Book Antiqua"/>
          <w:color w:val="000000"/>
        </w:rPr>
        <w:t>BACKGROUND</w:t>
      </w:r>
    </w:p>
    <w:p w14:paraId="74B74B0C" w14:textId="77777777" w:rsidR="008F1352" w:rsidRDefault="00BA640E">
      <w:pPr>
        <w:spacing w:line="360" w:lineRule="auto"/>
        <w:jc w:val="both"/>
      </w:pPr>
      <w:r>
        <w:rPr>
          <w:rFonts w:ascii="Book Antiqua" w:eastAsia="Book Antiqua" w:hAnsi="Book Antiqua" w:cs="Book Antiqua"/>
          <w:color w:val="000000"/>
          <w:szCs w:val="21"/>
        </w:rPr>
        <w:t xml:space="preserve">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is rare in healthy children. Children with hematological tumors may have secondary fungal infections, including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infections</w:t>
      </w:r>
      <w:r>
        <w:rPr>
          <w:rFonts w:ascii="Book Antiqua" w:eastAsia="Book Antiqua" w:hAnsi="Book Antiqua" w:cs="Book Antiqua"/>
          <w:i/>
          <w:iCs/>
          <w:color w:val="000000"/>
          <w:szCs w:val="21"/>
        </w:rPr>
        <w:t>,</w:t>
      </w:r>
      <w:r>
        <w:rPr>
          <w:rFonts w:ascii="Book Antiqua" w:eastAsia="Book Antiqua" w:hAnsi="Book Antiqua" w:cs="Book Antiqua"/>
          <w:color w:val="000000"/>
          <w:szCs w:val="21"/>
        </w:rPr>
        <w:t xml:space="preserve"> which are due to tumor bone marrow infiltration or prolonged bone marrow suppression after chemotherapy. Because of the lack of typical clinical manifestations and effective antifungal drugs, early diagnosis and treatment of the disease are difficult, and the prognosis is poor.</w:t>
      </w:r>
    </w:p>
    <w:p w14:paraId="36C6F96E" w14:textId="77777777" w:rsidR="008F1352" w:rsidRDefault="008F1352">
      <w:pPr>
        <w:spacing w:line="360" w:lineRule="auto"/>
        <w:jc w:val="both"/>
      </w:pPr>
    </w:p>
    <w:p w14:paraId="0A5BC45C" w14:textId="77777777" w:rsidR="008F1352" w:rsidRDefault="00BA640E">
      <w:pPr>
        <w:spacing w:line="360" w:lineRule="auto"/>
        <w:jc w:val="both"/>
      </w:pPr>
      <w:r>
        <w:rPr>
          <w:rFonts w:ascii="Book Antiqua" w:eastAsia="Book Antiqua" w:hAnsi="Book Antiqua" w:cs="Book Antiqua"/>
          <w:color w:val="000000"/>
        </w:rPr>
        <w:t>CASE SUMMARY</w:t>
      </w:r>
    </w:p>
    <w:p w14:paraId="7D88B743" w14:textId="450ABE2F" w:rsidR="008F1352" w:rsidRDefault="00BA640E">
      <w:pPr>
        <w:spacing w:line="360" w:lineRule="auto"/>
        <w:jc w:val="both"/>
      </w:pPr>
      <w:r>
        <w:rPr>
          <w:rFonts w:ascii="Book Antiqua" w:eastAsia="Book Antiqua" w:hAnsi="Book Antiqua" w:cs="Book Antiqua"/>
          <w:color w:val="000000"/>
          <w:szCs w:val="21"/>
        </w:rPr>
        <w:t xml:space="preserve">The patient in this case was a 13-year-old female child with rash and fever as the first symptoms. She had the characteristics of the four stages of skin that are typical of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w:t>
      </w:r>
      <w:r w:rsidR="004654A6">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She was diagnosed with 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 through skin biopsy and blood culture and diagnosed with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solani</w:t>
      </w:r>
      <w:r>
        <w:rPr>
          <w:rFonts w:ascii="Book Antiqua" w:eastAsia="Book Antiqua" w:hAnsi="Book Antiqua" w:cs="Book Antiqua"/>
          <w:color w:val="000000"/>
          <w:szCs w:val="21"/>
        </w:rPr>
        <w:t xml:space="preserve"> infection based on the morphological characteristics of the blood culture.</w:t>
      </w:r>
      <w:r w:rsidR="004654A6">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 treatment with liposome amphotericin B combined with voriconazole, the child recovered.</w:t>
      </w:r>
    </w:p>
    <w:p w14:paraId="00EB8E3D" w14:textId="77777777" w:rsidR="008F1352" w:rsidRDefault="008F1352">
      <w:pPr>
        <w:spacing w:line="360" w:lineRule="auto"/>
        <w:jc w:val="both"/>
      </w:pPr>
    </w:p>
    <w:p w14:paraId="67BC683D" w14:textId="77777777" w:rsidR="008F1352" w:rsidRDefault="00BA640E">
      <w:pPr>
        <w:spacing w:line="360" w:lineRule="auto"/>
        <w:jc w:val="both"/>
      </w:pPr>
      <w:r>
        <w:rPr>
          <w:rFonts w:ascii="Book Antiqua" w:eastAsia="Book Antiqua" w:hAnsi="Book Antiqua" w:cs="Book Antiqua"/>
          <w:color w:val="000000"/>
        </w:rPr>
        <w:t>CONCLUSION</w:t>
      </w:r>
    </w:p>
    <w:p w14:paraId="41F7E133" w14:textId="493C3898" w:rsidR="008F1352" w:rsidRDefault="00BA640E">
      <w:pPr>
        <w:spacing w:line="360" w:lineRule="auto"/>
        <w:jc w:val="both"/>
      </w:pPr>
      <w:r>
        <w:rPr>
          <w:rFonts w:ascii="Book Antiqua" w:eastAsia="Book Antiqua" w:hAnsi="Book Antiqua" w:cs="Book Antiqua"/>
          <w:color w:val="000000"/>
          <w:szCs w:val="21"/>
        </w:rPr>
        <w:t xml:space="preserve">This case highlights </w:t>
      </w:r>
      <w:r w:rsidR="004654A6">
        <w:rPr>
          <w:rFonts w:ascii="Book Antiqua" w:eastAsia="Book Antiqua" w:hAnsi="Book Antiqua" w:cs="Book Antiqua"/>
          <w:color w:val="000000"/>
          <w:szCs w:val="21"/>
        </w:rPr>
        <w:t xml:space="preserve">that for </w:t>
      </w:r>
      <w:r>
        <w:rPr>
          <w:rFonts w:ascii="Book Antiqua" w:eastAsia="Book Antiqua" w:hAnsi="Book Antiqua" w:cs="Book Antiqua"/>
          <w:color w:val="000000"/>
          <w:szCs w:val="21"/>
        </w:rPr>
        <w:t xml:space="preserve">children with secondary agranulocytosis after receiving chemotherapy for hematological malignancies, once typical abnormal skin damage is found, the possibility of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 should be considered, and voriconazole alone or in combination with polyenes may be the most effective anti-</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drugs. </w:t>
      </w:r>
      <w:r w:rsidR="004654A6">
        <w:rPr>
          <w:rFonts w:ascii="Book Antiqua" w:eastAsia="Book Antiqua" w:hAnsi="Book Antiqua" w:cs="Book Antiqua"/>
          <w:color w:val="000000"/>
          <w:szCs w:val="21"/>
        </w:rPr>
        <w:t xml:space="preserve">Amphotericin B, the </w:t>
      </w:r>
      <w:r>
        <w:rPr>
          <w:rFonts w:ascii="Book Antiqua" w:eastAsia="Book Antiqua" w:hAnsi="Book Antiqua" w:cs="Book Antiqua"/>
          <w:color w:val="000000"/>
          <w:szCs w:val="21"/>
        </w:rPr>
        <w:t xml:space="preserve">traditional drug of 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disease</w:t>
      </w:r>
      <w:r w:rsidR="004654A6">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has a high mortality rate, and it is not recommended to use it alone. Adequate neutrophil counts are essential for the treatment of disseminated </w:t>
      </w:r>
      <w:r w:rsidRPr="00C62E34">
        <w:rPr>
          <w:rFonts w:ascii="Book Antiqua" w:eastAsia="Book Antiqua" w:hAnsi="Book Antiqua" w:cs="Book Antiqua"/>
          <w:i/>
          <w:color w:val="000000"/>
          <w:szCs w:val="21"/>
        </w:rPr>
        <w:t>Fusarium</w:t>
      </w:r>
      <w:r>
        <w:rPr>
          <w:rFonts w:ascii="Book Antiqua" w:eastAsia="Book Antiqua" w:hAnsi="Book Antiqua" w:cs="Book Antiqua"/>
          <w:color w:val="000000"/>
          <w:szCs w:val="21"/>
        </w:rPr>
        <w:t xml:space="preserve"> bloodstream infection.</w:t>
      </w:r>
    </w:p>
    <w:p w14:paraId="5D873C30" w14:textId="77777777" w:rsidR="008F1352" w:rsidRDefault="008F1352">
      <w:pPr>
        <w:spacing w:line="360" w:lineRule="auto"/>
        <w:jc w:val="both"/>
      </w:pPr>
    </w:p>
    <w:p w14:paraId="281CF566" w14:textId="77777777" w:rsidR="008F1352" w:rsidRDefault="00BA640E">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Liposomal amphotericin B; Voriconazole; </w:t>
      </w:r>
      <w:r>
        <w:rPr>
          <w:rFonts w:ascii="Book Antiqua" w:eastAsia="Book Antiqua" w:hAnsi="Book Antiqua" w:cs="Book Antiqua"/>
          <w:color w:val="000000"/>
        </w:rPr>
        <w:t>Acute myeloid leukemia</w:t>
      </w:r>
      <w:r>
        <w:rPr>
          <w:rFonts w:ascii="Book Antiqua" w:eastAsia="Book Antiqua" w:hAnsi="Book Antiqua" w:cs="Book Antiqua"/>
          <w:color w:val="000000"/>
          <w:szCs w:val="21"/>
        </w:rPr>
        <w:t>; Agranulocytosis; Case report</w:t>
      </w:r>
    </w:p>
    <w:p w14:paraId="6CF0904B" w14:textId="77777777" w:rsidR="000B0E84" w:rsidRDefault="000B0E84" w:rsidP="000B0E84">
      <w:pPr>
        <w:spacing w:line="360" w:lineRule="auto"/>
        <w:jc w:val="both"/>
        <w:rPr>
          <w:lang w:eastAsia="zh-CN"/>
        </w:rPr>
      </w:pPr>
    </w:p>
    <w:p w14:paraId="63DC71F3" w14:textId="77777777" w:rsidR="000B0E84" w:rsidRPr="00026CB8" w:rsidRDefault="000B0E84" w:rsidP="000B0E84">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9FF1C79" w14:textId="77777777" w:rsidR="008F1352" w:rsidRDefault="008F1352">
      <w:pPr>
        <w:spacing w:line="360" w:lineRule="auto"/>
        <w:jc w:val="both"/>
      </w:pPr>
    </w:p>
    <w:p w14:paraId="28882373" w14:textId="620A9952" w:rsidR="0012191D" w:rsidRDefault="0012191D">
      <w:pPr>
        <w:spacing w:line="360" w:lineRule="auto"/>
        <w:jc w:val="both"/>
        <w:rPr>
          <w:rFonts w:ascii="Book Antiqua" w:hAnsi="Book Antiqua" w:cs="Book Antiqua" w:hint="eastAsia"/>
          <w:color w:val="000000"/>
          <w:lang w:eastAsia="zh-CN"/>
        </w:rPr>
      </w:pPr>
      <w:r w:rsidRPr="0012191D">
        <w:rPr>
          <w:rFonts w:ascii="Book Antiqua" w:hAnsi="Book Antiqua" w:cs="Book Antiqua" w:hint="eastAsia"/>
          <w:b/>
          <w:color w:val="000000"/>
          <w:lang w:eastAsia="zh-CN"/>
        </w:rPr>
        <w:t xml:space="preserve">Citation: </w:t>
      </w:r>
      <w:r w:rsidR="00BA640E">
        <w:rPr>
          <w:rFonts w:ascii="Book Antiqua" w:eastAsia="Book Antiqua" w:hAnsi="Book Antiqua" w:cs="Book Antiqua"/>
          <w:color w:val="000000"/>
        </w:rPr>
        <w:t xml:space="preserve">Ning JJ, Li XM, Li SQ. Disseminated </w:t>
      </w:r>
      <w:r w:rsidR="00BA640E" w:rsidRPr="00C62E34">
        <w:rPr>
          <w:rFonts w:ascii="Book Antiqua" w:eastAsia="Book Antiqua" w:hAnsi="Book Antiqua" w:cs="Book Antiqua"/>
          <w:i/>
          <w:color w:val="000000"/>
        </w:rPr>
        <w:t>Fusarium</w:t>
      </w:r>
      <w:r w:rsidR="00BA640E">
        <w:rPr>
          <w:rFonts w:ascii="Book Antiqua" w:eastAsia="Book Antiqua" w:hAnsi="Book Antiqua" w:cs="Book Antiqua"/>
          <w:color w:val="000000"/>
        </w:rPr>
        <w:t xml:space="preserve"> bloodstream infection in a child with acute myeloid leukemia: A case report. </w:t>
      </w:r>
      <w:r w:rsidR="00BA640E">
        <w:rPr>
          <w:rFonts w:ascii="Book Antiqua" w:eastAsia="Book Antiqua" w:hAnsi="Book Antiqua" w:cs="Book Antiqua"/>
          <w:i/>
          <w:iCs/>
          <w:color w:val="000000"/>
        </w:rPr>
        <w:t>World J Clin Cases</w:t>
      </w:r>
      <w:r w:rsidR="00BA640E">
        <w:rPr>
          <w:rFonts w:ascii="Book Antiqua" w:eastAsia="Book Antiqua" w:hAnsi="Book Antiqua" w:cs="Book Antiqua"/>
          <w:color w:val="000000"/>
        </w:rPr>
        <w:t xml:space="preserve"> </w:t>
      </w:r>
      <w:bookmarkStart w:id="0" w:name="OLE_LINK137"/>
      <w:r w:rsidR="00BA640E">
        <w:rPr>
          <w:rFonts w:ascii="Book Antiqua" w:eastAsia="Book Antiqua" w:hAnsi="Book Antiqua" w:cs="Book Antiqua"/>
          <w:color w:val="000000"/>
        </w:rPr>
        <w:t xml:space="preserve">2021; </w:t>
      </w:r>
      <w:r w:rsidR="008B0F42" w:rsidRPr="008B0F42">
        <w:rPr>
          <w:rFonts w:ascii="Book Antiqua" w:eastAsia="Book Antiqua" w:hAnsi="Book Antiqua" w:cs="Book Antiqua"/>
          <w:color w:val="000000"/>
        </w:rPr>
        <w:t xml:space="preserve">9(21): </w:t>
      </w:r>
      <w:r w:rsidR="00A377DF" w:rsidRPr="00A377DF">
        <w:rPr>
          <w:rFonts w:ascii="Book Antiqua" w:eastAsia="Book Antiqua" w:hAnsi="Book Antiqua" w:cs="Book Antiqua"/>
          <w:color w:val="000000"/>
        </w:rPr>
        <w:t>6049-6055</w:t>
      </w:r>
      <w:bookmarkEnd w:id="0"/>
      <w:r w:rsidR="008B0F42" w:rsidRPr="008B0F42">
        <w:rPr>
          <w:rFonts w:ascii="Book Antiqua" w:eastAsia="Book Antiqua" w:hAnsi="Book Antiqua" w:cs="Book Antiqua"/>
          <w:color w:val="000000"/>
        </w:rPr>
        <w:t xml:space="preserve"> </w:t>
      </w:r>
    </w:p>
    <w:p w14:paraId="5980EDE5" w14:textId="77777777" w:rsidR="0012191D" w:rsidRDefault="008B0F42">
      <w:pPr>
        <w:spacing w:line="360" w:lineRule="auto"/>
        <w:jc w:val="both"/>
        <w:rPr>
          <w:rFonts w:ascii="Book Antiqua" w:hAnsi="Book Antiqua" w:cs="Book Antiqua" w:hint="eastAsia"/>
          <w:color w:val="000000"/>
          <w:lang w:eastAsia="zh-CN"/>
        </w:rPr>
      </w:pPr>
      <w:r w:rsidRPr="0012191D">
        <w:rPr>
          <w:rFonts w:ascii="Book Antiqua" w:eastAsia="Book Antiqua" w:hAnsi="Book Antiqua" w:cs="Book Antiqua"/>
          <w:b/>
          <w:color w:val="000000"/>
        </w:rPr>
        <w:t xml:space="preserve">URL: </w:t>
      </w:r>
      <w:r w:rsidRPr="008B0F42">
        <w:rPr>
          <w:rFonts w:ascii="Book Antiqua" w:eastAsia="Book Antiqua" w:hAnsi="Book Antiqua" w:cs="Book Antiqua"/>
          <w:color w:val="000000"/>
        </w:rPr>
        <w:t>https://www.wjgnet.com/2307-8960/full/v9/i21/</w:t>
      </w:r>
      <w:r w:rsidR="00A377DF" w:rsidRPr="00A377DF">
        <w:rPr>
          <w:rFonts w:ascii="Book Antiqua" w:eastAsia="Book Antiqua" w:hAnsi="Book Antiqua" w:cs="Book Antiqua"/>
          <w:color w:val="000000"/>
        </w:rPr>
        <w:t>6049</w:t>
      </w:r>
      <w:r w:rsidRPr="008B0F42">
        <w:rPr>
          <w:rFonts w:ascii="Book Antiqua" w:eastAsia="Book Antiqua" w:hAnsi="Book Antiqua" w:cs="Book Antiqua"/>
          <w:color w:val="000000"/>
        </w:rPr>
        <w:t xml:space="preserve">.htm </w:t>
      </w:r>
    </w:p>
    <w:p w14:paraId="4AF446AB" w14:textId="42334BE6" w:rsidR="008F1352" w:rsidRDefault="008B0F42">
      <w:pPr>
        <w:spacing w:line="360" w:lineRule="auto"/>
        <w:jc w:val="both"/>
      </w:pPr>
      <w:r w:rsidRPr="0012191D">
        <w:rPr>
          <w:rFonts w:ascii="Book Antiqua" w:eastAsia="Book Antiqua" w:hAnsi="Book Antiqua" w:cs="Book Antiqua"/>
          <w:b/>
          <w:color w:val="000000"/>
        </w:rPr>
        <w:t>DOI:</w:t>
      </w:r>
      <w:r w:rsidRPr="008B0F42">
        <w:rPr>
          <w:rFonts w:ascii="Book Antiqua" w:eastAsia="Book Antiqua" w:hAnsi="Book Antiqua" w:cs="Book Antiqua"/>
          <w:color w:val="000000"/>
        </w:rPr>
        <w:t xml:space="preserve"> </w:t>
      </w:r>
      <w:bookmarkStart w:id="1" w:name="OLE_LINK138"/>
      <w:bookmarkStart w:id="2" w:name="OLE_LINK139"/>
      <w:r w:rsidRPr="008B0F42">
        <w:rPr>
          <w:rFonts w:ascii="Book Antiqua" w:eastAsia="Book Antiqua" w:hAnsi="Book Antiqua" w:cs="Book Antiqua"/>
          <w:color w:val="000000"/>
        </w:rPr>
        <w:t>https://dx.doi.org/10.12998/wjcc.v9.i21.</w:t>
      </w:r>
      <w:r w:rsidR="00A377DF" w:rsidRPr="00A377DF">
        <w:rPr>
          <w:rFonts w:ascii="Book Antiqua" w:eastAsia="Book Antiqua" w:hAnsi="Book Antiqua" w:cs="Book Antiqua"/>
          <w:color w:val="000000"/>
        </w:rPr>
        <w:t>6049</w:t>
      </w:r>
      <w:bookmarkEnd w:id="1"/>
      <w:bookmarkEnd w:id="2"/>
    </w:p>
    <w:p w14:paraId="1847D994" w14:textId="77777777" w:rsidR="008F1352" w:rsidRDefault="008F1352">
      <w:pPr>
        <w:spacing w:line="360" w:lineRule="auto"/>
        <w:jc w:val="both"/>
      </w:pPr>
    </w:p>
    <w:p w14:paraId="1772B2DF" w14:textId="4016365C" w:rsidR="008F1352" w:rsidRDefault="00BA640E">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Core Tip: </w:t>
      </w:r>
      <w:bookmarkStart w:id="3" w:name="OLE_LINK1"/>
      <w:r>
        <w:rPr>
          <w:rFonts w:ascii="Book Antiqua" w:eastAsia="Book Antiqua" w:hAnsi="Book Antiqua" w:cs="Book Antiqua"/>
          <w:color w:val="000000"/>
          <w:szCs w:val="21"/>
        </w:rPr>
        <w:t xml:space="preserve">We present herein the case of a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female child with rash and fever as the first symptoms. She had the characteristics of the four stages of skin typical of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 She was diagnosed with 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 through blood culture. For children with secondary agranulocytosis after receiving chemotherapy for hematological malignancies, once typical abnormal skin damage is found, the possibility of </w:t>
      </w:r>
      <w:r w:rsidRPr="00C62E34">
        <w:rPr>
          <w:rFonts w:ascii="Book Antiqua" w:eastAsia="Book Antiqua" w:hAnsi="Book Antiqua" w:cs="Book Antiqua"/>
          <w:i/>
          <w:color w:val="000000"/>
          <w:szCs w:val="21"/>
        </w:rPr>
        <w:t>Fusarium</w:t>
      </w:r>
      <w:r>
        <w:rPr>
          <w:rFonts w:ascii="Book Antiqua" w:eastAsia="Book Antiqua" w:hAnsi="Book Antiqua" w:cs="Book Antiqua"/>
          <w:color w:val="000000"/>
          <w:szCs w:val="21"/>
        </w:rPr>
        <w:t xml:space="preserve"> infection should be considered, </w:t>
      </w:r>
      <w:bookmarkStart w:id="4" w:name="OLE_LINK2"/>
      <w:r>
        <w:rPr>
          <w:rFonts w:ascii="Book Antiqua" w:eastAsia="Book Antiqua" w:hAnsi="Book Antiqua" w:cs="Book Antiqua"/>
          <w:color w:val="000000"/>
          <w:szCs w:val="21"/>
        </w:rPr>
        <w:t>and the key to treatment is early diagnosis, the reversal of immunosuppression</w:t>
      </w:r>
      <w:r w:rsidR="004654A6">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the provision of the correct antifungal treatment as soon as possible.</w:t>
      </w:r>
    </w:p>
    <w:bookmarkEnd w:id="3"/>
    <w:bookmarkEnd w:id="4"/>
    <w:p w14:paraId="727B21AF" w14:textId="77777777" w:rsidR="008F1352" w:rsidRDefault="00BA640E">
      <w:pPr>
        <w:spacing w:line="360" w:lineRule="auto"/>
        <w:jc w:val="both"/>
      </w:pPr>
      <w:r>
        <w:br w:type="page"/>
      </w:r>
      <w:r>
        <w:rPr>
          <w:rFonts w:ascii="Book Antiqua" w:eastAsia="Book Antiqua" w:hAnsi="Book Antiqua" w:cs="Book Antiqua"/>
          <w:b/>
          <w:caps/>
          <w:color w:val="000000"/>
          <w:u w:val="single"/>
        </w:rPr>
        <w:t>INTRODUCTION</w:t>
      </w:r>
    </w:p>
    <w:p w14:paraId="78C82DB5" w14:textId="627232E6" w:rsidR="008F1352" w:rsidRDefault="00BA640E">
      <w:pPr>
        <w:spacing w:line="360" w:lineRule="auto"/>
        <w:jc w:val="both"/>
      </w:pPr>
      <w:r>
        <w:rPr>
          <w:rFonts w:ascii="Book Antiqua" w:eastAsia="Book Antiqua" w:hAnsi="Book Antiqua" w:cs="Book Antiqua"/>
          <w:i/>
          <w:iCs/>
          <w:color w:val="000000"/>
          <w:szCs w:val="21"/>
        </w:rPr>
        <w:t>Fusarium</w:t>
      </w:r>
      <w:r>
        <w:rPr>
          <w:rFonts w:ascii="Book Antiqua" w:eastAsia="Book Antiqua" w:hAnsi="Book Antiqua" w:cs="Book Antiqua"/>
          <w:color w:val="000000"/>
        </w:rPr>
        <w:t xml:space="preserve"> was discovered in 1958 and is a common soil mold. It was once considered to be pathogenic only in plants and to be able to cause devastating diseases in plants and crops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However, </w:t>
      </w:r>
      <w:r>
        <w:rPr>
          <w:rFonts w:ascii="Book Antiqua" w:eastAsia="Book Antiqua" w:hAnsi="Book Antiqua" w:cs="Book Antiqua"/>
          <w:color w:val="000000"/>
          <w:szCs w:val="21"/>
          <w:shd w:val="clear" w:color="auto" w:fill="FFFFFF"/>
        </w:rPr>
        <w:t xml:space="preserve">Cho </w:t>
      </w:r>
      <w:r>
        <w:rPr>
          <w:rFonts w:ascii="Book Antiqua" w:eastAsia="Book Antiqua" w:hAnsi="Book Antiqua" w:cs="Book Antiqua"/>
          <w:i/>
          <w:iCs/>
          <w:color w:val="000000"/>
          <w:szCs w:val="21"/>
        </w:rPr>
        <w:t>et al</w:t>
      </w:r>
      <w:r>
        <w:rPr>
          <w:rFonts w:ascii="Book Antiqua" w:eastAsia="Book Antiqua" w:hAnsi="Book Antiqua" w:cs="Book Antiqua"/>
          <w:color w:val="000000"/>
          <w:vertAlign w:val="superscript"/>
        </w:rPr>
        <w:t>[2]</w:t>
      </w:r>
      <w:r>
        <w:rPr>
          <w:rFonts w:ascii="Book Antiqua" w:eastAsia="Book Antiqua" w:hAnsi="Book Antiqua" w:cs="Book Antiqua"/>
          <w:color w:val="000000"/>
          <w:szCs w:val="21"/>
        </w:rPr>
        <w:t xml:space="preserve"> first reported a case of 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rPr>
        <w:t xml:space="preserve"> bloodstream infection in </w:t>
      </w:r>
      <w:r w:rsidR="004654A6">
        <w:rPr>
          <w:rFonts w:ascii="Book Antiqua" w:eastAsia="Book Antiqua" w:hAnsi="Book Antiqua" w:cs="Book Antiqua"/>
          <w:color w:val="000000"/>
        </w:rPr>
        <w:t xml:space="preserve">a child </w:t>
      </w:r>
      <w:r>
        <w:rPr>
          <w:rFonts w:ascii="Book Antiqua" w:eastAsia="Book Antiqua" w:hAnsi="Book Antiqua" w:cs="Book Antiqua"/>
          <w:color w:val="000000"/>
        </w:rPr>
        <w:t xml:space="preserve">with acute myeloid leukemia in 1973 and found that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could also infect humans. With the increasing number of patients with low immune function,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is considered to be the second most common filamentous fungus that causes opportunistic infections after </w:t>
      </w:r>
      <w:r w:rsidRPr="00C62E34">
        <w:rPr>
          <w:rFonts w:ascii="Book Antiqua" w:eastAsia="Book Antiqua" w:hAnsi="Book Antiqua" w:cs="Book Antiqua"/>
          <w:i/>
          <w:color w:val="000000"/>
          <w:szCs w:val="21"/>
        </w:rPr>
        <w:t>Aspergillus</w:t>
      </w:r>
      <w:r>
        <w:rPr>
          <w:rFonts w:ascii="Book Antiqua" w:eastAsia="Book Antiqua" w:hAnsi="Book Antiqua" w:cs="Book Antiqua"/>
          <w:color w:val="000000"/>
          <w:szCs w:val="21"/>
        </w:rPr>
        <w:t xml:space="preserve">, and </w:t>
      </w:r>
      <w:r>
        <w:rPr>
          <w:rFonts w:ascii="Book Antiqua" w:eastAsia="Book Antiqua" w:hAnsi="Book Antiqua" w:cs="Book Antiqua"/>
          <w:i/>
          <w:iCs/>
          <w:color w:val="000000"/>
          <w:szCs w:val="21"/>
        </w:rPr>
        <w:t>Fusarium</w:t>
      </w:r>
      <w:r>
        <w:rPr>
          <w:rFonts w:ascii="Book Antiqua" w:eastAsia="Book Antiqua" w:hAnsi="Book Antiqua" w:cs="Book Antiqua"/>
          <w:color w:val="000000"/>
        </w:rPr>
        <w:t xml:space="preserve"> infections are reported every year</w:t>
      </w:r>
      <w:r>
        <w:rPr>
          <w:rFonts w:ascii="Book Antiqua" w:eastAsia="Book Antiqua" w:hAnsi="Book Antiqua" w:cs="Book Antiqua"/>
          <w:color w:val="000000"/>
          <w:vertAlign w:val="superscript"/>
        </w:rPr>
        <w:t>[3]</w:t>
      </w:r>
      <w:r>
        <w:rPr>
          <w:rFonts w:ascii="Book Antiqua" w:eastAsia="Book Antiqua" w:hAnsi="Book Antiqua" w:cs="Book Antiqua"/>
          <w:color w:val="000000"/>
        </w:rPr>
        <w:t>. In this study, the clinical manifestations</w:t>
      </w:r>
      <w:r w:rsidR="004654A6">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4654A6">
        <w:rPr>
          <w:rFonts w:ascii="Book Antiqua" w:eastAsia="Book Antiqua" w:hAnsi="Book Antiqua" w:cs="Book Antiqua"/>
          <w:color w:val="000000"/>
        </w:rPr>
        <w:t>,</w:t>
      </w:r>
      <w:r>
        <w:rPr>
          <w:rFonts w:ascii="Book Antiqua" w:eastAsia="Book Antiqua" w:hAnsi="Book Antiqua" w:cs="Book Antiqua"/>
          <w:color w:val="000000"/>
        </w:rPr>
        <w:t xml:space="preserve"> and treatment of a case of 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bloodstream infection in a child with acute myeloid leukemia </w:t>
      </w:r>
      <w:r w:rsidR="004654A6">
        <w:rPr>
          <w:rFonts w:ascii="Book Antiqua" w:eastAsia="Book Antiqua" w:hAnsi="Book Antiqua" w:cs="Book Antiqua"/>
          <w:color w:val="000000"/>
          <w:szCs w:val="21"/>
        </w:rPr>
        <w:t xml:space="preserve">are </w:t>
      </w:r>
      <w:r>
        <w:rPr>
          <w:rFonts w:ascii="Book Antiqua" w:eastAsia="Book Antiqua" w:hAnsi="Book Antiqua" w:cs="Book Antiqua"/>
          <w:color w:val="000000"/>
          <w:szCs w:val="21"/>
        </w:rPr>
        <w:t>reported to provide a reference for future clinical treatment.</w:t>
      </w:r>
    </w:p>
    <w:p w14:paraId="328E71C4" w14:textId="77777777" w:rsidR="008F1352" w:rsidRDefault="008F1352">
      <w:pPr>
        <w:spacing w:line="360" w:lineRule="auto"/>
        <w:jc w:val="both"/>
      </w:pPr>
    </w:p>
    <w:p w14:paraId="1DAF2D2B" w14:textId="77777777" w:rsidR="008F1352" w:rsidRDefault="00BA640E">
      <w:pPr>
        <w:spacing w:line="360" w:lineRule="auto"/>
        <w:jc w:val="both"/>
      </w:pPr>
      <w:r>
        <w:rPr>
          <w:rFonts w:ascii="Book Antiqua" w:eastAsia="Book Antiqua" w:hAnsi="Book Antiqua" w:cs="Book Antiqua"/>
          <w:b/>
          <w:caps/>
          <w:color w:val="000000"/>
          <w:u w:val="single"/>
        </w:rPr>
        <w:t>CASE PRESENTATION</w:t>
      </w:r>
    </w:p>
    <w:p w14:paraId="6464909A" w14:textId="77777777" w:rsidR="008F1352" w:rsidRDefault="00BA640E">
      <w:pPr>
        <w:spacing w:line="360" w:lineRule="auto"/>
        <w:jc w:val="both"/>
      </w:pPr>
      <w:r>
        <w:rPr>
          <w:rFonts w:ascii="Book Antiqua" w:eastAsia="Book Antiqua" w:hAnsi="Book Antiqua" w:cs="Book Antiqua"/>
          <w:b/>
          <w:i/>
          <w:color w:val="000000"/>
        </w:rPr>
        <w:t>Chief complaints</w:t>
      </w:r>
    </w:p>
    <w:p w14:paraId="010C56D1" w14:textId="52179EE9" w:rsidR="008F1352" w:rsidRDefault="00BA640E">
      <w:pPr>
        <w:spacing w:line="360" w:lineRule="auto"/>
        <w:jc w:val="both"/>
      </w:pPr>
      <w:r>
        <w:rPr>
          <w:rFonts w:ascii="Book Antiqua" w:eastAsia="Book Antiqua" w:hAnsi="Book Antiqua" w:cs="Book Antiqua"/>
          <w:color w:val="000000"/>
          <w:szCs w:val="21"/>
        </w:rPr>
        <w:t xml:space="preserve">The patient, a 13-year-old Chinese </w:t>
      </w:r>
      <w:r w:rsidR="004654A6">
        <w:rPr>
          <w:rFonts w:ascii="Book Antiqua" w:eastAsia="Book Antiqua" w:hAnsi="Book Antiqua" w:cs="Book Antiqua"/>
          <w:color w:val="000000"/>
          <w:szCs w:val="21"/>
        </w:rPr>
        <w:t>girl</w:t>
      </w:r>
      <w:r>
        <w:rPr>
          <w:rFonts w:ascii="Book Antiqua" w:eastAsia="Book Antiqua" w:hAnsi="Book Antiqua" w:cs="Book Antiqua"/>
          <w:color w:val="000000"/>
          <w:szCs w:val="21"/>
        </w:rPr>
        <w:t>, came to our hospital because she had a pale complexion for 1 mo.</w:t>
      </w:r>
    </w:p>
    <w:p w14:paraId="516B2E7F" w14:textId="77777777" w:rsidR="008F1352" w:rsidRDefault="008F1352">
      <w:pPr>
        <w:spacing w:line="360" w:lineRule="auto"/>
        <w:jc w:val="both"/>
      </w:pPr>
    </w:p>
    <w:p w14:paraId="17E39C2D" w14:textId="77777777" w:rsidR="008F1352" w:rsidRDefault="00BA640E">
      <w:pPr>
        <w:spacing w:line="360" w:lineRule="auto"/>
        <w:jc w:val="both"/>
      </w:pPr>
      <w:r>
        <w:rPr>
          <w:rFonts w:ascii="Book Antiqua" w:eastAsia="Book Antiqua" w:hAnsi="Book Antiqua" w:cs="Book Antiqua"/>
          <w:b/>
          <w:i/>
          <w:color w:val="000000"/>
        </w:rPr>
        <w:t>History of present illness</w:t>
      </w:r>
    </w:p>
    <w:p w14:paraId="11EB27B8" w14:textId="3D7B2AAF" w:rsidR="008F1352" w:rsidRDefault="00BA640E">
      <w:pPr>
        <w:spacing w:line="360" w:lineRule="auto"/>
        <w:jc w:val="both"/>
      </w:pPr>
      <w:r>
        <w:rPr>
          <w:rFonts w:ascii="Book Antiqua" w:eastAsia="Book Antiqua" w:hAnsi="Book Antiqua" w:cs="Book Antiqua"/>
          <w:color w:val="000000"/>
          <w:szCs w:val="21"/>
        </w:rPr>
        <w:t xml:space="preserve">One month prior to presentation, the child appeared pale, which gradually worsened. Laboratory examination indicated the following: </w:t>
      </w:r>
      <w:r w:rsidR="005F14D7">
        <w:rPr>
          <w:rFonts w:ascii="Book Antiqua" w:eastAsia="Book Antiqua" w:hAnsi="Book Antiqua" w:cs="Book Antiqua"/>
          <w:color w:val="000000"/>
        </w:rPr>
        <w:t>W</w:t>
      </w:r>
      <w:r>
        <w:rPr>
          <w:rFonts w:ascii="Book Antiqua" w:eastAsia="Book Antiqua" w:hAnsi="Book Antiqua" w:cs="Book Antiqua"/>
          <w:color w:val="000000"/>
        </w:rPr>
        <w:t>hite blood cell count</w:t>
      </w:r>
      <w:r>
        <w:rPr>
          <w:rFonts w:ascii="Book Antiqua" w:eastAsia="Book Antiqua" w:hAnsi="Book Antiqua" w:cs="Book Antiqua"/>
          <w:color w:val="000000"/>
          <w:szCs w:val="21"/>
        </w:rPr>
        <w:t xml:space="preserve"> (WBC) 1.54 × 10</w:t>
      </w:r>
      <w:r>
        <w:rPr>
          <w:rFonts w:ascii="Book Antiqua" w:eastAsia="Book Antiqua" w:hAnsi="Book Antiqua" w:cs="Book Antiqua"/>
          <w:color w:val="000000"/>
          <w:szCs w:val="32"/>
          <w:vertAlign w:val="superscript"/>
        </w:rPr>
        <w:t>9</w:t>
      </w:r>
      <w:r>
        <w:rPr>
          <w:rFonts w:ascii="Book Antiqua" w:eastAsia="Book Antiqua" w:hAnsi="Book Antiqua" w:cs="Book Antiqua"/>
          <w:color w:val="000000"/>
          <w:szCs w:val="21"/>
        </w:rPr>
        <w:t xml:space="preserve">/L, N% 7.9%, </w:t>
      </w:r>
      <w:bookmarkStart w:id="5" w:name="_Hlk58003811"/>
      <w:r>
        <w:rPr>
          <w:rFonts w:ascii="Book Antiqua" w:eastAsia="Book Antiqua" w:hAnsi="Book Antiqua" w:cs="Book Antiqua"/>
          <w:color w:val="000000"/>
        </w:rPr>
        <w:t>hemoglobin</w:t>
      </w:r>
      <w:bookmarkEnd w:id="5"/>
      <w:r>
        <w:rPr>
          <w:rFonts w:ascii="Book Antiqua" w:eastAsia="Book Antiqua" w:hAnsi="Book Antiqua" w:cs="Book Antiqua"/>
          <w:color w:val="000000"/>
          <w:szCs w:val="21"/>
        </w:rPr>
        <w:t xml:space="preserve"> (Hb) 47 g/L, and </w:t>
      </w:r>
      <w:bookmarkStart w:id="6" w:name="_Hlk58003681"/>
      <w:r>
        <w:rPr>
          <w:rFonts w:ascii="Book Antiqua" w:eastAsia="Book Antiqua" w:hAnsi="Book Antiqua" w:cs="Book Antiqua"/>
          <w:color w:val="000000"/>
        </w:rPr>
        <w:t>platelets</w:t>
      </w:r>
      <w:bookmarkEnd w:id="6"/>
      <w:r>
        <w:rPr>
          <w:rFonts w:ascii="Book Antiqua" w:eastAsia="Book Antiqua" w:hAnsi="Book Antiqua" w:cs="Book Antiqua"/>
          <w:color w:val="000000"/>
          <w:szCs w:val="21"/>
        </w:rPr>
        <w:t xml:space="preserve"> (PLT) 64 × 10</w:t>
      </w:r>
      <w:r>
        <w:rPr>
          <w:rFonts w:ascii="Book Antiqua" w:eastAsia="Book Antiqua" w:hAnsi="Book Antiqua" w:cs="Book Antiqua"/>
          <w:color w:val="000000"/>
          <w:szCs w:val="32"/>
          <w:vertAlign w:val="superscript"/>
        </w:rPr>
        <w:t>9</w:t>
      </w:r>
      <w:r>
        <w:rPr>
          <w:rFonts w:ascii="Book Antiqua" w:eastAsia="Book Antiqua" w:hAnsi="Book Antiqua" w:cs="Book Antiqua"/>
          <w:color w:val="000000"/>
          <w:szCs w:val="21"/>
        </w:rPr>
        <w:t>/L. The results of bone marrow cell morphology, immunology, and cellular and molecular genetics (MICM typing) confirmed acute myeloid leukemia (type M1). Then, the patient received induction DA chemotherapy (daunorubicin for 3 d and cytarabine for 7 d).</w:t>
      </w:r>
    </w:p>
    <w:p w14:paraId="055F6842" w14:textId="77777777" w:rsidR="008F1352" w:rsidRDefault="008F1352">
      <w:pPr>
        <w:spacing w:line="360" w:lineRule="auto"/>
        <w:jc w:val="both"/>
      </w:pPr>
    </w:p>
    <w:p w14:paraId="382F581C" w14:textId="77777777" w:rsidR="008F1352" w:rsidRDefault="00BA640E">
      <w:pPr>
        <w:spacing w:line="360" w:lineRule="auto"/>
        <w:jc w:val="both"/>
      </w:pPr>
      <w:r>
        <w:rPr>
          <w:rFonts w:ascii="Book Antiqua" w:eastAsia="Book Antiqua" w:hAnsi="Book Antiqua" w:cs="Book Antiqua"/>
          <w:b/>
          <w:i/>
          <w:color w:val="000000"/>
        </w:rPr>
        <w:t>History of past illness</w:t>
      </w:r>
    </w:p>
    <w:p w14:paraId="0B54037D" w14:textId="77777777" w:rsidR="008F1352" w:rsidRDefault="00BA640E">
      <w:pPr>
        <w:spacing w:line="360" w:lineRule="auto"/>
        <w:jc w:val="both"/>
      </w:pPr>
      <w:r>
        <w:rPr>
          <w:rFonts w:ascii="Book Antiqua" w:eastAsia="Book Antiqua" w:hAnsi="Book Antiqua" w:cs="Book Antiqua"/>
          <w:color w:val="000000"/>
          <w:szCs w:val="21"/>
        </w:rPr>
        <w:t>The patient had an unremarkable previous medical history.</w:t>
      </w:r>
    </w:p>
    <w:p w14:paraId="311699AB" w14:textId="77777777" w:rsidR="008F1352" w:rsidRDefault="008F1352">
      <w:pPr>
        <w:spacing w:line="360" w:lineRule="auto"/>
        <w:jc w:val="both"/>
      </w:pPr>
    </w:p>
    <w:p w14:paraId="4B1204FF" w14:textId="77777777" w:rsidR="008F1352" w:rsidRDefault="00BA640E">
      <w:pPr>
        <w:spacing w:line="360" w:lineRule="auto"/>
        <w:jc w:val="both"/>
      </w:pPr>
      <w:r>
        <w:rPr>
          <w:rFonts w:ascii="Book Antiqua" w:eastAsia="Book Antiqua" w:hAnsi="Book Antiqua" w:cs="Book Antiqua"/>
          <w:b/>
          <w:i/>
          <w:color w:val="000000"/>
        </w:rPr>
        <w:t>Personal and family history</w:t>
      </w:r>
    </w:p>
    <w:p w14:paraId="0D56763E" w14:textId="77777777" w:rsidR="008F1352" w:rsidRDefault="00BA640E">
      <w:pPr>
        <w:spacing w:line="360" w:lineRule="auto"/>
        <w:jc w:val="both"/>
      </w:pPr>
      <w:r>
        <w:rPr>
          <w:rFonts w:ascii="Book Antiqua" w:eastAsia="Book Antiqua" w:hAnsi="Book Antiqua" w:cs="Book Antiqua"/>
          <w:color w:val="000000"/>
        </w:rPr>
        <w:t>The patient's personal and family history was nothing special.</w:t>
      </w:r>
    </w:p>
    <w:p w14:paraId="4902E690" w14:textId="77777777" w:rsidR="008F1352" w:rsidRDefault="008F1352">
      <w:pPr>
        <w:spacing w:line="360" w:lineRule="auto"/>
        <w:jc w:val="both"/>
      </w:pPr>
    </w:p>
    <w:p w14:paraId="0F540B71" w14:textId="77777777" w:rsidR="008F1352" w:rsidRDefault="00BA640E">
      <w:pPr>
        <w:spacing w:line="360" w:lineRule="auto"/>
        <w:jc w:val="both"/>
      </w:pPr>
      <w:r>
        <w:rPr>
          <w:rFonts w:ascii="Book Antiqua" w:eastAsia="Book Antiqua" w:hAnsi="Book Antiqua" w:cs="Book Antiqua"/>
          <w:b/>
          <w:i/>
          <w:color w:val="000000"/>
        </w:rPr>
        <w:t>Physical examination</w:t>
      </w:r>
    </w:p>
    <w:p w14:paraId="26479B76" w14:textId="77777777" w:rsidR="008F1352" w:rsidRDefault="00BA640E">
      <w:pPr>
        <w:spacing w:line="360" w:lineRule="auto"/>
        <w:jc w:val="both"/>
      </w:pPr>
      <w:r>
        <w:rPr>
          <w:rFonts w:ascii="Book Antiqua" w:eastAsia="Book Antiqua" w:hAnsi="Book Antiqua" w:cs="Book Antiqua"/>
          <w:color w:val="000000"/>
          <w:szCs w:val="21"/>
        </w:rPr>
        <w:t>On the third day after induction chemotherapy, the child developed a high fever. Physical examination revealed maculopapules on the face, trunk, and extremities (Figure 1A). The rash was further aggravated, mainly on the trunk, with obvious tenderness, part of the rash showed central necrosis and obvious peripheral swelling (Figure 1B), and part of the rash manifested vesicular formations (Figure 1C). Subsequently, the rash further changed, and the vesicular lesions ruptured to form crater-like ulcers (Figure 1D).</w:t>
      </w:r>
    </w:p>
    <w:p w14:paraId="2423B431" w14:textId="77777777" w:rsidR="008F1352" w:rsidRDefault="008F1352">
      <w:pPr>
        <w:spacing w:line="360" w:lineRule="auto"/>
        <w:jc w:val="both"/>
      </w:pPr>
    </w:p>
    <w:p w14:paraId="08C489BB" w14:textId="77777777" w:rsidR="008F1352" w:rsidRDefault="00BA640E">
      <w:pPr>
        <w:spacing w:line="360" w:lineRule="auto"/>
        <w:jc w:val="both"/>
      </w:pPr>
      <w:r>
        <w:rPr>
          <w:rFonts w:ascii="Book Antiqua" w:eastAsia="Book Antiqua" w:hAnsi="Book Antiqua" w:cs="Book Antiqua"/>
          <w:b/>
          <w:i/>
          <w:color w:val="000000"/>
        </w:rPr>
        <w:t>Laboratory examinations</w:t>
      </w:r>
    </w:p>
    <w:p w14:paraId="76E47ACF" w14:textId="77777777" w:rsidR="008F1352" w:rsidRDefault="00BA640E">
      <w:pPr>
        <w:spacing w:line="360" w:lineRule="auto"/>
        <w:jc w:val="both"/>
      </w:pPr>
      <w:r>
        <w:rPr>
          <w:rFonts w:ascii="Book Antiqua" w:eastAsia="Book Antiqua" w:hAnsi="Book Antiqua" w:cs="Book Antiqua"/>
          <w:color w:val="000000"/>
          <w:szCs w:val="21"/>
        </w:rPr>
        <w:t>Myelosuppression occurred during chemotherapy, repeated full blood examination demonstrated persistent neutropenia (WBC 0.12 × 10</w:t>
      </w:r>
      <w:r>
        <w:rPr>
          <w:rFonts w:ascii="Book Antiqua" w:eastAsia="Book Antiqua" w:hAnsi="Book Antiqua" w:cs="Book Antiqua"/>
          <w:color w:val="000000"/>
          <w:szCs w:val="32"/>
          <w:vertAlign w:val="superscript"/>
        </w:rPr>
        <w:t>9</w:t>
      </w:r>
      <w:r>
        <w:rPr>
          <w:rFonts w:ascii="Book Antiqua" w:eastAsia="Book Antiqua" w:hAnsi="Book Antiqua" w:cs="Book Antiqua"/>
          <w:color w:val="000000"/>
          <w:szCs w:val="21"/>
        </w:rPr>
        <w:t>/L and absolute neutrophil count 0.01 × 10</w:t>
      </w:r>
      <w:r>
        <w:rPr>
          <w:rFonts w:ascii="Book Antiqua" w:eastAsia="Book Antiqua" w:hAnsi="Book Antiqua" w:cs="Book Antiqua"/>
          <w:color w:val="000000"/>
          <w:szCs w:val="32"/>
          <w:vertAlign w:val="superscript"/>
        </w:rPr>
        <w:t>9</w:t>
      </w:r>
      <w:r>
        <w:rPr>
          <w:rFonts w:ascii="Book Antiqua" w:eastAsia="Book Antiqua" w:hAnsi="Book Antiqua" w:cs="Book Antiqua"/>
          <w:color w:val="000000"/>
          <w:szCs w:val="21"/>
        </w:rPr>
        <w:t>/L), and C-reactive protein was 296.5 mg/L. Two repeated fungal antigen tests [galactomannan</w:t>
      </w:r>
      <w:r>
        <w:rPr>
          <w:rFonts w:ascii="Book Antiqua" w:eastAsia="Book Antiqua" w:hAnsi="Book Antiqua" w:cs="Book Antiqua"/>
          <w:color w:val="000000"/>
        </w:rPr>
        <w:t xml:space="preserve"> (GM) and β-D-</w:t>
      </w:r>
      <w:r>
        <w:rPr>
          <w:rFonts w:ascii="Book Antiqua" w:eastAsia="Book Antiqua" w:hAnsi="Book Antiqua" w:cs="Book Antiqua"/>
          <w:color w:val="000000"/>
          <w:szCs w:val="21"/>
        </w:rPr>
        <w:t>glucan] were negative.</w:t>
      </w:r>
    </w:p>
    <w:p w14:paraId="36485A06" w14:textId="77777777" w:rsidR="008F1352" w:rsidRDefault="008F1352">
      <w:pPr>
        <w:spacing w:line="360" w:lineRule="auto"/>
        <w:jc w:val="both"/>
      </w:pPr>
    </w:p>
    <w:p w14:paraId="10B277B7" w14:textId="77777777" w:rsidR="008F1352" w:rsidRDefault="00BA640E">
      <w:pPr>
        <w:spacing w:line="360" w:lineRule="auto"/>
        <w:jc w:val="both"/>
      </w:pPr>
      <w:r>
        <w:rPr>
          <w:rFonts w:ascii="Book Antiqua" w:eastAsia="Book Antiqua" w:hAnsi="Book Antiqua" w:cs="Book Antiqua"/>
          <w:b/>
          <w:i/>
          <w:color w:val="000000"/>
        </w:rPr>
        <w:t>Imaging examinations</w:t>
      </w:r>
    </w:p>
    <w:p w14:paraId="29A771A9" w14:textId="77777777" w:rsidR="008F1352" w:rsidRDefault="00BA640E">
      <w:pPr>
        <w:spacing w:line="360" w:lineRule="auto"/>
        <w:jc w:val="both"/>
      </w:pPr>
      <w:r>
        <w:rPr>
          <w:rFonts w:ascii="Book Antiqua" w:eastAsia="Book Antiqua" w:hAnsi="Book Antiqua" w:cs="Book Antiqua"/>
          <w:color w:val="000000"/>
        </w:rPr>
        <w:t>Computed tomography</w:t>
      </w:r>
      <w:r>
        <w:rPr>
          <w:rFonts w:ascii="Book Antiqua" w:eastAsia="Book Antiqua" w:hAnsi="Book Antiqua" w:cs="Book Antiqua"/>
          <w:color w:val="000000"/>
          <w:szCs w:val="21"/>
        </w:rPr>
        <w:t xml:space="preserve"> (CT) examination of the chest and abdomen showed no involvement of deep organs.</w:t>
      </w:r>
    </w:p>
    <w:p w14:paraId="17C0337E" w14:textId="77777777" w:rsidR="008F1352" w:rsidRDefault="008F1352">
      <w:pPr>
        <w:spacing w:line="360" w:lineRule="auto"/>
        <w:jc w:val="both"/>
      </w:pPr>
    </w:p>
    <w:p w14:paraId="43842D1C" w14:textId="77777777" w:rsidR="008F1352" w:rsidRDefault="00BA640E">
      <w:pPr>
        <w:spacing w:line="360" w:lineRule="auto"/>
        <w:jc w:val="both"/>
      </w:pPr>
      <w:r>
        <w:rPr>
          <w:rFonts w:ascii="Book Antiqua" w:eastAsia="Book Antiqua" w:hAnsi="Book Antiqua" w:cs="Book Antiqua"/>
          <w:b/>
          <w:bCs/>
          <w:i/>
          <w:iCs/>
          <w:color w:val="000000"/>
          <w:szCs w:val="21"/>
        </w:rPr>
        <w:t>Microbiological identification of the causative agent</w:t>
      </w:r>
    </w:p>
    <w:p w14:paraId="40C357D3" w14:textId="77777777" w:rsidR="008F1352" w:rsidRDefault="00BA640E">
      <w:pPr>
        <w:spacing w:line="360" w:lineRule="auto"/>
        <w:jc w:val="both"/>
      </w:pPr>
      <w:r>
        <w:rPr>
          <w:rFonts w:ascii="Book Antiqua" w:eastAsia="Book Antiqua" w:hAnsi="Book Antiqua" w:cs="Book Antiqua"/>
          <w:color w:val="000000"/>
          <w:szCs w:val="21"/>
        </w:rPr>
        <w:t xml:space="preserve">The blood culture grew a fungus, which was ultimately identified as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solani</w:t>
      </w:r>
      <w:r>
        <w:rPr>
          <w:rFonts w:ascii="Book Antiqua" w:eastAsia="Book Antiqua" w:hAnsi="Book Antiqua" w:cs="Book Antiqua"/>
          <w:color w:val="000000"/>
          <w:szCs w:val="21"/>
        </w:rPr>
        <w:t xml:space="preserve"> by morphological characteristics (Figure 2). Fungi were seen on the biopsy of the exfoliated scab (Figure 3).</w:t>
      </w:r>
    </w:p>
    <w:p w14:paraId="210D0C86" w14:textId="77777777" w:rsidR="008F1352" w:rsidRDefault="008F1352">
      <w:pPr>
        <w:spacing w:line="360" w:lineRule="auto"/>
        <w:jc w:val="both"/>
      </w:pPr>
    </w:p>
    <w:p w14:paraId="0CA6467A" w14:textId="77777777" w:rsidR="008F1352" w:rsidRDefault="00BA640E">
      <w:pPr>
        <w:spacing w:line="360" w:lineRule="auto"/>
        <w:jc w:val="both"/>
      </w:pPr>
      <w:r>
        <w:rPr>
          <w:rFonts w:ascii="Book Antiqua" w:eastAsia="Book Antiqua" w:hAnsi="Book Antiqua" w:cs="Book Antiqua"/>
          <w:b/>
          <w:caps/>
          <w:color w:val="000000"/>
          <w:u w:val="single"/>
        </w:rPr>
        <w:t>FINAL DIAGNOSIS</w:t>
      </w:r>
    </w:p>
    <w:p w14:paraId="61EA68F8" w14:textId="77777777" w:rsidR="008F1352" w:rsidRDefault="00BA640E">
      <w:pPr>
        <w:spacing w:line="360" w:lineRule="auto"/>
        <w:jc w:val="both"/>
      </w:pPr>
      <w:r>
        <w:rPr>
          <w:rFonts w:ascii="Book Antiqua" w:eastAsia="Book Antiqua" w:hAnsi="Book Antiqua" w:cs="Book Antiqua"/>
          <w:color w:val="000000"/>
          <w:szCs w:val="21"/>
        </w:rPr>
        <w:t xml:space="preserve">The final diagnosis of the presented case was 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bloodstream infection.</w:t>
      </w:r>
    </w:p>
    <w:p w14:paraId="78C9EA33" w14:textId="77777777" w:rsidR="008F1352" w:rsidRDefault="008F1352">
      <w:pPr>
        <w:spacing w:line="360" w:lineRule="auto"/>
        <w:jc w:val="both"/>
      </w:pPr>
    </w:p>
    <w:p w14:paraId="752AAD3F" w14:textId="77777777" w:rsidR="008F1352" w:rsidRDefault="00BA640E">
      <w:pPr>
        <w:spacing w:line="360" w:lineRule="auto"/>
        <w:jc w:val="both"/>
      </w:pPr>
      <w:r>
        <w:rPr>
          <w:rFonts w:ascii="Book Antiqua" w:eastAsia="Book Antiqua" w:hAnsi="Book Antiqua" w:cs="Book Antiqua"/>
          <w:b/>
          <w:caps/>
          <w:color w:val="000000"/>
          <w:u w:val="single"/>
        </w:rPr>
        <w:t>TREATMENT</w:t>
      </w:r>
    </w:p>
    <w:p w14:paraId="01453A82" w14:textId="6F38260F" w:rsidR="008F1352" w:rsidRDefault="00BA640E">
      <w:pPr>
        <w:spacing w:line="360" w:lineRule="auto"/>
        <w:jc w:val="both"/>
      </w:pPr>
      <w:r>
        <w:rPr>
          <w:rFonts w:ascii="Book Antiqua" w:eastAsia="Book Antiqua" w:hAnsi="Book Antiqua" w:cs="Book Antiqua"/>
          <w:color w:val="000000"/>
          <w:szCs w:val="21"/>
        </w:rPr>
        <w:t xml:space="preserve">This child had febrile neutropenia, combined with skin rash as the main clinical manifestation. On the basis of imipenem and cilastatin sodium anti-infection, vancomycin was added to cover </w:t>
      </w:r>
      <w:r w:rsidR="004654A6">
        <w:rPr>
          <w:rFonts w:ascii="Book Antiqua" w:eastAsia="Book Antiqua" w:hAnsi="Book Antiqua" w:cs="Book Antiqua"/>
          <w:color w:val="000000"/>
          <w:szCs w:val="21"/>
        </w:rPr>
        <w:t>Gram</w:t>
      </w:r>
      <w:r>
        <w:rPr>
          <w:rFonts w:ascii="Book Antiqua" w:eastAsia="Book Antiqua" w:hAnsi="Book Antiqua" w:cs="Book Antiqua"/>
          <w:color w:val="000000"/>
          <w:szCs w:val="21"/>
        </w:rPr>
        <w:t xml:space="preserve">-positive microorganisms. Fluconazole was used to prevent fungal infection, and granulocyte colony-stimulating factor was used to promote the recovery of hematopoietic function. However, the rash was further aggravated, and the child still suffered from repeated high fever and altered conscious state and feeding. The antibacterial drugs imipenem and cilastatin sodium and vancomycin continued to be given to treat infection. Considering the high drug-resistance rate of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and the poor prognosis of patients with low immunity and 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 fluconazole was changed to voriconazole and liposomal amphotericin B to ensure that at least one drug was effective (Figure 4). After the body temperature stabilized, the antibiotic regimen was downgraded to cefoperazone sodium and sulbactam sodium for continued prevention of infection, and the administration of liposomal </w:t>
      </w:r>
      <w:bookmarkStart w:id="7" w:name="OLE_LINK8"/>
      <w:r>
        <w:rPr>
          <w:rFonts w:ascii="Book Antiqua" w:eastAsia="Book Antiqua" w:hAnsi="Book Antiqua" w:cs="Book Antiqua"/>
          <w:color w:val="000000"/>
          <w:szCs w:val="21"/>
        </w:rPr>
        <w:t>amphotericin B</w:t>
      </w:r>
      <w:bookmarkEnd w:id="7"/>
      <w:r>
        <w:rPr>
          <w:rFonts w:ascii="Book Antiqua" w:eastAsia="Book Antiqua" w:hAnsi="Book Antiqua" w:cs="Book Antiqua"/>
          <w:color w:val="000000"/>
          <w:szCs w:val="21"/>
        </w:rPr>
        <w:t xml:space="preserve"> combined with </w:t>
      </w:r>
      <w:bookmarkStart w:id="8" w:name="OLE_LINK9"/>
      <w:r>
        <w:rPr>
          <w:rFonts w:ascii="Book Antiqua" w:eastAsia="Book Antiqua" w:hAnsi="Book Antiqua" w:cs="Book Antiqua"/>
          <w:color w:val="000000"/>
          <w:szCs w:val="21"/>
        </w:rPr>
        <w:t>voriconazole</w:t>
      </w:r>
      <w:bookmarkEnd w:id="8"/>
      <w:r>
        <w:rPr>
          <w:rFonts w:ascii="Book Antiqua" w:eastAsia="Book Antiqua" w:hAnsi="Book Antiqua" w:cs="Book Antiqua"/>
          <w:color w:val="000000"/>
          <w:szCs w:val="21"/>
        </w:rPr>
        <w:t xml:space="preserve"> antifungal treatment was continued for 4 wk.</w:t>
      </w:r>
    </w:p>
    <w:p w14:paraId="57E24100" w14:textId="77777777" w:rsidR="008F1352" w:rsidRDefault="008F1352">
      <w:pPr>
        <w:spacing w:line="360" w:lineRule="auto"/>
        <w:jc w:val="both"/>
      </w:pPr>
    </w:p>
    <w:p w14:paraId="1DE48A8C" w14:textId="77777777" w:rsidR="008F1352" w:rsidRDefault="00BA640E">
      <w:pPr>
        <w:spacing w:line="360" w:lineRule="auto"/>
        <w:jc w:val="both"/>
      </w:pPr>
      <w:r>
        <w:rPr>
          <w:rFonts w:ascii="Book Antiqua" w:eastAsia="Book Antiqua" w:hAnsi="Book Antiqua" w:cs="Book Antiqua"/>
          <w:b/>
          <w:caps/>
          <w:color w:val="000000"/>
          <w:u w:val="single"/>
        </w:rPr>
        <w:t>OUTCOME AND FOLLOW-UP</w:t>
      </w:r>
    </w:p>
    <w:p w14:paraId="63A3F13A" w14:textId="0A162C2B" w:rsidR="008F1352" w:rsidRDefault="00BA640E">
      <w:pPr>
        <w:spacing w:line="360" w:lineRule="auto"/>
        <w:jc w:val="both"/>
      </w:pPr>
      <w:r>
        <w:rPr>
          <w:rFonts w:ascii="Book Antiqua" w:eastAsia="Book Antiqua" w:hAnsi="Book Antiqua" w:cs="Book Antiqua"/>
          <w:color w:val="000000"/>
          <w:szCs w:val="21"/>
        </w:rPr>
        <w:t xml:space="preserve">The child had a fever for 14 d. After that, the body temperature was normal, and the necrotic rash gradually healed (Figure 1E). Routine blood re-examination showed the following: WBC 8.76 × 109/L, </w:t>
      </w:r>
      <w:bookmarkStart w:id="9" w:name="OLE_LINK10"/>
      <w:r>
        <w:rPr>
          <w:rFonts w:ascii="Book Antiqua" w:eastAsia="Book Antiqua" w:hAnsi="Book Antiqua" w:cs="Book Antiqua"/>
          <w:color w:val="000000"/>
          <w:szCs w:val="21"/>
        </w:rPr>
        <w:t>neutrophil</w:t>
      </w:r>
      <w:bookmarkEnd w:id="9"/>
      <w:r w:rsidR="0008201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7.26 × 10</w:t>
      </w:r>
      <w:r>
        <w:rPr>
          <w:rFonts w:ascii="Book Antiqua" w:eastAsia="Book Antiqua" w:hAnsi="Book Antiqua" w:cs="Book Antiqua"/>
          <w:color w:val="000000"/>
          <w:szCs w:val="21"/>
          <w:vertAlign w:val="superscript"/>
        </w:rPr>
        <w:t>9</w:t>
      </w:r>
      <w:r>
        <w:rPr>
          <w:rFonts w:ascii="Book Antiqua" w:eastAsia="Book Antiqua" w:hAnsi="Book Antiqua" w:cs="Book Antiqua"/>
          <w:color w:val="000000"/>
          <w:szCs w:val="21"/>
        </w:rPr>
        <w:t>/L, Hb 70 g/L, PLT 35 × 10</w:t>
      </w:r>
      <w:r>
        <w:rPr>
          <w:rFonts w:ascii="Book Antiqua" w:eastAsia="Book Antiqua" w:hAnsi="Book Antiqua" w:cs="Book Antiqua"/>
          <w:color w:val="000000"/>
          <w:szCs w:val="21"/>
          <w:vertAlign w:val="superscript"/>
        </w:rPr>
        <w:t>9</w:t>
      </w:r>
      <w:r>
        <w:rPr>
          <w:rFonts w:ascii="Book Antiqua" w:eastAsia="Book Antiqua" w:hAnsi="Book Antiqua" w:cs="Book Antiqua"/>
          <w:color w:val="000000"/>
          <w:szCs w:val="21"/>
        </w:rPr>
        <w:t>/L, and CRP 88.7 mg/L. However, before discharge, a 4 cm × 1.5 cm mass was palpable in the right calf of the child, and the tenderness was obvious. B-scan ultrasonography showed the formation of a local abscess, and CT examination of the chest and abdomen showed no involvement of deep organs. The discharge instructions were to continue posaconazole oral suspension combined with cefixime for anti-infection treatment for 2 wk. Eventually, the clinical symptoms of the child disappeared, the blood culture was negative on re-examination, and a clinical cure was achieved. There were no obvious adverse drug reactions during the treatment. However, the second cycle of chemotherapy was delayed because of the fungal infection. At present, the child is generally in good condition, and a second round of chemotherapy is planned.</w:t>
      </w:r>
    </w:p>
    <w:p w14:paraId="3B2C3466" w14:textId="77777777" w:rsidR="008F1352" w:rsidRDefault="008F1352">
      <w:pPr>
        <w:spacing w:line="360" w:lineRule="auto"/>
        <w:jc w:val="both"/>
      </w:pPr>
    </w:p>
    <w:p w14:paraId="29E3064C" w14:textId="77777777" w:rsidR="008F1352" w:rsidRDefault="00BA640E">
      <w:pPr>
        <w:spacing w:line="360" w:lineRule="auto"/>
        <w:jc w:val="both"/>
      </w:pPr>
      <w:r>
        <w:rPr>
          <w:rFonts w:ascii="Book Antiqua" w:eastAsia="Book Antiqua" w:hAnsi="Book Antiqua" w:cs="Book Antiqua"/>
          <w:b/>
          <w:caps/>
          <w:color w:val="000000"/>
          <w:u w:val="single"/>
        </w:rPr>
        <w:t>DISCUSSION</w:t>
      </w:r>
    </w:p>
    <w:p w14:paraId="057551E7" w14:textId="58191059" w:rsidR="008F1352" w:rsidRDefault="00BA640E">
      <w:pPr>
        <w:spacing w:line="360" w:lineRule="auto"/>
        <w:jc w:val="both"/>
      </w:pP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is a saprophytic fungus with strong ecological adaptability. It is widely distributed in natural soils and plants and can even live in deserts and Arctic</w:t>
      </w:r>
      <w:r>
        <w:rPr>
          <w:rFonts w:ascii="Book Antiqua" w:eastAsia="Book Antiqua" w:hAnsi="Book Antiqua" w:cs="Book Antiqua"/>
          <w:color w:val="000000"/>
        </w:rPr>
        <w:t xml:space="preserve"> regions. It can be parasitic on animal and plant bodies or saprophytic in animal and plant debris. Some species can produce mycotoxins under certain circumstances and threaten the health of humans and animals</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4]</w:t>
      </w:r>
      <w:r>
        <w:rPr>
          <w:rFonts w:ascii="Book Antiqua" w:eastAsia="Book Antiqua" w:hAnsi="Book Antiqua" w:cs="Book Antiqua"/>
          <w:color w:val="000000"/>
          <w:szCs w:val="21"/>
        </w:rPr>
        <w:t xml:space="preserve">. A multicenter retrospective study indicated a significantly increased incidence of </w:t>
      </w:r>
      <w:r>
        <w:rPr>
          <w:rFonts w:ascii="Book Antiqua" w:eastAsia="Book Antiqua" w:hAnsi="Book Antiqua" w:cs="Book Antiqua"/>
          <w:i/>
          <w:iCs/>
          <w:color w:val="000000"/>
          <w:szCs w:val="21"/>
        </w:rPr>
        <w:t>Fusarium</w:t>
      </w:r>
      <w:r>
        <w:rPr>
          <w:rFonts w:ascii="Book Antiqua" w:eastAsia="Book Antiqua" w:hAnsi="Book Antiqua" w:cs="Book Antiqua"/>
          <w:color w:val="000000"/>
        </w:rPr>
        <w:t xml:space="preserve"> infection in patients with immunosuppression and acute myeloid leukemia, and this type of infection ranks second only to </w:t>
      </w:r>
      <w:r w:rsidRPr="00C62E34">
        <w:rPr>
          <w:rFonts w:ascii="Book Antiqua" w:eastAsia="Book Antiqua" w:hAnsi="Book Antiqua" w:cs="Book Antiqua"/>
          <w:i/>
          <w:color w:val="000000"/>
        </w:rPr>
        <w:t>Aspergillus</w:t>
      </w:r>
      <w:r>
        <w:rPr>
          <w:rFonts w:ascii="Book Antiqua" w:eastAsia="Book Antiqua" w:hAnsi="Book Antiqua" w:cs="Book Antiqua"/>
          <w:color w:val="000000"/>
        </w:rPr>
        <w:t xml:space="preserve"> infection</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5]</w:t>
      </w:r>
      <w:r>
        <w:rPr>
          <w:rFonts w:ascii="Book Antiqua" w:eastAsia="Book Antiqua" w:hAnsi="Book Antiqua" w:cs="Book Antiqua"/>
          <w:color w:val="000000"/>
          <w:szCs w:val="21"/>
        </w:rPr>
        <w:t>. For people with normal immunity,</w:t>
      </w:r>
      <w:r w:rsidR="004654A6">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Fusarium</w:t>
      </w:r>
      <w:r>
        <w:rPr>
          <w:rFonts w:ascii="Book Antiqua" w:eastAsia="Book Antiqua" w:hAnsi="Book Antiqua" w:cs="Book Antiqua"/>
          <w:color w:val="000000"/>
        </w:rPr>
        <w:t xml:space="preserve"> is an opportunistic pathogen, mainly causing local infections</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6]</w:t>
      </w:r>
      <w:r>
        <w:rPr>
          <w:rFonts w:ascii="Book Antiqua" w:eastAsia="Book Antiqua" w:hAnsi="Book Antiqua" w:cs="Book Antiqua"/>
          <w:color w:val="000000"/>
          <w:szCs w:val="21"/>
        </w:rPr>
        <w:t xml:space="preserve">, but for patients with hematological malignancies, aplastic anemia, </w:t>
      </w:r>
      <w:r w:rsidR="004654A6">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 xml:space="preserve">organ transplantation or undergoing chemotherapy,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can cause invasive fungal infections. Among these patients with low immune function, 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disease accounts for 70% of </w:t>
      </w:r>
      <w:r>
        <w:rPr>
          <w:rFonts w:ascii="Book Antiqua" w:eastAsia="Book Antiqua" w:hAnsi="Book Antiqua" w:cs="Book Antiqua"/>
          <w:i/>
          <w:iCs/>
          <w:color w:val="000000"/>
          <w:szCs w:val="21"/>
        </w:rPr>
        <w:t>Fusarium</w:t>
      </w:r>
      <w:r>
        <w:rPr>
          <w:rFonts w:ascii="Book Antiqua" w:eastAsia="Book Antiqua" w:hAnsi="Book Antiqua" w:cs="Book Antiqua"/>
          <w:color w:val="000000"/>
        </w:rPr>
        <w:t xml:space="preserve"> infections</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7]</w:t>
      </w:r>
      <w:r>
        <w:rPr>
          <w:rFonts w:ascii="Book Antiqua" w:eastAsia="Book Antiqua" w:hAnsi="Book Antiqua" w:cs="Book Antiqua"/>
          <w:color w:val="000000"/>
          <w:szCs w:val="21"/>
        </w:rPr>
        <w:t>.</w:t>
      </w:r>
    </w:p>
    <w:p w14:paraId="00D3B88E" w14:textId="54950CC2" w:rsidR="008F1352" w:rsidRDefault="00BA640E">
      <w:pPr>
        <w:spacing w:line="360" w:lineRule="auto"/>
        <w:ind w:firstLineChars="100" w:firstLine="240"/>
        <w:jc w:val="both"/>
      </w:pPr>
      <w:r>
        <w:rPr>
          <w:rFonts w:ascii="Book Antiqua" w:eastAsia="Book Antiqua" w:hAnsi="Book Antiqua" w:cs="Book Antiqua"/>
          <w:color w:val="000000"/>
          <w:szCs w:val="21"/>
        </w:rPr>
        <w:t xml:space="preserve">In immunocompromised hosts, the lack of a normal immune response can lead to vascular infiltration of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leading to necrosis and diffuse infection, with skin involvement in 70% of cases of </w:t>
      </w:r>
      <w:r>
        <w:rPr>
          <w:rFonts w:ascii="Book Antiqua" w:eastAsia="Book Antiqua" w:hAnsi="Book Antiqua" w:cs="Book Antiqua"/>
          <w:i/>
          <w:iCs/>
          <w:color w:val="000000"/>
          <w:szCs w:val="21"/>
        </w:rPr>
        <w:t>Fusarium</w:t>
      </w:r>
      <w:r>
        <w:rPr>
          <w:rFonts w:ascii="Book Antiqua" w:eastAsia="Book Antiqua" w:hAnsi="Book Antiqua" w:cs="Book Antiqua"/>
          <w:color w:val="000000"/>
        </w:rPr>
        <w:t xml:space="preserve"> infection</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8]</w:t>
      </w:r>
      <w:r>
        <w:rPr>
          <w:rFonts w:ascii="Book Antiqua" w:eastAsia="Book Antiqua" w:hAnsi="Book Antiqua" w:cs="Book Antiqua"/>
          <w:color w:val="000000"/>
          <w:szCs w:val="21"/>
        </w:rPr>
        <w:t xml:space="preserve">. The characteristic skin lesions may provide guidance for the early diagnosis of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 A typical </w:t>
      </w:r>
      <w:r>
        <w:rPr>
          <w:rFonts w:ascii="Book Antiqua" w:eastAsia="Book Antiqua" w:hAnsi="Book Antiqua" w:cs="Book Antiqua"/>
          <w:i/>
          <w:iCs/>
          <w:color w:val="000000"/>
          <w:szCs w:val="21"/>
        </w:rPr>
        <w:t>Fusarium</w:t>
      </w:r>
      <w:r>
        <w:rPr>
          <w:rFonts w:ascii="Book Antiqua" w:eastAsia="Book Antiqua" w:hAnsi="Book Antiqua" w:cs="Book Antiqua"/>
          <w:color w:val="000000"/>
        </w:rPr>
        <w:t xml:space="preserve"> infection-induced rash can be divided into four periods: </w:t>
      </w:r>
      <w:r w:rsidR="004654A6">
        <w:rPr>
          <w:rFonts w:ascii="Book Antiqua" w:eastAsia="Book Antiqua" w:hAnsi="Book Antiqua" w:cs="Book Antiqua"/>
          <w:color w:val="000000"/>
        </w:rPr>
        <w:t xml:space="preserve">Stage </w:t>
      </w:r>
      <w:r>
        <w:rPr>
          <w:rFonts w:ascii="Book Antiqua" w:eastAsia="Book Antiqua" w:hAnsi="Book Antiqua" w:cs="Book Antiqua"/>
          <w:color w:val="000000"/>
        </w:rPr>
        <w:t>I, red maculopapular rash; stage II, necrosis in the center of the rash; stage III, vesicular bullae changes secondary to necrosis; and stage IV, after the eruption, the vesicular lesions change to cratered lesions and eventually heal. Each period of skin change is 1-2 d apart</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9]</w:t>
      </w:r>
      <w:r>
        <w:rPr>
          <w:rFonts w:ascii="Book Antiqua" w:eastAsia="Book Antiqua" w:hAnsi="Book Antiqua" w:cs="Book Antiqua"/>
          <w:color w:val="000000"/>
          <w:szCs w:val="21"/>
        </w:rPr>
        <w:t xml:space="preserve">. The rash in this case showed typical four-stage manifestations. This study found that the four stages of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skin lesions can coexist, and in stage III, the vesicular lesions presented as thick-walled blisters with cloudy pus, and pain was obvious during the rash. Although the rash caused by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 is specific, it still needs to be distinguished from the rash of patients with neutropenia, </w:t>
      </w:r>
      <w:r>
        <w:rPr>
          <w:rFonts w:ascii="Book Antiqua" w:eastAsia="Book Antiqua" w:hAnsi="Book Antiqua" w:cs="Book Antiqua"/>
          <w:color w:val="000000"/>
          <w:szCs w:val="21"/>
          <w:shd w:val="clear" w:color="auto" w:fill="FFFFFF"/>
        </w:rPr>
        <w:t>including leukemic deposits, viral infections, bacterial infections (ecthyma gangrenosum)</w:t>
      </w:r>
      <w:r w:rsidR="004654A6">
        <w:rPr>
          <w:rFonts w:ascii="Book Antiqua" w:eastAsia="Book Antiqua" w:hAnsi="Book Antiqua" w:cs="Book Antiqua"/>
          <w:color w:val="000000"/>
          <w:szCs w:val="21"/>
          <w:shd w:val="clear" w:color="auto" w:fill="FFFFFF"/>
        </w:rPr>
        <w:t>,</w:t>
      </w:r>
      <w:r>
        <w:rPr>
          <w:rFonts w:ascii="Book Antiqua" w:eastAsia="Book Antiqua" w:hAnsi="Book Antiqua" w:cs="Book Antiqua"/>
          <w:color w:val="000000"/>
          <w:szCs w:val="21"/>
          <w:shd w:val="clear" w:color="auto" w:fill="FFFFFF"/>
        </w:rPr>
        <w:t xml:space="preserve"> and other fungi (</w:t>
      </w:r>
      <w:r w:rsidRPr="00C62E34">
        <w:rPr>
          <w:rFonts w:ascii="Book Antiqua" w:eastAsia="Book Antiqua" w:hAnsi="Book Antiqua" w:cs="Book Antiqua"/>
          <w:i/>
          <w:color w:val="000000"/>
          <w:szCs w:val="21"/>
        </w:rPr>
        <w:t>Aspergillus</w:t>
      </w:r>
      <w:r>
        <w:rPr>
          <w:rFonts w:ascii="Book Antiqua" w:eastAsia="Book Antiqua" w:hAnsi="Book Antiqua" w:cs="Book Antiqua"/>
          <w:color w:val="000000"/>
          <w:szCs w:val="21"/>
          <w:shd w:val="clear" w:color="auto" w:fill="FFFFFF"/>
        </w:rPr>
        <w:t xml:space="preserve">, mucormycosis, and </w:t>
      </w:r>
      <w:r w:rsidRPr="00C62E34">
        <w:rPr>
          <w:rFonts w:ascii="Book Antiqua" w:eastAsia="Book Antiqua" w:hAnsi="Book Antiqua" w:cs="Book Antiqua"/>
          <w:i/>
          <w:color w:val="000000"/>
          <w:szCs w:val="21"/>
        </w:rPr>
        <w:t>Candida</w:t>
      </w:r>
      <w:r>
        <w:rPr>
          <w:rFonts w:ascii="Book Antiqua" w:eastAsia="Book Antiqua" w:hAnsi="Book Antiqua" w:cs="Book Antiqua"/>
          <w:color w:val="000000"/>
          <w:szCs w:val="21"/>
          <w:shd w:val="clear" w:color="auto" w:fill="FFFFFF"/>
        </w:rPr>
        <w:t>) causing skin lesions.</w:t>
      </w:r>
    </w:p>
    <w:p w14:paraId="555BC473" w14:textId="361B5C7C" w:rsidR="008F1352" w:rsidRDefault="00BA640E">
      <w:pPr>
        <w:spacing w:line="360" w:lineRule="auto"/>
        <w:ind w:firstLineChars="100" w:firstLine="240"/>
        <w:jc w:val="both"/>
      </w:pP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 is difficult to cure and has a poor prognosis</w:t>
      </w:r>
      <w:r>
        <w:rPr>
          <w:rFonts w:ascii="Book Antiqua" w:eastAsia="Book Antiqua" w:hAnsi="Book Antiqua" w:cs="Book Antiqua"/>
          <w:color w:val="000000"/>
        </w:rPr>
        <w:t>; the overall mortality is as high as 50%-70%</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10]</w:t>
      </w:r>
      <w:r>
        <w:rPr>
          <w:rFonts w:ascii="Book Antiqua" w:eastAsia="Book Antiqua" w:hAnsi="Book Antiqua" w:cs="Book Antiqua"/>
          <w:color w:val="000000"/>
          <w:szCs w:val="21"/>
        </w:rPr>
        <w:t xml:space="preserve">, and there is no consensus on the management of invasive 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 in the case of neutropenia. At present, the key to successful treatment is early diagnosis, the reversal of immunosuppression, and the administration of the correct antifungal treatment as soon as possible; however,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has shown widespread resistance to antifungal drugs </w:t>
      </w:r>
      <w:r w:rsidRPr="00C62E34">
        <w:rPr>
          <w:rFonts w:ascii="Book Antiqua" w:eastAsia="Book Antiqua" w:hAnsi="Book Antiqua" w:cs="Book Antiqua"/>
          <w:i/>
          <w:color w:val="000000"/>
          <w:szCs w:val="21"/>
        </w:rPr>
        <w:t>in vitro</w:t>
      </w:r>
      <w:r>
        <w:rPr>
          <w:rFonts w:ascii="Book Antiqua" w:eastAsia="Book Antiqua" w:hAnsi="Book Antiqua" w:cs="Book Antiqua"/>
          <w:color w:val="000000"/>
          <w:szCs w:val="21"/>
        </w:rPr>
        <w:t xml:space="preserve">. </w:t>
      </w:r>
      <w:r w:rsidRPr="00C62E34">
        <w:rPr>
          <w:rFonts w:ascii="Book Antiqua" w:eastAsia="Book Antiqua" w:hAnsi="Book Antiqua" w:cs="Book Antiqua"/>
          <w:i/>
          <w:color w:val="000000"/>
          <w:szCs w:val="21"/>
        </w:rPr>
        <w:t>In vitro</w:t>
      </w:r>
      <w:r>
        <w:rPr>
          <w:rFonts w:ascii="Book Antiqua" w:eastAsia="Book Antiqua" w:hAnsi="Book Antiqua" w:cs="Book Antiqua"/>
          <w:color w:val="000000"/>
          <w:szCs w:val="21"/>
        </w:rPr>
        <w:t xml:space="preserve"> studies suggest that fluconazole, itraconazole, and flucytosine are not effective against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while ketoconazole, miconazole, terbinafine, and voriconazole have limited efficacy. Amphotericin B is considered to be the most effective</w:t>
      </w:r>
      <w:r w:rsidR="004654A6">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anti-</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drug</w:t>
      </w:r>
      <w:r w:rsidR="004654A6" w:rsidRPr="004654A6">
        <w:rPr>
          <w:rFonts w:ascii="Book Antiqua" w:eastAsia="Book Antiqua" w:hAnsi="Book Antiqua" w:cs="Book Antiqua"/>
          <w:i/>
          <w:iCs/>
          <w:color w:val="000000"/>
          <w:szCs w:val="21"/>
        </w:rPr>
        <w:t xml:space="preserve"> </w:t>
      </w:r>
      <w:r w:rsidR="004654A6">
        <w:rPr>
          <w:rFonts w:ascii="Book Antiqua" w:eastAsia="Book Antiqua" w:hAnsi="Book Antiqua" w:cs="Book Antiqua"/>
          <w:i/>
          <w:iCs/>
          <w:color w:val="000000"/>
          <w:szCs w:val="21"/>
        </w:rPr>
        <w:t>in vitro</w:t>
      </w:r>
      <w:r>
        <w:rPr>
          <w:rFonts w:ascii="Book Antiqua" w:eastAsia="Book Antiqua" w:hAnsi="Book Antiqua" w:cs="Book Antiqua"/>
          <w:color w:val="000000"/>
          <w:szCs w:val="21"/>
        </w:rPr>
        <w:t xml:space="preserve">. However, </w:t>
      </w:r>
      <w:r>
        <w:rPr>
          <w:rFonts w:ascii="Book Antiqua" w:eastAsia="Book Antiqua" w:hAnsi="Book Antiqua" w:cs="Book Antiqua"/>
          <w:color w:val="000000"/>
          <w:szCs w:val="21"/>
          <w:shd w:val="clear" w:color="auto" w:fill="FFFFFF"/>
        </w:rPr>
        <w:t>Nucci</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et al</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7]</w:t>
      </w:r>
      <w:r>
        <w:rPr>
          <w:rFonts w:ascii="Book Antiqua" w:eastAsia="Book Antiqua" w:hAnsi="Book Antiqua" w:cs="Book Antiqua"/>
          <w:color w:val="000000"/>
          <w:szCs w:val="21"/>
        </w:rPr>
        <w:t xml:space="preserve"> showed that the mortality rate of amphotericin B in the treatment of disseminated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was as high as 70%. The current successful treatment often comes from cases of voriconazole, so voriconazole alone or in combination with polyenes has been increasingly used for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infections. Because of the high drug resistance rate of </w:t>
      </w:r>
      <w:r w:rsidRPr="00C62E34">
        <w:rPr>
          <w:rFonts w:ascii="Book Antiqua" w:eastAsia="Book Antiqua" w:hAnsi="Book Antiqua" w:cs="Book Antiqua"/>
          <w:i/>
          <w:color w:val="000000"/>
          <w:szCs w:val="21"/>
        </w:rPr>
        <w:t>Fusarium</w:t>
      </w:r>
      <w:r>
        <w:rPr>
          <w:rFonts w:ascii="Book Antiqua" w:eastAsia="Book Antiqua" w:hAnsi="Book Antiqua" w:cs="Book Antiqua"/>
          <w:color w:val="000000"/>
          <w:szCs w:val="21"/>
        </w:rPr>
        <w:t xml:space="preserve">, the use of a single drug for the treatment of drug-resistant fungi cannot achieve a satisfactory effect, but a major concern for combination therapy is the potential antagonistic effect between antifungal agents. Some studies have shown that </w:t>
      </w:r>
      <w:r>
        <w:rPr>
          <w:rFonts w:ascii="Book Antiqua" w:eastAsia="Book Antiqua" w:hAnsi="Book Antiqua" w:cs="Book Antiqua"/>
          <w:color w:val="000000"/>
          <w:szCs w:val="21"/>
          <w:shd w:val="clear" w:color="auto" w:fill="FFFFFF"/>
        </w:rPr>
        <w:t>liposomal amphotericin B</w:t>
      </w:r>
      <w:r>
        <w:rPr>
          <w:rFonts w:ascii="Book Antiqua" w:eastAsia="Book Antiqua" w:hAnsi="Book Antiqua" w:cs="Book Antiqua"/>
          <w:color w:val="000000"/>
          <w:szCs w:val="21"/>
        </w:rPr>
        <w:t xml:space="preserve"> combined with </w:t>
      </w:r>
      <w:r>
        <w:rPr>
          <w:rFonts w:ascii="Book Antiqua" w:eastAsia="Book Antiqua" w:hAnsi="Book Antiqua" w:cs="Book Antiqua"/>
          <w:color w:val="000000"/>
          <w:szCs w:val="21"/>
          <w:shd w:val="clear" w:color="auto" w:fill="FFFFFF"/>
        </w:rPr>
        <w:t>voriconazole</w:t>
      </w:r>
      <w:r>
        <w:rPr>
          <w:rFonts w:ascii="Book Antiqua" w:eastAsia="Book Antiqua" w:hAnsi="Book Antiqua" w:cs="Book Antiqua"/>
          <w:color w:val="000000"/>
        </w:rPr>
        <w:t xml:space="preserve"> has a synergistic effect in the treatment of drug-resistant fungi</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11]</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shd w:val="clear" w:color="auto" w:fill="FFFFFF"/>
        </w:rPr>
        <w:t>Ho</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et al</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12]</w:t>
      </w:r>
      <w:r>
        <w:rPr>
          <w:rFonts w:ascii="Book Antiqua" w:eastAsia="Book Antiqua" w:hAnsi="Book Antiqua" w:cs="Book Antiqua"/>
          <w:color w:val="000000"/>
          <w:szCs w:val="21"/>
        </w:rPr>
        <w:t xml:space="preserve"> also pointed out that for patients with increased skin lesions or continuous positive blood culture in monotherapy, the combination of the two drugs for treatment could be considered.</w:t>
      </w:r>
    </w:p>
    <w:p w14:paraId="3C8C57B4" w14:textId="05AB1583" w:rsidR="008F1352" w:rsidRDefault="00BA640E">
      <w:pPr>
        <w:spacing w:line="360" w:lineRule="auto"/>
        <w:ind w:firstLineChars="100" w:firstLine="240"/>
        <w:jc w:val="both"/>
      </w:pPr>
      <w:r>
        <w:rPr>
          <w:rFonts w:ascii="Book Antiqua" w:eastAsia="Book Antiqua" w:hAnsi="Book Antiqua" w:cs="Book Antiqua"/>
          <w:color w:val="000000"/>
          <w:szCs w:val="21"/>
        </w:rPr>
        <w:t xml:space="preserve">Other studies have proposed that granulocyte recovery is the most important factor for successful treatment of invasive </w:t>
      </w:r>
      <w:r>
        <w:rPr>
          <w:rFonts w:ascii="Book Antiqua" w:eastAsia="Book Antiqua" w:hAnsi="Book Antiqua" w:cs="Book Antiqua"/>
          <w:i/>
          <w:iCs/>
          <w:color w:val="000000"/>
          <w:szCs w:val="21"/>
        </w:rPr>
        <w:t>Fusarium</w:t>
      </w:r>
      <w:r>
        <w:rPr>
          <w:rFonts w:ascii="Book Antiqua" w:eastAsia="Book Antiqua" w:hAnsi="Book Antiqua" w:cs="Book Antiqua"/>
          <w:color w:val="000000"/>
        </w:rPr>
        <w:t xml:space="preserve"> infection. For patients with agranulocytosis, even if systemic antifungal drugs are given, the fatality rate is still close to 100%</w:t>
      </w:r>
      <w:r>
        <w:rPr>
          <w:rFonts w:ascii="Book Antiqua" w:eastAsia="Book Antiqua" w:hAnsi="Book Antiqua" w:cs="Book Antiqua"/>
          <w:color w:val="000000"/>
          <w:vertAlign w:val="superscript"/>
        </w:rPr>
        <w:t>[1</w:t>
      </w:r>
      <w:r>
        <w:rPr>
          <w:rFonts w:ascii="Book Antiqua" w:eastAsia="Book Antiqua" w:hAnsi="Book Antiqua" w:cs="Book Antiqua"/>
          <w:color w:val="000000"/>
          <w:szCs w:val="21"/>
          <w:vertAlign w:val="superscript"/>
        </w:rPr>
        <w:t>3]</w:t>
      </w:r>
      <w:r>
        <w:rPr>
          <w:rFonts w:ascii="Book Antiqua" w:eastAsia="Book Antiqua" w:hAnsi="Book Antiqua" w:cs="Book Antiqua"/>
          <w:color w:val="000000"/>
          <w:szCs w:val="21"/>
        </w:rPr>
        <w:t>. Therefore, colony-stimulating factor</w:t>
      </w:r>
      <w:r w:rsidR="005F14D7">
        <w:rPr>
          <w:rFonts w:ascii="Book Antiqua" w:eastAsia="Book Antiqua" w:hAnsi="Book Antiqua" w:cs="Book Antiqua"/>
          <w:color w:val="000000"/>
          <w:szCs w:val="21"/>
        </w:rPr>
        <w:t xml:space="preserve"> (G-CSF)</w:t>
      </w:r>
      <w:r>
        <w:rPr>
          <w:rFonts w:ascii="Book Antiqua" w:eastAsia="Book Antiqua" w:hAnsi="Book Antiqua" w:cs="Book Antiqua"/>
          <w:color w:val="000000"/>
          <w:szCs w:val="21"/>
        </w:rPr>
        <w:t xml:space="preserve"> and/or GM-CSF should be given to promote or maintain the recovery of hematopoietic function. A</w:t>
      </w:r>
      <w:r>
        <w:rPr>
          <w:rFonts w:ascii="Book Antiqua" w:eastAsia="Book Antiqua" w:hAnsi="Book Antiqua" w:cs="Book Antiqua"/>
          <w:color w:val="000000"/>
          <w:szCs w:val="21"/>
          <w:shd w:val="clear" w:color="auto" w:fill="FFFFFF"/>
        </w:rPr>
        <w:t xml:space="preserve">nother finding suggests that </w:t>
      </w:r>
      <w:r>
        <w:rPr>
          <w:rFonts w:ascii="Book Antiqua" w:eastAsia="Book Antiqua" w:hAnsi="Book Antiqua" w:cs="Book Antiqua"/>
          <w:color w:val="000000"/>
          <w:szCs w:val="21"/>
        </w:rPr>
        <w:t>surgical removal of focal lesions may result in better outcomes in patients with skin or disseminated infections</w:t>
      </w:r>
      <w:r>
        <w:rPr>
          <w:rFonts w:ascii="Book Antiqua" w:eastAsia="Book Antiqua" w:hAnsi="Book Antiqua" w:cs="Book Antiqua"/>
          <w:color w:val="000000"/>
          <w:vertAlign w:val="superscript"/>
        </w:rPr>
        <w:t>[</w:t>
      </w:r>
      <w:r>
        <w:rPr>
          <w:rFonts w:ascii="Book Antiqua" w:eastAsia="Book Antiqua" w:hAnsi="Book Antiqua" w:cs="Book Antiqua"/>
          <w:color w:val="000000"/>
          <w:szCs w:val="21"/>
          <w:vertAlign w:val="superscript"/>
        </w:rPr>
        <w:t>3]</w:t>
      </w:r>
      <w:r>
        <w:rPr>
          <w:rFonts w:ascii="Book Antiqua" w:eastAsia="Book Antiqua" w:hAnsi="Book Antiqua" w:cs="Book Antiqua"/>
          <w:color w:val="000000"/>
          <w:szCs w:val="21"/>
        </w:rPr>
        <w:t>.</w:t>
      </w:r>
    </w:p>
    <w:p w14:paraId="6F0D7738" w14:textId="77777777" w:rsidR="008F1352" w:rsidRDefault="008F1352">
      <w:pPr>
        <w:spacing w:line="360" w:lineRule="auto"/>
        <w:jc w:val="both"/>
      </w:pPr>
    </w:p>
    <w:p w14:paraId="72A38F95" w14:textId="77777777" w:rsidR="008F1352" w:rsidRDefault="00BA640E">
      <w:pPr>
        <w:spacing w:line="360" w:lineRule="auto"/>
        <w:jc w:val="both"/>
      </w:pPr>
      <w:r>
        <w:rPr>
          <w:rFonts w:ascii="Book Antiqua" w:eastAsia="Book Antiqua" w:hAnsi="Book Antiqua" w:cs="Book Antiqua"/>
          <w:b/>
          <w:caps/>
          <w:color w:val="000000"/>
          <w:u w:val="single"/>
        </w:rPr>
        <w:t>CONCLUSION</w:t>
      </w:r>
    </w:p>
    <w:p w14:paraId="07C84B3B" w14:textId="6E4A36B1" w:rsidR="008F1352" w:rsidRDefault="00BA640E">
      <w:pPr>
        <w:spacing w:line="360" w:lineRule="auto"/>
        <w:jc w:val="both"/>
      </w:pPr>
      <w:r>
        <w:rPr>
          <w:rFonts w:ascii="Book Antiqua" w:eastAsia="Book Antiqua" w:hAnsi="Book Antiqua" w:cs="Book Antiqua"/>
          <w:color w:val="000000"/>
          <w:szCs w:val="21"/>
        </w:rPr>
        <w:t xml:space="preserve">For children with secondary agranulocytosis after receiving chemotherapy for hematological malignancies, once the typical abnormal skin damage is found, it should be alert to the possibility of </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infection, and the key to treatment is early diagnosis, </w:t>
      </w:r>
      <w:r w:rsidR="009D3E9D">
        <w:rPr>
          <w:rFonts w:ascii="Book Antiqua" w:eastAsia="Book Antiqua" w:hAnsi="Book Antiqua" w:cs="Book Antiqua"/>
          <w:color w:val="000000"/>
          <w:szCs w:val="21"/>
        </w:rPr>
        <w:t xml:space="preserve">reversal of </w:t>
      </w:r>
      <w:r>
        <w:rPr>
          <w:rFonts w:ascii="Book Antiqua" w:eastAsia="Book Antiqua" w:hAnsi="Book Antiqua" w:cs="Book Antiqua"/>
          <w:color w:val="000000"/>
          <w:szCs w:val="21"/>
        </w:rPr>
        <w:t>immunosuppression</w:t>
      </w:r>
      <w:r w:rsidR="009D3E9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w:t>
      </w:r>
      <w:r w:rsidR="009D3E9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correct antifungal treatment as soon as possible. Voriconazole alone or in combination with polyenes may be the most effective anti-</w:t>
      </w:r>
      <w:r>
        <w:rPr>
          <w:rFonts w:ascii="Book Antiqua" w:eastAsia="Book Antiqua" w:hAnsi="Book Antiqua" w:cs="Book Antiqua"/>
          <w:i/>
          <w:iCs/>
          <w:color w:val="000000"/>
          <w:szCs w:val="21"/>
        </w:rPr>
        <w:t>Fusarium</w:t>
      </w:r>
      <w:r>
        <w:rPr>
          <w:rFonts w:ascii="Book Antiqua" w:eastAsia="Book Antiqua" w:hAnsi="Book Antiqua" w:cs="Book Antiqua"/>
          <w:color w:val="000000"/>
          <w:szCs w:val="21"/>
        </w:rPr>
        <w:t xml:space="preserve"> drugs.</w:t>
      </w:r>
    </w:p>
    <w:p w14:paraId="29FAD2E7" w14:textId="77777777" w:rsidR="008F1352" w:rsidRDefault="008F1352">
      <w:pPr>
        <w:spacing w:line="360" w:lineRule="auto"/>
        <w:jc w:val="both"/>
      </w:pPr>
    </w:p>
    <w:p w14:paraId="1679B1CD" w14:textId="77777777" w:rsidR="008F1352" w:rsidRDefault="00BA640E">
      <w:pPr>
        <w:spacing w:line="360" w:lineRule="auto"/>
        <w:jc w:val="both"/>
      </w:pPr>
      <w:r>
        <w:rPr>
          <w:rFonts w:ascii="Book Antiqua" w:eastAsia="Book Antiqua" w:hAnsi="Book Antiqua" w:cs="Book Antiqua"/>
          <w:b/>
          <w:caps/>
          <w:color w:val="000000"/>
          <w:u w:val="single"/>
        </w:rPr>
        <w:t>ACKNOWLEDGEMENTS</w:t>
      </w:r>
    </w:p>
    <w:p w14:paraId="55A6BCB2" w14:textId="77777777" w:rsidR="008F1352" w:rsidRDefault="00BA640E">
      <w:pPr>
        <w:spacing w:line="360" w:lineRule="auto"/>
        <w:jc w:val="both"/>
      </w:pPr>
      <w:r>
        <w:rPr>
          <w:rFonts w:ascii="Book Antiqua" w:eastAsia="Book Antiqua" w:hAnsi="Book Antiqua" w:cs="Book Antiqua"/>
          <w:color w:val="000000"/>
          <w:szCs w:val="21"/>
        </w:rPr>
        <w:t>All authors thank all doctors and nurses of PICU.</w:t>
      </w:r>
    </w:p>
    <w:p w14:paraId="78A1CD7B" w14:textId="77777777" w:rsidR="008F1352" w:rsidRDefault="008F1352">
      <w:pPr>
        <w:spacing w:line="360" w:lineRule="auto"/>
        <w:jc w:val="both"/>
      </w:pPr>
    </w:p>
    <w:p w14:paraId="7254D932" w14:textId="77777777" w:rsidR="008F1352" w:rsidRDefault="00BA640E">
      <w:pPr>
        <w:spacing w:line="360" w:lineRule="auto"/>
        <w:jc w:val="both"/>
      </w:pPr>
      <w:r>
        <w:rPr>
          <w:rFonts w:ascii="Book Antiqua" w:eastAsia="Book Antiqua" w:hAnsi="Book Antiqua" w:cs="Book Antiqua"/>
          <w:b/>
          <w:color w:val="000000"/>
        </w:rPr>
        <w:t>REFERENCES</w:t>
      </w:r>
    </w:p>
    <w:p w14:paraId="3C1D5A8F" w14:textId="77777777" w:rsidR="008F1352" w:rsidRDefault="00BA640E">
      <w:pPr>
        <w:spacing w:line="360" w:lineRule="auto"/>
        <w:jc w:val="both"/>
      </w:pPr>
      <w:bookmarkStart w:id="10" w:name="OLE_LINK3"/>
      <w:r>
        <w:rPr>
          <w:rFonts w:ascii="Book Antiqua" w:eastAsia="Book Antiqua" w:hAnsi="Book Antiqua" w:cs="Book Antiqua"/>
          <w:color w:val="000000"/>
        </w:rPr>
        <w:t xml:space="preserve">1 </w:t>
      </w:r>
      <w:r>
        <w:rPr>
          <w:rFonts w:ascii="Book Antiqua" w:eastAsia="Book Antiqua" w:hAnsi="Book Antiqua" w:cs="Book Antiqua"/>
          <w:b/>
          <w:bCs/>
          <w:color w:val="000000"/>
        </w:rPr>
        <w:t>Urbaniak C</w:t>
      </w:r>
      <w:r>
        <w:rPr>
          <w:rFonts w:ascii="Book Antiqua" w:eastAsia="Book Antiqua" w:hAnsi="Book Antiqua" w:cs="Book Antiqua"/>
          <w:color w:val="000000"/>
        </w:rPr>
        <w:t xml:space="preserve">, Dadwal S, Bagramyan K, Venkateswaran K. Draft Genome Sequence of a Clinical Isolate of Fusarium fujikuroi Isolated from a Male Patient with Acute Myeloid Leukemia. </w:t>
      </w:r>
      <w:r>
        <w:rPr>
          <w:rFonts w:ascii="Book Antiqua" w:eastAsia="Book Antiqua" w:hAnsi="Book Antiqua" w:cs="Book Antiqua"/>
          <w:i/>
          <w:iCs/>
          <w:color w:val="000000"/>
        </w:rPr>
        <w:t>Genome Announc</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xml:space="preserve"> [PMID: 29930033 DOI: 10.1128/genomeA.00476-18]</w:t>
      </w:r>
    </w:p>
    <w:p w14:paraId="4D28027B" w14:textId="77777777" w:rsidR="008F1352" w:rsidRDefault="00BA640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Cho CT</w:t>
      </w:r>
      <w:r>
        <w:rPr>
          <w:rFonts w:ascii="Book Antiqua" w:eastAsia="Book Antiqua" w:hAnsi="Book Antiqua" w:cs="Book Antiqua"/>
          <w:color w:val="000000"/>
        </w:rPr>
        <w:t xml:space="preserve">, Vats TS, Lowman JT, Brandsberg JW, Tosh FE. Fusarium solani infection during treatment for acute leukemia. </w:t>
      </w:r>
      <w:r>
        <w:rPr>
          <w:rFonts w:ascii="Book Antiqua" w:eastAsia="Book Antiqua" w:hAnsi="Book Antiqua" w:cs="Book Antiqua"/>
          <w:i/>
          <w:iCs/>
          <w:color w:val="000000"/>
        </w:rPr>
        <w:t>J Pediatr</w:t>
      </w:r>
      <w:r>
        <w:rPr>
          <w:rFonts w:ascii="Book Antiqua" w:eastAsia="Book Antiqua" w:hAnsi="Book Antiqua" w:cs="Book Antiqua"/>
          <w:color w:val="000000"/>
        </w:rPr>
        <w:t xml:space="preserve"> 1973; </w:t>
      </w:r>
      <w:r>
        <w:rPr>
          <w:rFonts w:ascii="Book Antiqua" w:eastAsia="Book Antiqua" w:hAnsi="Book Antiqua" w:cs="Book Antiqua"/>
          <w:b/>
          <w:bCs/>
          <w:color w:val="000000"/>
        </w:rPr>
        <w:t>83</w:t>
      </w:r>
      <w:r>
        <w:rPr>
          <w:rFonts w:ascii="Book Antiqua" w:eastAsia="Book Antiqua" w:hAnsi="Book Antiqua" w:cs="Book Antiqua"/>
          <w:color w:val="000000"/>
        </w:rPr>
        <w:t>: 1028-1031 [PMID: 4518930 DOI: 10.1016/s0022-3476(73)80543-8]</w:t>
      </w:r>
    </w:p>
    <w:p w14:paraId="12F3FD0E" w14:textId="77777777" w:rsidR="008F1352" w:rsidRDefault="00BA640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Muhammed M</w:t>
      </w:r>
      <w:r>
        <w:rPr>
          <w:rFonts w:ascii="Book Antiqua" w:eastAsia="Book Antiqua" w:hAnsi="Book Antiqua" w:cs="Book Antiqua"/>
          <w:color w:val="000000"/>
        </w:rPr>
        <w:t xml:space="preserve">, Anagnostou T, Desalermos A, Kourkoumpetis TK, Carneiro HA, Glavis-Bloom J, Coleman JJ, Mylonakis E. Fusarium infection: report of 26 cases and review of 97 cases from the literature.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2013; </w:t>
      </w:r>
      <w:r>
        <w:rPr>
          <w:rFonts w:ascii="Book Antiqua" w:eastAsia="Book Antiqua" w:hAnsi="Book Antiqua" w:cs="Book Antiqua"/>
          <w:b/>
          <w:bCs/>
          <w:color w:val="000000"/>
        </w:rPr>
        <w:t>92</w:t>
      </w:r>
      <w:r>
        <w:rPr>
          <w:rFonts w:ascii="Book Antiqua" w:eastAsia="Book Antiqua" w:hAnsi="Book Antiqua" w:cs="Book Antiqua"/>
          <w:color w:val="000000"/>
        </w:rPr>
        <w:t>: 305-316 [PMID: 24145697 DOI: 10.1097/MD.0000000000000008]</w:t>
      </w:r>
    </w:p>
    <w:p w14:paraId="353FC9CB" w14:textId="77777777" w:rsidR="008F1352" w:rsidRDefault="00BA640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Antonissen G</w:t>
      </w:r>
      <w:r>
        <w:rPr>
          <w:rFonts w:ascii="Book Antiqua" w:eastAsia="Book Antiqua" w:hAnsi="Book Antiqua" w:cs="Book Antiqua"/>
          <w:color w:val="000000"/>
        </w:rPr>
        <w:t xml:space="preserve">, Martel A, Pasmans F, Ducatelle R, Verbrugghe E, Vandenbroucke V, Li S, Haesebrouck F, Van Immerseel F, Croubels S. The impact of Fusarium mycotoxins on human and animal host susceptibility to infectious diseases. </w:t>
      </w:r>
      <w:r>
        <w:rPr>
          <w:rFonts w:ascii="Book Antiqua" w:eastAsia="Book Antiqua" w:hAnsi="Book Antiqua" w:cs="Book Antiqua"/>
          <w:i/>
          <w:iCs/>
          <w:color w:val="000000"/>
        </w:rPr>
        <w:t>Toxins (Basel)</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430-452 [PMID: 24476707 DOI: 10.3390/toxins6020430]</w:t>
      </w:r>
    </w:p>
    <w:p w14:paraId="6B2D4410" w14:textId="77777777" w:rsidR="008F1352" w:rsidRDefault="00BA640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Pagano L</w:t>
      </w:r>
      <w:r>
        <w:rPr>
          <w:rFonts w:ascii="Book Antiqua" w:eastAsia="Book Antiqua" w:hAnsi="Book Antiqua" w:cs="Book Antiqua"/>
          <w:color w:val="000000"/>
        </w:rPr>
        <w:t xml:space="preserve">, Caira M, Candoni A, Offidani M, Fianchi L, Martino B, Pastore D, Picardi M, Bonini A, Chierichini A, Fanci R, Caramatti C, Invernizzi R, Mattei D, Mitra ME, Melillo L, Aversa F, Van Lint MT, Falcucci P, Valentini CG, Girmenia C, Nosari A. The epidemiology of fungal infections in patients with hematologic malignancies: the SEIFEM-2004 study. </w:t>
      </w:r>
      <w:r>
        <w:rPr>
          <w:rFonts w:ascii="Book Antiqua" w:eastAsia="Book Antiqua" w:hAnsi="Book Antiqua" w:cs="Book Antiqua"/>
          <w:i/>
          <w:iCs/>
          <w:color w:val="000000"/>
        </w:rPr>
        <w:t>Haematologica</w:t>
      </w:r>
      <w:r>
        <w:rPr>
          <w:rFonts w:ascii="Book Antiqua" w:eastAsia="Book Antiqua" w:hAnsi="Book Antiqua" w:cs="Book Antiqua"/>
          <w:color w:val="000000"/>
        </w:rPr>
        <w:t xml:space="preserve"> 2006; </w:t>
      </w:r>
      <w:r>
        <w:rPr>
          <w:rFonts w:ascii="Book Antiqua" w:eastAsia="Book Antiqua" w:hAnsi="Book Antiqua" w:cs="Book Antiqua"/>
          <w:b/>
          <w:bCs/>
          <w:color w:val="000000"/>
        </w:rPr>
        <w:t>91</w:t>
      </w:r>
      <w:r>
        <w:rPr>
          <w:rFonts w:ascii="Book Antiqua" w:eastAsia="Book Antiqua" w:hAnsi="Book Antiqua" w:cs="Book Antiqua"/>
          <w:color w:val="000000"/>
        </w:rPr>
        <w:t>: 1068-1075 [PMID: 16885047 DOI: 10.1016/j.exphem.2006.05.021]</w:t>
      </w:r>
    </w:p>
    <w:p w14:paraId="4299196A" w14:textId="77777777" w:rsidR="008F1352" w:rsidRDefault="00BA640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Musa MO</w:t>
      </w:r>
      <w:r>
        <w:rPr>
          <w:rFonts w:ascii="Book Antiqua" w:eastAsia="Book Antiqua" w:hAnsi="Book Antiqua" w:cs="Book Antiqua"/>
          <w:color w:val="000000"/>
        </w:rPr>
        <w:t xml:space="preserve">, Al Eisa A, Halim M, Sahovic E, Gyger M, Chaudhri N, Al Mohareb F, Seth P, Aslam M, Aljurf M. The spectrum of Fusarium infection in immunocompromised patients with haematological malignancies and in non-immunocompromised patients: a single institution experience over 10 years. </w:t>
      </w:r>
      <w:r>
        <w:rPr>
          <w:rFonts w:ascii="Book Antiqua" w:eastAsia="Book Antiqua" w:hAnsi="Book Antiqua" w:cs="Book Antiqua"/>
          <w:i/>
          <w:iCs/>
          <w:color w:val="000000"/>
        </w:rPr>
        <w:t>Br J Haematol</w:t>
      </w:r>
      <w:r>
        <w:rPr>
          <w:rFonts w:ascii="Book Antiqua" w:eastAsia="Book Antiqua" w:hAnsi="Book Antiqua" w:cs="Book Antiqua"/>
          <w:color w:val="000000"/>
        </w:rPr>
        <w:t xml:space="preserve"> 2000; </w:t>
      </w:r>
      <w:r>
        <w:rPr>
          <w:rFonts w:ascii="Book Antiqua" w:eastAsia="Book Antiqua" w:hAnsi="Book Antiqua" w:cs="Book Antiqua"/>
          <w:b/>
          <w:bCs/>
          <w:color w:val="000000"/>
        </w:rPr>
        <w:t>108</w:t>
      </w:r>
      <w:r>
        <w:rPr>
          <w:rFonts w:ascii="Book Antiqua" w:eastAsia="Book Antiqua" w:hAnsi="Book Antiqua" w:cs="Book Antiqua"/>
          <w:color w:val="000000"/>
        </w:rPr>
        <w:t>: 544-548 [PMID: 10759712 DOI: 10.1046/j.1365-2141.2000.01856.x]</w:t>
      </w:r>
    </w:p>
    <w:p w14:paraId="0670DE3D" w14:textId="77777777" w:rsidR="008F1352" w:rsidRDefault="00BA640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Nucci M</w:t>
      </w:r>
      <w:r>
        <w:rPr>
          <w:rFonts w:ascii="Book Antiqua" w:eastAsia="Book Antiqua" w:hAnsi="Book Antiqua" w:cs="Book Antiqua"/>
          <w:color w:val="000000"/>
        </w:rPr>
        <w:t xml:space="preserve">, Marr KA, Queiroz-Telles F, Martins CA, Trabasso P, Costa S, Voltarelli JC, Colombo AL, Imhof A, Pasquini R, Maiolino A, Souza CA, Anaissie E. Fusarium infection in hematopoietic stem cell transplant recipients.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2004; </w:t>
      </w:r>
      <w:r>
        <w:rPr>
          <w:rFonts w:ascii="Book Antiqua" w:eastAsia="Book Antiqua" w:hAnsi="Book Antiqua" w:cs="Book Antiqua"/>
          <w:b/>
          <w:bCs/>
          <w:color w:val="000000"/>
        </w:rPr>
        <w:t>38</w:t>
      </w:r>
      <w:r>
        <w:rPr>
          <w:rFonts w:ascii="Book Antiqua" w:eastAsia="Book Antiqua" w:hAnsi="Book Antiqua" w:cs="Book Antiqua"/>
          <w:color w:val="000000"/>
        </w:rPr>
        <w:t>: 1237-1242 [PMID: 15127334 DOI: 10.1086/383319]</w:t>
      </w:r>
    </w:p>
    <w:p w14:paraId="330A7EC3" w14:textId="77777777" w:rsidR="008F1352" w:rsidRDefault="00BA640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Boutati EI</w:t>
      </w:r>
      <w:r>
        <w:rPr>
          <w:rFonts w:ascii="Book Antiqua" w:eastAsia="Book Antiqua" w:hAnsi="Book Antiqua" w:cs="Book Antiqua"/>
          <w:color w:val="000000"/>
        </w:rPr>
        <w:t xml:space="preserve">, Anaissie EJ. Fusarium, a significant emerging pathogen in patients with hematologic malignancy: ten years' experience at a cancer center and implications for management. </w:t>
      </w:r>
      <w:r>
        <w:rPr>
          <w:rFonts w:ascii="Book Antiqua" w:eastAsia="Book Antiqua" w:hAnsi="Book Antiqua" w:cs="Book Antiqua"/>
          <w:i/>
          <w:iCs/>
          <w:color w:val="000000"/>
        </w:rPr>
        <w:t>Blood</w:t>
      </w:r>
      <w:r>
        <w:rPr>
          <w:rFonts w:ascii="Book Antiqua" w:eastAsia="Book Antiqua" w:hAnsi="Book Antiqua" w:cs="Book Antiqua"/>
          <w:color w:val="000000"/>
        </w:rPr>
        <w:t xml:space="preserve"> 1997; </w:t>
      </w:r>
      <w:r>
        <w:rPr>
          <w:rFonts w:ascii="Book Antiqua" w:eastAsia="Book Antiqua" w:hAnsi="Book Antiqua" w:cs="Book Antiqua"/>
          <w:b/>
          <w:bCs/>
          <w:color w:val="000000"/>
        </w:rPr>
        <w:t>90</w:t>
      </w:r>
      <w:r>
        <w:rPr>
          <w:rFonts w:ascii="Book Antiqua" w:eastAsia="Book Antiqua" w:hAnsi="Book Antiqua" w:cs="Book Antiqua"/>
          <w:color w:val="000000"/>
        </w:rPr>
        <w:t>: 999-1008 [PMID: 9242529 DOI: 10.1016/S0951-8320(97)00023-9]</w:t>
      </w:r>
    </w:p>
    <w:p w14:paraId="34ADC5F3" w14:textId="77777777" w:rsidR="008F1352" w:rsidRDefault="00BA640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Nucci M</w:t>
      </w:r>
      <w:r>
        <w:rPr>
          <w:rFonts w:ascii="Book Antiqua" w:eastAsia="Book Antiqua" w:hAnsi="Book Antiqua" w:cs="Book Antiqua"/>
          <w:color w:val="000000"/>
        </w:rPr>
        <w:t xml:space="preserve">, Anaissie E. Cutaneous infection by Fusarium species in healthy and immunocompromised hosts: implications for diagnosis and management.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2002; </w:t>
      </w:r>
      <w:r>
        <w:rPr>
          <w:rFonts w:ascii="Book Antiqua" w:eastAsia="Book Antiqua" w:hAnsi="Book Antiqua" w:cs="Book Antiqua"/>
          <w:b/>
          <w:bCs/>
          <w:color w:val="000000"/>
        </w:rPr>
        <w:t>35</w:t>
      </w:r>
      <w:r>
        <w:rPr>
          <w:rFonts w:ascii="Book Antiqua" w:eastAsia="Book Antiqua" w:hAnsi="Book Antiqua" w:cs="Book Antiqua"/>
          <w:color w:val="000000"/>
        </w:rPr>
        <w:t>: 909-920 [PMID: 12355377 DOI: 10.1086/342328]</w:t>
      </w:r>
    </w:p>
    <w:p w14:paraId="098FBD38" w14:textId="77777777" w:rsidR="008F1352" w:rsidRDefault="00BA640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Nambiar P</w:t>
      </w:r>
      <w:r>
        <w:rPr>
          <w:rFonts w:ascii="Book Antiqua" w:eastAsia="Book Antiqua" w:hAnsi="Book Antiqua" w:cs="Book Antiqua"/>
          <w:color w:val="000000"/>
        </w:rPr>
        <w:t xml:space="preserve">, Cober E, Johnson L, Brizendine KD. Fatal Fusarium infection manifesting as osteomyelitis following previous treatment with amphotericin B in a multi-visceral transplant: Case report and review of Fusarium infections in solid organ transplantation. </w:t>
      </w:r>
      <w:r>
        <w:rPr>
          <w:rFonts w:ascii="Book Antiqua" w:eastAsia="Book Antiqua" w:hAnsi="Book Antiqua" w:cs="Book Antiqua"/>
          <w:i/>
          <w:iCs/>
          <w:color w:val="000000"/>
        </w:rPr>
        <w:t>Transpl Infect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e12872 [PMID: 29512240 DOI: 10.1111/tid.12872]</w:t>
      </w:r>
    </w:p>
    <w:p w14:paraId="6A5ABAD3" w14:textId="77777777" w:rsidR="008F1352" w:rsidRDefault="00BA640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Martin-Vicente A</w:t>
      </w:r>
      <w:r>
        <w:rPr>
          <w:rFonts w:ascii="Book Antiqua" w:eastAsia="Book Antiqua" w:hAnsi="Book Antiqua" w:cs="Book Antiqua"/>
          <w:color w:val="000000"/>
        </w:rPr>
        <w:t xml:space="preserve">, Guarro J, Capilla J. Does a triple combination have better activity than double combinations against multiresistant fungi? Experimental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evaluation. </w:t>
      </w:r>
      <w:r>
        <w:rPr>
          <w:rFonts w:ascii="Book Antiqua" w:eastAsia="Book Antiqua" w:hAnsi="Book Antiqua" w:cs="Book Antiqua"/>
          <w:i/>
          <w:iCs/>
          <w:color w:val="000000"/>
        </w:rPr>
        <w:t>Int J Antimicrob Agents</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422-426 [PMID: 28257903 DOI: 10.1016/j.ijantimicag.2016.12.015]</w:t>
      </w:r>
    </w:p>
    <w:p w14:paraId="35BE144F" w14:textId="77777777" w:rsidR="008F1352" w:rsidRDefault="00BA640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Ho DY</w:t>
      </w:r>
      <w:r>
        <w:rPr>
          <w:rFonts w:ascii="Book Antiqua" w:eastAsia="Book Antiqua" w:hAnsi="Book Antiqua" w:cs="Book Antiqua"/>
          <w:color w:val="000000"/>
        </w:rPr>
        <w:t xml:space="preserve">, Lee JD, Rosso F, Montoya JG. Treating disseminated fusariosis: amphotericin B, voriconazole or both? </w:t>
      </w:r>
      <w:r>
        <w:rPr>
          <w:rFonts w:ascii="Book Antiqua" w:eastAsia="Book Antiqua" w:hAnsi="Book Antiqua" w:cs="Book Antiqua"/>
          <w:i/>
          <w:iCs/>
          <w:color w:val="000000"/>
        </w:rPr>
        <w:t>Mycoses</w:t>
      </w:r>
      <w:r>
        <w:rPr>
          <w:rFonts w:ascii="Book Antiqua" w:eastAsia="Book Antiqua" w:hAnsi="Book Antiqua" w:cs="Book Antiqua"/>
          <w:color w:val="000000"/>
        </w:rPr>
        <w:t xml:space="preserve"> 2007; </w:t>
      </w:r>
      <w:r>
        <w:rPr>
          <w:rFonts w:ascii="Book Antiqua" w:eastAsia="Book Antiqua" w:hAnsi="Book Antiqua" w:cs="Book Antiqua"/>
          <w:b/>
          <w:bCs/>
          <w:color w:val="000000"/>
        </w:rPr>
        <w:t>50</w:t>
      </w:r>
      <w:r>
        <w:rPr>
          <w:rFonts w:ascii="Book Antiqua" w:eastAsia="Book Antiqua" w:hAnsi="Book Antiqua" w:cs="Book Antiqua"/>
          <w:color w:val="000000"/>
        </w:rPr>
        <w:t>: 227-231 [PMID: 17472622 DOI: 10.1111/j.1439-0507.2006.01346.x]</w:t>
      </w:r>
    </w:p>
    <w:p w14:paraId="581DE481" w14:textId="77777777" w:rsidR="008F1352" w:rsidRDefault="00BA640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Nucci M</w:t>
      </w:r>
      <w:r>
        <w:rPr>
          <w:rFonts w:ascii="Book Antiqua" w:eastAsia="Book Antiqua" w:hAnsi="Book Antiqua" w:cs="Book Antiqua"/>
          <w:color w:val="000000"/>
        </w:rPr>
        <w:t xml:space="preserve">, Anaissie E. Fusarium infections in immunocompromised patients. </w:t>
      </w:r>
      <w:r>
        <w:rPr>
          <w:rFonts w:ascii="Book Antiqua" w:eastAsia="Book Antiqua" w:hAnsi="Book Antiqua" w:cs="Book Antiqua"/>
          <w:i/>
          <w:iCs/>
          <w:color w:val="000000"/>
        </w:rPr>
        <w:t>Clin Microbiol Rev</w:t>
      </w:r>
      <w:r>
        <w:rPr>
          <w:rFonts w:ascii="Book Antiqua" w:eastAsia="Book Antiqua" w:hAnsi="Book Antiqua" w:cs="Book Antiqua"/>
          <w:color w:val="000000"/>
        </w:rPr>
        <w:t xml:space="preserve"> 2007; </w:t>
      </w:r>
      <w:r>
        <w:rPr>
          <w:rFonts w:ascii="Book Antiqua" w:eastAsia="Book Antiqua" w:hAnsi="Book Antiqua" w:cs="Book Antiqua"/>
          <w:b/>
          <w:bCs/>
          <w:color w:val="000000"/>
        </w:rPr>
        <w:t>20</w:t>
      </w:r>
      <w:r>
        <w:rPr>
          <w:rFonts w:ascii="Book Antiqua" w:eastAsia="Book Antiqua" w:hAnsi="Book Antiqua" w:cs="Book Antiqua"/>
          <w:color w:val="000000"/>
        </w:rPr>
        <w:t>: 695-704 [PMID: 17934079 DOI: 10.1128/CMR.00014-07]</w:t>
      </w:r>
    </w:p>
    <w:bookmarkEnd w:id="10"/>
    <w:p w14:paraId="0DD3FF7C" w14:textId="77777777" w:rsidR="008F1352" w:rsidRDefault="008F1352">
      <w:pPr>
        <w:spacing w:line="360" w:lineRule="auto"/>
        <w:jc w:val="both"/>
        <w:sectPr w:rsidR="008F1352">
          <w:pgSz w:w="12240" w:h="15840"/>
          <w:pgMar w:top="1440" w:right="1440" w:bottom="1440" w:left="1440" w:header="720" w:footer="720" w:gutter="0"/>
          <w:cols w:space="720"/>
          <w:docGrid w:linePitch="360"/>
        </w:sectPr>
      </w:pPr>
    </w:p>
    <w:p w14:paraId="18FCEAA0" w14:textId="77777777" w:rsidR="008F1352" w:rsidRDefault="00BA640E">
      <w:pPr>
        <w:spacing w:line="360" w:lineRule="auto"/>
        <w:jc w:val="both"/>
      </w:pPr>
      <w:r>
        <w:rPr>
          <w:rFonts w:ascii="Book Antiqua" w:eastAsia="Book Antiqua" w:hAnsi="Book Antiqua" w:cs="Book Antiqua"/>
          <w:b/>
          <w:color w:val="000000"/>
        </w:rPr>
        <w:t>Footnotes</w:t>
      </w:r>
    </w:p>
    <w:p w14:paraId="39C1C6E7" w14:textId="77777777" w:rsidR="008F1352" w:rsidRDefault="00BA640E">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1"/>
        </w:rPr>
        <w:t>Written informed consent was obtained from the patient for publication of this manuscript and any accompanying images.</w:t>
      </w:r>
    </w:p>
    <w:p w14:paraId="59F87065" w14:textId="77777777" w:rsidR="008F1352" w:rsidRDefault="008F1352">
      <w:pPr>
        <w:spacing w:line="360" w:lineRule="auto"/>
        <w:jc w:val="both"/>
      </w:pPr>
    </w:p>
    <w:p w14:paraId="2AFCC2C9" w14:textId="536AF944" w:rsidR="008F1352" w:rsidRDefault="00BA640E">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rPr>
        <w:t>The authors declare that they have no conflicts of interest</w:t>
      </w:r>
      <w:r w:rsidR="009D3E9D">
        <w:rPr>
          <w:rFonts w:ascii="Book Antiqua" w:eastAsia="Book Antiqua" w:hAnsi="Book Antiqua" w:cs="Book Antiqua"/>
          <w:color w:val="000000"/>
          <w:szCs w:val="21"/>
        </w:rPr>
        <w:t xml:space="preserve"> to report</w:t>
      </w:r>
      <w:r>
        <w:rPr>
          <w:rFonts w:ascii="Book Antiqua" w:eastAsia="Book Antiqua" w:hAnsi="Book Antiqua" w:cs="Book Antiqua"/>
          <w:color w:val="000000"/>
          <w:szCs w:val="21"/>
        </w:rPr>
        <w:t>.</w:t>
      </w:r>
    </w:p>
    <w:p w14:paraId="3DC968AB" w14:textId="77777777" w:rsidR="008F1352" w:rsidRDefault="008F1352">
      <w:pPr>
        <w:spacing w:line="360" w:lineRule="auto"/>
        <w:jc w:val="both"/>
      </w:pPr>
    </w:p>
    <w:p w14:paraId="72C1452E" w14:textId="77777777" w:rsidR="008F1352" w:rsidRDefault="00BA640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1"/>
        </w:rPr>
        <w:t>The authors have read the CARE Checklist (2016), and the manuscript was prepared and revised according to the CARE Checklist (2016).</w:t>
      </w:r>
    </w:p>
    <w:p w14:paraId="7B87E67A" w14:textId="77777777" w:rsidR="008F1352" w:rsidRDefault="008F1352">
      <w:pPr>
        <w:spacing w:line="360" w:lineRule="auto"/>
        <w:jc w:val="both"/>
      </w:pPr>
    </w:p>
    <w:p w14:paraId="27A1BE66" w14:textId="77777777" w:rsidR="008F1352" w:rsidRDefault="00BA640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3120E13" w14:textId="77777777" w:rsidR="008F1352" w:rsidRDefault="008F1352">
      <w:pPr>
        <w:spacing w:line="360" w:lineRule="auto"/>
        <w:jc w:val="both"/>
      </w:pPr>
    </w:p>
    <w:p w14:paraId="66B29929" w14:textId="77777777" w:rsidR="008F1352" w:rsidRDefault="00BA640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6CAAA4D1" w14:textId="77777777" w:rsidR="008F1352" w:rsidRDefault="008F1352">
      <w:pPr>
        <w:spacing w:line="360" w:lineRule="auto"/>
        <w:jc w:val="both"/>
      </w:pPr>
    </w:p>
    <w:p w14:paraId="6981DE7C" w14:textId="77777777" w:rsidR="008F1352" w:rsidRDefault="00BA640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 2021</w:t>
      </w:r>
    </w:p>
    <w:p w14:paraId="36411EED" w14:textId="77777777" w:rsidR="008F1352" w:rsidRDefault="00BA640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25, 2021</w:t>
      </w:r>
    </w:p>
    <w:p w14:paraId="7B4C48CE" w14:textId="194208CC" w:rsidR="008F1352" w:rsidRDefault="00BA640E">
      <w:pPr>
        <w:spacing w:line="360" w:lineRule="auto"/>
        <w:jc w:val="both"/>
      </w:pPr>
      <w:r>
        <w:rPr>
          <w:rFonts w:ascii="Book Antiqua" w:eastAsia="Book Antiqua" w:hAnsi="Book Antiqua" w:cs="Book Antiqua"/>
          <w:b/>
          <w:color w:val="000000"/>
        </w:rPr>
        <w:t xml:space="preserve">Article in press: </w:t>
      </w:r>
      <w:r w:rsidR="008B0F42" w:rsidRPr="00132341">
        <w:rPr>
          <w:rFonts w:ascii="Book Antiqua" w:eastAsia="Book Antiqua" w:hAnsi="Book Antiqua" w:cs="Book Antiqua"/>
          <w:color w:val="000000"/>
        </w:rPr>
        <w:t>May 25, 2021</w:t>
      </w:r>
    </w:p>
    <w:p w14:paraId="3891F774" w14:textId="77777777" w:rsidR="008F1352" w:rsidRDefault="008F1352">
      <w:pPr>
        <w:spacing w:line="360" w:lineRule="auto"/>
        <w:jc w:val="both"/>
      </w:pPr>
    </w:p>
    <w:p w14:paraId="52CEF747" w14:textId="77777777" w:rsidR="008F1352" w:rsidRDefault="00BA640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68F14C56" w14:textId="77777777" w:rsidR="008F1352" w:rsidRDefault="00BA640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C0A6E84" w14:textId="77777777" w:rsidR="008F1352" w:rsidRDefault="00BA640E">
      <w:pPr>
        <w:spacing w:line="360" w:lineRule="auto"/>
        <w:jc w:val="both"/>
      </w:pPr>
      <w:r>
        <w:rPr>
          <w:rFonts w:ascii="Book Antiqua" w:eastAsia="Book Antiqua" w:hAnsi="Book Antiqua" w:cs="Book Antiqua"/>
          <w:b/>
          <w:color w:val="000000"/>
        </w:rPr>
        <w:t>Peer-review report’s scientific quality classification</w:t>
      </w:r>
    </w:p>
    <w:p w14:paraId="073E6751" w14:textId="77777777" w:rsidR="008F1352" w:rsidRDefault="00BA640E">
      <w:pPr>
        <w:spacing w:line="360" w:lineRule="auto"/>
        <w:jc w:val="both"/>
      </w:pPr>
      <w:r>
        <w:rPr>
          <w:rFonts w:ascii="Book Antiqua" w:eastAsia="Book Antiqua" w:hAnsi="Book Antiqua" w:cs="Book Antiqua"/>
          <w:color w:val="000000"/>
        </w:rPr>
        <w:t>Grade A (Excellent): 0</w:t>
      </w:r>
    </w:p>
    <w:p w14:paraId="000E4C19" w14:textId="77777777" w:rsidR="008F1352" w:rsidRDefault="00BA640E">
      <w:pPr>
        <w:spacing w:line="360" w:lineRule="auto"/>
        <w:jc w:val="both"/>
      </w:pPr>
      <w:r>
        <w:rPr>
          <w:rFonts w:ascii="Book Antiqua" w:eastAsia="Book Antiqua" w:hAnsi="Book Antiqua" w:cs="Book Antiqua"/>
          <w:color w:val="000000"/>
        </w:rPr>
        <w:t>Grade B (Very good): 0</w:t>
      </w:r>
    </w:p>
    <w:p w14:paraId="3F89FB00" w14:textId="77777777" w:rsidR="008F1352" w:rsidRDefault="00BA640E">
      <w:pPr>
        <w:spacing w:line="360" w:lineRule="auto"/>
        <w:jc w:val="both"/>
      </w:pPr>
      <w:r>
        <w:rPr>
          <w:rFonts w:ascii="Book Antiqua" w:eastAsia="Book Antiqua" w:hAnsi="Book Antiqua" w:cs="Book Antiqua"/>
          <w:color w:val="000000"/>
        </w:rPr>
        <w:t>Grade C (Good): C</w:t>
      </w:r>
    </w:p>
    <w:p w14:paraId="2B6F1761" w14:textId="77777777" w:rsidR="008F1352" w:rsidRDefault="00BA640E">
      <w:pPr>
        <w:spacing w:line="360" w:lineRule="auto"/>
        <w:jc w:val="both"/>
      </w:pPr>
      <w:r>
        <w:rPr>
          <w:rFonts w:ascii="Book Antiqua" w:eastAsia="Book Antiqua" w:hAnsi="Book Antiqua" w:cs="Book Antiqua"/>
          <w:color w:val="000000"/>
        </w:rPr>
        <w:t>Grade D (Fair): 0</w:t>
      </w:r>
    </w:p>
    <w:p w14:paraId="5FE0A653" w14:textId="77777777" w:rsidR="008F1352" w:rsidRDefault="00BA640E">
      <w:pPr>
        <w:spacing w:line="360" w:lineRule="auto"/>
        <w:jc w:val="both"/>
      </w:pPr>
      <w:r>
        <w:rPr>
          <w:rFonts w:ascii="Book Antiqua" w:eastAsia="Book Antiqua" w:hAnsi="Book Antiqua" w:cs="Book Antiqua"/>
          <w:color w:val="000000"/>
        </w:rPr>
        <w:t>Grade E (Poor): 0</w:t>
      </w:r>
    </w:p>
    <w:p w14:paraId="48599FEF" w14:textId="77777777" w:rsidR="008F1352" w:rsidRDefault="008F1352">
      <w:pPr>
        <w:spacing w:line="360" w:lineRule="auto"/>
        <w:jc w:val="both"/>
      </w:pPr>
    </w:p>
    <w:p w14:paraId="31596F3D" w14:textId="71431B72" w:rsidR="008F1352" w:rsidRDefault="00BA640E">
      <w:pPr>
        <w:spacing w:line="360" w:lineRule="auto"/>
        <w:jc w:val="both"/>
        <w:sectPr w:rsidR="008F135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Niu J</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9D3E9D" w:rsidRPr="00C62E34">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8B0F42" w:rsidRPr="008B0F42">
        <w:rPr>
          <w:rFonts w:ascii="Book Antiqua" w:eastAsia="Book Antiqua" w:hAnsi="Book Antiqua" w:cs="Book Antiqua"/>
          <w:color w:val="000000"/>
        </w:rPr>
        <w:t>Xing YX</w:t>
      </w:r>
    </w:p>
    <w:p w14:paraId="4F0D41B7" w14:textId="77777777" w:rsidR="008F1352" w:rsidRDefault="00BA640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4A9ED90E" w14:textId="77777777" w:rsidR="008F1352" w:rsidRDefault="00BA640E">
      <w:pPr>
        <w:spacing w:line="360" w:lineRule="auto"/>
        <w:jc w:val="both"/>
        <w:rPr>
          <w:rFonts w:ascii="Book Antiqua" w:hAnsi="Book Antiqua" w:cs="Book Antiqua"/>
          <w:bCs/>
          <w:color w:val="000000"/>
          <w:lang w:eastAsia="zh-CN"/>
        </w:rPr>
      </w:pPr>
      <w:r>
        <w:rPr>
          <w:rFonts w:ascii="Book Antiqua" w:hAnsi="Book Antiqua" w:cs="Book Antiqua" w:hint="eastAsia"/>
          <w:bCs/>
          <w:color w:val="000000"/>
          <w:lang w:eastAsia="zh-CN"/>
        </w:rPr>
        <w:t>A</w:t>
      </w:r>
    </w:p>
    <w:p w14:paraId="4AF9C42E" w14:textId="77777777" w:rsidR="008F1352" w:rsidRDefault="00BA640E">
      <w:pPr>
        <w:spacing w:line="360" w:lineRule="auto"/>
        <w:jc w:val="both"/>
        <w:rPr>
          <w:rFonts w:ascii="Book Antiqua" w:hAnsi="Book Antiqua" w:cs="Book Antiqua"/>
          <w:bCs/>
          <w:color w:val="000000"/>
          <w:lang w:eastAsia="zh-CN"/>
        </w:rPr>
      </w:pPr>
      <w:r>
        <w:rPr>
          <w:noProof/>
          <w:lang w:eastAsia="zh-CN"/>
        </w:rPr>
        <w:drawing>
          <wp:inline distT="0" distB="0" distL="0" distR="0" wp14:anchorId="17F12148" wp14:editId="18969576">
            <wp:extent cx="2664460" cy="2059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679205" cy="2071446"/>
                    </a:xfrm>
                    <a:prstGeom prst="rect">
                      <a:avLst/>
                    </a:prstGeom>
                  </pic:spPr>
                </pic:pic>
              </a:graphicData>
            </a:graphic>
          </wp:inline>
        </w:drawing>
      </w:r>
    </w:p>
    <w:p w14:paraId="6AE7E73C" w14:textId="77777777" w:rsidR="008F1352" w:rsidRDefault="00BA640E">
      <w:pPr>
        <w:spacing w:line="360" w:lineRule="auto"/>
        <w:jc w:val="both"/>
        <w:rPr>
          <w:rFonts w:ascii="Book Antiqua" w:hAnsi="Book Antiqua" w:cs="Book Antiqua"/>
          <w:bCs/>
          <w:color w:val="000000"/>
          <w:lang w:eastAsia="zh-CN"/>
        </w:rPr>
      </w:pPr>
      <w:r>
        <w:rPr>
          <w:rFonts w:ascii="Book Antiqua" w:hAnsi="Book Antiqua" w:cs="Book Antiqua" w:hint="eastAsia"/>
          <w:bCs/>
          <w:color w:val="000000"/>
          <w:lang w:eastAsia="zh-CN"/>
        </w:rPr>
        <w:t>B</w:t>
      </w:r>
    </w:p>
    <w:p w14:paraId="5D9ED06C" w14:textId="77777777" w:rsidR="008F1352" w:rsidRDefault="00BA640E">
      <w:pPr>
        <w:spacing w:line="360" w:lineRule="auto"/>
        <w:jc w:val="both"/>
        <w:rPr>
          <w:rFonts w:ascii="Book Antiqua" w:hAnsi="Book Antiqua" w:cs="Book Antiqua"/>
          <w:bCs/>
          <w:color w:val="000000"/>
          <w:lang w:eastAsia="zh-CN"/>
        </w:rPr>
      </w:pPr>
      <w:r>
        <w:rPr>
          <w:noProof/>
          <w:lang w:eastAsia="zh-CN"/>
        </w:rPr>
        <w:drawing>
          <wp:inline distT="0" distB="0" distL="0" distR="0" wp14:anchorId="63F07C39" wp14:editId="1BDA84EE">
            <wp:extent cx="2586355" cy="19373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596937" cy="1945289"/>
                    </a:xfrm>
                    <a:prstGeom prst="rect">
                      <a:avLst/>
                    </a:prstGeom>
                  </pic:spPr>
                </pic:pic>
              </a:graphicData>
            </a:graphic>
          </wp:inline>
        </w:drawing>
      </w:r>
    </w:p>
    <w:p w14:paraId="30AEA12B" w14:textId="77777777" w:rsidR="008F1352" w:rsidRDefault="00BA640E">
      <w:pPr>
        <w:spacing w:line="360" w:lineRule="auto"/>
        <w:jc w:val="both"/>
        <w:rPr>
          <w:rFonts w:ascii="Book Antiqua" w:hAnsi="Book Antiqua" w:cs="Book Antiqua"/>
          <w:bCs/>
          <w:color w:val="000000"/>
          <w:lang w:eastAsia="zh-CN"/>
        </w:rPr>
      </w:pPr>
      <w:r>
        <w:rPr>
          <w:rFonts w:ascii="Book Antiqua" w:hAnsi="Book Antiqua" w:cs="Book Antiqua" w:hint="eastAsia"/>
          <w:bCs/>
          <w:color w:val="000000"/>
          <w:lang w:eastAsia="zh-CN"/>
        </w:rPr>
        <w:t>C</w:t>
      </w:r>
    </w:p>
    <w:p w14:paraId="3669B19C" w14:textId="77777777" w:rsidR="008F1352" w:rsidRDefault="00BA640E">
      <w:pPr>
        <w:spacing w:line="360" w:lineRule="auto"/>
        <w:jc w:val="both"/>
        <w:rPr>
          <w:rFonts w:ascii="Book Antiqua" w:hAnsi="Book Antiqua" w:cs="Book Antiqua"/>
          <w:bCs/>
          <w:color w:val="000000"/>
          <w:lang w:eastAsia="zh-CN"/>
        </w:rPr>
      </w:pPr>
      <w:r>
        <w:rPr>
          <w:noProof/>
          <w:lang w:eastAsia="zh-CN"/>
        </w:rPr>
        <w:drawing>
          <wp:inline distT="0" distB="0" distL="0" distR="0" wp14:anchorId="292A595B" wp14:editId="58B2C90E">
            <wp:extent cx="2443480" cy="29127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459385" cy="2931244"/>
                    </a:xfrm>
                    <a:prstGeom prst="rect">
                      <a:avLst/>
                    </a:prstGeom>
                  </pic:spPr>
                </pic:pic>
              </a:graphicData>
            </a:graphic>
          </wp:inline>
        </w:drawing>
      </w:r>
    </w:p>
    <w:p w14:paraId="0FCF6FFD" w14:textId="77777777" w:rsidR="008F1352" w:rsidRDefault="00BA640E">
      <w:pPr>
        <w:spacing w:line="360" w:lineRule="auto"/>
        <w:jc w:val="both"/>
        <w:rPr>
          <w:rFonts w:ascii="Book Antiqua" w:hAnsi="Book Antiqua" w:cs="Book Antiqua"/>
          <w:bCs/>
          <w:color w:val="000000"/>
          <w:lang w:eastAsia="zh-CN"/>
        </w:rPr>
      </w:pPr>
      <w:r>
        <w:rPr>
          <w:rFonts w:ascii="Book Antiqua" w:hAnsi="Book Antiqua" w:cs="Book Antiqua" w:hint="eastAsia"/>
          <w:bCs/>
          <w:color w:val="000000"/>
          <w:lang w:eastAsia="zh-CN"/>
        </w:rPr>
        <w:t>D</w:t>
      </w:r>
    </w:p>
    <w:p w14:paraId="2407E6DF" w14:textId="77777777" w:rsidR="008F1352" w:rsidRDefault="00BA640E">
      <w:pPr>
        <w:spacing w:line="360" w:lineRule="auto"/>
        <w:jc w:val="both"/>
        <w:rPr>
          <w:rFonts w:ascii="Book Antiqua" w:hAnsi="Book Antiqua" w:cs="Book Antiqua"/>
          <w:bCs/>
          <w:color w:val="000000"/>
          <w:lang w:eastAsia="zh-CN"/>
        </w:rPr>
      </w:pPr>
      <w:r>
        <w:rPr>
          <w:noProof/>
          <w:lang w:eastAsia="zh-CN"/>
        </w:rPr>
        <w:drawing>
          <wp:inline distT="0" distB="0" distL="0" distR="0" wp14:anchorId="5DD8057C" wp14:editId="4357595D">
            <wp:extent cx="3011170" cy="22675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3023449" cy="2276745"/>
                    </a:xfrm>
                    <a:prstGeom prst="rect">
                      <a:avLst/>
                    </a:prstGeom>
                  </pic:spPr>
                </pic:pic>
              </a:graphicData>
            </a:graphic>
          </wp:inline>
        </w:drawing>
      </w:r>
    </w:p>
    <w:p w14:paraId="5E30C80F" w14:textId="77777777" w:rsidR="008F1352" w:rsidRDefault="00BA640E">
      <w:pPr>
        <w:spacing w:line="360" w:lineRule="auto"/>
        <w:jc w:val="both"/>
        <w:rPr>
          <w:rFonts w:ascii="Book Antiqua" w:hAnsi="Book Antiqua" w:cs="Book Antiqua"/>
          <w:bCs/>
          <w:color w:val="000000"/>
          <w:lang w:eastAsia="zh-CN"/>
        </w:rPr>
      </w:pPr>
      <w:r>
        <w:rPr>
          <w:rFonts w:ascii="Book Antiqua" w:hAnsi="Book Antiqua" w:cs="Book Antiqua" w:hint="eastAsia"/>
          <w:bCs/>
          <w:color w:val="000000"/>
          <w:lang w:eastAsia="zh-CN"/>
        </w:rPr>
        <w:t>E</w:t>
      </w:r>
    </w:p>
    <w:p w14:paraId="1077D97E" w14:textId="77777777" w:rsidR="008F1352" w:rsidRDefault="00BA640E">
      <w:pPr>
        <w:spacing w:line="360" w:lineRule="auto"/>
        <w:jc w:val="both"/>
        <w:rPr>
          <w:bCs/>
          <w:lang w:eastAsia="zh-CN"/>
        </w:rPr>
      </w:pPr>
      <w:r>
        <w:rPr>
          <w:noProof/>
          <w:lang w:eastAsia="zh-CN"/>
        </w:rPr>
        <w:drawing>
          <wp:inline distT="0" distB="0" distL="0" distR="0" wp14:anchorId="090C0D2B" wp14:editId="2E61EFEE">
            <wp:extent cx="3011170" cy="22847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3026011" cy="2296076"/>
                    </a:xfrm>
                    <a:prstGeom prst="rect">
                      <a:avLst/>
                    </a:prstGeom>
                  </pic:spPr>
                </pic:pic>
              </a:graphicData>
            </a:graphic>
          </wp:inline>
        </w:drawing>
      </w:r>
    </w:p>
    <w:p w14:paraId="60DF7BC8" w14:textId="2080AA22" w:rsidR="008F1352" w:rsidRDefault="00BA640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Figure 1 Skin lesions.</w:t>
      </w:r>
      <w:r>
        <w:rPr>
          <w:rFonts w:ascii="Book Antiqua" w:eastAsia="Book Antiqua" w:hAnsi="Book Antiqua" w:cs="Book Antiqua"/>
          <w:color w:val="000000"/>
          <w:szCs w:val="21"/>
        </w:rPr>
        <w:t xml:space="preserve"> A: The cheeks, limbs</w:t>
      </w:r>
      <w:r w:rsidR="009D3E9D">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trunk began to show purple macules with mild itching; B: Papules protruded from the body surface, with black necrotic tissue visible in the center, peripheral redness and swelling, and accompanying pain; C: Herpes-like lesions with pus were seen in the center of the rash; D: Once the scabs fell off, the affected areas developed into deep ulcers; E: The ulcers gradually healed, leaving scars</w:t>
      </w:r>
      <w:r>
        <w:rPr>
          <w:rFonts w:ascii="Book Antiqua" w:eastAsia="Book Antiqua" w:hAnsi="Book Antiqua" w:cs="Book Antiqua"/>
          <w:color w:val="000000"/>
        </w:rPr>
        <w:t>.</w:t>
      </w:r>
    </w:p>
    <w:p w14:paraId="789C8CA8" w14:textId="77777777" w:rsidR="008F1352" w:rsidRDefault="00BA640E">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7E3E57F9" wp14:editId="38C1D57B">
            <wp:extent cx="5943600" cy="34264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943600" cy="3426460"/>
                    </a:xfrm>
                    <a:prstGeom prst="rect">
                      <a:avLst/>
                    </a:prstGeom>
                  </pic:spPr>
                </pic:pic>
              </a:graphicData>
            </a:graphic>
          </wp:inline>
        </w:drawing>
      </w:r>
    </w:p>
    <w:p w14:paraId="28CD038A" w14:textId="030B95C6" w:rsidR="008F1352" w:rsidRDefault="00BA640E">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2 Microscopic image</w:t>
      </w:r>
      <w:r w:rsidR="009D3E9D">
        <w:rPr>
          <w:rFonts w:ascii="Book Antiqua" w:eastAsia="Book Antiqua" w:hAnsi="Book Antiqua" w:cs="Book Antiqua"/>
          <w:b/>
          <w:bCs/>
          <w:color w:val="000000"/>
          <w:szCs w:val="21"/>
        </w:rPr>
        <w:t>s</w:t>
      </w:r>
      <w:r>
        <w:rPr>
          <w:rFonts w:ascii="Book Antiqua" w:eastAsia="Book Antiqua" w:hAnsi="Book Antiqua" w:cs="Book Antiqua"/>
          <w:b/>
          <w:bCs/>
          <w:color w:val="000000"/>
          <w:szCs w:val="21"/>
        </w:rPr>
        <w:t xml:space="preserve"> (1000 ×) of </w:t>
      </w:r>
      <w:r>
        <w:rPr>
          <w:rFonts w:ascii="Book Antiqua" w:eastAsia="Book Antiqua" w:hAnsi="Book Antiqua" w:cs="Book Antiqua"/>
          <w:b/>
          <w:bCs/>
          <w:i/>
          <w:iCs/>
          <w:color w:val="000000"/>
          <w:szCs w:val="21"/>
        </w:rPr>
        <w:t>Fusarium solani</w:t>
      </w:r>
      <w:r>
        <w:rPr>
          <w:rFonts w:ascii="Book Antiqua" w:eastAsia="Book Antiqua" w:hAnsi="Book Antiqua" w:cs="Book Antiqua"/>
          <w:b/>
          <w:bCs/>
          <w:color w:val="000000"/>
          <w:szCs w:val="21"/>
        </w:rPr>
        <w:t xml:space="preserve"> stained with lactophenol cotton blue.</w:t>
      </w:r>
      <w:r>
        <w:rPr>
          <w:rFonts w:ascii="Book Antiqua" w:eastAsia="Book Antiqua" w:hAnsi="Book Antiqua" w:cs="Book Antiqua"/>
          <w:color w:val="000000"/>
          <w:szCs w:val="21"/>
        </w:rPr>
        <w:t xml:space="preserve"> </w:t>
      </w:r>
      <w:bookmarkStart w:id="11" w:name="OLE_LINK4"/>
      <w:r>
        <w:rPr>
          <w:rFonts w:ascii="Book Antiqua" w:eastAsia="Book Antiqua" w:hAnsi="Book Antiqua" w:cs="Book Antiqua"/>
          <w:color w:val="000000"/>
          <w:szCs w:val="21"/>
        </w:rPr>
        <w:t>A:</w:t>
      </w:r>
      <w:bookmarkEnd w:id="11"/>
      <w:r>
        <w:rPr>
          <w:rFonts w:ascii="Book Antiqua" w:eastAsia="Book Antiqua" w:hAnsi="Book Antiqua" w:cs="Book Antiqua"/>
          <w:color w:val="000000"/>
          <w:szCs w:val="21"/>
        </w:rPr>
        <w:t xml:space="preserve"> The macroconidia are stout and sickle-shaped</w:t>
      </w:r>
      <w:bookmarkStart w:id="12" w:name="OLE_LINK6"/>
      <w:r>
        <w:rPr>
          <w:rFonts w:ascii="Book Antiqua" w:eastAsia="Book Antiqua" w:hAnsi="Book Antiqua" w:cs="Book Antiqua"/>
          <w:color w:val="000000"/>
          <w:szCs w:val="21"/>
        </w:rPr>
        <w:t>;</w:t>
      </w:r>
      <w:bookmarkEnd w:id="12"/>
      <w:r>
        <w:rPr>
          <w:rFonts w:ascii="Book Antiqua" w:eastAsia="Book Antiqua" w:hAnsi="Book Antiqua" w:cs="Book Antiqua"/>
          <w:color w:val="000000"/>
          <w:szCs w:val="21"/>
        </w:rPr>
        <w:t xml:space="preserve"> </w:t>
      </w:r>
      <w:bookmarkStart w:id="13" w:name="OLE_LINK5"/>
      <w:r>
        <w:rPr>
          <w:rFonts w:ascii="Book Antiqua" w:eastAsia="Book Antiqua" w:hAnsi="Book Antiqua" w:cs="Book Antiqua"/>
          <w:color w:val="000000"/>
          <w:szCs w:val="21"/>
        </w:rPr>
        <w:t>B:</w:t>
      </w:r>
      <w:bookmarkEnd w:id="13"/>
      <w:r>
        <w:rPr>
          <w:rFonts w:ascii="Book Antiqua" w:eastAsia="Book Antiqua" w:hAnsi="Book Antiqua" w:cs="Book Antiqua"/>
          <w:color w:val="000000"/>
          <w:szCs w:val="21"/>
        </w:rPr>
        <w:t xml:space="preserve"> Septated hyphae with straight simple thin long phialide bearing oval microconidia in a “diphtheroidal” pattern.</w:t>
      </w:r>
    </w:p>
    <w:p w14:paraId="5C0D9E5F" w14:textId="77777777" w:rsidR="008F1352" w:rsidRDefault="00BA640E">
      <w:pPr>
        <w:spacing w:line="360" w:lineRule="auto"/>
        <w:jc w:val="both"/>
      </w:pPr>
      <w:r>
        <w:rPr>
          <w:rFonts w:ascii="Book Antiqua" w:eastAsia="Book Antiqua" w:hAnsi="Book Antiqua" w:cs="Book Antiqua"/>
          <w:color w:val="000000"/>
          <w:szCs w:val="21"/>
        </w:rPr>
        <w:br w:type="page"/>
      </w:r>
      <w:r>
        <w:rPr>
          <w:noProof/>
          <w:lang w:eastAsia="zh-CN"/>
        </w:rPr>
        <w:drawing>
          <wp:inline distT="0" distB="0" distL="0" distR="0" wp14:anchorId="7F27AA6B" wp14:editId="2FC1C9CD">
            <wp:extent cx="5943600" cy="29673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943600" cy="2967355"/>
                    </a:xfrm>
                    <a:prstGeom prst="rect">
                      <a:avLst/>
                    </a:prstGeom>
                  </pic:spPr>
                </pic:pic>
              </a:graphicData>
            </a:graphic>
          </wp:inline>
        </w:drawing>
      </w:r>
    </w:p>
    <w:p w14:paraId="1181892B" w14:textId="57169223" w:rsidR="008F1352" w:rsidRDefault="00BA640E">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3</w:t>
      </w:r>
      <w:r w:rsidRPr="0008201F">
        <w:rPr>
          <w:rFonts w:ascii="Book Antiqua" w:eastAsia="Book Antiqua" w:hAnsi="Book Antiqua" w:cs="Book Antiqua"/>
          <w:b/>
          <w:bCs/>
          <w:color w:val="000000"/>
          <w:szCs w:val="21"/>
        </w:rPr>
        <w:t xml:space="preserve"> </w:t>
      </w:r>
      <w:r w:rsidR="0008201F" w:rsidRPr="0008201F">
        <w:rPr>
          <w:rFonts w:ascii="Book Antiqua" w:eastAsia="Book Antiqua" w:hAnsi="Book Antiqua" w:cs="Book Antiqua"/>
          <w:b/>
          <w:bCs/>
          <w:color w:val="000000"/>
          <w:szCs w:val="21"/>
        </w:rPr>
        <w:t>Fungi were seen on the biopsy of the exfoliated scab.</w:t>
      </w:r>
      <w:r w:rsidR="0008201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08201F">
        <w:rPr>
          <w:rFonts w:ascii="Book Antiqua" w:eastAsia="Book Antiqua" w:hAnsi="Book Antiqua" w:cs="Book Antiqua"/>
          <w:color w:val="000000"/>
          <w:szCs w:val="21"/>
        </w:rPr>
        <w:t xml:space="preserve"> </w:t>
      </w:r>
      <w:r w:rsidRPr="0008201F">
        <w:rPr>
          <w:rFonts w:ascii="Book Antiqua" w:eastAsia="Book Antiqua" w:hAnsi="Book Antiqua" w:cs="Book Antiqua"/>
          <w:color w:val="000000"/>
          <w:szCs w:val="21"/>
        </w:rPr>
        <w:t>Exfoliated scab examination</w:t>
      </w:r>
      <w:r>
        <w:rPr>
          <w:rFonts w:ascii="Book Antiqua" w:eastAsia="Book Antiqua" w:hAnsi="Book Antiqua" w:cs="Book Antiqua"/>
          <w:color w:val="000000"/>
          <w:szCs w:val="21"/>
        </w:rPr>
        <w:t>;</w:t>
      </w:r>
      <w:r w:rsidR="0008201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w:t>
      </w:r>
      <w:r w:rsidR="0008201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Fungi can be seen in the scab.</w:t>
      </w:r>
    </w:p>
    <w:p w14:paraId="5F7C5CD7" w14:textId="77777777" w:rsidR="008F1352" w:rsidRDefault="00BA640E">
      <w:pPr>
        <w:spacing w:line="360" w:lineRule="auto"/>
        <w:jc w:val="both"/>
      </w:pPr>
      <w:r>
        <w:rPr>
          <w:rFonts w:ascii="Book Antiqua" w:eastAsia="Book Antiqua" w:hAnsi="Book Antiqua" w:cs="Book Antiqua"/>
          <w:color w:val="000000"/>
          <w:szCs w:val="21"/>
        </w:rPr>
        <w:br w:type="page"/>
      </w:r>
      <w:r>
        <w:rPr>
          <w:noProof/>
          <w:lang w:eastAsia="zh-CN"/>
        </w:rPr>
        <w:drawing>
          <wp:inline distT="0" distB="0" distL="0" distR="0" wp14:anchorId="38678BEC" wp14:editId="776FBD64">
            <wp:extent cx="4795520" cy="2633345"/>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4795873" cy="2633682"/>
                    </a:xfrm>
                    <a:prstGeom prst="rect">
                      <a:avLst/>
                    </a:prstGeom>
                  </pic:spPr>
                </pic:pic>
              </a:graphicData>
            </a:graphic>
          </wp:inline>
        </w:drawing>
      </w:r>
    </w:p>
    <w:p w14:paraId="41028C08" w14:textId="1B2B07CB" w:rsidR="00682CA6" w:rsidRDefault="00BA640E">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4 Changes in body temperature and neutrophils before and after medication (D5: </w:t>
      </w:r>
      <w:r w:rsidR="007829FD">
        <w:rPr>
          <w:rFonts w:ascii="Book Antiqua" w:eastAsia="Book Antiqua" w:hAnsi="Book Antiqua" w:cs="Book Antiqua"/>
          <w:b/>
          <w:bCs/>
          <w:color w:val="000000"/>
          <w:szCs w:val="21"/>
        </w:rPr>
        <w:t>T</w:t>
      </w:r>
      <w:r>
        <w:rPr>
          <w:rFonts w:ascii="Book Antiqua" w:eastAsia="Book Antiqua" w:hAnsi="Book Antiqua" w:cs="Book Antiqua"/>
          <w:b/>
          <w:bCs/>
          <w:color w:val="000000"/>
          <w:szCs w:val="21"/>
        </w:rPr>
        <w:t xml:space="preserve">he growth of </w:t>
      </w:r>
      <w:r>
        <w:rPr>
          <w:rFonts w:ascii="Book Antiqua" w:eastAsia="Book Antiqua" w:hAnsi="Book Antiqua" w:cs="Book Antiqua"/>
          <w:b/>
          <w:bCs/>
          <w:i/>
          <w:iCs/>
          <w:color w:val="000000"/>
          <w:szCs w:val="21"/>
        </w:rPr>
        <w:t>Fusarium</w:t>
      </w:r>
      <w:r>
        <w:rPr>
          <w:rFonts w:ascii="Book Antiqua" w:eastAsia="Book Antiqua" w:hAnsi="Book Antiqua" w:cs="Book Antiqua"/>
          <w:b/>
          <w:bCs/>
          <w:color w:val="000000"/>
          <w:szCs w:val="21"/>
        </w:rPr>
        <w:t xml:space="preserve"> in blood culture). </w:t>
      </w:r>
      <w:bookmarkStart w:id="14" w:name="OLE_LINK7"/>
      <w:r>
        <w:rPr>
          <w:rFonts w:ascii="Book Antiqua" w:eastAsia="Book Antiqua" w:hAnsi="Book Antiqua" w:cs="Book Antiqua"/>
          <w:color w:val="000000"/>
          <w:szCs w:val="21"/>
        </w:rPr>
        <w:t>AMB</w:t>
      </w:r>
      <w:bookmarkEnd w:id="14"/>
      <w:r>
        <w:rPr>
          <w:rFonts w:ascii="Book Antiqua" w:eastAsia="Book Antiqua" w:hAnsi="Book Antiqua" w:cs="Book Antiqua"/>
          <w:color w:val="000000"/>
          <w:szCs w:val="21"/>
        </w:rPr>
        <w:t>:</w:t>
      </w:r>
      <w:r w:rsidR="001F22EE">
        <w:rPr>
          <w:rFonts w:ascii="Book Antiqua" w:eastAsia="Book Antiqua" w:hAnsi="Book Antiqua" w:cs="Book Antiqua"/>
          <w:color w:val="000000"/>
          <w:szCs w:val="21"/>
        </w:rPr>
        <w:t xml:space="preserve"> A</w:t>
      </w:r>
      <w:r>
        <w:rPr>
          <w:rFonts w:ascii="Book Antiqua" w:eastAsia="Book Antiqua" w:hAnsi="Book Antiqua" w:cs="Book Antiqua" w:hint="eastAsia"/>
          <w:color w:val="000000"/>
          <w:szCs w:val="21"/>
        </w:rPr>
        <w:t>mphotericin B</w:t>
      </w:r>
      <w:r>
        <w:rPr>
          <w:rFonts w:ascii="Book Antiqua" w:eastAsia="Book Antiqua" w:hAnsi="Book Antiqua" w:cs="Book Antiqua"/>
          <w:color w:val="000000"/>
          <w:szCs w:val="21"/>
        </w:rPr>
        <w:t>; VRC:</w:t>
      </w:r>
      <w:r w:rsidR="001F22EE">
        <w:rPr>
          <w:rFonts w:ascii="Book Antiqua" w:eastAsia="Book Antiqua" w:hAnsi="Book Antiqua" w:cs="Book Antiqua"/>
          <w:color w:val="000000"/>
          <w:szCs w:val="21"/>
        </w:rPr>
        <w:t xml:space="preserve"> V</w:t>
      </w:r>
      <w:r>
        <w:rPr>
          <w:rFonts w:ascii="Book Antiqua" w:eastAsia="Book Antiqua" w:hAnsi="Book Antiqua" w:cs="Book Antiqua"/>
          <w:color w:val="000000"/>
          <w:szCs w:val="21"/>
        </w:rPr>
        <w:t>oriconazole; NP:</w:t>
      </w:r>
      <w:r w:rsidR="001F22EE">
        <w:rPr>
          <w:rFonts w:ascii="Book Antiqua" w:eastAsia="Book Antiqua" w:hAnsi="Book Antiqua" w:cs="Book Antiqua"/>
          <w:color w:val="000000"/>
          <w:szCs w:val="21"/>
        </w:rPr>
        <w:t xml:space="preserve"> N</w:t>
      </w:r>
      <w:r>
        <w:rPr>
          <w:rFonts w:ascii="Book Antiqua" w:eastAsia="Book Antiqua" w:hAnsi="Book Antiqua" w:cs="Book Antiqua"/>
          <w:color w:val="000000"/>
          <w:szCs w:val="21"/>
        </w:rPr>
        <w:t>eutrophil</w:t>
      </w:r>
      <w:r w:rsidR="001F22EE">
        <w:rPr>
          <w:rFonts w:ascii="Book Antiqua" w:eastAsia="Book Antiqua" w:hAnsi="Book Antiqua" w:cs="Book Antiqua"/>
          <w:color w:val="000000"/>
          <w:szCs w:val="21"/>
        </w:rPr>
        <w:t>.</w:t>
      </w:r>
    </w:p>
    <w:p w14:paraId="5CD6AE7E" w14:textId="77777777" w:rsidR="00682CA6" w:rsidRDefault="00682CA6">
      <w:pPr>
        <w:rPr>
          <w:rFonts w:ascii="Book Antiqua" w:eastAsia="Book Antiqua" w:hAnsi="Book Antiqua" w:cs="Book Antiqua"/>
          <w:color w:val="000000"/>
          <w:szCs w:val="21"/>
        </w:rPr>
      </w:pPr>
      <w:r>
        <w:rPr>
          <w:rFonts w:ascii="Book Antiqua" w:eastAsia="Book Antiqua" w:hAnsi="Book Antiqua" w:cs="Book Antiqua"/>
          <w:color w:val="000000"/>
          <w:szCs w:val="21"/>
        </w:rPr>
        <w:br w:type="page"/>
      </w:r>
    </w:p>
    <w:p w14:paraId="201965DC" w14:textId="77777777" w:rsidR="00682CA6" w:rsidRDefault="00682CA6" w:rsidP="00682CA6">
      <w:pPr>
        <w:jc w:val="center"/>
        <w:rPr>
          <w:rFonts w:ascii="Book Antiqua" w:hAnsi="Book Antiqua"/>
          <w:lang w:eastAsia="zh-CN"/>
        </w:rPr>
      </w:pPr>
    </w:p>
    <w:p w14:paraId="09657A26" w14:textId="77777777" w:rsidR="00682CA6" w:rsidRDefault="00682CA6" w:rsidP="00682CA6">
      <w:pPr>
        <w:jc w:val="center"/>
        <w:rPr>
          <w:rFonts w:ascii="Book Antiqua" w:hAnsi="Book Antiqua"/>
          <w:lang w:eastAsia="zh-CN"/>
        </w:rPr>
      </w:pPr>
    </w:p>
    <w:p w14:paraId="150BB363" w14:textId="77777777" w:rsidR="00682CA6" w:rsidRDefault="00682CA6" w:rsidP="00682CA6">
      <w:pPr>
        <w:jc w:val="center"/>
        <w:rPr>
          <w:rFonts w:ascii="Book Antiqua" w:hAnsi="Book Antiqua"/>
          <w:lang w:eastAsia="zh-CN"/>
        </w:rPr>
      </w:pPr>
    </w:p>
    <w:p w14:paraId="7CED9D8D" w14:textId="77777777" w:rsidR="00682CA6" w:rsidRDefault="00682CA6" w:rsidP="00682CA6">
      <w:pPr>
        <w:jc w:val="center"/>
        <w:rPr>
          <w:rFonts w:ascii="Book Antiqua" w:hAnsi="Book Antiqua"/>
          <w:lang w:eastAsia="zh-CN"/>
        </w:rPr>
      </w:pPr>
    </w:p>
    <w:p w14:paraId="42C21A17" w14:textId="77777777" w:rsidR="00682CA6" w:rsidRDefault="00682CA6" w:rsidP="00682CA6">
      <w:pPr>
        <w:jc w:val="center"/>
        <w:rPr>
          <w:rFonts w:ascii="Book Antiqua" w:hAnsi="Book Antiqua"/>
          <w:lang w:eastAsia="zh-CN"/>
        </w:rPr>
      </w:pPr>
    </w:p>
    <w:p w14:paraId="2B6FC58A" w14:textId="77777777" w:rsidR="00682CA6" w:rsidRDefault="00682CA6" w:rsidP="00682CA6">
      <w:pPr>
        <w:jc w:val="center"/>
        <w:rPr>
          <w:rFonts w:ascii="Book Antiqua" w:hAnsi="Book Antiqua"/>
          <w:lang w:eastAsia="zh-CN"/>
        </w:rPr>
      </w:pPr>
      <w:r>
        <w:rPr>
          <w:rFonts w:ascii="Book Antiqua" w:hAnsi="Book Antiqua"/>
          <w:noProof/>
          <w:lang w:eastAsia="zh-CN"/>
        </w:rPr>
        <w:drawing>
          <wp:inline distT="0" distB="0" distL="0" distR="0" wp14:anchorId="3915DECF" wp14:editId="17117981">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9FA0929" w14:textId="77777777" w:rsidR="00682CA6" w:rsidRDefault="00682CA6" w:rsidP="00682CA6">
      <w:pPr>
        <w:jc w:val="center"/>
        <w:rPr>
          <w:rFonts w:ascii="Book Antiqua" w:hAnsi="Book Antiqua"/>
          <w:lang w:eastAsia="zh-CN"/>
        </w:rPr>
      </w:pPr>
    </w:p>
    <w:p w14:paraId="083E556C" w14:textId="77777777" w:rsidR="00682CA6" w:rsidRPr="00763D22" w:rsidRDefault="00682CA6" w:rsidP="00682CA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A5FB685" w14:textId="77777777" w:rsidR="00682CA6" w:rsidRPr="00763D22" w:rsidRDefault="00682CA6" w:rsidP="00682CA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4EA058D" w14:textId="77777777" w:rsidR="00682CA6" w:rsidRPr="00763D22" w:rsidRDefault="00682CA6" w:rsidP="00682CA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0E3C804" w14:textId="77777777" w:rsidR="00682CA6" w:rsidRPr="00763D22" w:rsidRDefault="00682CA6" w:rsidP="00682CA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D7D1A77" w14:textId="77777777" w:rsidR="00682CA6" w:rsidRPr="00763D22" w:rsidRDefault="00682CA6" w:rsidP="00682CA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36D3F57" w14:textId="77777777" w:rsidR="00682CA6" w:rsidRPr="00763D22" w:rsidRDefault="00682CA6" w:rsidP="00682CA6">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123CD0A" w14:textId="77777777" w:rsidR="00682CA6" w:rsidRDefault="00682CA6" w:rsidP="00682CA6">
      <w:pPr>
        <w:jc w:val="center"/>
        <w:rPr>
          <w:rFonts w:ascii="Book Antiqua" w:hAnsi="Book Antiqua"/>
          <w:lang w:eastAsia="zh-CN"/>
        </w:rPr>
      </w:pPr>
    </w:p>
    <w:p w14:paraId="657DC9B4" w14:textId="77777777" w:rsidR="00682CA6" w:rsidRDefault="00682CA6" w:rsidP="00682CA6">
      <w:pPr>
        <w:jc w:val="center"/>
        <w:rPr>
          <w:rFonts w:ascii="Book Antiqua" w:hAnsi="Book Antiqua"/>
          <w:lang w:eastAsia="zh-CN"/>
        </w:rPr>
      </w:pPr>
    </w:p>
    <w:p w14:paraId="25AFECC3" w14:textId="77777777" w:rsidR="00682CA6" w:rsidRDefault="00682CA6" w:rsidP="00682CA6">
      <w:pPr>
        <w:jc w:val="center"/>
        <w:rPr>
          <w:rFonts w:ascii="Book Antiqua" w:hAnsi="Book Antiqua"/>
          <w:lang w:eastAsia="zh-CN"/>
        </w:rPr>
      </w:pPr>
    </w:p>
    <w:p w14:paraId="691ABDAB" w14:textId="77777777" w:rsidR="00682CA6" w:rsidRDefault="00682CA6" w:rsidP="00682CA6">
      <w:pPr>
        <w:jc w:val="center"/>
        <w:rPr>
          <w:rFonts w:ascii="Book Antiqua" w:hAnsi="Book Antiqua"/>
          <w:lang w:eastAsia="zh-CN"/>
        </w:rPr>
      </w:pPr>
      <w:r>
        <w:rPr>
          <w:rFonts w:ascii="Book Antiqua" w:hAnsi="Book Antiqua"/>
          <w:noProof/>
          <w:lang w:eastAsia="zh-CN"/>
        </w:rPr>
        <w:drawing>
          <wp:inline distT="0" distB="0" distL="0" distR="0" wp14:anchorId="146EF639" wp14:editId="7FE8B08F">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1EB383D" w14:textId="77777777" w:rsidR="00682CA6" w:rsidRDefault="00682CA6" w:rsidP="00682CA6">
      <w:pPr>
        <w:jc w:val="center"/>
        <w:rPr>
          <w:rFonts w:ascii="Book Antiqua" w:hAnsi="Book Antiqua"/>
          <w:lang w:eastAsia="zh-CN"/>
        </w:rPr>
      </w:pPr>
    </w:p>
    <w:p w14:paraId="77D9644F" w14:textId="77777777" w:rsidR="00682CA6" w:rsidRDefault="00682CA6" w:rsidP="00682CA6">
      <w:pPr>
        <w:jc w:val="center"/>
        <w:rPr>
          <w:rFonts w:ascii="Book Antiqua" w:hAnsi="Book Antiqua"/>
          <w:lang w:eastAsia="zh-CN"/>
        </w:rPr>
      </w:pPr>
    </w:p>
    <w:p w14:paraId="69EA16F8" w14:textId="77777777" w:rsidR="00682CA6" w:rsidRDefault="00682CA6" w:rsidP="00682CA6">
      <w:pPr>
        <w:jc w:val="center"/>
        <w:rPr>
          <w:rFonts w:ascii="Book Antiqua" w:hAnsi="Book Antiqua"/>
          <w:lang w:eastAsia="zh-CN"/>
        </w:rPr>
      </w:pPr>
    </w:p>
    <w:p w14:paraId="54801411" w14:textId="77777777" w:rsidR="00682CA6" w:rsidRDefault="00682CA6" w:rsidP="00682CA6">
      <w:pPr>
        <w:jc w:val="center"/>
        <w:rPr>
          <w:rFonts w:ascii="Book Antiqua" w:hAnsi="Book Antiqua"/>
          <w:lang w:eastAsia="zh-CN"/>
        </w:rPr>
      </w:pPr>
    </w:p>
    <w:p w14:paraId="508EA033" w14:textId="77777777" w:rsidR="00682CA6" w:rsidRDefault="00682CA6" w:rsidP="00682CA6">
      <w:pPr>
        <w:jc w:val="center"/>
        <w:rPr>
          <w:rFonts w:ascii="Book Antiqua" w:hAnsi="Book Antiqua"/>
          <w:lang w:eastAsia="zh-CN"/>
        </w:rPr>
      </w:pPr>
    </w:p>
    <w:p w14:paraId="0AA49E12" w14:textId="77777777" w:rsidR="00682CA6" w:rsidRDefault="00682CA6" w:rsidP="00682CA6">
      <w:pPr>
        <w:jc w:val="center"/>
        <w:rPr>
          <w:rFonts w:ascii="Book Antiqua" w:hAnsi="Book Antiqua"/>
          <w:lang w:eastAsia="zh-CN"/>
        </w:rPr>
      </w:pPr>
    </w:p>
    <w:p w14:paraId="6850CE56" w14:textId="77777777" w:rsidR="00682CA6" w:rsidRDefault="00682CA6" w:rsidP="00682CA6">
      <w:pPr>
        <w:jc w:val="center"/>
        <w:rPr>
          <w:rFonts w:ascii="Book Antiqua" w:hAnsi="Book Antiqua"/>
          <w:lang w:eastAsia="zh-CN"/>
        </w:rPr>
      </w:pPr>
    </w:p>
    <w:p w14:paraId="7F08A31D" w14:textId="77777777" w:rsidR="00682CA6" w:rsidRDefault="00682CA6" w:rsidP="00682CA6">
      <w:pPr>
        <w:jc w:val="center"/>
        <w:rPr>
          <w:rFonts w:ascii="Book Antiqua" w:hAnsi="Book Antiqua"/>
          <w:lang w:eastAsia="zh-CN"/>
        </w:rPr>
      </w:pPr>
    </w:p>
    <w:p w14:paraId="096682A1" w14:textId="77777777" w:rsidR="00682CA6" w:rsidRDefault="00682CA6" w:rsidP="00682CA6">
      <w:pPr>
        <w:jc w:val="center"/>
        <w:rPr>
          <w:rFonts w:ascii="Book Antiqua" w:hAnsi="Book Antiqua"/>
          <w:lang w:eastAsia="zh-CN"/>
        </w:rPr>
      </w:pPr>
    </w:p>
    <w:p w14:paraId="3CAE0DF7" w14:textId="77777777" w:rsidR="00682CA6" w:rsidRPr="00763D22" w:rsidRDefault="00682CA6" w:rsidP="00682CA6">
      <w:pPr>
        <w:jc w:val="right"/>
        <w:rPr>
          <w:rFonts w:ascii="Book Antiqua" w:hAnsi="Book Antiqua"/>
          <w:color w:val="000000" w:themeColor="text1"/>
          <w:lang w:eastAsia="zh-CN"/>
        </w:rPr>
      </w:pPr>
    </w:p>
    <w:p w14:paraId="7C5A8E66" w14:textId="77777777" w:rsidR="00682CA6" w:rsidRPr="00763D22" w:rsidRDefault="00682CA6" w:rsidP="00682CA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351FB86" w14:textId="77777777" w:rsidR="008F1352" w:rsidRDefault="008F1352">
      <w:pPr>
        <w:spacing w:line="360" w:lineRule="auto"/>
        <w:jc w:val="both"/>
      </w:pPr>
      <w:bookmarkStart w:id="15" w:name="_GoBack"/>
      <w:bookmarkEnd w:id="15"/>
    </w:p>
    <w:sectPr w:rsidR="008F13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1B1999" w14:textId="77777777" w:rsidR="00FF06EA" w:rsidRDefault="00FF06EA">
      <w:r>
        <w:separator/>
      </w:r>
    </w:p>
  </w:endnote>
  <w:endnote w:type="continuationSeparator" w:id="0">
    <w:p w14:paraId="679EF83A" w14:textId="77777777" w:rsidR="00FF06EA" w:rsidRDefault="00FF0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等线"/>
    <w:panose1 w:val="00000000000000000000"/>
    <w:charset w:val="86"/>
    <w:family w:val="auto"/>
    <w:notTrueType/>
    <w:pitch w:val="default"/>
    <w:sig w:usb0="00000003" w:usb1="080E0000" w:usb2="00000010" w:usb3="00000000" w:csb0="0004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703861"/>
      <w:docPartObj>
        <w:docPartGallery w:val="AutoText"/>
      </w:docPartObj>
    </w:sdtPr>
    <w:sdtEndPr>
      <w:rPr>
        <w:rFonts w:ascii="Book Antiqua" w:hAnsi="Book Antiqua"/>
        <w:sz w:val="24"/>
        <w:szCs w:val="24"/>
      </w:rPr>
    </w:sdtEndPr>
    <w:sdtContent>
      <w:sdt>
        <w:sdtPr>
          <w:id w:val="-1705238520"/>
          <w:docPartObj>
            <w:docPartGallery w:val="AutoText"/>
          </w:docPartObj>
        </w:sdtPr>
        <w:sdtEndPr>
          <w:rPr>
            <w:rFonts w:ascii="Book Antiqua" w:hAnsi="Book Antiqua"/>
            <w:sz w:val="24"/>
            <w:szCs w:val="24"/>
          </w:rPr>
        </w:sdtEndPr>
        <w:sdtContent>
          <w:p w14:paraId="31583026" w14:textId="77777777" w:rsidR="008F1352" w:rsidRDefault="00BA640E">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FF06EA">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FF06EA">
              <w:rPr>
                <w:rFonts w:ascii="Book Antiqua" w:hAnsi="Book Antiqua"/>
                <w:noProof/>
                <w:sz w:val="24"/>
                <w:szCs w:val="24"/>
              </w:rPr>
              <w:t>1</w:t>
            </w:r>
            <w:r>
              <w:rPr>
                <w:rFonts w:ascii="Book Antiqua" w:hAnsi="Book Antiqua"/>
                <w:sz w:val="24"/>
                <w:szCs w:val="24"/>
              </w:rPr>
              <w:fldChar w:fldCharType="end"/>
            </w:r>
          </w:p>
        </w:sdtContent>
      </w:sdt>
    </w:sdtContent>
  </w:sdt>
  <w:p w14:paraId="1F3BE8B0" w14:textId="77777777" w:rsidR="008F1352" w:rsidRDefault="008F1352">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A5A33C" w14:textId="77777777" w:rsidR="00FF06EA" w:rsidRDefault="00FF06EA">
      <w:r>
        <w:separator/>
      </w:r>
    </w:p>
  </w:footnote>
  <w:footnote w:type="continuationSeparator" w:id="0">
    <w:p w14:paraId="2FDD984F" w14:textId="77777777" w:rsidR="00FF06EA" w:rsidRDefault="00FF06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475F"/>
    <w:rsid w:val="0008201F"/>
    <w:rsid w:val="000B0E84"/>
    <w:rsid w:val="0012191D"/>
    <w:rsid w:val="00132341"/>
    <w:rsid w:val="0016656F"/>
    <w:rsid w:val="001F22EE"/>
    <w:rsid w:val="00206DF3"/>
    <w:rsid w:val="003401BF"/>
    <w:rsid w:val="004654A6"/>
    <w:rsid w:val="004821ED"/>
    <w:rsid w:val="00502A7E"/>
    <w:rsid w:val="005064F2"/>
    <w:rsid w:val="005A792D"/>
    <w:rsid w:val="005F14D7"/>
    <w:rsid w:val="0062399D"/>
    <w:rsid w:val="00682CA6"/>
    <w:rsid w:val="00775CF4"/>
    <w:rsid w:val="007829FD"/>
    <w:rsid w:val="007E6AE1"/>
    <w:rsid w:val="0080090B"/>
    <w:rsid w:val="008B0F42"/>
    <w:rsid w:val="008F1352"/>
    <w:rsid w:val="009354FF"/>
    <w:rsid w:val="009C3501"/>
    <w:rsid w:val="009D3E9D"/>
    <w:rsid w:val="009F1D2D"/>
    <w:rsid w:val="00A377DF"/>
    <w:rsid w:val="00A77B3E"/>
    <w:rsid w:val="00AC265E"/>
    <w:rsid w:val="00BA640E"/>
    <w:rsid w:val="00C051F0"/>
    <w:rsid w:val="00C62E34"/>
    <w:rsid w:val="00CA2A55"/>
    <w:rsid w:val="00CC6CC2"/>
    <w:rsid w:val="00DB7281"/>
    <w:rsid w:val="00EB00D7"/>
    <w:rsid w:val="00FF06EA"/>
    <w:rsid w:val="04665F32"/>
    <w:rsid w:val="24161BD9"/>
    <w:rsid w:val="2444332E"/>
    <w:rsid w:val="2CAC6CEF"/>
    <w:rsid w:val="2D3A6520"/>
    <w:rsid w:val="30997D66"/>
    <w:rsid w:val="364112D8"/>
    <w:rsid w:val="43EA06FD"/>
    <w:rsid w:val="47F24E41"/>
    <w:rsid w:val="62987FBD"/>
    <w:rsid w:val="654B2EB9"/>
    <w:rsid w:val="727D1A39"/>
    <w:rsid w:val="7A6F5E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BDC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annotation reference"/>
    <w:basedOn w:val="a0"/>
    <w:semiHidden/>
    <w:unhideWhenUsed/>
    <w:rPr>
      <w:sz w:val="21"/>
      <w:szCs w:val="21"/>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paragraph" w:styleId="a8">
    <w:name w:val="Balloon Text"/>
    <w:basedOn w:val="a"/>
    <w:link w:val="Char3"/>
    <w:rsid w:val="00EB00D7"/>
    <w:rPr>
      <w:sz w:val="18"/>
      <w:szCs w:val="18"/>
    </w:rPr>
  </w:style>
  <w:style w:type="character" w:customStyle="1" w:styleId="Char3">
    <w:name w:val="批注框文本 Char"/>
    <w:basedOn w:val="a0"/>
    <w:link w:val="a8"/>
    <w:rsid w:val="00EB00D7"/>
    <w:rPr>
      <w:rFonts w:eastAsiaTheme="minorEastAsia"/>
      <w:sz w:val="18"/>
      <w:szCs w:val="18"/>
      <w:lang w:eastAsia="en-US"/>
    </w:rPr>
  </w:style>
  <w:style w:type="character" w:styleId="a9">
    <w:name w:val="Hyperlink"/>
    <w:basedOn w:val="a0"/>
    <w:unhideWhenUsed/>
    <w:rsid w:val="0012191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annotation reference"/>
    <w:basedOn w:val="a0"/>
    <w:semiHidden/>
    <w:unhideWhenUsed/>
    <w:rPr>
      <w:sz w:val="21"/>
      <w:szCs w:val="21"/>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paragraph" w:styleId="a8">
    <w:name w:val="Balloon Text"/>
    <w:basedOn w:val="a"/>
    <w:link w:val="Char3"/>
    <w:rsid w:val="00EB00D7"/>
    <w:rPr>
      <w:sz w:val="18"/>
      <w:szCs w:val="18"/>
    </w:rPr>
  </w:style>
  <w:style w:type="character" w:customStyle="1" w:styleId="Char3">
    <w:name w:val="批注框文本 Char"/>
    <w:basedOn w:val="a0"/>
    <w:link w:val="a8"/>
    <w:rsid w:val="00EB00D7"/>
    <w:rPr>
      <w:rFonts w:eastAsiaTheme="minorEastAsia"/>
      <w:sz w:val="18"/>
      <w:szCs w:val="18"/>
      <w:lang w:eastAsia="en-US"/>
    </w:rPr>
  </w:style>
  <w:style w:type="character" w:styleId="a9">
    <w:name w:val="Hyperlink"/>
    <w:basedOn w:val="a0"/>
    <w:unhideWhenUsed/>
    <w:rsid w:val="001219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3067</Words>
  <Characters>17486</Characters>
  <Application>Microsoft Office Word</Application>
  <DocSecurity>0</DocSecurity>
  <Lines>145</Lines>
  <Paragraphs>41</Paragraphs>
  <ScaleCrop>false</ScaleCrop>
  <Company/>
  <LinksUpToDate>false</LinksUpToDate>
  <CharactersWithSpaces>20512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8</cp:revision>
  <dcterms:created xsi:type="dcterms:W3CDTF">2021-06-06T08:41:00Z</dcterms:created>
  <dcterms:modified xsi:type="dcterms:W3CDTF">2021-07-15T07:34:00Z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549540D300FE478CBFCE4C7F9C770BF3</vt:lpwstr>
  </property>
</Properties>
</file>