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8062" w14:textId="77777777" w:rsidR="006B2A8E" w:rsidRPr="00E21697" w:rsidRDefault="006B2A8E" w:rsidP="006B2A8E">
      <w:pPr>
        <w:spacing w:line="360" w:lineRule="auto"/>
        <w:jc w:val="both"/>
      </w:pPr>
      <w:r w:rsidRPr="00A40512">
        <w:rPr>
          <w:rFonts w:ascii="Book Antiqua" w:eastAsia="Book Antiqua" w:hAnsi="Book Antiqua" w:cs="Book Antiqua"/>
          <w:b/>
          <w:color w:val="000000"/>
        </w:rPr>
        <w:t xml:space="preserve">Name of Journal: </w:t>
      </w:r>
      <w:r w:rsidRPr="00E21697">
        <w:rPr>
          <w:rFonts w:ascii="Book Antiqua" w:eastAsia="Book Antiqua" w:hAnsi="Book Antiqua" w:cs="Book Antiqua"/>
          <w:i/>
          <w:color w:val="000000"/>
        </w:rPr>
        <w:t>World Journal of Gastrointestinal Oncology</w:t>
      </w:r>
    </w:p>
    <w:p w14:paraId="326D022C" w14:textId="77777777" w:rsidR="006B2A8E" w:rsidRPr="00E21697" w:rsidRDefault="006B2A8E" w:rsidP="006B2A8E">
      <w:pPr>
        <w:spacing w:line="360" w:lineRule="auto"/>
        <w:jc w:val="both"/>
      </w:pPr>
      <w:r w:rsidRPr="00E21697">
        <w:rPr>
          <w:rFonts w:ascii="Book Antiqua" w:eastAsia="Book Antiqua" w:hAnsi="Book Antiqua" w:cs="Book Antiqua"/>
          <w:b/>
          <w:color w:val="000000"/>
        </w:rPr>
        <w:t xml:space="preserve">Manuscript NO: </w:t>
      </w:r>
      <w:r w:rsidRPr="00E21697">
        <w:rPr>
          <w:rFonts w:ascii="Book Antiqua" w:eastAsia="Book Antiqua" w:hAnsi="Book Antiqua" w:cs="Book Antiqua"/>
          <w:color w:val="000000"/>
        </w:rPr>
        <w:t>64702</w:t>
      </w:r>
    </w:p>
    <w:p w14:paraId="1AF93245" w14:textId="77777777" w:rsidR="006B2A8E" w:rsidRPr="00E21697" w:rsidRDefault="006B2A8E" w:rsidP="006B2A8E">
      <w:pPr>
        <w:spacing w:line="360" w:lineRule="auto"/>
        <w:jc w:val="both"/>
      </w:pPr>
      <w:r w:rsidRPr="00E21697">
        <w:rPr>
          <w:rFonts w:ascii="Book Antiqua" w:eastAsia="Book Antiqua" w:hAnsi="Book Antiqua" w:cs="Book Antiqua"/>
          <w:b/>
          <w:color w:val="000000"/>
        </w:rPr>
        <w:t xml:space="preserve">Manuscript Type: </w:t>
      </w:r>
      <w:bookmarkStart w:id="0" w:name="OLE_LINK37"/>
      <w:r w:rsidRPr="00E21697">
        <w:rPr>
          <w:rFonts w:ascii="Book Antiqua" w:eastAsia="Book Antiqua" w:hAnsi="Book Antiqua" w:cs="Book Antiqua"/>
          <w:color w:val="000000"/>
        </w:rPr>
        <w:t>MINIREVIEWS</w:t>
      </w:r>
      <w:bookmarkEnd w:id="0"/>
    </w:p>
    <w:p w14:paraId="650A4433" w14:textId="77777777" w:rsidR="006B2A8E" w:rsidRPr="00E21697" w:rsidRDefault="006B2A8E" w:rsidP="006B2A8E">
      <w:pPr>
        <w:spacing w:line="360" w:lineRule="auto"/>
        <w:jc w:val="both"/>
      </w:pPr>
    </w:p>
    <w:p w14:paraId="55E74F23" w14:textId="77777777" w:rsidR="006B2A8E" w:rsidRPr="00E21697" w:rsidRDefault="006B2A8E" w:rsidP="006B2A8E">
      <w:pPr>
        <w:spacing w:line="360" w:lineRule="auto"/>
        <w:jc w:val="both"/>
      </w:pPr>
      <w:bookmarkStart w:id="1" w:name="OLE_LINK44"/>
      <w:bookmarkStart w:id="2" w:name="OLE_LINK45"/>
      <w:r w:rsidRPr="00E21697">
        <w:rPr>
          <w:rFonts w:ascii="Book Antiqua" w:eastAsia="Book Antiqua" w:hAnsi="Book Antiqua" w:cs="Book Antiqua"/>
          <w:b/>
          <w:color w:val="000000"/>
        </w:rPr>
        <w:t>Evidence based tools to improve efficiency of currently administered oncotherapies for tumors of the hepatopancreatobiliary system</w:t>
      </w:r>
    </w:p>
    <w:bookmarkEnd w:id="1"/>
    <w:bookmarkEnd w:id="2"/>
    <w:p w14:paraId="25D3E029" w14:textId="77777777" w:rsidR="006B2A8E" w:rsidRPr="00E21697" w:rsidRDefault="006B2A8E" w:rsidP="006B2A8E">
      <w:pPr>
        <w:spacing w:line="360" w:lineRule="auto"/>
        <w:jc w:val="both"/>
      </w:pPr>
    </w:p>
    <w:p w14:paraId="4C4B54B1" w14:textId="77777777" w:rsidR="006B2A8E" w:rsidRPr="00E21697" w:rsidRDefault="006B2A8E" w:rsidP="006B2A8E">
      <w:pPr>
        <w:spacing w:line="360" w:lineRule="auto"/>
        <w:jc w:val="both"/>
      </w:pPr>
      <w:r w:rsidRPr="00E21697">
        <w:rPr>
          <w:rFonts w:ascii="Book Antiqua" w:eastAsia="Book Antiqua" w:hAnsi="Book Antiqua" w:cs="Book Antiqua"/>
          <w:color w:val="000000"/>
        </w:rPr>
        <w:t xml:space="preserve">Herold </w:t>
      </w:r>
      <w:r w:rsidRPr="00E21697">
        <w:rPr>
          <w:rFonts w:ascii="Book Antiqua" w:hAnsi="Book Antiqua" w:cs="Book Antiqua"/>
          <w:color w:val="000000"/>
          <w:lang w:eastAsia="zh-CN"/>
        </w:rPr>
        <w:t xml:space="preserve">Z </w:t>
      </w:r>
      <w:r w:rsidRPr="00E21697">
        <w:rPr>
          <w:rFonts w:ascii="Book Antiqua" w:hAnsi="Book Antiqua" w:cs="Book Antiqua"/>
          <w:i/>
          <w:color w:val="000000"/>
          <w:lang w:eastAsia="zh-CN"/>
        </w:rPr>
        <w:t>et al</w:t>
      </w:r>
      <w:r w:rsidRPr="00E21697">
        <w:rPr>
          <w:rFonts w:ascii="Book Antiqua" w:hAnsi="Book Antiqua" w:cs="Book Antiqua"/>
          <w:color w:val="000000"/>
          <w:lang w:eastAsia="zh-CN"/>
        </w:rPr>
        <w:t xml:space="preserve">. </w:t>
      </w:r>
      <w:bookmarkStart w:id="3" w:name="OLE_LINK30"/>
      <w:bookmarkStart w:id="4" w:name="OLE_LINK31"/>
      <w:bookmarkStart w:id="5" w:name="OLE_LINK46"/>
      <w:r w:rsidRPr="00E21697">
        <w:rPr>
          <w:rFonts w:ascii="Book Antiqua" w:eastAsia="Book Antiqua" w:hAnsi="Book Antiqua" w:cs="Book Antiqua"/>
          <w:color w:val="000000"/>
        </w:rPr>
        <w:t>Hyperthermia in hepatopancreatobiliary cancers</w:t>
      </w:r>
      <w:bookmarkEnd w:id="3"/>
      <w:bookmarkEnd w:id="4"/>
      <w:bookmarkEnd w:id="5"/>
    </w:p>
    <w:p w14:paraId="00FCF54D" w14:textId="77777777" w:rsidR="006B2A8E" w:rsidRPr="00E21697" w:rsidRDefault="006B2A8E" w:rsidP="006B2A8E">
      <w:pPr>
        <w:spacing w:line="360" w:lineRule="auto"/>
        <w:jc w:val="both"/>
      </w:pPr>
    </w:p>
    <w:p w14:paraId="035B4D23" w14:textId="77777777" w:rsidR="006B2A8E" w:rsidRPr="00E21697" w:rsidRDefault="006B2A8E" w:rsidP="006B2A8E">
      <w:pPr>
        <w:spacing w:line="360" w:lineRule="auto"/>
        <w:jc w:val="both"/>
      </w:pPr>
      <w:r w:rsidRPr="00E21697">
        <w:rPr>
          <w:rFonts w:ascii="Book Antiqua" w:eastAsia="Book Antiqua" w:hAnsi="Book Antiqua" w:cs="Book Antiqua"/>
          <w:color w:val="000000"/>
        </w:rPr>
        <w:t xml:space="preserve">Zoltan </w:t>
      </w:r>
      <w:bookmarkStart w:id="6" w:name="OLE_LINK1"/>
      <w:bookmarkStart w:id="7" w:name="OLE_LINK2"/>
      <w:bookmarkStart w:id="8" w:name="OLE_LINK3"/>
      <w:r w:rsidRPr="00E21697">
        <w:rPr>
          <w:rFonts w:ascii="Book Antiqua" w:eastAsia="Book Antiqua" w:hAnsi="Book Antiqua" w:cs="Book Antiqua"/>
          <w:color w:val="000000"/>
        </w:rPr>
        <w:t>Herold</w:t>
      </w:r>
      <w:bookmarkEnd w:id="6"/>
      <w:bookmarkEnd w:id="7"/>
      <w:bookmarkEnd w:id="8"/>
      <w:r w:rsidRPr="00E21697">
        <w:rPr>
          <w:rFonts w:ascii="Book Antiqua" w:eastAsia="Book Antiqua" w:hAnsi="Book Antiqua" w:cs="Book Antiqua"/>
          <w:color w:val="000000"/>
        </w:rPr>
        <w:t>, A Marcell Szasz, Magdolna Dank</w:t>
      </w:r>
    </w:p>
    <w:p w14:paraId="60AAFA1A" w14:textId="77777777" w:rsidR="006B2A8E" w:rsidRPr="00E21697" w:rsidRDefault="006B2A8E" w:rsidP="006B2A8E">
      <w:pPr>
        <w:spacing w:line="360" w:lineRule="auto"/>
        <w:jc w:val="both"/>
      </w:pPr>
    </w:p>
    <w:p w14:paraId="1A499A3C" w14:textId="77777777" w:rsidR="006B2A8E" w:rsidRPr="00E21697" w:rsidRDefault="006B2A8E" w:rsidP="006B2A8E">
      <w:pPr>
        <w:spacing w:line="360" w:lineRule="auto"/>
        <w:jc w:val="both"/>
      </w:pPr>
      <w:r w:rsidRPr="00E21697">
        <w:rPr>
          <w:rFonts w:ascii="Book Antiqua" w:eastAsia="Book Antiqua" w:hAnsi="Book Antiqua" w:cs="Book Antiqua"/>
          <w:b/>
          <w:bCs/>
          <w:color w:val="000000"/>
        </w:rPr>
        <w:t xml:space="preserve">Zoltan Herold, A Marcell Szasz, Magdolna Dank, </w:t>
      </w:r>
      <w:r w:rsidRPr="00E21697">
        <w:rPr>
          <w:rFonts w:ascii="Book Antiqua" w:eastAsia="Book Antiqua" w:hAnsi="Book Antiqua" w:cs="Book Antiqua"/>
          <w:color w:val="000000"/>
        </w:rPr>
        <w:t xml:space="preserve">Division of Oncology, Department of Internal Medicine and Oncology, Semmelweis University, Budapest H-1083, </w:t>
      </w:r>
      <w:bookmarkStart w:id="9" w:name="OLE_LINK32"/>
      <w:bookmarkStart w:id="10" w:name="OLE_LINK33"/>
      <w:bookmarkStart w:id="11" w:name="OLE_LINK34"/>
      <w:r w:rsidRPr="00E21697">
        <w:rPr>
          <w:rFonts w:ascii="Book Antiqua" w:eastAsia="Book Antiqua" w:hAnsi="Book Antiqua" w:cs="Book Antiqua"/>
          <w:color w:val="000000"/>
        </w:rPr>
        <w:t>Hungary</w:t>
      </w:r>
      <w:bookmarkEnd w:id="9"/>
      <w:bookmarkEnd w:id="10"/>
      <w:bookmarkEnd w:id="11"/>
    </w:p>
    <w:p w14:paraId="14AEC1C5" w14:textId="77777777" w:rsidR="006B2A8E" w:rsidRPr="00E21697" w:rsidRDefault="006B2A8E" w:rsidP="006B2A8E">
      <w:pPr>
        <w:spacing w:line="360" w:lineRule="auto"/>
        <w:jc w:val="both"/>
      </w:pPr>
    </w:p>
    <w:p w14:paraId="0F4C7178" w14:textId="4FF585A3" w:rsidR="006B2A8E" w:rsidRPr="00A40512" w:rsidRDefault="006B2A8E" w:rsidP="006B2A8E">
      <w:pPr>
        <w:spacing w:line="360" w:lineRule="auto"/>
        <w:jc w:val="both"/>
      </w:pPr>
      <w:r w:rsidRPr="00E21697">
        <w:rPr>
          <w:rFonts w:ascii="Book Antiqua" w:eastAsia="Book Antiqua" w:hAnsi="Book Antiqua" w:cs="Book Antiqua"/>
          <w:b/>
          <w:bCs/>
          <w:color w:val="000000"/>
          <w:szCs w:val="22"/>
        </w:rPr>
        <w:t xml:space="preserve">Author contributions: </w:t>
      </w:r>
      <w:r w:rsidRPr="00E21697">
        <w:rPr>
          <w:rFonts w:ascii="Book Antiqua" w:eastAsia="Book Antiqua" w:hAnsi="Book Antiqua" w:cs="Book Antiqua"/>
          <w:color w:val="000000"/>
        </w:rPr>
        <w:t xml:space="preserve">Herold Z and Szasz AM searched the literature and drafted initial manuscript; Dank M provided further editing and comments; </w:t>
      </w:r>
      <w:r w:rsidR="00B33296" w:rsidRPr="00E21697">
        <w:rPr>
          <w:rFonts w:ascii="Book Antiqua" w:eastAsia="Book Antiqua" w:hAnsi="Book Antiqua" w:cs="Book Antiqua"/>
          <w:color w:val="000000"/>
        </w:rPr>
        <w:t>A</w:t>
      </w:r>
      <w:r w:rsidRPr="00A40512">
        <w:rPr>
          <w:rFonts w:ascii="Book Antiqua" w:eastAsia="Book Antiqua" w:hAnsi="Book Antiqua" w:cs="Book Antiqua"/>
          <w:color w:val="000000"/>
        </w:rPr>
        <w:t>ll authors have read and agreed to the published version of the manuscript.</w:t>
      </w:r>
    </w:p>
    <w:p w14:paraId="02A9C657" w14:textId="77777777" w:rsidR="006B2A8E" w:rsidRPr="00A40512" w:rsidRDefault="006B2A8E" w:rsidP="006B2A8E">
      <w:pPr>
        <w:spacing w:line="360" w:lineRule="auto"/>
        <w:jc w:val="both"/>
      </w:pPr>
    </w:p>
    <w:p w14:paraId="462A9E7E" w14:textId="35E6C802"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Supported by </w:t>
      </w:r>
      <w:bookmarkStart w:id="12" w:name="OLE_LINK47"/>
      <w:bookmarkStart w:id="13" w:name="OLE_LINK48"/>
      <w:r w:rsidR="00167471">
        <w:rPr>
          <w:rFonts w:ascii="Book Antiqua" w:hAnsi="Book Antiqua" w:cs="Book Antiqua" w:hint="eastAsia"/>
          <w:color w:val="000000"/>
          <w:lang w:eastAsia="zh-CN"/>
        </w:rPr>
        <w:t>T</w:t>
      </w:r>
      <w:r w:rsidRPr="00A40512">
        <w:rPr>
          <w:rFonts w:ascii="Book Antiqua" w:eastAsia="Book Antiqua" w:hAnsi="Book Antiqua" w:cs="Book Antiqua"/>
          <w:color w:val="000000"/>
        </w:rPr>
        <w:t xml:space="preserve">he </w:t>
      </w:r>
      <w:bookmarkStart w:id="14" w:name="OLE_LINK35"/>
      <w:bookmarkStart w:id="15" w:name="OLE_LINK36"/>
      <w:r w:rsidRPr="00A40512">
        <w:rPr>
          <w:rFonts w:ascii="Book Antiqua" w:eastAsia="Book Antiqua" w:hAnsi="Book Antiqua" w:cs="Book Antiqua"/>
          <w:color w:val="000000"/>
        </w:rPr>
        <w:t>UNKP-20-4-I New National Excellence Program of the Ministry for Innovation and Technology from the source of the National Research, Development and Innovation Fund.</w:t>
      </w:r>
      <w:bookmarkEnd w:id="12"/>
      <w:bookmarkEnd w:id="13"/>
      <w:bookmarkEnd w:id="14"/>
      <w:bookmarkEnd w:id="15"/>
    </w:p>
    <w:p w14:paraId="6C0F2C07" w14:textId="77777777" w:rsidR="006B2A8E" w:rsidRPr="00A40512" w:rsidRDefault="006B2A8E" w:rsidP="006B2A8E">
      <w:pPr>
        <w:spacing w:line="360" w:lineRule="auto"/>
        <w:jc w:val="both"/>
      </w:pPr>
    </w:p>
    <w:p w14:paraId="1D18FABC" w14:textId="074E1B3C" w:rsidR="006B2A8E" w:rsidRPr="00A40512" w:rsidRDefault="00F81FD6" w:rsidP="006B2A8E">
      <w:pPr>
        <w:spacing w:line="360" w:lineRule="auto"/>
        <w:jc w:val="both"/>
      </w:pPr>
      <w:r w:rsidRPr="00F81FD6">
        <w:rPr>
          <w:rFonts w:ascii="Book Antiqua" w:eastAsia="Book Antiqua" w:hAnsi="Book Antiqua" w:cs="Book Antiqua"/>
          <w:b/>
          <w:bCs/>
          <w:color w:val="000000"/>
        </w:rPr>
        <w:t>Corresponding author</w:t>
      </w:r>
      <w:r w:rsidR="006B2A8E" w:rsidRPr="00A40512">
        <w:rPr>
          <w:rFonts w:ascii="Book Antiqua" w:eastAsia="Book Antiqua" w:hAnsi="Book Antiqua" w:cs="Book Antiqua"/>
          <w:b/>
          <w:bCs/>
          <w:color w:val="000000"/>
        </w:rPr>
        <w:t xml:space="preserve">: Magdolna Dank, MD, PhD, Professor, </w:t>
      </w:r>
      <w:r w:rsidR="006B2A8E" w:rsidRPr="00A40512">
        <w:rPr>
          <w:rFonts w:ascii="Book Antiqua" w:eastAsia="Book Antiqua" w:hAnsi="Book Antiqua" w:cs="Book Antiqua"/>
          <w:color w:val="000000"/>
        </w:rPr>
        <w:t>Division of Oncology, Department of Internal Medicine and Oncology, Semmelweis University, Tomo u. 25-29, Budapest H-1083, Hungary. dank.magdolna@med.semmelweis-univ.hu</w:t>
      </w:r>
    </w:p>
    <w:p w14:paraId="6257D13E" w14:textId="77777777" w:rsidR="006B2A8E" w:rsidRPr="00A40512" w:rsidRDefault="006B2A8E" w:rsidP="006B2A8E">
      <w:pPr>
        <w:spacing w:line="360" w:lineRule="auto"/>
        <w:jc w:val="both"/>
      </w:pPr>
    </w:p>
    <w:p w14:paraId="5E031448"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Received: </w:t>
      </w:r>
      <w:r w:rsidRPr="00A40512">
        <w:rPr>
          <w:rFonts w:ascii="Book Antiqua" w:eastAsia="Book Antiqua" w:hAnsi="Book Antiqua" w:cs="Book Antiqua"/>
          <w:color w:val="000000"/>
        </w:rPr>
        <w:t>February 22, 2021</w:t>
      </w:r>
    </w:p>
    <w:p w14:paraId="372E096A" w14:textId="77777777" w:rsidR="006B2A8E" w:rsidRPr="00A40512" w:rsidRDefault="006B2A8E" w:rsidP="006B2A8E">
      <w:pPr>
        <w:spacing w:line="360" w:lineRule="auto"/>
        <w:jc w:val="both"/>
        <w:rPr>
          <w:lang w:eastAsia="zh-CN"/>
        </w:rPr>
      </w:pPr>
      <w:r w:rsidRPr="00A40512">
        <w:rPr>
          <w:rFonts w:ascii="Book Antiqua" w:eastAsia="Book Antiqua" w:hAnsi="Book Antiqua" w:cs="Book Antiqua"/>
          <w:b/>
          <w:bCs/>
          <w:color w:val="000000"/>
        </w:rPr>
        <w:t xml:space="preserve">Revised: </w:t>
      </w:r>
      <w:r w:rsidRPr="00A40512">
        <w:rPr>
          <w:rFonts w:ascii="Book Antiqua" w:hAnsi="Book Antiqua" w:cs="Book Antiqua"/>
          <w:bCs/>
          <w:color w:val="000000"/>
          <w:lang w:eastAsia="zh-CN"/>
        </w:rPr>
        <w:t>April 29, 2021</w:t>
      </w:r>
    </w:p>
    <w:p w14:paraId="7C2BF9A0"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lastRenderedPageBreak/>
        <w:t xml:space="preserve">Accepted: </w:t>
      </w:r>
      <w:r w:rsidRPr="00A40512">
        <w:rPr>
          <w:rFonts w:ascii="Book Antiqua" w:eastAsia="宋体" w:hAnsi="Book Antiqua"/>
          <w:color w:val="000000" w:themeColor="text1"/>
        </w:rPr>
        <w:t>July 23, 2021</w:t>
      </w:r>
    </w:p>
    <w:p w14:paraId="5A6BC9AF" w14:textId="77777777" w:rsidR="00AE4FD7" w:rsidRPr="00FD2D60" w:rsidRDefault="006B2A8E" w:rsidP="00AE4FD7">
      <w:pPr>
        <w:spacing w:line="360" w:lineRule="auto"/>
        <w:jc w:val="both"/>
        <w:rPr>
          <w:rFonts w:ascii="Book Antiqua" w:eastAsia="宋体" w:hAnsi="Book Antiqua"/>
          <w:color w:val="000000" w:themeColor="text1"/>
        </w:rPr>
      </w:pPr>
      <w:r w:rsidRPr="00A40512">
        <w:rPr>
          <w:rFonts w:ascii="Book Antiqua" w:eastAsia="Book Antiqua" w:hAnsi="Book Antiqua" w:cs="Book Antiqua"/>
          <w:b/>
          <w:bCs/>
          <w:color w:val="000000"/>
        </w:rPr>
        <w:t xml:space="preserve">Published online: </w:t>
      </w:r>
      <w:r w:rsidR="00AE4FD7" w:rsidRPr="00FD2D60">
        <w:rPr>
          <w:rFonts w:ascii="Book Antiqua" w:eastAsia="宋体" w:hAnsi="Book Antiqua"/>
          <w:color w:val="000000" w:themeColor="text1"/>
        </w:rPr>
        <w:t>September 15</w:t>
      </w:r>
      <w:r w:rsidR="00AE4FD7" w:rsidRPr="00F06907">
        <w:rPr>
          <w:rFonts w:ascii="Book Antiqua" w:eastAsia="宋体" w:hAnsi="Book Antiqua"/>
          <w:color w:val="000000" w:themeColor="text1"/>
        </w:rPr>
        <w:t>, 2021</w:t>
      </w:r>
    </w:p>
    <w:p w14:paraId="3172B617" w14:textId="742535B5" w:rsidR="006B2A8E" w:rsidRPr="00A40512" w:rsidRDefault="006B2A8E" w:rsidP="006B2A8E">
      <w:pPr>
        <w:spacing w:line="360" w:lineRule="auto"/>
        <w:jc w:val="both"/>
        <w:sectPr w:rsidR="006B2A8E" w:rsidRPr="00A40512">
          <w:headerReference w:type="default" r:id="rId8"/>
          <w:footerReference w:type="default" r:id="rId9"/>
          <w:pgSz w:w="12240" w:h="15840"/>
          <w:pgMar w:top="1440" w:right="1440" w:bottom="1440" w:left="1440" w:header="720" w:footer="720" w:gutter="0"/>
          <w:cols w:space="720"/>
          <w:docGrid w:linePitch="360"/>
        </w:sectPr>
      </w:pPr>
    </w:p>
    <w:p w14:paraId="18C06554" w14:textId="77777777" w:rsidR="006B2A8E" w:rsidRPr="00E21697" w:rsidRDefault="006B2A8E" w:rsidP="006B2A8E">
      <w:pPr>
        <w:spacing w:line="360" w:lineRule="auto"/>
        <w:jc w:val="both"/>
      </w:pPr>
      <w:r w:rsidRPr="00A40512">
        <w:rPr>
          <w:rFonts w:ascii="Book Antiqua" w:eastAsia="Book Antiqua" w:hAnsi="Book Antiqua" w:cs="Book Antiqua"/>
          <w:b/>
          <w:color w:val="000000"/>
        </w:rPr>
        <w:lastRenderedPageBreak/>
        <w:t>Abstract</w:t>
      </w:r>
    </w:p>
    <w:p w14:paraId="27FBFA3E" w14:textId="1A96B410" w:rsidR="006B2A8E" w:rsidRPr="00A40512" w:rsidRDefault="006B2A8E" w:rsidP="006B2A8E">
      <w:pPr>
        <w:spacing w:line="360" w:lineRule="auto"/>
        <w:jc w:val="both"/>
      </w:pPr>
      <w:bookmarkStart w:id="16" w:name="OLE_LINK51"/>
      <w:bookmarkStart w:id="17" w:name="OLE_LINK52"/>
      <w:r w:rsidRPr="00E21697">
        <w:rPr>
          <w:rFonts w:ascii="Book Antiqua" w:eastAsia="Book Antiqua" w:hAnsi="Book Antiqua" w:cs="Book Antiqua"/>
          <w:color w:val="000000"/>
        </w:rPr>
        <w:t>Hepatopancreatobiliary tumors are challenging to treat, and the advanced or metastatic forms have a very low 5-year survival rate. Several drug combinations have been tested</w:t>
      </w:r>
      <w:r w:rsidRPr="00A40512">
        <w:rPr>
          <w:rFonts w:ascii="Book Antiqua" w:eastAsia="Book Antiqua" w:hAnsi="Book Antiqua" w:cs="Book Antiqua"/>
          <w:color w:val="000000"/>
        </w:rPr>
        <w:t>, and new therapeutic approaches have been introduced in the last decades, including radiofrequency and heat based methods. Hyperthermia is the artificial heating of tumors by various biophysical methods that may possess immunostimulant, tumoricidal, and chemoradiotherapy sensitizer effects.</w:t>
      </w:r>
      <w:r w:rsidRPr="00A40512">
        <w:rPr>
          <w:lang w:eastAsia="zh-CN"/>
        </w:rPr>
        <w:t xml:space="preserve"> </w:t>
      </w:r>
      <w:r w:rsidRPr="00A40512">
        <w:rPr>
          <w:rFonts w:ascii="Book Antiqua" w:eastAsia="Book Antiqua" w:hAnsi="Book Antiqua" w:cs="Book Antiqua"/>
          <w:color w:val="000000"/>
        </w:rPr>
        <w:t xml:space="preserve">Both whole-body and regional hyperthermia studies have been conducted since the 1980s after the introduction of deep-seated tumor hyperthermia techniques. Results of the effects of hyperthermia in hepatocellular and pancreatic cancer are known from several studies. Hyperthermia in biliary cancers is a less investigated area. High local and overall responses to treatment, </w:t>
      </w:r>
      <w:r w:rsidR="00A808C5">
        <w:rPr>
          <w:rFonts w:ascii="Book Antiqua" w:eastAsia="Book Antiqua" w:hAnsi="Book Antiqua" w:cs="Book Antiqua"/>
          <w:color w:val="000000"/>
        </w:rPr>
        <w:t>i</w:t>
      </w:r>
      <w:r w:rsidRPr="00A40512">
        <w:rPr>
          <w:rFonts w:ascii="Book Antiqua" w:eastAsia="Book Antiqua" w:hAnsi="Book Antiqua" w:cs="Book Antiqua"/>
          <w:color w:val="000000"/>
        </w:rPr>
        <w:t xml:space="preserve">ncreased progression-free and overall survival, and improved laboratory and quality-of-life results are associated with hyperthermia in all three tumor types. With the evolution of chemotherapeutic agents and the introduction of newer techniques, the combination of adjuvant hyperthermia with those therapies is advantageous and has not </w:t>
      </w:r>
      <w:r w:rsidR="00E21697">
        <w:rPr>
          <w:rFonts w:ascii="Book Antiqua" w:eastAsia="Book Antiqua" w:hAnsi="Book Antiqua" w:cs="Book Antiqua"/>
          <w:color w:val="000000"/>
        </w:rPr>
        <w:t xml:space="preserve">been </w:t>
      </w:r>
      <w:r w:rsidRPr="00E21697">
        <w:rPr>
          <w:rFonts w:ascii="Book Antiqua" w:eastAsia="Book Antiqua" w:hAnsi="Book Antiqua" w:cs="Book Antiqua"/>
          <w:color w:val="000000"/>
        </w:rPr>
        <w:t xml:space="preserve">associated with an increase </w:t>
      </w:r>
      <w:r w:rsidR="00E21697">
        <w:rPr>
          <w:rFonts w:ascii="Book Antiqua" w:eastAsia="Book Antiqua" w:hAnsi="Book Antiqua" w:cs="Book Antiqua"/>
          <w:color w:val="000000"/>
        </w:rPr>
        <w:t>in</w:t>
      </w:r>
      <w:r w:rsidRPr="00A40512">
        <w:rPr>
          <w:rFonts w:ascii="Book Antiqua" w:eastAsia="Book Antiqua" w:hAnsi="Book Antiqua" w:cs="Book Antiqua"/>
          <w:color w:val="000000"/>
        </w:rPr>
        <w:t xml:space="preserve"> alarming adverse effects. However, despite the many positive effects of hyperthermia, its use is still only known at the experimental level, and its concomitant utilization in routine cancer treatment is not certain because of the lack of thorough clinical studies.</w:t>
      </w:r>
    </w:p>
    <w:bookmarkEnd w:id="16"/>
    <w:bookmarkEnd w:id="17"/>
    <w:p w14:paraId="08BBF53E" w14:textId="77777777" w:rsidR="006B2A8E" w:rsidRPr="00A40512" w:rsidRDefault="006B2A8E" w:rsidP="006B2A8E">
      <w:pPr>
        <w:spacing w:line="360" w:lineRule="auto"/>
        <w:jc w:val="both"/>
      </w:pPr>
    </w:p>
    <w:p w14:paraId="2DBC0166"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Key Words: </w:t>
      </w:r>
      <w:bookmarkStart w:id="18" w:name="OLE_LINK38"/>
      <w:bookmarkStart w:id="19" w:name="OLE_LINK39"/>
      <w:bookmarkStart w:id="20" w:name="OLE_LINK49"/>
      <w:r w:rsidRPr="00A40512">
        <w:rPr>
          <w:rFonts w:ascii="Book Antiqua" w:eastAsia="Book Antiqua" w:hAnsi="Book Antiqua" w:cs="Book Antiqua"/>
          <w:color w:val="000000"/>
        </w:rPr>
        <w:t xml:space="preserve">Hyperthermia </w:t>
      </w:r>
      <w:r w:rsidRPr="00A40512">
        <w:rPr>
          <w:rFonts w:ascii="Book Antiqua" w:hAnsi="Book Antiqua" w:cs="Book Antiqua"/>
          <w:color w:val="000000"/>
          <w:lang w:eastAsia="zh-CN"/>
        </w:rPr>
        <w:t>i</w:t>
      </w:r>
      <w:r w:rsidRPr="00A40512">
        <w:rPr>
          <w:rFonts w:ascii="Book Antiqua" w:eastAsia="Book Antiqua" w:hAnsi="Book Antiqua" w:cs="Book Antiqua"/>
          <w:color w:val="000000"/>
        </w:rPr>
        <w:t xml:space="preserve">nduced; Carcinoma </w:t>
      </w:r>
      <w:r w:rsidRPr="00A40512">
        <w:rPr>
          <w:rFonts w:ascii="Book Antiqua" w:hAnsi="Book Antiqua" w:cs="Book Antiqua"/>
          <w:color w:val="000000"/>
          <w:lang w:eastAsia="zh-CN"/>
        </w:rPr>
        <w:t>h</w:t>
      </w:r>
      <w:r w:rsidRPr="00A40512">
        <w:rPr>
          <w:rFonts w:ascii="Book Antiqua" w:eastAsia="Book Antiqua" w:hAnsi="Book Antiqua" w:cs="Book Antiqua"/>
          <w:color w:val="000000"/>
        </w:rPr>
        <w:t xml:space="preserve">epatocellular; Cholangiocarcinoma; Gallbladder </w:t>
      </w:r>
      <w:r w:rsidRPr="00A40512">
        <w:rPr>
          <w:rFonts w:ascii="Book Antiqua" w:hAnsi="Book Antiqua" w:cs="Book Antiqua"/>
          <w:color w:val="000000"/>
          <w:lang w:eastAsia="zh-CN"/>
        </w:rPr>
        <w:t>n</w:t>
      </w:r>
      <w:r w:rsidRPr="00A40512">
        <w:rPr>
          <w:rFonts w:ascii="Book Antiqua" w:eastAsia="Book Antiqua" w:hAnsi="Book Antiqua" w:cs="Book Antiqua"/>
          <w:color w:val="000000"/>
        </w:rPr>
        <w:t xml:space="preserve">eoplasms; Pancreatic </w:t>
      </w:r>
      <w:r w:rsidRPr="00A40512">
        <w:rPr>
          <w:rFonts w:ascii="Book Antiqua" w:hAnsi="Book Antiqua" w:cs="Book Antiqua"/>
          <w:color w:val="000000"/>
          <w:lang w:eastAsia="zh-CN"/>
        </w:rPr>
        <w:t>n</w:t>
      </w:r>
      <w:r w:rsidRPr="00A40512">
        <w:rPr>
          <w:rFonts w:ascii="Book Antiqua" w:eastAsia="Book Antiqua" w:hAnsi="Book Antiqua" w:cs="Book Antiqua"/>
          <w:color w:val="000000"/>
        </w:rPr>
        <w:t>eoplasms</w:t>
      </w:r>
      <w:bookmarkEnd w:id="18"/>
      <w:bookmarkEnd w:id="19"/>
      <w:bookmarkEnd w:id="20"/>
    </w:p>
    <w:p w14:paraId="208E7089" w14:textId="77777777" w:rsidR="006B2A8E" w:rsidRDefault="006B2A8E" w:rsidP="006B2A8E">
      <w:pPr>
        <w:spacing w:line="360" w:lineRule="auto"/>
        <w:jc w:val="both"/>
        <w:rPr>
          <w:lang w:eastAsia="zh-CN"/>
        </w:rPr>
      </w:pPr>
    </w:p>
    <w:p w14:paraId="32610C7C" w14:textId="77777777" w:rsidR="007A18CE" w:rsidRDefault="007A18CE" w:rsidP="007A18CE">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A170721" w14:textId="77777777" w:rsidR="007A18CE" w:rsidRPr="00A40512" w:rsidRDefault="007A18CE" w:rsidP="006B2A8E">
      <w:pPr>
        <w:spacing w:line="360" w:lineRule="auto"/>
        <w:jc w:val="both"/>
        <w:rPr>
          <w:lang w:eastAsia="zh-CN"/>
        </w:rPr>
      </w:pPr>
    </w:p>
    <w:p w14:paraId="488631EE" w14:textId="06ACA192" w:rsidR="007A18CE" w:rsidRDefault="000F2E37" w:rsidP="009E0725">
      <w:pPr>
        <w:adjustRightInd w:val="0"/>
        <w:snapToGrid w:val="0"/>
        <w:spacing w:line="360" w:lineRule="auto"/>
        <w:rPr>
          <w:rFonts w:ascii="Book Antiqua" w:hAnsi="Book Antiqua" w:cs="Book Antiqua"/>
          <w:lang w:val="pt-BR" w:eastAsia="zh-CN"/>
        </w:rPr>
      </w:pPr>
      <w:bookmarkStart w:id="21" w:name="OLE_LINK42"/>
      <w:bookmarkStart w:id="22" w:name="OLE_LINK43"/>
      <w:r w:rsidRPr="00DE40B4">
        <w:rPr>
          <w:rFonts w:ascii="Book Antiqua" w:eastAsia="Book Antiqua" w:hAnsi="Book Antiqua" w:cs="Book Antiqua"/>
          <w:b/>
          <w:color w:val="000000"/>
          <w:lang w:val="es-ES"/>
        </w:rPr>
        <w:t xml:space="preserve">Citation: </w:t>
      </w:r>
      <w:r w:rsidR="006B2A8E" w:rsidRPr="00A40512">
        <w:rPr>
          <w:rFonts w:ascii="Book Antiqua" w:eastAsia="Book Antiqua" w:hAnsi="Book Antiqua" w:cs="Book Antiqua"/>
          <w:color w:val="000000"/>
        </w:rPr>
        <w:t xml:space="preserve">Herold Z, Szasz AM, Dank M. Evidence based tools to improve efficiency of currently administered oncotherapies for tumors of the hepatopancreatobiliary system. </w:t>
      </w:r>
      <w:r w:rsidR="006B2A8E" w:rsidRPr="00A40512">
        <w:rPr>
          <w:rFonts w:ascii="Book Antiqua" w:eastAsia="Book Antiqua" w:hAnsi="Book Antiqua" w:cs="Book Antiqua"/>
          <w:i/>
          <w:iCs/>
          <w:color w:val="000000"/>
        </w:rPr>
        <w:t>World J Gastrointest Oncol</w:t>
      </w:r>
      <w:r w:rsidR="006B2A8E" w:rsidRPr="00A40512">
        <w:rPr>
          <w:rFonts w:ascii="Book Antiqua" w:eastAsia="Book Antiqua" w:hAnsi="Book Antiqua" w:cs="Book Antiqua"/>
          <w:color w:val="000000"/>
        </w:rPr>
        <w:t xml:space="preserve"> </w:t>
      </w:r>
      <w:bookmarkEnd w:id="21"/>
      <w:bookmarkEnd w:id="22"/>
      <w:r w:rsidR="009E0725" w:rsidRPr="00685BDC">
        <w:rPr>
          <w:rFonts w:ascii="Book Antiqua" w:eastAsia="Book Antiqua" w:hAnsi="Book Antiqua" w:cs="Book Antiqua"/>
          <w:lang w:val="pt-BR"/>
        </w:rPr>
        <w:t xml:space="preserve">2021; </w:t>
      </w:r>
      <w:r w:rsidR="009E0725" w:rsidRPr="00021734">
        <w:rPr>
          <w:rFonts w:ascii="Book Antiqua" w:eastAsia="Book Antiqua" w:hAnsi="Book Antiqua" w:cs="Book Antiqua"/>
          <w:lang w:val="pt-BR"/>
        </w:rPr>
        <w:t>13(</w:t>
      </w:r>
      <w:r w:rsidR="009E0725">
        <w:rPr>
          <w:rFonts w:ascii="Book Antiqua" w:eastAsia="Book Antiqua" w:hAnsi="Book Antiqua" w:cs="Book Antiqua"/>
          <w:lang w:val="pt-BR"/>
        </w:rPr>
        <w:t>9</w:t>
      </w:r>
      <w:r w:rsidR="009E0725" w:rsidRPr="00021734">
        <w:rPr>
          <w:rFonts w:ascii="Book Antiqua" w:eastAsia="Book Antiqua" w:hAnsi="Book Antiqua" w:cs="Book Antiqua"/>
          <w:lang w:val="pt-BR"/>
        </w:rPr>
        <w:t>)</w:t>
      </w:r>
      <w:r w:rsidR="009E0725" w:rsidRPr="00685BDC">
        <w:rPr>
          <w:rFonts w:ascii="Book Antiqua" w:eastAsia="Book Antiqua" w:hAnsi="Book Antiqua" w:cs="Book Antiqua"/>
          <w:lang w:val="pt-BR"/>
        </w:rPr>
        <w:t xml:space="preserve">: </w:t>
      </w:r>
      <w:r w:rsidR="00945DDD" w:rsidRPr="00945DDD">
        <w:rPr>
          <w:rFonts w:ascii="Book Antiqua" w:eastAsia="Book Antiqua" w:hAnsi="Book Antiqua" w:cs="Book Antiqua"/>
          <w:lang w:val="pt-BR"/>
        </w:rPr>
        <w:t>1109</w:t>
      </w:r>
      <w:r w:rsidR="009E0725" w:rsidRPr="00685BDC">
        <w:rPr>
          <w:rFonts w:ascii="Book Antiqua" w:eastAsia="Book Antiqua" w:hAnsi="Book Antiqua" w:cs="Book Antiqua"/>
          <w:lang w:val="pt-BR"/>
        </w:rPr>
        <w:t>-</w:t>
      </w:r>
      <w:r w:rsidR="00945DDD" w:rsidRPr="00945DDD">
        <w:rPr>
          <w:rFonts w:ascii="Book Antiqua" w:eastAsia="Book Antiqua" w:hAnsi="Book Antiqua" w:cs="Book Antiqua"/>
          <w:lang w:val="pt-BR"/>
        </w:rPr>
        <w:t>1120</w:t>
      </w:r>
    </w:p>
    <w:p w14:paraId="4F4BA8BC" w14:textId="51728357" w:rsidR="007A18CE" w:rsidRDefault="009E0725" w:rsidP="009E0725">
      <w:pPr>
        <w:adjustRightInd w:val="0"/>
        <w:snapToGrid w:val="0"/>
        <w:spacing w:line="360" w:lineRule="auto"/>
        <w:rPr>
          <w:rFonts w:ascii="Book Antiqua" w:hAnsi="Book Antiqua" w:cs="Book Antiqua"/>
          <w:lang w:val="pt-BR" w:eastAsia="zh-CN"/>
        </w:rPr>
      </w:pPr>
      <w:r w:rsidRPr="007A18CE">
        <w:rPr>
          <w:rFonts w:ascii="Book Antiqua" w:eastAsia="Book Antiqua" w:hAnsi="Book Antiqua" w:cs="Book Antiqua"/>
          <w:b/>
          <w:lang w:val="pt-BR"/>
        </w:rPr>
        <w:lastRenderedPageBreak/>
        <w:t xml:space="preserve">URL: </w:t>
      </w:r>
      <w:r w:rsidRPr="00685BDC">
        <w:rPr>
          <w:rFonts w:ascii="Book Antiqua" w:eastAsia="Book Antiqua" w:hAnsi="Book Antiqua" w:cs="Book Antiqua"/>
          <w:lang w:val="pt-BR"/>
        </w:rPr>
        <w:t>https://www.wjgnet.com/</w:t>
      </w:r>
      <w:r w:rsidRPr="00021734">
        <w:rPr>
          <w:rFonts w:ascii="Book Antiqua" w:eastAsia="Book Antiqua" w:hAnsi="Book Antiqua" w:cs="Book Antiqua"/>
          <w:lang w:val="pt-BR"/>
        </w:rPr>
        <w:t>1948-5204</w:t>
      </w:r>
      <w:r w:rsidRPr="00685BDC">
        <w:rPr>
          <w:rFonts w:ascii="Book Antiqua" w:eastAsia="Book Antiqua" w:hAnsi="Book Antiqua" w:cs="Book Antiqua"/>
          <w:lang w:val="pt-BR"/>
        </w:rPr>
        <w:t>/full/</w:t>
      </w:r>
      <w:r w:rsidRPr="00021734">
        <w:rPr>
          <w:rFonts w:ascii="Book Antiqua" w:eastAsia="Book Antiqua" w:hAnsi="Book Antiqua" w:cs="Book Antiqua"/>
          <w:lang w:val="pt-BR"/>
        </w:rPr>
        <w:t>v13/i</w:t>
      </w:r>
      <w:r>
        <w:rPr>
          <w:rFonts w:ascii="Book Antiqua" w:eastAsia="Book Antiqua" w:hAnsi="Book Antiqua" w:cs="Book Antiqua"/>
          <w:lang w:val="pt-BR"/>
        </w:rPr>
        <w:t>9</w:t>
      </w:r>
      <w:r w:rsidRPr="00685BDC">
        <w:rPr>
          <w:rFonts w:ascii="Book Antiqua" w:eastAsia="Book Antiqua" w:hAnsi="Book Antiqua" w:cs="Book Antiqua"/>
          <w:lang w:val="pt-BR"/>
        </w:rPr>
        <w:t>/</w:t>
      </w:r>
      <w:r w:rsidR="00945DDD" w:rsidRPr="00945DDD">
        <w:rPr>
          <w:rFonts w:ascii="Book Antiqua" w:eastAsia="Book Antiqua" w:hAnsi="Book Antiqua" w:cs="Book Antiqua"/>
          <w:lang w:val="pt-BR"/>
        </w:rPr>
        <w:t>1109</w:t>
      </w:r>
      <w:r w:rsidRPr="00685BDC">
        <w:rPr>
          <w:rFonts w:ascii="Book Antiqua" w:eastAsia="Book Antiqua" w:hAnsi="Book Antiqua" w:cs="Book Antiqua"/>
          <w:lang w:val="pt-BR"/>
        </w:rPr>
        <w:t>.htm</w:t>
      </w:r>
    </w:p>
    <w:p w14:paraId="23945AA2" w14:textId="42A7A7DA" w:rsidR="009E0725" w:rsidRPr="00021734" w:rsidRDefault="009E0725" w:rsidP="009E0725">
      <w:pPr>
        <w:adjustRightInd w:val="0"/>
        <w:snapToGrid w:val="0"/>
        <w:spacing w:line="360" w:lineRule="auto"/>
        <w:rPr>
          <w:rFonts w:ascii="Book Antiqua" w:eastAsia="Book Antiqua" w:hAnsi="Book Antiqua" w:cs="Book Antiqua"/>
          <w:lang w:val="pt-BR"/>
        </w:rPr>
      </w:pPr>
      <w:r w:rsidRPr="007A18CE">
        <w:rPr>
          <w:rFonts w:ascii="Book Antiqua" w:eastAsia="Book Antiqua" w:hAnsi="Book Antiqua" w:cs="Book Antiqua"/>
          <w:b/>
          <w:lang w:val="pt-BR"/>
        </w:rPr>
        <w:t xml:space="preserve">DOI: </w:t>
      </w:r>
      <w:r w:rsidRPr="00685BDC">
        <w:rPr>
          <w:rFonts w:ascii="Book Antiqua" w:eastAsia="Book Antiqua" w:hAnsi="Book Antiqua" w:cs="Book Antiqua"/>
          <w:lang w:val="pt-BR"/>
        </w:rPr>
        <w:t>https://dx.doi.org/</w:t>
      </w:r>
      <w:r w:rsidRPr="00021734">
        <w:rPr>
          <w:rFonts w:ascii="Book Antiqua" w:eastAsia="Book Antiqua" w:hAnsi="Book Antiqua" w:cs="Book Antiqua"/>
          <w:lang w:val="pt-BR"/>
        </w:rPr>
        <w:t>10.4251</w:t>
      </w:r>
      <w:r w:rsidRPr="00685BDC">
        <w:rPr>
          <w:rFonts w:ascii="Book Antiqua" w:eastAsia="Book Antiqua" w:hAnsi="Book Antiqua" w:cs="Book Antiqua"/>
          <w:lang w:val="pt-BR"/>
        </w:rPr>
        <w:t>/</w:t>
      </w:r>
      <w:r w:rsidRPr="00021734">
        <w:rPr>
          <w:rFonts w:ascii="Book Antiqua" w:eastAsia="Book Antiqua" w:hAnsi="Book Antiqua" w:cs="Book Antiqua"/>
          <w:lang w:val="pt-BR"/>
        </w:rPr>
        <w:t>wjgo.v13.i</w:t>
      </w:r>
      <w:r>
        <w:rPr>
          <w:rFonts w:ascii="Book Antiqua" w:eastAsia="Book Antiqua" w:hAnsi="Book Antiqua" w:cs="Book Antiqua"/>
          <w:lang w:val="pt-BR"/>
        </w:rPr>
        <w:t>9</w:t>
      </w:r>
      <w:r w:rsidRPr="00021734">
        <w:rPr>
          <w:rFonts w:ascii="Book Antiqua" w:eastAsia="Book Antiqua" w:hAnsi="Book Antiqua" w:cs="Book Antiqua"/>
          <w:lang w:val="pt-BR"/>
        </w:rPr>
        <w:t>.</w:t>
      </w:r>
      <w:r w:rsidR="00945DDD" w:rsidRPr="00945DDD">
        <w:rPr>
          <w:rFonts w:ascii="Book Antiqua" w:eastAsia="Book Antiqua" w:hAnsi="Book Antiqua" w:cs="Book Antiqua"/>
          <w:lang w:val="pt-BR"/>
        </w:rPr>
        <w:t>1109</w:t>
      </w:r>
    </w:p>
    <w:p w14:paraId="309B3D17" w14:textId="0D65C97A" w:rsidR="006B2A8E" w:rsidRPr="009E0725" w:rsidRDefault="006B2A8E" w:rsidP="006B2A8E">
      <w:pPr>
        <w:spacing w:line="360" w:lineRule="auto"/>
        <w:jc w:val="both"/>
        <w:rPr>
          <w:lang w:val="pt-BR"/>
        </w:rPr>
      </w:pPr>
    </w:p>
    <w:p w14:paraId="4E836981" w14:textId="7BC779CD" w:rsidR="006B2A8E" w:rsidRPr="00A40512" w:rsidRDefault="006B2A8E" w:rsidP="006B2A8E">
      <w:pPr>
        <w:spacing w:line="360" w:lineRule="auto"/>
        <w:jc w:val="both"/>
      </w:pPr>
      <w:r w:rsidRPr="00A40512">
        <w:rPr>
          <w:rFonts w:ascii="Book Antiqua" w:eastAsia="Book Antiqua" w:hAnsi="Book Antiqua" w:cs="Book Antiqua"/>
          <w:b/>
          <w:bCs/>
          <w:color w:val="000000"/>
          <w:szCs w:val="22"/>
        </w:rPr>
        <w:t xml:space="preserve">Core Tip: </w:t>
      </w:r>
      <w:bookmarkStart w:id="23" w:name="OLE_LINK40"/>
      <w:bookmarkStart w:id="24" w:name="OLE_LINK41"/>
      <w:bookmarkStart w:id="25" w:name="OLE_LINK50"/>
      <w:r w:rsidRPr="00A40512">
        <w:rPr>
          <w:rFonts w:ascii="Book Antiqua" w:eastAsia="Book Antiqua" w:hAnsi="Book Antiqua" w:cs="Book Antiqua"/>
          <w:color w:val="000000"/>
        </w:rPr>
        <w:t>Adjuvant hyperthermia is beneficial in hepatopancreatobiliary cancers because of its direct and indirect antitumor effects. Increased treatment response, prolonged survival, and improved laboratory and quality of life data have been observed in several randomized and observational clinical trials of various hyperthermia methods. The use of hyperthermia in cancer care is not yet routine. In this review, the clinical data on hyperthermia in hepatopancreatobiliary tumors is summarized, focusing mainly on results that have the most clinical and research interest.</w:t>
      </w:r>
    </w:p>
    <w:bookmarkEnd w:id="23"/>
    <w:bookmarkEnd w:id="24"/>
    <w:bookmarkEnd w:id="25"/>
    <w:p w14:paraId="22736503" w14:textId="77777777" w:rsidR="006B2A8E" w:rsidRPr="00A40512" w:rsidRDefault="006B2A8E" w:rsidP="006B2A8E">
      <w:pPr>
        <w:spacing w:line="360" w:lineRule="auto"/>
        <w:jc w:val="both"/>
      </w:pPr>
      <w:r w:rsidRPr="00A40512">
        <w:rPr>
          <w:rFonts w:ascii="Book Antiqua" w:eastAsia="Book Antiqua" w:hAnsi="Book Antiqua" w:cs="Book Antiqua"/>
          <w:b/>
          <w:caps/>
          <w:color w:val="000000"/>
          <w:u w:val="single"/>
        </w:rPr>
        <w:br w:type="page"/>
      </w:r>
      <w:r w:rsidRPr="00A40512">
        <w:rPr>
          <w:rFonts w:ascii="Book Antiqua" w:eastAsia="Book Antiqua" w:hAnsi="Book Antiqua" w:cs="Book Antiqua"/>
          <w:b/>
          <w:caps/>
          <w:color w:val="000000"/>
          <w:u w:val="single"/>
        </w:rPr>
        <w:lastRenderedPageBreak/>
        <w:t>INTRODUCTION</w:t>
      </w:r>
    </w:p>
    <w:p w14:paraId="3FF6F430" w14:textId="53A8DFEA" w:rsidR="006B2A8E" w:rsidRPr="00A40512" w:rsidRDefault="006B2A8E" w:rsidP="006B2A8E">
      <w:pPr>
        <w:spacing w:line="360" w:lineRule="auto"/>
        <w:jc w:val="both"/>
      </w:pPr>
      <w:bookmarkStart w:id="26" w:name="OLE_LINK53"/>
      <w:bookmarkStart w:id="27" w:name="OLE_LINK54"/>
      <w:r w:rsidRPr="00A40512">
        <w:rPr>
          <w:rFonts w:ascii="Book Antiqua" w:eastAsia="Book Antiqua" w:hAnsi="Book Antiqua" w:cs="Book Antiqua"/>
          <w:color w:val="000000"/>
        </w:rPr>
        <w:t>Hepatopancreatobiliary cancers are fatal diseases that can be characterized by very low 5-year survival rates</w:t>
      </w:r>
      <w:r w:rsidRPr="00A40512">
        <w:rPr>
          <w:rFonts w:ascii="Book Antiqua" w:eastAsia="Book Antiqua" w:hAnsi="Book Antiqua" w:cs="Book Antiqua"/>
          <w:color w:val="000000"/>
          <w:szCs w:val="30"/>
          <w:vertAlign w:val="superscript"/>
        </w:rPr>
        <w:t>[1-3]</w:t>
      </w:r>
      <w:r w:rsidRPr="00A40512">
        <w:rPr>
          <w:rFonts w:ascii="Book Antiqua" w:eastAsia="Book Antiqua" w:hAnsi="Book Antiqua" w:cs="Book Antiqua"/>
          <w:color w:val="000000"/>
        </w:rPr>
        <w:t>. In 2018, over 1.5 million new cases and approximately 1.4 million deaths from hepatocellular (HCC), biliary (BC) including gallbladder and cholangiocellular (CCC), and pancreatic cancers (PC) were reported</w:t>
      </w:r>
      <w:r w:rsidRPr="00A40512">
        <w:rPr>
          <w:rFonts w:ascii="Book Antiqua" w:eastAsia="Book Antiqua" w:hAnsi="Book Antiqua" w:cs="Book Antiqua"/>
          <w:color w:val="000000"/>
          <w:szCs w:val="30"/>
          <w:vertAlign w:val="superscript"/>
        </w:rPr>
        <w:t>[4]</w:t>
      </w:r>
      <w:r w:rsidRPr="00A40512">
        <w:rPr>
          <w:rFonts w:ascii="Book Antiqua" w:eastAsia="Book Antiqua" w:hAnsi="Book Antiqua" w:cs="Book Antiqua"/>
          <w:color w:val="000000"/>
        </w:rPr>
        <w:t>. Diagnosis at a more advanced stage is characteristic to all four tumor types</w:t>
      </w:r>
      <w:r w:rsidRPr="00A40512">
        <w:rPr>
          <w:rFonts w:ascii="Book Antiqua" w:eastAsia="Book Antiqua" w:hAnsi="Book Antiqua" w:cs="Book Antiqua"/>
          <w:color w:val="000000"/>
          <w:szCs w:val="30"/>
          <w:vertAlign w:val="superscript"/>
        </w:rPr>
        <w:t>[1-3]</w:t>
      </w:r>
      <w:r w:rsidRPr="00A40512">
        <w:rPr>
          <w:rFonts w:ascii="Book Antiqua" w:eastAsia="Book Antiqua" w:hAnsi="Book Antiqua" w:cs="Book Antiqua"/>
          <w:color w:val="000000"/>
        </w:rPr>
        <w:t>, which is usually accompanied by other comorbidities like a cirrhotic state of the liver, which further worsens patient life expectancy</w:t>
      </w:r>
      <w:r w:rsidRPr="00A40512">
        <w:rPr>
          <w:rFonts w:ascii="Book Antiqua" w:eastAsia="Book Antiqua" w:hAnsi="Book Antiqua" w:cs="Book Antiqua"/>
          <w:color w:val="000000"/>
          <w:szCs w:val="30"/>
          <w:vertAlign w:val="superscript"/>
        </w:rPr>
        <w:t>[1]</w:t>
      </w:r>
      <w:r w:rsidRPr="00A40512">
        <w:rPr>
          <w:rFonts w:ascii="Book Antiqua" w:eastAsia="Book Antiqua" w:hAnsi="Book Antiqua" w:cs="Book Antiqua"/>
          <w:color w:val="000000"/>
        </w:rPr>
        <w:t>. In the last decades, several new techniques and possible multimodal thera</w:t>
      </w:r>
      <w:bookmarkStart w:id="28" w:name="_GoBack"/>
      <w:bookmarkEnd w:id="28"/>
      <w:r w:rsidRPr="00A40512">
        <w:rPr>
          <w:rFonts w:ascii="Book Antiqua" w:eastAsia="Book Antiqua" w:hAnsi="Book Antiqua" w:cs="Book Antiqua"/>
          <w:color w:val="000000"/>
        </w:rPr>
        <w:t>pies have emerged that support conventional surgical resection and facilitate chemoradiotherapy, including but not limited to various thermal ablative methods</w:t>
      </w:r>
      <w:r w:rsidRPr="00A40512">
        <w:rPr>
          <w:rFonts w:ascii="Book Antiqua" w:eastAsia="Book Antiqua" w:hAnsi="Book Antiqua" w:cs="Book Antiqua"/>
          <w:color w:val="000000"/>
          <w:szCs w:val="30"/>
          <w:vertAlign w:val="superscript"/>
        </w:rPr>
        <w:t>[5]</w:t>
      </w:r>
      <w:r w:rsidRPr="00A40512">
        <w:rPr>
          <w:rFonts w:ascii="Book Antiqua" w:eastAsia="Book Antiqua" w:hAnsi="Book Antiqua" w:cs="Book Antiqua"/>
          <w:color w:val="000000"/>
        </w:rPr>
        <w:t xml:space="preserve"> including radiofrequency</w:t>
      </w:r>
      <w:r w:rsidRPr="00A40512">
        <w:rPr>
          <w:rFonts w:ascii="Book Antiqua" w:eastAsia="Book Antiqua" w:hAnsi="Book Antiqua" w:cs="Book Antiqua"/>
          <w:color w:val="000000"/>
          <w:szCs w:val="30"/>
          <w:vertAlign w:val="superscript"/>
        </w:rPr>
        <w:t>[6]</w:t>
      </w:r>
      <w:r w:rsidRPr="00A40512">
        <w:rPr>
          <w:rFonts w:ascii="Book Antiqua" w:eastAsia="Book Antiqua" w:hAnsi="Book Antiqua" w:cs="Book Antiqua"/>
          <w:color w:val="000000"/>
        </w:rPr>
        <w:t xml:space="preserve"> and microwave ablation</w:t>
      </w:r>
      <w:r w:rsidRPr="00A40512">
        <w:rPr>
          <w:rFonts w:ascii="Book Antiqua" w:eastAsia="Book Antiqua" w:hAnsi="Book Antiqua" w:cs="Book Antiqua"/>
          <w:color w:val="000000"/>
          <w:szCs w:val="30"/>
          <w:vertAlign w:val="superscript"/>
        </w:rPr>
        <w:t>[7]</w:t>
      </w:r>
      <w:r w:rsidRPr="00A40512">
        <w:rPr>
          <w:rFonts w:ascii="Book Antiqua" w:eastAsia="Book Antiqua" w:hAnsi="Book Antiqua" w:cs="Book Antiqua"/>
          <w:color w:val="000000"/>
        </w:rPr>
        <w:t>, laser-induced thermotherapy</w:t>
      </w:r>
      <w:r w:rsidRPr="00A40512">
        <w:rPr>
          <w:rFonts w:ascii="Book Antiqua" w:eastAsia="Book Antiqua" w:hAnsi="Book Antiqua" w:cs="Book Antiqua"/>
          <w:color w:val="000000"/>
          <w:szCs w:val="30"/>
          <w:vertAlign w:val="superscript"/>
        </w:rPr>
        <w:t>[8]</w:t>
      </w:r>
      <w:r w:rsidRPr="00A40512">
        <w:rPr>
          <w:rFonts w:ascii="Book Antiqua" w:eastAsia="Book Antiqua" w:hAnsi="Book Antiqua" w:cs="Book Antiqua"/>
          <w:color w:val="000000"/>
        </w:rPr>
        <w:t>, hyperthermic intraperitoneal chemotherapy</w:t>
      </w:r>
      <w:r w:rsidRPr="00A40512">
        <w:rPr>
          <w:rFonts w:ascii="Book Antiqua" w:eastAsia="Book Antiqua" w:hAnsi="Book Antiqua" w:cs="Book Antiqua"/>
          <w:color w:val="000000"/>
          <w:szCs w:val="30"/>
          <w:vertAlign w:val="superscript"/>
        </w:rPr>
        <w:t>[9]</w:t>
      </w:r>
      <w:r w:rsidRPr="00A40512">
        <w:rPr>
          <w:rFonts w:ascii="Book Antiqua" w:eastAsia="Book Antiqua" w:hAnsi="Book Antiqua" w:cs="Book Antiqua"/>
          <w:color w:val="000000"/>
        </w:rPr>
        <w:t>, percutaneous ethanol injection</w:t>
      </w:r>
      <w:r w:rsidRPr="00A40512">
        <w:rPr>
          <w:rFonts w:ascii="Book Antiqua" w:eastAsia="Book Antiqua" w:hAnsi="Book Antiqua" w:cs="Book Antiqua"/>
          <w:color w:val="000000"/>
          <w:szCs w:val="30"/>
          <w:vertAlign w:val="superscript"/>
        </w:rPr>
        <w:t>[10]</w:t>
      </w:r>
      <w:r w:rsidRPr="00A40512">
        <w:rPr>
          <w:rFonts w:ascii="Book Antiqua" w:eastAsia="Book Antiqua" w:hAnsi="Book Antiqua" w:cs="Book Antiqua"/>
          <w:color w:val="000000"/>
        </w:rPr>
        <w:t>, transcatheter arterial chemoembolization</w:t>
      </w:r>
      <w:r w:rsidRPr="00A40512">
        <w:rPr>
          <w:rFonts w:ascii="Book Antiqua" w:eastAsia="Book Antiqua" w:hAnsi="Book Antiqua" w:cs="Book Antiqua"/>
          <w:color w:val="000000"/>
          <w:szCs w:val="30"/>
          <w:vertAlign w:val="superscript"/>
        </w:rPr>
        <w:t>[11]</w:t>
      </w:r>
      <w:r w:rsidRPr="00A40512">
        <w:rPr>
          <w:rFonts w:ascii="Book Antiqua" w:eastAsia="Book Antiqua" w:hAnsi="Book Antiqua" w:cs="Book Antiqua"/>
          <w:color w:val="000000"/>
        </w:rPr>
        <w:t>, high-intensity focused ultrasound</w:t>
      </w:r>
      <w:r w:rsidRPr="00A40512">
        <w:rPr>
          <w:rFonts w:ascii="Book Antiqua" w:eastAsia="Book Antiqua" w:hAnsi="Book Antiqua" w:cs="Book Antiqua"/>
          <w:color w:val="000000"/>
          <w:szCs w:val="30"/>
          <w:vertAlign w:val="superscript"/>
        </w:rPr>
        <w:t>[12]</w:t>
      </w:r>
      <w:r w:rsidRPr="00A40512">
        <w:rPr>
          <w:rFonts w:ascii="Book Antiqua" w:eastAsia="Book Antiqua" w:hAnsi="Book Antiqua" w:cs="Book Antiqua"/>
          <w:color w:val="000000"/>
        </w:rPr>
        <w:t>, and various types of hyperthermia</w:t>
      </w:r>
      <w:r w:rsidRPr="00A40512">
        <w:rPr>
          <w:rFonts w:ascii="Book Antiqua" w:eastAsia="Book Antiqua" w:hAnsi="Book Antiqua" w:cs="Book Antiqua"/>
          <w:color w:val="000000"/>
          <w:szCs w:val="30"/>
          <w:vertAlign w:val="superscript"/>
        </w:rPr>
        <w:t>[13]</w:t>
      </w:r>
      <w:r w:rsidRPr="00A40512">
        <w:rPr>
          <w:rFonts w:ascii="Book Antiqua" w:eastAsia="Book Antiqua" w:hAnsi="Book Antiqua" w:cs="Book Antiqua"/>
          <w:color w:val="000000"/>
        </w:rPr>
        <w:t>.</w:t>
      </w:r>
    </w:p>
    <w:p w14:paraId="0002B5F3" w14:textId="7777777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The available literature on the clinical applications of hyperthermia in hepatopancreatobiliary cancers is discussed in this review, focusing on survival and safety data that might be an interest to the practicing oncologists. The presentation of in-depth technical details of hyperthermia and its effects on cells and biochemical processes is not the aim of the current review, focused publications on those subjects are available</w:t>
      </w:r>
      <w:r w:rsidRPr="00A40512">
        <w:rPr>
          <w:rFonts w:ascii="Book Antiqua" w:eastAsia="Book Antiqua" w:hAnsi="Book Antiqua" w:cs="Book Antiqua"/>
          <w:color w:val="000000"/>
          <w:szCs w:val="30"/>
          <w:vertAlign w:val="superscript"/>
        </w:rPr>
        <w:t>[13-18]</w:t>
      </w:r>
      <w:r w:rsidRPr="00A40512">
        <w:rPr>
          <w:rFonts w:ascii="Book Antiqua" w:eastAsia="Book Antiqua" w:hAnsi="Book Antiqua" w:cs="Book Antiqua"/>
          <w:color w:val="000000"/>
        </w:rPr>
        <w:t>.</w:t>
      </w:r>
    </w:p>
    <w:bookmarkEnd w:id="26"/>
    <w:bookmarkEnd w:id="27"/>
    <w:p w14:paraId="030ADCF5" w14:textId="77777777" w:rsidR="006B2A8E" w:rsidRPr="00A40512" w:rsidRDefault="006B2A8E" w:rsidP="006B2A8E">
      <w:pPr>
        <w:spacing w:line="360" w:lineRule="auto"/>
        <w:jc w:val="both"/>
      </w:pPr>
    </w:p>
    <w:p w14:paraId="52CB66E4" w14:textId="77777777" w:rsidR="006B2A8E" w:rsidRPr="00A40512" w:rsidRDefault="006B2A8E" w:rsidP="006B2A8E">
      <w:pPr>
        <w:spacing w:line="360" w:lineRule="auto"/>
        <w:jc w:val="both"/>
        <w:rPr>
          <w:u w:val="single"/>
        </w:rPr>
      </w:pPr>
      <w:r w:rsidRPr="00A40512">
        <w:rPr>
          <w:rFonts w:ascii="Book Antiqua" w:eastAsia="Book Antiqua" w:hAnsi="Book Antiqua" w:cs="Book Antiqua"/>
          <w:b/>
          <w:bCs/>
          <w:color w:val="000000"/>
          <w:u w:val="single"/>
        </w:rPr>
        <w:t>METHODLOGY</w:t>
      </w:r>
    </w:p>
    <w:p w14:paraId="60370FDE" w14:textId="0C4950AA" w:rsidR="006B2A8E" w:rsidRPr="00A40512" w:rsidRDefault="006B2A8E" w:rsidP="006B2A8E">
      <w:pPr>
        <w:spacing w:line="360" w:lineRule="auto"/>
        <w:jc w:val="both"/>
      </w:pPr>
      <w:r w:rsidRPr="00A40512">
        <w:rPr>
          <w:rFonts w:ascii="Book Antiqua" w:eastAsia="Book Antiqua" w:hAnsi="Book Antiqua" w:cs="Book Antiqua"/>
          <w:color w:val="000000"/>
        </w:rPr>
        <w:t>A literature search was conducted in PubMed/MEDLINE using the strings “cholangiocarcinoma hyperthermia”, “gallbladder cancer hyperthermia”, “hepatocellular hyperthermia”, and “pancreatic cancer hyperthermia”, for articles published from January 1, 1964 to January 31, 2021. After removing duplicates, a total of 780 potential articles were found, from which 39 full-text articles were selected (</w:t>
      </w:r>
      <w:r w:rsidRPr="00A40512">
        <w:rPr>
          <w:rFonts w:ascii="Book Antiqua" w:eastAsia="Book Antiqua" w:hAnsi="Book Antiqua" w:cs="Book Antiqua"/>
          <w:bCs/>
          <w:color w:val="000000"/>
        </w:rPr>
        <w:t>Figure 1</w:t>
      </w:r>
      <w:r w:rsidRPr="00A40512">
        <w:rPr>
          <w:rFonts w:ascii="Book Antiqua" w:eastAsia="Book Antiqua" w:hAnsi="Book Antiqua" w:cs="Book Antiqua"/>
          <w:color w:val="000000"/>
        </w:rPr>
        <w:t xml:space="preserve">). A secondary search in ClinicalTrials.gov was conducted, and an additional three finished and four currently running clinical trials were identified. Five additional </w:t>
      </w:r>
      <w:r w:rsidRPr="00A40512">
        <w:rPr>
          <w:rFonts w:ascii="Book Antiqua" w:eastAsia="Book Antiqua" w:hAnsi="Book Antiqua" w:cs="Book Antiqua"/>
          <w:color w:val="000000"/>
        </w:rPr>
        <w:lastRenderedPageBreak/>
        <w:t>studies were included from another search in meta-analysis and review citations, raising the total number of 47 publications included in this review (</w:t>
      </w:r>
      <w:r w:rsidRPr="00A40512">
        <w:rPr>
          <w:rFonts w:ascii="Book Antiqua" w:eastAsia="Book Antiqua" w:hAnsi="Book Antiqua" w:cs="Book Antiqua"/>
          <w:bCs/>
          <w:color w:val="000000"/>
        </w:rPr>
        <w:t>Table 1</w:t>
      </w:r>
      <w:r w:rsidRPr="00A40512">
        <w:rPr>
          <w:rFonts w:ascii="Book Antiqua" w:eastAsia="Book Antiqua" w:hAnsi="Book Antiqua" w:cs="Book Antiqua"/>
          <w:color w:val="000000"/>
        </w:rPr>
        <w:t>).</w:t>
      </w:r>
    </w:p>
    <w:p w14:paraId="3B68A39F" w14:textId="1B474CAD"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Figures 2 and 3 were drawn with R version 4.0.4 (R Foundation for Statistical Computing, Vienna, Austria, 2021) and the R package forestplot (version 1.10.1, Max Gordon and Thomas Lumley, 2020). Data were obtained from eligible articles, and a simple difference in overall survival and disease control rate (the sum of complete or partial response to treatment and stable disease) was calculated from the results of the cohorts with and without hyperthermia.</w:t>
      </w:r>
    </w:p>
    <w:p w14:paraId="3859DAC9" w14:textId="77777777" w:rsidR="006B2A8E" w:rsidRPr="00A40512" w:rsidRDefault="006B2A8E" w:rsidP="006B2A8E">
      <w:pPr>
        <w:spacing w:line="360" w:lineRule="auto"/>
        <w:jc w:val="both"/>
      </w:pPr>
    </w:p>
    <w:p w14:paraId="6A2B2A8E" w14:textId="77777777" w:rsidR="006B2A8E" w:rsidRPr="00A40512" w:rsidRDefault="006B2A8E" w:rsidP="006B2A8E">
      <w:pPr>
        <w:spacing w:line="360" w:lineRule="auto"/>
        <w:jc w:val="both"/>
        <w:rPr>
          <w:u w:val="single"/>
        </w:rPr>
      </w:pPr>
      <w:bookmarkStart w:id="29" w:name="OLE_LINK55"/>
      <w:r w:rsidRPr="00A40512">
        <w:rPr>
          <w:rFonts w:ascii="Book Antiqua" w:eastAsia="Book Antiqua" w:hAnsi="Book Antiqua" w:cs="Book Antiqua"/>
          <w:b/>
          <w:bCs/>
          <w:color w:val="000000"/>
          <w:u w:val="single"/>
        </w:rPr>
        <w:t>HYPERTHERMIA IN CANCER TREATMENT</w:t>
      </w:r>
    </w:p>
    <w:bookmarkEnd w:id="29"/>
    <w:p w14:paraId="150C8C1D" w14:textId="79BF9919" w:rsidR="006B2A8E" w:rsidRPr="00A40512" w:rsidRDefault="006B2A8E" w:rsidP="006B2A8E">
      <w:pPr>
        <w:spacing w:line="360" w:lineRule="auto"/>
        <w:jc w:val="both"/>
      </w:pPr>
      <w:r w:rsidRPr="00A40512">
        <w:rPr>
          <w:rFonts w:ascii="Book Antiqua" w:eastAsia="Book Antiqua" w:hAnsi="Book Antiqua" w:cs="Book Antiqua"/>
          <w:color w:val="000000"/>
        </w:rPr>
        <w:t xml:space="preserve">Hyperthermia in oncology is the artificial raising of the temperature of the tumor to approximately 39-45 </w:t>
      </w:r>
      <w:r w:rsidRPr="00A40512">
        <w:rPr>
          <w:rFonts w:eastAsia="宋体" w:hint="eastAsia"/>
          <w:color w:val="000000"/>
          <w:szCs w:val="30"/>
        </w:rPr>
        <w:t>℃</w:t>
      </w:r>
      <w:r w:rsidRPr="00A40512">
        <w:rPr>
          <w:rFonts w:ascii="Book Antiqua" w:eastAsia="Book Antiqua" w:hAnsi="Book Antiqua" w:cs="Book Antiqua"/>
          <w:color w:val="000000"/>
        </w:rPr>
        <w:t xml:space="preserve">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full body or local heating methods</w:t>
      </w:r>
      <w:r w:rsidRPr="00A40512">
        <w:rPr>
          <w:rFonts w:ascii="Book Antiqua" w:eastAsia="Book Antiqua" w:hAnsi="Book Antiqua" w:cs="Book Antiqua"/>
          <w:color w:val="000000"/>
          <w:szCs w:val="30"/>
          <w:vertAlign w:val="superscript"/>
        </w:rPr>
        <w:t>[18]</w:t>
      </w:r>
      <w:r w:rsidRPr="00A40512">
        <w:rPr>
          <w:rFonts w:ascii="Book Antiqua" w:eastAsia="Book Antiqua" w:hAnsi="Book Antiqua" w:cs="Book Antiqua"/>
          <w:color w:val="000000"/>
        </w:rPr>
        <w:t xml:space="preserve">. In brief, heating is achieved by various biophysical techniques, namely capacitive and radiative methods, which have tumoricidal effects on cancer cells through direct metabolic effects or heating or an indirect immunomodulatory impact. Radiotherapy-resistant, hypoxic, and S-phase cells can be killed. Enhancement of the radiation effect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inhibition of DNA damage repair has been observed following combined administration of adjuvant hyperthermia with radiotherapy</w:t>
      </w:r>
      <w:r w:rsidRPr="00A40512">
        <w:rPr>
          <w:rFonts w:ascii="Book Antiqua" w:eastAsia="Book Antiqua" w:hAnsi="Book Antiqua" w:cs="Book Antiqua"/>
          <w:color w:val="000000"/>
          <w:szCs w:val="30"/>
          <w:vertAlign w:val="superscript"/>
        </w:rPr>
        <w:t>[18-20]</w:t>
      </w:r>
      <w:r w:rsidRPr="00A40512">
        <w:rPr>
          <w:rFonts w:ascii="Book Antiqua" w:eastAsia="Book Antiqua" w:hAnsi="Book Antiqua" w:cs="Book Antiqua"/>
          <w:color w:val="000000"/>
        </w:rPr>
        <w:t xml:space="preserve">. Hyperthermia also has a sensitizer effect on chemotherapy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increased cytotoxicity</w:t>
      </w:r>
      <w:r w:rsidRPr="00A40512">
        <w:rPr>
          <w:rFonts w:ascii="Book Antiqua" w:eastAsia="Book Antiqua" w:hAnsi="Book Antiqua" w:cs="Book Antiqua"/>
          <w:color w:val="000000"/>
          <w:szCs w:val="30"/>
          <w:vertAlign w:val="superscript"/>
        </w:rPr>
        <w:t>[13,15,18]</w:t>
      </w:r>
      <w:r w:rsidRPr="00A40512">
        <w:rPr>
          <w:rFonts w:ascii="Book Antiqua" w:eastAsia="Book Antiqua" w:hAnsi="Book Antiqua" w:cs="Book Antiqua"/>
          <w:color w:val="000000"/>
        </w:rPr>
        <w:t>.</w:t>
      </w:r>
    </w:p>
    <w:p w14:paraId="1D67F80C" w14:textId="335DB66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The earliest studies on hyperthermia, published in the late 1970s investigated only superficial cancers</w:t>
      </w:r>
      <w:r w:rsidRPr="00A40512">
        <w:rPr>
          <w:rFonts w:ascii="Book Antiqua" w:eastAsia="Book Antiqua" w:hAnsi="Book Antiqua" w:cs="Book Antiqua"/>
          <w:color w:val="000000"/>
          <w:szCs w:val="30"/>
          <w:vertAlign w:val="superscript"/>
        </w:rPr>
        <w:t>[21]</w:t>
      </w:r>
      <w:r w:rsidRPr="00A40512">
        <w:rPr>
          <w:rFonts w:ascii="Book Antiqua" w:eastAsia="Book Antiqua" w:hAnsi="Book Antiqua" w:cs="Book Antiqua"/>
          <w:color w:val="000000"/>
        </w:rPr>
        <w:t>; trials on deep-seated tumors have been conducted since the 1980s</w:t>
      </w:r>
      <w:r w:rsidRPr="00A40512">
        <w:rPr>
          <w:rFonts w:ascii="Book Antiqua" w:eastAsia="Book Antiqua" w:hAnsi="Book Antiqua" w:cs="Book Antiqua"/>
          <w:color w:val="000000"/>
          <w:szCs w:val="30"/>
          <w:vertAlign w:val="superscript"/>
        </w:rPr>
        <w:t>[22,23]</w:t>
      </w:r>
      <w:r w:rsidRPr="00A40512">
        <w:rPr>
          <w:rFonts w:ascii="Book Antiqua" w:eastAsia="Book Antiqua" w:hAnsi="Book Antiqua" w:cs="Book Antiqua"/>
          <w:color w:val="000000"/>
        </w:rPr>
        <w:t>. Two major hyperthermia types can be distinguished. Whole-body hyperthermia involves the patient’s entire body surface, while in local/regional hyperthermia techniques only the tumor and its surroundings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the pelvic or abdominal region) are exposed to the electric field</w:t>
      </w:r>
      <w:r w:rsidRPr="00A40512">
        <w:rPr>
          <w:rFonts w:ascii="Book Antiqua" w:eastAsia="Book Antiqua" w:hAnsi="Book Antiqua" w:cs="Book Antiqua"/>
          <w:color w:val="000000"/>
          <w:szCs w:val="30"/>
          <w:vertAlign w:val="superscript"/>
        </w:rPr>
        <w:t>[18]</w:t>
      </w:r>
      <w:r w:rsidRPr="00A40512">
        <w:rPr>
          <w:rFonts w:ascii="Book Antiqua" w:eastAsia="Book Antiqua" w:hAnsi="Book Antiqua" w:cs="Book Antiqua"/>
          <w:color w:val="000000"/>
        </w:rPr>
        <w:t>. Early hyperthermia studies of hepatopancreatobiliary cancers included both whole-body and regional hyperthermia, but most of the latest studies evaluated only regional hyperthermia and modulated electrohyperthermia (mEHT), the latest advancement in regional hyperthermia</w:t>
      </w:r>
      <w:r w:rsidRPr="00A40512">
        <w:rPr>
          <w:rFonts w:ascii="Book Antiqua" w:eastAsia="Book Antiqua" w:hAnsi="Book Antiqua" w:cs="Book Antiqua"/>
          <w:color w:val="000000"/>
          <w:szCs w:val="30"/>
          <w:vertAlign w:val="superscript"/>
        </w:rPr>
        <w:t>[24]</w:t>
      </w:r>
      <w:r w:rsidRPr="00A40512">
        <w:rPr>
          <w:rFonts w:ascii="Book Antiqua" w:eastAsia="Book Antiqua" w:hAnsi="Book Antiqua" w:cs="Book Antiqua"/>
          <w:color w:val="000000"/>
        </w:rPr>
        <w:t xml:space="preserve">. The easier application of regional hyperthermia and a few additional adverse effects of </w:t>
      </w:r>
      <w:r w:rsidRPr="00A40512">
        <w:rPr>
          <w:rFonts w:ascii="Book Antiqua" w:eastAsia="Book Antiqua" w:hAnsi="Book Antiqua" w:cs="Book Antiqua"/>
          <w:color w:val="000000"/>
        </w:rPr>
        <w:lastRenderedPageBreak/>
        <w:t>whole-body hyperthermia, detailed below, may among the factors behind why whole-body hyperthermia has recently been used less frequently.</w:t>
      </w:r>
    </w:p>
    <w:p w14:paraId="38A3B116" w14:textId="4FFDDC28"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After whole-body hyperthermia, a significant increase in beta-endorphin, adrenocorticotropic hormone, and cortisol levels have been observed. Furthermore, the longer the hyperthermia treatment lasted, the higher the hormone levels rose, and normalization of hormone levels required at least a day following treatment</w:t>
      </w:r>
      <w:r w:rsidRPr="00A40512">
        <w:rPr>
          <w:rFonts w:ascii="Book Antiqua" w:eastAsia="Book Antiqua" w:hAnsi="Book Antiqua" w:cs="Book Antiqua"/>
          <w:color w:val="000000"/>
          <w:szCs w:val="30"/>
          <w:vertAlign w:val="superscript"/>
        </w:rPr>
        <w:t>[17]</w:t>
      </w:r>
      <w:r w:rsidRPr="00A40512">
        <w:rPr>
          <w:rFonts w:ascii="Book Antiqua" w:eastAsia="Book Antiqua" w:hAnsi="Book Antiqua" w:cs="Book Antiqua"/>
          <w:color w:val="000000"/>
        </w:rPr>
        <w:t xml:space="preserve">. Side effects of whole-body hyperthermia can be vomiting, nausea, low-grade fever ≤ 24 h after treatment, as well as a small increase in liver functions, and increased </w:t>
      </w:r>
      <w:r w:rsidR="001A2B6F">
        <w:rPr>
          <w:rFonts w:ascii="Book Antiqua" w:eastAsia="Book Antiqua" w:hAnsi="Book Antiqua" w:cs="Book Antiqua"/>
          <w:i/>
          <w:color w:val="000000"/>
        </w:rPr>
        <w:t>H</w:t>
      </w:r>
      <w:r w:rsidRPr="001A2B6F">
        <w:rPr>
          <w:rFonts w:ascii="Book Antiqua" w:eastAsia="Book Antiqua" w:hAnsi="Book Antiqua" w:cs="Book Antiqua"/>
          <w:i/>
          <w:color w:val="000000"/>
        </w:rPr>
        <w:t>uman alphaherpesvirus 1</w:t>
      </w:r>
      <w:r w:rsidRPr="00A40512">
        <w:rPr>
          <w:rFonts w:ascii="Book Antiqua" w:eastAsia="Book Antiqua" w:hAnsi="Book Antiqua" w:cs="Book Antiqua"/>
          <w:color w:val="000000"/>
        </w:rPr>
        <w:t xml:space="preserve"> and urinary tract infections</w:t>
      </w:r>
      <w:r w:rsidRPr="00A40512">
        <w:rPr>
          <w:rFonts w:ascii="Book Antiqua" w:eastAsia="Book Antiqua" w:hAnsi="Book Antiqua" w:cs="Book Antiqua"/>
          <w:color w:val="000000"/>
          <w:szCs w:val="30"/>
          <w:vertAlign w:val="superscript"/>
        </w:rPr>
        <w:t>[25-27]</w:t>
      </w:r>
      <w:r w:rsidRPr="00A40512">
        <w:rPr>
          <w:rFonts w:ascii="Book Antiqua" w:eastAsia="Book Antiqua" w:hAnsi="Book Antiqua" w:cs="Book Antiqua"/>
          <w:color w:val="000000"/>
        </w:rPr>
        <w:t>. It should be also emphasized that during the procedure, patients have to be in a light conscious sedation. Moreover, whole-body hyperthermia is a longer procedure. Usually, 1-2 h are necessary to raise the body temperature, followed by maintaining the temperature reached, and a cooling phase is also necessary, resulting in a total procedure time of at least 4-6 h</w:t>
      </w:r>
      <w:r w:rsidRPr="00A40512">
        <w:rPr>
          <w:rFonts w:ascii="Book Antiqua" w:eastAsia="Book Antiqua" w:hAnsi="Book Antiqua" w:cs="Book Antiqua"/>
          <w:color w:val="000000"/>
          <w:szCs w:val="30"/>
          <w:vertAlign w:val="superscript"/>
        </w:rPr>
        <w:t>[25-28]</w:t>
      </w:r>
      <w:r w:rsidRPr="00A40512">
        <w:rPr>
          <w:rFonts w:ascii="Book Antiqua" w:eastAsia="Book Antiqua" w:hAnsi="Book Antiqua" w:cs="Book Antiqua"/>
          <w:color w:val="000000"/>
        </w:rPr>
        <w:t>.</w:t>
      </w:r>
    </w:p>
    <w:p w14:paraId="7ACD72D4" w14:textId="6573E80C"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Regional hyperthermia, in comparison, does not require sedation and only takes 30-60 min. Common adverse events related to regional hyperthermia and mEHT during the procedure are thermal stress, local discomfort, hot sensation, abdominal and back pain, bolus pressure, position-related discomfort or pain, tachycardia, and grade I and II burns at the heated region</w:t>
      </w:r>
      <w:r w:rsidRPr="00A40512">
        <w:rPr>
          <w:rFonts w:ascii="Book Antiqua" w:eastAsia="Book Antiqua" w:hAnsi="Book Antiqua" w:cs="Book Antiqua"/>
          <w:color w:val="000000"/>
          <w:szCs w:val="30"/>
          <w:vertAlign w:val="superscript"/>
        </w:rPr>
        <w:t>[29-46]</w:t>
      </w:r>
      <w:r w:rsidRPr="00A40512">
        <w:rPr>
          <w:rFonts w:ascii="Book Antiqua" w:eastAsia="Book Antiqua" w:hAnsi="Book Antiqua" w:cs="Book Antiqua"/>
          <w:color w:val="000000"/>
        </w:rPr>
        <w:t>. Increased liver enzymes, skin rashes at the heated region, and occasional mild subcutaneous fat necrosis, nausea, dyspnea, and urinary urgency can also occur after the procedure</w:t>
      </w:r>
      <w:r w:rsidRPr="00A40512">
        <w:rPr>
          <w:rFonts w:ascii="Book Antiqua" w:eastAsia="Book Antiqua" w:hAnsi="Book Antiqua" w:cs="Book Antiqua"/>
          <w:color w:val="000000"/>
          <w:szCs w:val="30"/>
          <w:vertAlign w:val="superscript"/>
        </w:rPr>
        <w:t>[29,39-46]</w:t>
      </w:r>
      <w:r w:rsidRPr="00A40512">
        <w:rPr>
          <w:rFonts w:ascii="Book Antiqua" w:eastAsia="Book Antiqua" w:hAnsi="Book Antiqua" w:cs="Book Antiqua"/>
          <w:color w:val="000000"/>
        </w:rPr>
        <w:t>. Several studies have reported a higher incidence of hematotoxicity in patients treated with hyperthermia than in those without hyperthermia</w:t>
      </w:r>
      <w:r w:rsidRPr="00A40512">
        <w:rPr>
          <w:rFonts w:ascii="Book Antiqua" w:eastAsia="Book Antiqua" w:hAnsi="Book Antiqua" w:cs="Book Antiqua"/>
          <w:color w:val="000000"/>
          <w:szCs w:val="30"/>
          <w:vertAlign w:val="superscript"/>
        </w:rPr>
        <w:t>[30,31,47]</w:t>
      </w:r>
      <w:r w:rsidRPr="00A40512">
        <w:rPr>
          <w:rFonts w:ascii="Book Antiqua" w:eastAsia="Book Antiqua" w:hAnsi="Book Antiqua" w:cs="Book Antiqua"/>
          <w:color w:val="000000"/>
        </w:rPr>
        <w:t>, possibly associated with the increased cytotoxicity of chemotherapeutic agents in hyperthermia</w:t>
      </w:r>
      <w:r w:rsidRPr="00A40512">
        <w:rPr>
          <w:rFonts w:ascii="Book Antiqua" w:eastAsia="Book Antiqua" w:hAnsi="Book Antiqua" w:cs="Book Antiqua"/>
          <w:color w:val="000000"/>
          <w:szCs w:val="30"/>
          <w:vertAlign w:val="superscript"/>
        </w:rPr>
        <w:t>[13,15,18]</w:t>
      </w:r>
      <w:r w:rsidRPr="00A40512">
        <w:rPr>
          <w:rFonts w:ascii="Book Antiqua" w:eastAsia="Book Antiqua" w:hAnsi="Book Antiqua" w:cs="Book Antiqua"/>
          <w:color w:val="000000"/>
        </w:rPr>
        <w:t xml:space="preserve">. Various combination of therapy options can also increase or decrease hyperthermia-related tolerability. Most of the studies reported basically 100% tolerability, but Nagata </w:t>
      </w:r>
      <w:r w:rsidRPr="00A40512">
        <w:rPr>
          <w:rFonts w:ascii="Book Antiqua" w:eastAsia="Book Antiqua" w:hAnsi="Book Antiqua" w:cs="Book Antiqua"/>
          <w:i/>
          <w:iCs/>
          <w:color w:val="000000"/>
        </w:rPr>
        <w:t>et al</w:t>
      </w:r>
      <w:r w:rsidRPr="00A40512">
        <w:rPr>
          <w:rFonts w:ascii="Book Antiqua" w:eastAsia="Book Antiqua" w:hAnsi="Book Antiqua" w:cs="Book Antiqua"/>
          <w:color w:val="000000"/>
          <w:szCs w:val="30"/>
          <w:vertAlign w:val="superscript"/>
        </w:rPr>
        <w:t>[41]</w:t>
      </w:r>
      <w:r w:rsidRPr="00A40512">
        <w:rPr>
          <w:rFonts w:ascii="Book Antiqua" w:eastAsia="Book Antiqua" w:hAnsi="Book Antiqua" w:cs="Book Antiqua"/>
          <w:color w:val="000000"/>
          <w:szCs w:val="30"/>
        </w:rPr>
        <w:t xml:space="preserve"> reported </w:t>
      </w:r>
      <w:r w:rsidRPr="00A40512">
        <w:rPr>
          <w:rFonts w:ascii="Book Antiqua" w:eastAsia="Book Antiqua" w:hAnsi="Book Antiqua" w:cs="Book Antiqua"/>
          <w:color w:val="000000"/>
        </w:rPr>
        <w:t>that hyperthermia had to be discontinued in almost every fifth patient.</w:t>
      </w:r>
    </w:p>
    <w:p w14:paraId="36BB270D" w14:textId="77777777" w:rsidR="006B2A8E" w:rsidRPr="00A40512" w:rsidRDefault="006B2A8E" w:rsidP="006B2A8E">
      <w:pPr>
        <w:spacing w:line="360" w:lineRule="auto"/>
        <w:jc w:val="both"/>
      </w:pPr>
    </w:p>
    <w:p w14:paraId="44D5F743" w14:textId="77777777" w:rsidR="006B2A8E" w:rsidRPr="00A40512" w:rsidRDefault="006B2A8E" w:rsidP="006B2A8E">
      <w:pPr>
        <w:spacing w:line="360" w:lineRule="auto"/>
        <w:jc w:val="both"/>
        <w:rPr>
          <w:u w:val="single"/>
          <w:lang w:eastAsia="zh-CN"/>
        </w:rPr>
      </w:pPr>
      <w:bookmarkStart w:id="30" w:name="OLE_LINK56"/>
      <w:bookmarkStart w:id="31" w:name="OLE_LINK57"/>
      <w:r w:rsidRPr="00A40512">
        <w:rPr>
          <w:rFonts w:ascii="Book Antiqua" w:eastAsia="Book Antiqua" w:hAnsi="Book Antiqua" w:cs="Book Antiqua"/>
          <w:b/>
          <w:bCs/>
          <w:color w:val="000000"/>
          <w:u w:val="single"/>
        </w:rPr>
        <w:t xml:space="preserve">HYPERTHERMIA IN </w:t>
      </w:r>
      <w:r w:rsidRPr="00A40512">
        <w:rPr>
          <w:rFonts w:ascii="Book Antiqua" w:hAnsi="Book Antiqua" w:cs="Book Antiqua"/>
          <w:b/>
          <w:bCs/>
          <w:color w:val="000000"/>
          <w:u w:val="single"/>
          <w:lang w:eastAsia="zh-CN"/>
        </w:rPr>
        <w:t>PC</w:t>
      </w:r>
    </w:p>
    <w:bookmarkEnd w:id="30"/>
    <w:bookmarkEnd w:id="31"/>
    <w:p w14:paraId="5F7BA180" w14:textId="3501DB1D" w:rsidR="006B2A8E" w:rsidRPr="00A40512" w:rsidRDefault="006B2A8E" w:rsidP="006B2A8E">
      <w:pPr>
        <w:spacing w:line="360" w:lineRule="auto"/>
        <w:jc w:val="both"/>
      </w:pPr>
      <w:r w:rsidRPr="00A40512">
        <w:rPr>
          <w:rFonts w:ascii="Book Antiqua" w:eastAsia="Book Antiqua" w:hAnsi="Book Antiqua" w:cs="Book Antiqua"/>
          <w:color w:val="000000"/>
        </w:rPr>
        <w:lastRenderedPageBreak/>
        <w:t>Current treatment options for PC are surgical resection with postoperative chemoradiotherapy, and systemic chemotherapy for borderline resectable and locally advanced or metastatic PCs</w:t>
      </w:r>
      <w:r w:rsidRPr="00A40512">
        <w:rPr>
          <w:rFonts w:ascii="Book Antiqua" w:eastAsia="Book Antiqua" w:hAnsi="Book Antiqua" w:cs="Book Antiqua"/>
          <w:color w:val="000000"/>
          <w:szCs w:val="30"/>
          <w:vertAlign w:val="superscript"/>
        </w:rPr>
        <w:t>[3]</w:t>
      </w:r>
      <w:r w:rsidRPr="00A40512">
        <w:rPr>
          <w:rFonts w:ascii="Book Antiqua" w:eastAsia="Book Antiqua" w:hAnsi="Book Antiqua" w:cs="Book Antiqua"/>
          <w:color w:val="000000"/>
        </w:rPr>
        <w:t>. Historically 5-fluorouracil was the most used chemotherapy agent in advanced and metastatic PCs, but was replaced by gemcitabine and FOLFIRINOX (folinic acid + 5-fluorouracil + irinotecan + oxaliplatin) starting in the mid-1990s</w:t>
      </w:r>
      <w:r w:rsidRPr="00A40512">
        <w:rPr>
          <w:rFonts w:ascii="Book Antiqua" w:eastAsia="Book Antiqua" w:hAnsi="Book Antiqua" w:cs="Book Antiqua"/>
          <w:color w:val="000000"/>
          <w:szCs w:val="30"/>
          <w:vertAlign w:val="superscript"/>
        </w:rPr>
        <w:t>[48,49]</w:t>
      </w:r>
      <w:r w:rsidRPr="00A40512">
        <w:rPr>
          <w:rFonts w:ascii="Book Antiqua" w:eastAsia="Book Antiqua" w:hAnsi="Book Antiqua" w:cs="Book Antiqua"/>
          <w:color w:val="000000"/>
        </w:rPr>
        <w:t>. Hyperthermia has been introduced as an auxiliary treatment for advanced and metastatic PCs.</w:t>
      </w:r>
    </w:p>
    <w:p w14:paraId="24EF9560" w14:textId="04573721"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Whole-body hyperthermia was shown to improve the effect of melphalan on blood cell counts in refractory cancers including PC</w:t>
      </w:r>
      <w:r w:rsidRPr="00A40512">
        <w:rPr>
          <w:rFonts w:ascii="Book Antiqua" w:eastAsia="Book Antiqua" w:hAnsi="Book Antiqua" w:cs="Book Antiqua"/>
          <w:color w:val="000000"/>
          <w:szCs w:val="30"/>
          <w:vertAlign w:val="superscript"/>
        </w:rPr>
        <w:t>[26]</w:t>
      </w:r>
      <w:r w:rsidRPr="00A40512">
        <w:rPr>
          <w:rFonts w:ascii="Book Antiqua" w:eastAsia="Book Antiqua" w:hAnsi="Book Antiqua" w:cs="Book Antiqua"/>
          <w:color w:val="000000"/>
        </w:rPr>
        <w:t>, but no such effect was observed if carboplatin was administered alone</w:t>
      </w:r>
      <w:r w:rsidRPr="00A40512">
        <w:rPr>
          <w:rFonts w:ascii="Book Antiqua" w:eastAsia="Book Antiqua" w:hAnsi="Book Antiqua" w:cs="Book Antiqua"/>
          <w:color w:val="000000"/>
          <w:szCs w:val="30"/>
          <w:vertAlign w:val="superscript"/>
        </w:rPr>
        <w:t>[25]</w:t>
      </w:r>
      <w:r w:rsidRPr="00A40512">
        <w:rPr>
          <w:rFonts w:ascii="Book Antiqua" w:eastAsia="Book Antiqua" w:hAnsi="Book Antiqua" w:cs="Book Antiqua"/>
          <w:color w:val="000000"/>
        </w:rPr>
        <w:t>. A treatment regimen of monthly cisplatin + gemcitabine with whole-body hyperthermia combined with continuous low-dose interferon-α had somewhat improved survival compared with standard chemoradiotherapy in metastatic PC, and a higher partial response rate to thermo-chemotherapy</w:t>
      </w:r>
      <w:r w:rsidRPr="00A40512">
        <w:rPr>
          <w:rFonts w:ascii="Book Antiqua" w:eastAsia="Book Antiqua" w:hAnsi="Book Antiqua" w:cs="Book Antiqua"/>
          <w:color w:val="000000"/>
          <w:szCs w:val="30"/>
          <w:vertAlign w:val="superscript"/>
        </w:rPr>
        <w:t>[27]</w:t>
      </w:r>
      <w:r w:rsidRPr="00A40512">
        <w:rPr>
          <w:rFonts w:ascii="Book Antiqua" w:eastAsia="Book Antiqua" w:hAnsi="Book Antiqua" w:cs="Book Antiqua"/>
          <w:color w:val="000000"/>
        </w:rPr>
        <w:t>. In another study, advanced PC patients, who had achieved partial remission, had longer median survival than those who had not responded to the treatment (11.4</w:t>
      </w:r>
      <w:r w:rsidRPr="00A40512">
        <w:rPr>
          <w:rFonts w:ascii="Book Antiqua" w:hAnsi="Book Antiqua" w:cs="Book Antiqua"/>
          <w:color w:val="000000"/>
          <w:lang w:eastAsia="zh-CN"/>
        </w:rPr>
        <w:t xml:space="preserve"> mo</w:t>
      </w:r>
      <w:r w:rsidRPr="00A40512">
        <w:rPr>
          <w:rFonts w:ascii="Book Antiqua" w:eastAsia="Book Antiqua" w:hAnsi="Book Antiqua" w:cs="Book Antiqua"/>
          <w:color w:val="000000"/>
        </w:rPr>
        <w:t xml:space="preserve"> </w:t>
      </w:r>
      <w:r w:rsidRPr="00A40512">
        <w:rPr>
          <w:rFonts w:ascii="Book Antiqua" w:eastAsia="Book Antiqua" w:hAnsi="Book Antiqua" w:cs="Book Antiqua"/>
          <w:i/>
          <w:color w:val="000000"/>
        </w:rPr>
        <w:t>vs</w:t>
      </w:r>
      <w:r w:rsidRPr="00A40512">
        <w:rPr>
          <w:rFonts w:ascii="Book Antiqua" w:eastAsia="Book Antiqua" w:hAnsi="Book Antiqua" w:cs="Book Antiqua"/>
          <w:color w:val="000000"/>
        </w:rPr>
        <w:t xml:space="preserve"> 15.8 mo)</w:t>
      </w:r>
      <w:r w:rsidRPr="00A40512">
        <w:rPr>
          <w:rFonts w:ascii="Book Antiqua" w:eastAsia="Book Antiqua" w:hAnsi="Book Antiqua" w:cs="Book Antiqua"/>
          <w:color w:val="000000"/>
          <w:szCs w:val="30"/>
          <w:vertAlign w:val="superscript"/>
        </w:rPr>
        <w:t>[28]</w:t>
      </w:r>
      <w:r w:rsidRPr="00A40512">
        <w:rPr>
          <w:rFonts w:ascii="Book Antiqua" w:eastAsia="Book Antiqua" w:hAnsi="Book Antiqua" w:cs="Book Antiqua"/>
          <w:color w:val="000000"/>
        </w:rPr>
        <w:t>. A clinical study (NCT04467593) is currently investigating the effects of whole-body hyperthermia on current chemotherapy with gemcitabine and FOLFIRINOX</w:t>
      </w:r>
      <w:r w:rsidRPr="00A40512">
        <w:rPr>
          <w:rFonts w:ascii="Book Antiqua" w:eastAsia="Book Antiqua" w:hAnsi="Book Antiqua" w:cs="Book Antiqua"/>
          <w:color w:val="000000"/>
          <w:szCs w:val="30"/>
          <w:vertAlign w:val="superscript"/>
        </w:rPr>
        <w:t>[50]</w:t>
      </w:r>
      <w:r w:rsidRPr="00A40512">
        <w:rPr>
          <w:rFonts w:ascii="Book Antiqua" w:eastAsia="Book Antiqua" w:hAnsi="Book Antiqua" w:cs="Book Antiqua"/>
          <w:color w:val="000000"/>
        </w:rPr>
        <w:t>.</w:t>
      </w:r>
    </w:p>
    <w:p w14:paraId="1642509B" w14:textId="5657517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 xml:space="preserve">Several studies demonstrated that thermo-chemotherapy of locally advanced or metastatic PCs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regional hyperthermia had a positive effect on patient survival and therapeutic efficacy. During the last three decades, multiple chemo, radio, and other therapies and procedures were combined with regional hyperthermia in PC</w:t>
      </w:r>
      <w:r w:rsidRPr="00A40512">
        <w:rPr>
          <w:rFonts w:ascii="Book Antiqua" w:eastAsia="Book Antiqua" w:hAnsi="Book Antiqua" w:cs="Book Antiqua"/>
          <w:color w:val="000000"/>
          <w:szCs w:val="30"/>
          <w:vertAlign w:val="superscript"/>
        </w:rPr>
        <w:t>[22,23,29-36,47,51-59]</w:t>
      </w:r>
      <w:r w:rsidRPr="00A40512">
        <w:rPr>
          <w:rFonts w:ascii="Book Antiqua" w:eastAsia="Book Antiqua" w:hAnsi="Book Antiqua" w:cs="Book Antiqua"/>
          <w:color w:val="000000"/>
        </w:rPr>
        <w:t>. In detail, thermo-chemotherapy with selective immune stimulation by copovithane or PZ-73C resulted in longer patient survival</w:t>
      </w:r>
      <w:r w:rsidRPr="00A40512">
        <w:rPr>
          <w:rFonts w:ascii="Book Antiqua" w:eastAsia="Book Antiqua" w:hAnsi="Book Antiqua" w:cs="Book Antiqua"/>
          <w:color w:val="000000"/>
          <w:szCs w:val="30"/>
          <w:vertAlign w:val="superscript"/>
        </w:rPr>
        <w:t>[22]</w:t>
      </w:r>
      <w:r w:rsidRPr="00A40512">
        <w:rPr>
          <w:rFonts w:ascii="Book Antiqua" w:eastAsia="Book Antiqua" w:hAnsi="Book Antiqua" w:cs="Book Antiqua"/>
          <w:color w:val="000000"/>
        </w:rPr>
        <w:t>. In other studies</w:t>
      </w:r>
      <w:r w:rsidRPr="00A40512">
        <w:rPr>
          <w:rFonts w:ascii="Book Antiqua" w:eastAsia="Book Antiqua" w:hAnsi="Book Antiqua" w:cs="Book Antiqua"/>
          <w:color w:val="000000"/>
          <w:szCs w:val="30"/>
          <w:vertAlign w:val="superscript"/>
        </w:rPr>
        <w:t>[23,51]</w:t>
      </w:r>
      <w:r w:rsidRPr="00A40512">
        <w:rPr>
          <w:rFonts w:ascii="Book Antiqua" w:eastAsia="Book Antiqua" w:hAnsi="Book Antiqua" w:cs="Book Antiqua"/>
          <w:color w:val="000000"/>
        </w:rPr>
        <w:t>, patients treated with chemoradiotherapy and complementary hyperthermia had better disease control rates than those without hyperthermia, doubling the observed responses to treatment. Furthermore, the partial response rate increased along with increased maximum output power of the hyperthermia device</w:t>
      </w:r>
      <w:r w:rsidRPr="00A40512">
        <w:rPr>
          <w:rFonts w:ascii="Book Antiqua" w:eastAsia="Book Antiqua" w:hAnsi="Book Antiqua" w:cs="Book Antiqua"/>
          <w:color w:val="000000"/>
          <w:szCs w:val="30"/>
          <w:vertAlign w:val="superscript"/>
        </w:rPr>
        <w:t>[51]</w:t>
      </w:r>
      <w:r w:rsidRPr="00A40512">
        <w:rPr>
          <w:rFonts w:ascii="Book Antiqua" w:eastAsia="Book Antiqua" w:hAnsi="Book Antiqua" w:cs="Book Antiqua"/>
          <w:color w:val="000000"/>
        </w:rPr>
        <w:t xml:space="preserve">. Three-dimensional conformal γ-knife </w:t>
      </w:r>
      <w:r w:rsidRPr="00A40512">
        <w:rPr>
          <w:rFonts w:ascii="Book Antiqua" w:eastAsia="Book Antiqua" w:hAnsi="Book Antiqua" w:cs="Book Antiqua"/>
          <w:color w:val="000000"/>
        </w:rPr>
        <w:lastRenderedPageBreak/>
        <w:t xml:space="preserve">radiotherapy with thermo-chemotherapy has also shown improved survival and response rates when </w:t>
      </w:r>
      <w:r w:rsidR="00E21697" w:rsidRPr="00A40512">
        <w:rPr>
          <w:rFonts w:ascii="Book Antiqua" w:eastAsia="Book Antiqua" w:hAnsi="Book Antiqua" w:cs="Book Antiqua"/>
          <w:color w:val="000000"/>
        </w:rPr>
        <w:t>combined</w:t>
      </w:r>
      <w:r w:rsidRPr="00A40512">
        <w:rPr>
          <w:rFonts w:ascii="Book Antiqua" w:eastAsia="Book Antiqua" w:hAnsi="Book Antiqua" w:cs="Book Antiqua"/>
          <w:color w:val="000000"/>
        </w:rPr>
        <w:t xml:space="preserve"> with hyperthermia</w:t>
      </w:r>
      <w:r w:rsidRPr="00A40512">
        <w:rPr>
          <w:rFonts w:ascii="Book Antiqua" w:eastAsia="Book Antiqua" w:hAnsi="Book Antiqua" w:cs="Book Antiqua"/>
          <w:color w:val="000000"/>
          <w:szCs w:val="30"/>
          <w:vertAlign w:val="superscript"/>
        </w:rPr>
        <w:t>[30]</w:t>
      </w:r>
      <w:r w:rsidRPr="00A40512">
        <w:rPr>
          <w:rFonts w:ascii="Book Antiqua" w:eastAsia="Book Antiqua" w:hAnsi="Book Antiqua" w:cs="Book Antiqua"/>
          <w:color w:val="000000"/>
        </w:rPr>
        <w:t xml:space="preserve"> (</w:t>
      </w:r>
      <w:r w:rsidRPr="00A40512">
        <w:rPr>
          <w:rFonts w:ascii="Book Antiqua" w:eastAsia="Book Antiqua" w:hAnsi="Book Antiqua" w:cs="Book Antiqua"/>
          <w:bCs/>
          <w:color w:val="000000"/>
        </w:rPr>
        <w:t>Figure</w:t>
      </w:r>
      <w:r w:rsidRPr="00A40512">
        <w:rPr>
          <w:rFonts w:ascii="Book Antiqua" w:hAnsi="Book Antiqua" w:cs="Book Antiqua"/>
          <w:bCs/>
          <w:color w:val="000000"/>
          <w:lang w:eastAsia="zh-CN"/>
        </w:rPr>
        <w:t>s</w:t>
      </w:r>
      <w:r w:rsidRPr="00A40512">
        <w:rPr>
          <w:rFonts w:ascii="Book Antiqua" w:eastAsia="Book Antiqua" w:hAnsi="Book Antiqua" w:cs="Book Antiqua"/>
          <w:bCs/>
          <w:color w:val="000000"/>
        </w:rPr>
        <w:t xml:space="preserve"> 2 and 3</w:t>
      </w:r>
      <w:r w:rsidRPr="00A40512">
        <w:rPr>
          <w:rFonts w:ascii="Book Antiqua" w:eastAsia="Book Antiqua" w:hAnsi="Book Antiqua" w:cs="Book Antiqua"/>
          <w:color w:val="000000"/>
        </w:rPr>
        <w:t>).</w:t>
      </w:r>
    </w:p>
    <w:p w14:paraId="091AFDCA" w14:textId="1CFA9F99"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After the introduction of routine clinical use of gemcitabine and FOLFIRINOX, several studies investigated the effect of regional hyperthermia on those treatments</w:t>
      </w:r>
      <w:r w:rsidRPr="00A40512">
        <w:rPr>
          <w:rFonts w:ascii="Book Antiqua" w:eastAsia="Book Antiqua" w:hAnsi="Book Antiqua" w:cs="Book Antiqua"/>
          <w:color w:val="000000"/>
          <w:szCs w:val="30"/>
          <w:vertAlign w:val="superscript"/>
        </w:rPr>
        <w:t>[29,31-35,47,52-57]</w:t>
      </w:r>
      <w:r w:rsidRPr="00A40512">
        <w:rPr>
          <w:rFonts w:ascii="Book Antiqua" w:eastAsia="Book Antiqua" w:hAnsi="Book Antiqua" w:cs="Book Antiqua"/>
          <w:color w:val="000000"/>
        </w:rPr>
        <w:t>. Gemcitabine alone had worse overall survival and treatment response than when used with complementary hyperthermia</w:t>
      </w:r>
      <w:r w:rsidRPr="00A40512">
        <w:rPr>
          <w:rFonts w:ascii="Book Antiqua" w:eastAsia="Book Antiqua" w:hAnsi="Book Antiqua" w:cs="Book Antiqua"/>
          <w:color w:val="000000"/>
          <w:szCs w:val="30"/>
          <w:vertAlign w:val="superscript"/>
        </w:rPr>
        <w:t>[29,47,52]</w:t>
      </w:r>
      <w:r w:rsidRPr="00A40512">
        <w:rPr>
          <w:rFonts w:ascii="Book Antiqua" w:eastAsia="Book Antiqua" w:hAnsi="Book Antiqua" w:cs="Book Antiqua"/>
          <w:color w:val="000000"/>
        </w:rPr>
        <w:t>, and better progression-free and overall survival have also been reported with the concomitant use of hyperthermia in combination with radiotherapy</w:t>
      </w:r>
      <w:r w:rsidRPr="00A40512">
        <w:rPr>
          <w:rFonts w:ascii="Book Antiqua" w:eastAsia="Book Antiqua" w:hAnsi="Book Antiqua" w:cs="Book Antiqua"/>
          <w:color w:val="000000"/>
          <w:szCs w:val="30"/>
          <w:vertAlign w:val="superscript"/>
        </w:rPr>
        <w:t>[31,53,54]</w:t>
      </w:r>
      <w:r w:rsidRPr="00A40512">
        <w:rPr>
          <w:rFonts w:ascii="Book Antiqua" w:eastAsia="Book Antiqua" w:hAnsi="Book Antiqua" w:cs="Book Antiqua"/>
          <w:color w:val="000000"/>
        </w:rPr>
        <w:t>. The previous observation that increasing the power output of the hyperthermia device increases treatment response</w:t>
      </w:r>
      <w:r w:rsidRPr="00A40512">
        <w:rPr>
          <w:rFonts w:ascii="Book Antiqua" w:eastAsia="Book Antiqua" w:hAnsi="Book Antiqua" w:cs="Book Antiqua"/>
          <w:color w:val="000000"/>
          <w:szCs w:val="30"/>
          <w:vertAlign w:val="superscript"/>
        </w:rPr>
        <w:t>[51]</w:t>
      </w:r>
      <w:r w:rsidRPr="00A40512">
        <w:rPr>
          <w:rFonts w:ascii="Book Antiqua" w:eastAsia="Book Antiqua" w:hAnsi="Book Antiqua" w:cs="Book Antiqua"/>
          <w:color w:val="000000"/>
        </w:rPr>
        <w:t xml:space="preserve"> was not confirmed in the case of gemcitabine</w:t>
      </w:r>
      <w:r w:rsidRPr="00A40512">
        <w:rPr>
          <w:rFonts w:ascii="Book Antiqua" w:eastAsia="Book Antiqua" w:hAnsi="Book Antiqua" w:cs="Book Antiqua"/>
          <w:color w:val="000000"/>
          <w:szCs w:val="30"/>
          <w:vertAlign w:val="superscript"/>
        </w:rPr>
        <w:t>[31]</w:t>
      </w:r>
      <w:r w:rsidRPr="00A40512">
        <w:rPr>
          <w:rFonts w:ascii="Book Antiqua" w:eastAsia="Book Antiqua" w:hAnsi="Book Antiqua" w:cs="Book Antiqua"/>
          <w:color w:val="000000"/>
        </w:rPr>
        <w:t>. Supplementation of gemcitabine thermo-chemotherapy with other chemotherapeutic agents such as cisplatin</w:t>
      </w:r>
      <w:r w:rsidRPr="00A40512">
        <w:rPr>
          <w:rFonts w:ascii="Book Antiqua" w:eastAsia="Book Antiqua" w:hAnsi="Book Antiqua" w:cs="Book Antiqua"/>
          <w:color w:val="000000"/>
          <w:szCs w:val="30"/>
          <w:vertAlign w:val="superscript"/>
        </w:rPr>
        <w:t>[33,34]</w:t>
      </w:r>
      <w:r w:rsidRPr="00A40512">
        <w:rPr>
          <w:rFonts w:ascii="Book Antiqua" w:eastAsia="Book Antiqua" w:hAnsi="Book Antiqua" w:cs="Book Antiqua"/>
          <w:color w:val="000000"/>
        </w:rPr>
        <w:t xml:space="preserve"> or oxaliplatin</w:t>
      </w:r>
      <w:r w:rsidRPr="00A40512">
        <w:rPr>
          <w:rFonts w:ascii="Book Antiqua" w:eastAsia="Book Antiqua" w:hAnsi="Book Antiqua" w:cs="Book Antiqua"/>
          <w:color w:val="000000"/>
          <w:szCs w:val="30"/>
          <w:vertAlign w:val="superscript"/>
        </w:rPr>
        <w:t>[32]</w:t>
      </w:r>
      <w:r w:rsidRPr="00A40512">
        <w:rPr>
          <w:rFonts w:ascii="Book Antiqua" w:eastAsia="Book Antiqua" w:hAnsi="Book Antiqua" w:cs="Book Antiqua"/>
          <w:color w:val="000000"/>
        </w:rPr>
        <w:t xml:space="preserve"> had similar results. Patients in the hyperthermia arm had better partial response rates and better survival than those without hyperthermia (</w:t>
      </w:r>
      <w:r w:rsidRPr="00A40512">
        <w:rPr>
          <w:rFonts w:ascii="Book Antiqua" w:eastAsia="Book Antiqua" w:hAnsi="Book Antiqua" w:cs="Book Antiqua"/>
          <w:bCs/>
          <w:color w:val="000000"/>
        </w:rPr>
        <w:t>Figure 2</w:t>
      </w:r>
      <w:r w:rsidRPr="00A40512">
        <w:rPr>
          <w:rFonts w:ascii="Book Antiqua" w:eastAsia="Book Antiqua" w:hAnsi="Book Antiqua" w:cs="Book Antiqua"/>
          <w:color w:val="000000"/>
        </w:rPr>
        <w:t>). Combined hyperthermia with metabolically supported chemotherapy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gemcitabine or FOLFIRINOX during artificial mild hypoglycemia, serum glucose &lt; 4.0 mmol/L caused by low-dose bolus insulin), hyperbaric oxygen, and a ketogenic diet</w:t>
      </w:r>
      <w:r w:rsidRPr="00A40512">
        <w:rPr>
          <w:rFonts w:ascii="Book Antiqua" w:eastAsia="Book Antiqua" w:hAnsi="Book Antiqua" w:cs="Book Antiqua"/>
          <w:color w:val="000000"/>
          <w:szCs w:val="30"/>
          <w:vertAlign w:val="superscript"/>
        </w:rPr>
        <w:t>[55]</w:t>
      </w:r>
      <w:r w:rsidRPr="00A40512">
        <w:rPr>
          <w:rFonts w:ascii="Book Antiqua" w:eastAsia="Book Antiqua" w:hAnsi="Book Antiqua" w:cs="Book Antiqua"/>
          <w:color w:val="000000"/>
        </w:rPr>
        <w:t>; and hyperthermia with a modified FOLFIRINOX protocol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a reduced dose of irinotecan and no 5-fluorouracil)</w:t>
      </w:r>
      <w:r w:rsidRPr="00A40512">
        <w:rPr>
          <w:rFonts w:ascii="Book Antiqua" w:eastAsia="Book Antiqua" w:hAnsi="Book Antiqua" w:cs="Book Antiqua"/>
          <w:color w:val="000000"/>
          <w:szCs w:val="30"/>
          <w:vertAlign w:val="superscript"/>
        </w:rPr>
        <w:t>[35]</w:t>
      </w:r>
      <w:r w:rsidRPr="00A40512">
        <w:rPr>
          <w:rFonts w:ascii="Book Antiqua" w:eastAsia="Book Antiqua" w:hAnsi="Book Antiqua" w:cs="Book Antiqua"/>
          <w:color w:val="000000"/>
        </w:rPr>
        <w:t xml:space="preserve"> have highlighted the importance of the impact of hyperthermia on overall and progression-free survival. In addition, the currently running HEAT (NCT01077427)</w:t>
      </w:r>
      <w:r w:rsidRPr="00A40512">
        <w:rPr>
          <w:rFonts w:ascii="Book Antiqua" w:eastAsia="Book Antiqua" w:hAnsi="Book Antiqua" w:cs="Book Antiqua"/>
          <w:color w:val="000000"/>
          <w:szCs w:val="30"/>
          <w:vertAlign w:val="superscript"/>
        </w:rPr>
        <w:t>[60]</w:t>
      </w:r>
      <w:r w:rsidRPr="00A40512">
        <w:rPr>
          <w:rFonts w:ascii="Book Antiqua" w:eastAsia="Book Antiqua" w:hAnsi="Book Antiqua" w:cs="Book Antiqua"/>
          <w:color w:val="000000"/>
        </w:rPr>
        <w:t xml:space="preserve"> and HEATPAC (NCT02439593)</w:t>
      </w:r>
      <w:r w:rsidRPr="00A40512">
        <w:rPr>
          <w:rFonts w:ascii="Book Antiqua" w:eastAsia="Book Antiqua" w:hAnsi="Book Antiqua" w:cs="Book Antiqua"/>
          <w:color w:val="000000"/>
          <w:szCs w:val="30"/>
          <w:vertAlign w:val="superscript"/>
        </w:rPr>
        <w:t>[61,62]</w:t>
      </w:r>
      <w:r w:rsidRPr="00A40512">
        <w:rPr>
          <w:rFonts w:ascii="Book Antiqua" w:eastAsia="Book Antiqua" w:hAnsi="Book Antiqua" w:cs="Book Antiqua"/>
          <w:color w:val="000000"/>
        </w:rPr>
        <w:t xml:space="preserve"> clinical trials will further broaden our knowledge of the efficacy and safety of hyperthermia combined with gemcitabine in PC.</w:t>
      </w:r>
    </w:p>
    <w:p w14:paraId="6B86D9B0" w14:textId="08E74C18"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 few case reports have been published recently where chemoradiotherapy and hyperthermia were combined with herbal remedies. One German</w:t>
      </w:r>
      <w:r w:rsidRPr="00A40512">
        <w:rPr>
          <w:rFonts w:ascii="Book Antiqua" w:eastAsia="Book Antiqua" w:hAnsi="Book Antiqua" w:cs="Book Antiqua"/>
          <w:color w:val="000000"/>
          <w:szCs w:val="30"/>
          <w:vertAlign w:val="superscript"/>
        </w:rPr>
        <w:t>[56]</w:t>
      </w:r>
      <w:r w:rsidRPr="00A40512">
        <w:rPr>
          <w:rFonts w:ascii="Book Antiqua" w:eastAsia="Book Antiqua" w:hAnsi="Book Antiqua" w:cs="Book Antiqua"/>
          <w:color w:val="000000"/>
        </w:rPr>
        <w:t xml:space="preserve"> and two Italian</w:t>
      </w:r>
      <w:r w:rsidRPr="00A40512">
        <w:rPr>
          <w:rFonts w:ascii="Book Antiqua" w:eastAsia="Book Antiqua" w:hAnsi="Book Antiqua" w:cs="Book Antiqua"/>
          <w:color w:val="000000"/>
          <w:szCs w:val="30"/>
          <w:vertAlign w:val="superscript"/>
        </w:rPr>
        <w:t>[57]</w:t>
      </w:r>
      <w:r w:rsidRPr="00A40512">
        <w:rPr>
          <w:rFonts w:ascii="Book Antiqua" w:eastAsia="Book Antiqua" w:hAnsi="Book Antiqua" w:cs="Book Antiqua"/>
          <w:color w:val="000000"/>
        </w:rPr>
        <w:t xml:space="preserve"> reports described treating metastatic PC patients with chemoradiotherapy and hyperthermia supplemented with subcutaneous, fever-inducing mistletoe (</w:t>
      </w:r>
      <w:r w:rsidRPr="00A40512">
        <w:rPr>
          <w:rFonts w:ascii="Book Antiqua" w:eastAsia="Book Antiqua" w:hAnsi="Book Antiqua" w:cs="Book Antiqua"/>
          <w:i/>
          <w:iCs/>
          <w:color w:val="000000"/>
        </w:rPr>
        <w:t>Viscum album</w:t>
      </w:r>
      <w:r w:rsidRPr="00A40512">
        <w:rPr>
          <w:rFonts w:ascii="Book Antiqua" w:eastAsia="Book Antiqua" w:hAnsi="Book Antiqua" w:cs="Book Antiqua"/>
          <w:color w:val="000000"/>
        </w:rPr>
        <w:t xml:space="preserve">) extract and other immunomodulating supplements </w:t>
      </w:r>
      <w:r w:rsidRPr="00A40512">
        <w:rPr>
          <w:rFonts w:ascii="Book Antiqua" w:hAnsi="Book Antiqua" w:cs="Book Antiqua"/>
          <w:color w:val="000000"/>
          <w:lang w:eastAsia="zh-CN"/>
        </w:rPr>
        <w:t>including</w:t>
      </w:r>
      <w:r w:rsidRPr="00A40512">
        <w:rPr>
          <w:rFonts w:ascii="Book Antiqua" w:eastAsia="Book Antiqua" w:hAnsi="Book Antiqua" w:cs="Book Antiqua"/>
          <w:color w:val="000000"/>
        </w:rPr>
        <w:t xml:space="preserve"> curcumin or shiitake (</w:t>
      </w:r>
      <w:r w:rsidRPr="00A40512">
        <w:rPr>
          <w:rFonts w:ascii="Book Antiqua" w:eastAsia="Book Antiqua" w:hAnsi="Book Antiqua" w:cs="Book Antiqua"/>
          <w:i/>
          <w:iCs/>
          <w:color w:val="000000"/>
        </w:rPr>
        <w:t>Lentinula edodes</w:t>
      </w:r>
      <w:r w:rsidRPr="00A40512">
        <w:rPr>
          <w:rFonts w:ascii="Book Antiqua" w:eastAsia="Book Antiqua" w:hAnsi="Book Antiqua" w:cs="Book Antiqua"/>
          <w:color w:val="000000"/>
        </w:rPr>
        <w:t>) derivatives. All three patients had survived more than 30 mo with unrestricted quality of life; no deaths were reported at the time of publication</w:t>
      </w:r>
      <w:r w:rsidRPr="00A40512">
        <w:rPr>
          <w:rFonts w:ascii="Book Antiqua" w:eastAsia="Book Antiqua" w:hAnsi="Book Antiqua" w:cs="Book Antiqua"/>
          <w:color w:val="000000"/>
          <w:szCs w:val="30"/>
          <w:vertAlign w:val="superscript"/>
        </w:rPr>
        <w:t>[56,57]</w:t>
      </w:r>
      <w:r w:rsidRPr="00A40512">
        <w:rPr>
          <w:rFonts w:ascii="Book Antiqua" w:eastAsia="Book Antiqua" w:hAnsi="Book Antiqua" w:cs="Book Antiqua"/>
          <w:color w:val="000000"/>
        </w:rPr>
        <w:t>.</w:t>
      </w:r>
    </w:p>
    <w:p w14:paraId="2F5A34B1" w14:textId="3C1631CD"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lastRenderedPageBreak/>
        <w:t>As with conventional regional hyperthermia, positive effects of mEHT on progression-free and overall survival, and on improved disease control rate have been observed</w:t>
      </w:r>
      <w:r w:rsidRPr="00A40512">
        <w:rPr>
          <w:rFonts w:ascii="Book Antiqua" w:eastAsia="Book Antiqua" w:hAnsi="Book Antiqua" w:cs="Book Antiqua"/>
          <w:color w:val="000000"/>
          <w:szCs w:val="30"/>
          <w:vertAlign w:val="superscript"/>
        </w:rPr>
        <w:t>[36,58]</w:t>
      </w:r>
      <w:r w:rsidRPr="00A40512">
        <w:rPr>
          <w:rFonts w:ascii="Book Antiqua" w:eastAsia="Book Antiqua" w:hAnsi="Book Antiqua" w:cs="Book Antiqua"/>
          <w:color w:val="000000"/>
        </w:rPr>
        <w:t>. Metastatic tumors, including PC patients with ascites, have shown better response (absorption of ascites) and quality of life when mEHT with traditional Chinese herbal remedy therapy was administered, compared with patients on chemotherapy and regular drainage</w:t>
      </w:r>
      <w:r w:rsidRPr="00A40512">
        <w:rPr>
          <w:rFonts w:ascii="Book Antiqua" w:eastAsia="Book Antiqua" w:hAnsi="Book Antiqua" w:cs="Book Antiqua"/>
          <w:color w:val="000000"/>
          <w:szCs w:val="30"/>
          <w:vertAlign w:val="superscript"/>
        </w:rPr>
        <w:t>[59]</w:t>
      </w:r>
      <w:r w:rsidRPr="00A40512">
        <w:rPr>
          <w:rFonts w:ascii="Book Antiqua" w:eastAsia="Book Antiqua" w:hAnsi="Book Antiqua" w:cs="Book Antiqua"/>
          <w:color w:val="000000"/>
        </w:rPr>
        <w:t>. A possible correlation between the time from diagnosis to the first mEHT treatment and the survival time from first mEHT treatment was proposed</w:t>
      </w:r>
      <w:r w:rsidRPr="00A40512">
        <w:rPr>
          <w:rFonts w:ascii="Book Antiqua" w:eastAsia="Book Antiqua" w:hAnsi="Book Antiqua" w:cs="Book Antiqua"/>
          <w:color w:val="000000"/>
          <w:szCs w:val="30"/>
          <w:vertAlign w:val="superscript"/>
        </w:rPr>
        <w:t>[36]</w:t>
      </w:r>
      <w:r w:rsidRPr="00A40512">
        <w:rPr>
          <w:rFonts w:ascii="Book Antiqua" w:eastAsia="Book Antiqua" w:hAnsi="Book Antiqua" w:cs="Book Antiqua"/>
          <w:color w:val="000000"/>
        </w:rPr>
        <w:t>.</w:t>
      </w:r>
    </w:p>
    <w:p w14:paraId="32A4389A" w14:textId="77777777" w:rsidR="006B2A8E" w:rsidRPr="00A40512" w:rsidRDefault="006B2A8E" w:rsidP="006B2A8E">
      <w:pPr>
        <w:spacing w:line="360" w:lineRule="auto"/>
        <w:jc w:val="both"/>
      </w:pPr>
    </w:p>
    <w:p w14:paraId="611C3EAA" w14:textId="3A815FD6" w:rsidR="006B2A8E" w:rsidRPr="00A40512" w:rsidRDefault="006B2A8E" w:rsidP="006B2A8E">
      <w:pPr>
        <w:spacing w:line="360" w:lineRule="auto"/>
        <w:jc w:val="both"/>
        <w:rPr>
          <w:u w:val="single"/>
        </w:rPr>
      </w:pPr>
      <w:bookmarkStart w:id="32" w:name="OLE_LINK58"/>
      <w:bookmarkStart w:id="33" w:name="OLE_LINK59"/>
      <w:r w:rsidRPr="00A40512">
        <w:rPr>
          <w:rFonts w:ascii="Book Antiqua" w:eastAsia="Book Antiqua" w:hAnsi="Book Antiqua" w:cs="Book Antiqua"/>
          <w:b/>
          <w:bCs/>
          <w:color w:val="000000"/>
          <w:u w:val="single"/>
        </w:rPr>
        <w:t xml:space="preserve">HYPERTHERMIA IN </w:t>
      </w:r>
      <w:r w:rsidR="00B33296" w:rsidRPr="00A40512">
        <w:rPr>
          <w:rFonts w:ascii="Book Antiqua" w:eastAsia="Book Antiqua" w:hAnsi="Book Antiqua" w:cs="Book Antiqua"/>
          <w:b/>
          <w:bCs/>
          <w:color w:val="000000"/>
          <w:u w:val="single"/>
        </w:rPr>
        <w:t>HCC</w:t>
      </w:r>
    </w:p>
    <w:bookmarkEnd w:id="32"/>
    <w:bookmarkEnd w:id="33"/>
    <w:p w14:paraId="139CEDFB" w14:textId="7989266B" w:rsidR="006B2A8E" w:rsidRPr="00A40512" w:rsidRDefault="006B2A8E" w:rsidP="006B2A8E">
      <w:pPr>
        <w:spacing w:line="360" w:lineRule="auto"/>
        <w:jc w:val="both"/>
      </w:pPr>
      <w:r w:rsidRPr="00A40512">
        <w:rPr>
          <w:rFonts w:ascii="Book Antiqua" w:eastAsia="Book Antiqua" w:hAnsi="Book Antiqua" w:cs="Book Antiqua"/>
          <w:color w:val="000000"/>
        </w:rPr>
        <w:t>Early-stage HCCs are treated with surgical resection or liver transplantation, radiofrequency or microwave ablation, or embolization methods with or without chemoradiotherapy. Intermediate and advanced-stage HCCs are generally treated with systemic and combination therapies</w:t>
      </w:r>
      <w:r w:rsidRPr="00A40512">
        <w:rPr>
          <w:rFonts w:ascii="Book Antiqua" w:eastAsia="Book Antiqua" w:hAnsi="Book Antiqua" w:cs="Book Antiqua"/>
          <w:color w:val="000000"/>
          <w:szCs w:val="30"/>
          <w:vertAlign w:val="superscript"/>
        </w:rPr>
        <w:t>[1]</w:t>
      </w:r>
      <w:r w:rsidRPr="00A40512">
        <w:rPr>
          <w:rFonts w:ascii="Book Antiqua" w:eastAsia="Book Antiqua" w:hAnsi="Book Antiqua" w:cs="Book Antiqua"/>
          <w:color w:val="000000"/>
        </w:rPr>
        <w:t>. Early studies of hyperthermia in HCC investigated the combination of hyperthermia with chemoradiotherapy, transarterial embolization, or transcatheter arterial chemoembolization</w:t>
      </w:r>
      <w:r w:rsidRPr="00A40512">
        <w:rPr>
          <w:rFonts w:ascii="Book Antiqua" w:eastAsia="Book Antiqua" w:hAnsi="Book Antiqua" w:cs="Book Antiqua"/>
          <w:color w:val="000000"/>
          <w:szCs w:val="30"/>
          <w:vertAlign w:val="superscript"/>
        </w:rPr>
        <w:t>[23,37-41,63-69]</w:t>
      </w:r>
      <w:r w:rsidRPr="00A40512">
        <w:rPr>
          <w:rFonts w:ascii="Book Antiqua" w:eastAsia="Book Antiqua" w:hAnsi="Book Antiqua" w:cs="Book Antiqua"/>
          <w:color w:val="000000"/>
        </w:rPr>
        <w:t>. Significantly longer survival, lower serum alpha-fetoprotein levels, and better response to treatment, even in tumors &gt; 7</w:t>
      </w:r>
      <w:r w:rsidRPr="00A40512">
        <w:rPr>
          <w:rFonts w:ascii="Book Antiqua" w:hAnsi="Book Antiqua" w:cs="Book Antiqua"/>
          <w:color w:val="000000"/>
          <w:lang w:eastAsia="zh-CN"/>
        </w:rPr>
        <w:t xml:space="preserve"> </w:t>
      </w:r>
      <w:r w:rsidRPr="00A40512">
        <w:rPr>
          <w:rFonts w:ascii="Book Antiqua" w:eastAsia="Book Antiqua" w:hAnsi="Book Antiqua" w:cs="Book Antiqua"/>
          <w:color w:val="000000"/>
        </w:rPr>
        <w:t>cm</w:t>
      </w:r>
      <w:r w:rsidRPr="00A40512">
        <w:rPr>
          <w:rFonts w:ascii="Book Antiqua" w:eastAsia="Book Antiqua" w:hAnsi="Book Antiqua" w:cs="Book Antiqua"/>
          <w:color w:val="000000"/>
          <w:szCs w:val="30"/>
          <w:vertAlign w:val="superscript"/>
        </w:rPr>
        <w:t>[23]</w:t>
      </w:r>
      <w:r w:rsidRPr="00A40512">
        <w:rPr>
          <w:rFonts w:ascii="Book Antiqua" w:eastAsia="Book Antiqua" w:hAnsi="Book Antiqua" w:cs="Book Antiqua"/>
          <w:color w:val="000000"/>
        </w:rPr>
        <w:t>, were observed in those reports</w:t>
      </w:r>
      <w:r w:rsidRPr="00A40512">
        <w:rPr>
          <w:rFonts w:ascii="Book Antiqua" w:eastAsia="Book Antiqua" w:hAnsi="Book Antiqua" w:cs="Book Antiqua"/>
          <w:color w:val="000000"/>
          <w:szCs w:val="30"/>
          <w:vertAlign w:val="superscript"/>
        </w:rPr>
        <w:t>[23,37-41,63-69]</w:t>
      </w:r>
      <w:r w:rsidRPr="00A40512">
        <w:rPr>
          <w:rFonts w:ascii="Book Antiqua" w:eastAsia="Book Antiqua" w:hAnsi="Book Antiqua" w:cs="Book Antiqua"/>
          <w:color w:val="000000"/>
        </w:rPr>
        <w:t>. According to the results of one study</w:t>
      </w:r>
      <w:r w:rsidRPr="00A40512">
        <w:rPr>
          <w:rFonts w:ascii="Book Antiqua" w:eastAsia="Book Antiqua" w:hAnsi="Book Antiqua" w:cs="Book Antiqua"/>
          <w:color w:val="000000"/>
          <w:szCs w:val="30"/>
          <w:vertAlign w:val="superscript"/>
        </w:rPr>
        <w:t>[64]</w:t>
      </w:r>
      <w:r w:rsidRPr="00A40512">
        <w:rPr>
          <w:rFonts w:ascii="Book Antiqua" w:eastAsia="Book Antiqua" w:hAnsi="Book Antiqua" w:cs="Book Antiqua"/>
          <w:color w:val="000000"/>
        </w:rPr>
        <w:t>, the best results were achieved if the intratumor temperature reached &gt; 42 °C, while in another study</w:t>
      </w:r>
      <w:r w:rsidRPr="00A40512">
        <w:rPr>
          <w:rFonts w:ascii="Book Antiqua" w:eastAsia="Book Antiqua" w:hAnsi="Book Antiqua" w:cs="Book Antiqua"/>
          <w:color w:val="000000"/>
          <w:szCs w:val="30"/>
          <w:vertAlign w:val="superscript"/>
        </w:rPr>
        <w:t>[39]</w:t>
      </w:r>
      <w:r w:rsidRPr="00A40512">
        <w:rPr>
          <w:rFonts w:ascii="Book Antiqua" w:eastAsia="Book Antiqua" w:hAnsi="Book Antiqua" w:cs="Book Antiqua"/>
          <w:color w:val="000000"/>
        </w:rPr>
        <w:t xml:space="preserve"> tumors located in the left lobe of the liver were more responsive to combined treatment with hyperthermia. The latter observation may have resulted from a technical aspect of the treatment, as noted by the authors</w:t>
      </w:r>
      <w:r w:rsidRPr="00A40512">
        <w:rPr>
          <w:rFonts w:ascii="Book Antiqua" w:eastAsia="Book Antiqua" w:hAnsi="Book Antiqua" w:cs="Book Antiqua"/>
          <w:color w:val="000000"/>
          <w:szCs w:val="30"/>
          <w:vertAlign w:val="superscript"/>
        </w:rPr>
        <w:t>[39]</w:t>
      </w:r>
      <w:r w:rsidRPr="00A40512">
        <w:rPr>
          <w:rFonts w:ascii="Book Antiqua" w:eastAsia="Book Antiqua" w:hAnsi="Book Antiqua" w:cs="Book Antiqua"/>
          <w:color w:val="000000"/>
        </w:rPr>
        <w:t>. In addition to the above, investigations of which treatment option benefits the most from hyperthermia in HCC have found that the best survival and response data have been observed in cases of immunotherapy with hyperthermia</w:t>
      </w:r>
      <w:r w:rsidRPr="00A40512">
        <w:rPr>
          <w:rFonts w:ascii="Book Antiqua" w:eastAsia="Book Antiqua" w:hAnsi="Book Antiqua" w:cs="Book Antiqua"/>
          <w:color w:val="000000"/>
          <w:szCs w:val="30"/>
          <w:vertAlign w:val="superscript"/>
        </w:rPr>
        <w:t>[41]</w:t>
      </w:r>
      <w:r w:rsidRPr="00A40512">
        <w:rPr>
          <w:rFonts w:ascii="Book Antiqua" w:eastAsia="Book Antiqua" w:hAnsi="Book Antiqua" w:cs="Book Antiqua"/>
          <w:color w:val="000000"/>
        </w:rPr>
        <w:t xml:space="preserve"> (</w:t>
      </w:r>
      <w:r w:rsidRPr="00A40512">
        <w:rPr>
          <w:rFonts w:ascii="Book Antiqua" w:eastAsia="Book Antiqua" w:hAnsi="Book Antiqua" w:cs="Book Antiqua"/>
          <w:bCs/>
          <w:color w:val="000000"/>
        </w:rPr>
        <w:t>Figure</w:t>
      </w:r>
      <w:r w:rsidRPr="00A40512">
        <w:rPr>
          <w:rFonts w:ascii="Book Antiqua" w:hAnsi="Book Antiqua" w:cs="Book Antiqua"/>
          <w:bCs/>
          <w:color w:val="000000"/>
          <w:lang w:eastAsia="zh-CN"/>
        </w:rPr>
        <w:t>s</w:t>
      </w:r>
      <w:r w:rsidRPr="00A40512">
        <w:rPr>
          <w:rFonts w:ascii="Book Antiqua" w:eastAsia="Book Antiqua" w:hAnsi="Book Antiqua" w:cs="Book Antiqua"/>
          <w:bCs/>
          <w:color w:val="000000"/>
        </w:rPr>
        <w:t xml:space="preserve"> 2 and 3</w:t>
      </w:r>
      <w:r w:rsidRPr="00A40512">
        <w:rPr>
          <w:rFonts w:ascii="Book Antiqua" w:eastAsia="Book Antiqua" w:hAnsi="Book Antiqua" w:cs="Book Antiqua"/>
          <w:color w:val="000000"/>
        </w:rPr>
        <w:t>).</w:t>
      </w:r>
    </w:p>
    <w:p w14:paraId="06627115" w14:textId="5BFEC14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Combining transcatheter arterial chemoembolization, radiotherapy and hyperthermia</w:t>
      </w:r>
      <w:r w:rsidRPr="00A40512">
        <w:rPr>
          <w:rFonts w:ascii="Book Antiqua" w:eastAsia="Book Antiqua" w:hAnsi="Book Antiqua" w:cs="Book Antiqua"/>
          <w:color w:val="000000"/>
          <w:szCs w:val="30"/>
          <w:vertAlign w:val="superscript"/>
        </w:rPr>
        <w:t>[43,44]</w:t>
      </w:r>
      <w:r w:rsidRPr="00A40512">
        <w:rPr>
          <w:rFonts w:ascii="Book Antiqua" w:eastAsia="Book Antiqua" w:hAnsi="Book Antiqua" w:cs="Book Antiqua"/>
          <w:color w:val="000000"/>
        </w:rPr>
        <w:t>, conformal radiotherapy with hyperthermia</w:t>
      </w:r>
      <w:r w:rsidRPr="00A40512">
        <w:rPr>
          <w:rFonts w:ascii="Book Antiqua" w:eastAsia="Book Antiqua" w:hAnsi="Book Antiqua" w:cs="Book Antiqua"/>
          <w:color w:val="000000"/>
          <w:szCs w:val="30"/>
          <w:vertAlign w:val="superscript"/>
        </w:rPr>
        <w:t>[20]</w:t>
      </w:r>
      <w:r w:rsidRPr="00A40512">
        <w:rPr>
          <w:rFonts w:ascii="Book Antiqua" w:eastAsia="Book Antiqua" w:hAnsi="Book Antiqua" w:cs="Book Antiqua"/>
          <w:color w:val="000000"/>
        </w:rPr>
        <w:t>, and mEHT with sorafenib</w:t>
      </w:r>
      <w:r w:rsidRPr="00A40512">
        <w:rPr>
          <w:rFonts w:ascii="Book Antiqua" w:eastAsia="Book Antiqua" w:hAnsi="Book Antiqua" w:cs="Book Antiqua"/>
          <w:color w:val="000000"/>
          <w:szCs w:val="30"/>
          <w:vertAlign w:val="superscript"/>
        </w:rPr>
        <w:t>[42]</w:t>
      </w:r>
      <w:r w:rsidRPr="00A40512">
        <w:rPr>
          <w:rFonts w:ascii="Book Antiqua" w:eastAsia="Book Antiqua" w:hAnsi="Book Antiqua" w:cs="Book Antiqua"/>
          <w:color w:val="000000"/>
        </w:rPr>
        <w:t xml:space="preserve"> or traditional Chinese herbal remedy therapy</w:t>
      </w:r>
      <w:r w:rsidRPr="00A40512">
        <w:rPr>
          <w:rFonts w:ascii="Book Antiqua" w:eastAsia="Book Antiqua" w:hAnsi="Book Antiqua" w:cs="Book Antiqua"/>
          <w:color w:val="000000"/>
          <w:szCs w:val="30"/>
          <w:vertAlign w:val="superscript"/>
        </w:rPr>
        <w:t>[59]</w:t>
      </w:r>
      <w:r w:rsidRPr="00A40512">
        <w:rPr>
          <w:rFonts w:ascii="Book Antiqua" w:eastAsia="Book Antiqua" w:hAnsi="Book Antiqua" w:cs="Book Antiqua"/>
          <w:color w:val="000000"/>
        </w:rPr>
        <w:t xml:space="preserve"> were shown to improve the normalization of laboratory results, disease control rate, progression-free and overall survival, and 1-year recurrence and mortality rates. Results of the CERT</w:t>
      </w:r>
      <w:r w:rsidRPr="00A40512">
        <w:rPr>
          <w:rFonts w:ascii="Book Antiqua" w:eastAsia="Book Antiqua" w:hAnsi="Book Antiqua" w:cs="Book Antiqua"/>
          <w:color w:val="000000"/>
          <w:szCs w:val="30"/>
          <w:vertAlign w:val="superscript"/>
        </w:rPr>
        <w:t>[43,44]</w:t>
      </w:r>
      <w:r w:rsidRPr="00A40512">
        <w:rPr>
          <w:rFonts w:ascii="Book Antiqua" w:eastAsia="Book Antiqua" w:hAnsi="Book Antiqua" w:cs="Book Antiqua"/>
          <w:color w:val="000000"/>
        </w:rPr>
        <w:t xml:space="preserve"> </w:t>
      </w:r>
      <w:r w:rsidRPr="00A40512">
        <w:rPr>
          <w:rFonts w:ascii="Book Antiqua" w:eastAsia="Book Antiqua" w:hAnsi="Book Antiqua" w:cs="Book Antiqua"/>
          <w:color w:val="000000"/>
        </w:rPr>
        <w:lastRenderedPageBreak/>
        <w:t xml:space="preserve">study supplement the above with the following: </w:t>
      </w:r>
      <w:r w:rsidRPr="00A40512">
        <w:rPr>
          <w:rFonts w:ascii="Book Antiqua" w:hAnsi="Book Antiqua" w:cs="Book Antiqua"/>
          <w:color w:val="000000"/>
          <w:lang w:eastAsia="zh-CN"/>
        </w:rPr>
        <w:t>(</w:t>
      </w:r>
      <w:r w:rsidRPr="00A40512">
        <w:rPr>
          <w:rFonts w:ascii="Book Antiqua" w:eastAsia="Book Antiqua" w:hAnsi="Book Antiqua" w:cs="Book Antiqua"/>
          <w:color w:val="000000"/>
        </w:rPr>
        <w:t>1) radiotherapy related gastroduodenal toxicity (</w:t>
      </w:r>
      <w:r w:rsidRPr="00A40512">
        <w:rPr>
          <w:rFonts w:ascii="Book Antiqua" w:eastAsia="Book Antiqua" w:hAnsi="Book Antiqua" w:cs="Book Antiqua"/>
          <w:i/>
          <w:iCs/>
          <w:color w:val="000000"/>
        </w:rPr>
        <w:t>e.g.</w:t>
      </w:r>
      <w:r w:rsidRPr="00A40512">
        <w:rPr>
          <w:rFonts w:ascii="Book Antiqua" w:eastAsia="Book Antiqua" w:hAnsi="Book Antiqua" w:cs="Book Antiqua"/>
          <w:color w:val="000000"/>
        </w:rPr>
        <w:t xml:space="preserve">, ulcers, gastroduodenitis, and others) were significantly lower in the hyperthermia cohort; and </w:t>
      </w:r>
      <w:r w:rsidRPr="00A40512">
        <w:rPr>
          <w:rFonts w:ascii="Book Antiqua" w:hAnsi="Book Antiqua" w:cs="Book Antiqua"/>
          <w:color w:val="000000"/>
          <w:lang w:eastAsia="zh-CN"/>
        </w:rPr>
        <w:t>(</w:t>
      </w:r>
      <w:r w:rsidRPr="00A40512">
        <w:rPr>
          <w:rFonts w:ascii="Book Antiqua" w:eastAsia="Book Antiqua" w:hAnsi="Book Antiqua" w:cs="Book Antiqua"/>
          <w:color w:val="000000"/>
        </w:rPr>
        <w:t>2) patients with better tolerance for higher power hyperthermia had the same treatment response rate and survival, suggesting that an increased power output level did not adds to treatment efficacy.</w:t>
      </w:r>
    </w:p>
    <w:p w14:paraId="0998DD44" w14:textId="1AB83BF6"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It is known from model systems</w:t>
      </w:r>
      <w:r w:rsidRPr="00A40512">
        <w:rPr>
          <w:rFonts w:ascii="Book Antiqua" w:eastAsia="Book Antiqua" w:hAnsi="Book Antiqua" w:cs="Book Antiqua"/>
          <w:color w:val="000000"/>
          <w:szCs w:val="30"/>
          <w:vertAlign w:val="superscript"/>
        </w:rPr>
        <w:t>[70-72]</w:t>
      </w:r>
      <w:r w:rsidRPr="00A40512">
        <w:rPr>
          <w:rFonts w:ascii="Book Antiqua" w:eastAsia="Book Antiqua" w:hAnsi="Book Antiqua" w:cs="Book Antiqua"/>
          <w:color w:val="000000"/>
        </w:rPr>
        <w:t xml:space="preserve"> that heating to fever-range temperatures improves the immune response against tumors, while tumoricidal temperatures (&gt; 42 °C) inhibit host competence. Because of the latter observation, whole body hyperthermia at tumoricidal temperatures is considered to have an unfavorable effect on the immune system, while regional hyperthermia does not have this effect, as the tumor-surrounding tissue only heats to fever-like temperatures</w:t>
      </w:r>
      <w:r w:rsidRPr="00A40512">
        <w:rPr>
          <w:rFonts w:ascii="Book Antiqua" w:eastAsia="Book Antiqua" w:hAnsi="Book Antiqua" w:cs="Book Antiqua"/>
          <w:color w:val="000000"/>
          <w:szCs w:val="30"/>
          <w:vertAlign w:val="superscript"/>
        </w:rPr>
        <w:t>[70-72]</w:t>
      </w:r>
      <w:r w:rsidRPr="00A40512">
        <w:rPr>
          <w:rFonts w:ascii="Book Antiqua" w:eastAsia="Book Antiqua" w:hAnsi="Book Antiqua" w:cs="Book Antiqua"/>
          <w:color w:val="000000"/>
        </w:rPr>
        <w:t>. Investigation of the CD4</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and CD8</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T, and natural killer (NK) cell autoimmunity after the first treatment and after a whole hyperthermia treatment course in HCC</w:t>
      </w:r>
      <w:r w:rsidRPr="00A40512">
        <w:rPr>
          <w:rFonts w:ascii="Book Antiqua" w:eastAsia="Book Antiqua" w:hAnsi="Book Antiqua" w:cs="Book Antiqua"/>
          <w:color w:val="000000"/>
          <w:szCs w:val="30"/>
          <w:vertAlign w:val="superscript"/>
        </w:rPr>
        <w:t>[72]</w:t>
      </w:r>
      <w:r w:rsidRPr="00A40512">
        <w:rPr>
          <w:rFonts w:ascii="Book Antiqua" w:eastAsia="Book Antiqua" w:hAnsi="Book Antiqua" w:cs="Book Antiqua"/>
          <w:color w:val="000000"/>
        </w:rPr>
        <w:t xml:space="preserve"> revealed that antitumoral changes occur in those cells and last up to at least 2 mo: NK cells are the first to respond to hyperthermia. Increased NK cell activity has been observed in patients with below normal or normal levels of pretreatment NK activation. Patients with increased pretreatment NK activity had a slight decrease after treatment, but the difference was not statistically significant. CD4</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T cell activation was slightly decreased and CD8</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increased, both after the first and after the complete hyperthermia regimen</w:t>
      </w:r>
      <w:r w:rsidRPr="00A40512">
        <w:rPr>
          <w:rFonts w:ascii="Book Antiqua" w:eastAsia="Book Antiqua" w:hAnsi="Book Antiqua" w:cs="Book Antiqua"/>
          <w:color w:val="000000"/>
          <w:szCs w:val="30"/>
          <w:vertAlign w:val="superscript"/>
        </w:rPr>
        <w:t>[72]</w:t>
      </w:r>
      <w:r w:rsidRPr="00A40512">
        <w:rPr>
          <w:rFonts w:ascii="Book Antiqua" w:eastAsia="Book Antiqua" w:hAnsi="Book Antiqua" w:cs="Book Antiqua"/>
          <w:color w:val="000000"/>
        </w:rPr>
        <w:t>. Furthermore, in addition to a decrease of serum alpha-fetoprotein levels and abdominal circumference, intraperitoneal perfusion of cytokine-induced killer cells in combination with regional hyperthermia increased the post-treatment activation of CD4</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CD3</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CD8</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and CD3</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CD56</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T-cell populations in advanced HCC patients</w:t>
      </w:r>
      <w:r w:rsidRPr="00A40512">
        <w:rPr>
          <w:rFonts w:ascii="Book Antiqua" w:eastAsia="Book Antiqua" w:hAnsi="Book Antiqua" w:cs="Book Antiqua"/>
          <w:color w:val="000000"/>
          <w:szCs w:val="30"/>
          <w:vertAlign w:val="superscript"/>
        </w:rPr>
        <w:t>[73]</w:t>
      </w:r>
      <w:r w:rsidRPr="00A40512">
        <w:rPr>
          <w:rFonts w:ascii="Book Antiqua" w:eastAsia="Book Antiqua" w:hAnsi="Book Antiqua" w:cs="Book Antiqua"/>
          <w:color w:val="000000"/>
        </w:rPr>
        <w:t>.</w:t>
      </w:r>
    </w:p>
    <w:p w14:paraId="486D3ABE" w14:textId="77777777" w:rsidR="006B2A8E" w:rsidRPr="00A40512" w:rsidRDefault="006B2A8E" w:rsidP="006B2A8E">
      <w:pPr>
        <w:spacing w:line="360" w:lineRule="auto"/>
        <w:jc w:val="both"/>
      </w:pPr>
    </w:p>
    <w:p w14:paraId="217357FA" w14:textId="77777777" w:rsidR="006B2A8E" w:rsidRPr="00A40512" w:rsidRDefault="006B2A8E" w:rsidP="006B2A8E">
      <w:pPr>
        <w:spacing w:line="360" w:lineRule="auto"/>
        <w:jc w:val="both"/>
        <w:rPr>
          <w:u w:val="single"/>
        </w:rPr>
      </w:pPr>
      <w:bookmarkStart w:id="34" w:name="OLE_LINK60"/>
      <w:bookmarkStart w:id="35" w:name="OLE_LINK61"/>
      <w:r w:rsidRPr="00A40512">
        <w:rPr>
          <w:rFonts w:ascii="Book Antiqua" w:eastAsia="Book Antiqua" w:hAnsi="Book Antiqua" w:cs="Book Antiqua"/>
          <w:b/>
          <w:bCs/>
          <w:color w:val="000000"/>
          <w:u w:val="single"/>
        </w:rPr>
        <w:t>HYPERTHERMIA IN BILIARY TRACT CANCERS</w:t>
      </w:r>
    </w:p>
    <w:p w14:paraId="6102DA33" w14:textId="67D068B5" w:rsidR="006B2A8E" w:rsidRPr="00A40512" w:rsidRDefault="006B2A8E" w:rsidP="006B2A8E">
      <w:pPr>
        <w:spacing w:line="360" w:lineRule="auto"/>
        <w:jc w:val="both"/>
      </w:pPr>
      <w:bookmarkStart w:id="36" w:name="OLE_LINK62"/>
      <w:bookmarkStart w:id="37" w:name="OLE_LINK63"/>
      <w:bookmarkEnd w:id="34"/>
      <w:bookmarkEnd w:id="35"/>
      <w:r w:rsidRPr="00A40512">
        <w:rPr>
          <w:rFonts w:ascii="Book Antiqua" w:eastAsia="Book Antiqua" w:hAnsi="Book Antiqua" w:cs="Book Antiqua"/>
          <w:color w:val="000000"/>
        </w:rPr>
        <w:t>Of the hepatopancreatobiliary cancers, hyperthermia is the least studied in BC. Conventional treatment options of BC are similar to those of PC and HCC; surgical resection for resectable cases and chemoradiotherapy and systematic combination therapies for advanced and metastatic cases</w:t>
      </w:r>
      <w:r w:rsidRPr="00A40512">
        <w:rPr>
          <w:rFonts w:ascii="Book Antiqua" w:eastAsia="Book Antiqua" w:hAnsi="Book Antiqua" w:cs="Book Antiqua"/>
          <w:color w:val="000000"/>
          <w:szCs w:val="30"/>
          <w:vertAlign w:val="superscript"/>
        </w:rPr>
        <w:t>[2]</w:t>
      </w:r>
      <w:r w:rsidRPr="00A40512">
        <w:rPr>
          <w:rFonts w:ascii="Book Antiqua" w:eastAsia="Book Antiqua" w:hAnsi="Book Antiqua" w:cs="Book Antiqua"/>
          <w:color w:val="000000"/>
        </w:rPr>
        <w:t xml:space="preserve">. Until the mid-2000s no studies had been </w:t>
      </w:r>
      <w:r w:rsidRPr="00A40512">
        <w:rPr>
          <w:rFonts w:ascii="Book Antiqua" w:eastAsia="Book Antiqua" w:hAnsi="Book Antiqua" w:cs="Book Antiqua"/>
          <w:color w:val="000000"/>
        </w:rPr>
        <w:lastRenderedPageBreak/>
        <w:t>specifically designed to investigate hyperthermia in BC. The results of studies investigating the effect of hyperthermia on mixed tumor types are available</w:t>
      </w:r>
      <w:r w:rsidRPr="00A40512">
        <w:rPr>
          <w:rFonts w:ascii="Book Antiqua" w:eastAsia="Book Antiqua" w:hAnsi="Book Antiqua" w:cs="Book Antiqua"/>
          <w:color w:val="000000"/>
          <w:szCs w:val="30"/>
          <w:vertAlign w:val="superscript"/>
        </w:rPr>
        <w:t>[26,29,41,51,63,64]</w:t>
      </w:r>
      <w:r w:rsidRPr="00A40512">
        <w:rPr>
          <w:rFonts w:ascii="Book Antiqua" w:eastAsia="Book Antiqua" w:hAnsi="Book Antiqua" w:cs="Book Antiqua"/>
          <w:color w:val="000000"/>
        </w:rPr>
        <w:t>, in which a few biliary cases were also presented. Positive effect of hyperthermia on tumor response rate, tumor markers, and survival have been reported</w:t>
      </w:r>
      <w:r w:rsidRPr="00A40512">
        <w:rPr>
          <w:rFonts w:ascii="Book Antiqua" w:eastAsia="Book Antiqua" w:hAnsi="Book Antiqua" w:cs="Book Antiqua"/>
          <w:color w:val="000000"/>
          <w:szCs w:val="30"/>
          <w:vertAlign w:val="superscript"/>
        </w:rPr>
        <w:t>[26,29,41,51,63,64]</w:t>
      </w:r>
      <w:r w:rsidRPr="00A40512">
        <w:rPr>
          <w:rFonts w:ascii="Book Antiqua" w:eastAsia="Book Antiqua" w:hAnsi="Book Antiqua" w:cs="Book Antiqua"/>
          <w:color w:val="000000"/>
        </w:rPr>
        <w:t>; and the combination of hyperthermia and transcatheter arterial embolization, chemo- or radiotherapy have been considered as equally good combinations of possible therapies in advanced tumors of the biliary tract</w:t>
      </w:r>
      <w:r w:rsidRPr="00A40512">
        <w:rPr>
          <w:rFonts w:ascii="Book Antiqua" w:eastAsia="Book Antiqua" w:hAnsi="Book Antiqua" w:cs="Book Antiqua"/>
          <w:color w:val="000000"/>
          <w:szCs w:val="30"/>
          <w:vertAlign w:val="superscript"/>
        </w:rPr>
        <w:t>[41]</w:t>
      </w:r>
      <w:r w:rsidRPr="00A40512">
        <w:rPr>
          <w:rFonts w:ascii="Book Antiqua" w:eastAsia="Book Antiqua" w:hAnsi="Book Antiqua" w:cs="Book Antiqua"/>
          <w:color w:val="000000"/>
        </w:rPr>
        <w:t>.</w:t>
      </w:r>
    </w:p>
    <w:p w14:paraId="4579C233" w14:textId="159682DD"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Adjuvant hyperthermia with chemotherapy has increased the treatment response rate and overall survival of BC patients</w:t>
      </w:r>
      <w:r w:rsidRPr="00A40512">
        <w:rPr>
          <w:rFonts w:ascii="Book Antiqua" w:eastAsia="Book Antiqua" w:hAnsi="Book Antiqua" w:cs="Book Antiqua"/>
          <w:color w:val="000000"/>
          <w:szCs w:val="30"/>
          <w:vertAlign w:val="superscript"/>
        </w:rPr>
        <w:t>[74,75]</w:t>
      </w:r>
      <w:r w:rsidRPr="00A40512">
        <w:rPr>
          <w:rFonts w:ascii="Book Antiqua" w:eastAsia="Book Antiqua" w:hAnsi="Book Antiqua" w:cs="Book Antiqua"/>
          <w:color w:val="000000"/>
        </w:rPr>
        <w:t>. Improvements in quality of life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fewer tumor related symptoms) and laboratory results were reported in a detailed case report of a patient with unresectable hilar CCC</w:t>
      </w:r>
      <w:r w:rsidRPr="00A40512">
        <w:rPr>
          <w:rFonts w:ascii="Book Antiqua" w:eastAsia="Book Antiqua" w:hAnsi="Book Antiqua" w:cs="Book Antiqua"/>
          <w:color w:val="000000"/>
          <w:szCs w:val="30"/>
          <w:vertAlign w:val="superscript"/>
        </w:rPr>
        <w:t>[75]</w:t>
      </w:r>
      <w:r w:rsidRPr="00A40512">
        <w:rPr>
          <w:rFonts w:ascii="Book Antiqua" w:eastAsia="Book Antiqua" w:hAnsi="Book Antiqua" w:cs="Book Antiqua"/>
          <w:color w:val="000000"/>
        </w:rPr>
        <w:t>. Similarly, extending hepatic arterial infusion chemotherapy with hyperthermia in patients with advanced BC have resulted in longer progression-free and overall survival and in better disease control rate</w:t>
      </w:r>
      <w:r w:rsidRPr="00A40512">
        <w:rPr>
          <w:rFonts w:ascii="Book Antiqua" w:eastAsia="Book Antiqua" w:hAnsi="Book Antiqua" w:cs="Book Antiqua"/>
          <w:color w:val="000000"/>
          <w:szCs w:val="30"/>
          <w:vertAlign w:val="superscript"/>
        </w:rPr>
        <w:t>[45,46]</w:t>
      </w:r>
      <w:r w:rsidRPr="00A40512">
        <w:rPr>
          <w:rFonts w:ascii="Book Antiqua" w:eastAsia="Book Antiqua" w:hAnsi="Book Antiqua" w:cs="Book Antiqua"/>
          <w:color w:val="000000"/>
        </w:rPr>
        <w:t xml:space="preserve"> (</w:t>
      </w:r>
      <w:r w:rsidRPr="00A40512">
        <w:rPr>
          <w:rFonts w:ascii="Book Antiqua" w:eastAsia="Book Antiqua" w:hAnsi="Book Antiqua" w:cs="Book Antiqua"/>
          <w:bCs/>
          <w:color w:val="000000"/>
        </w:rPr>
        <w:t>Figure</w:t>
      </w:r>
      <w:r w:rsidRPr="00A40512">
        <w:rPr>
          <w:rFonts w:ascii="Book Antiqua" w:hAnsi="Book Antiqua" w:cs="Book Antiqua"/>
          <w:bCs/>
          <w:color w:val="000000"/>
          <w:lang w:eastAsia="zh-CN"/>
        </w:rPr>
        <w:t>s</w:t>
      </w:r>
      <w:r w:rsidRPr="00A40512">
        <w:rPr>
          <w:rFonts w:ascii="Book Antiqua" w:eastAsia="Book Antiqua" w:hAnsi="Book Antiqua" w:cs="Book Antiqua"/>
          <w:bCs/>
          <w:color w:val="000000"/>
        </w:rPr>
        <w:t xml:space="preserve"> 2 and 3</w:t>
      </w:r>
      <w:r w:rsidRPr="00A40512">
        <w:rPr>
          <w:rFonts w:ascii="Book Antiqua" w:eastAsia="Book Antiqua" w:hAnsi="Book Antiqua" w:cs="Book Antiqua"/>
          <w:color w:val="000000"/>
        </w:rPr>
        <w:t>). The positive effects of hyperthermia were observed after the first few treatments</w:t>
      </w:r>
      <w:r w:rsidRPr="00A40512">
        <w:rPr>
          <w:rFonts w:ascii="Book Antiqua" w:eastAsia="Book Antiqua" w:hAnsi="Book Antiqua" w:cs="Book Antiqua"/>
          <w:color w:val="000000"/>
          <w:szCs w:val="30"/>
          <w:vertAlign w:val="superscript"/>
        </w:rPr>
        <w:t>[46]</w:t>
      </w:r>
      <w:r w:rsidRPr="00A40512">
        <w:rPr>
          <w:rFonts w:ascii="Book Antiqua" w:eastAsia="Book Antiqua" w:hAnsi="Book Antiqua" w:cs="Book Antiqua"/>
          <w:color w:val="000000"/>
        </w:rPr>
        <w:t>, complete responses have been reported</w:t>
      </w:r>
      <w:r w:rsidRPr="00A40512">
        <w:rPr>
          <w:rFonts w:ascii="Book Antiqua" w:eastAsia="Book Antiqua" w:hAnsi="Book Antiqua" w:cs="Book Antiqua"/>
          <w:color w:val="000000"/>
          <w:szCs w:val="30"/>
          <w:vertAlign w:val="superscript"/>
        </w:rPr>
        <w:t>[46]</w:t>
      </w:r>
      <w:r w:rsidRPr="00A40512">
        <w:rPr>
          <w:rFonts w:ascii="Book Antiqua" w:eastAsia="Book Antiqua" w:hAnsi="Book Antiqua" w:cs="Book Antiqua"/>
          <w:color w:val="000000"/>
        </w:rPr>
        <w:t>, and no increased toxicity after chemotherapy occurred</w:t>
      </w:r>
      <w:r w:rsidRPr="00A40512">
        <w:rPr>
          <w:rFonts w:ascii="Book Antiqua" w:eastAsia="Book Antiqua" w:hAnsi="Book Antiqua" w:cs="Book Antiqua"/>
          <w:color w:val="000000"/>
          <w:szCs w:val="30"/>
          <w:vertAlign w:val="superscript"/>
        </w:rPr>
        <w:t>[45]</w:t>
      </w:r>
      <w:r w:rsidRPr="00A40512">
        <w:rPr>
          <w:rFonts w:ascii="Book Antiqua" w:eastAsia="Book Antiqua" w:hAnsi="Book Antiqua" w:cs="Book Antiqua"/>
          <w:color w:val="000000"/>
        </w:rPr>
        <w:t>.</w:t>
      </w:r>
    </w:p>
    <w:bookmarkEnd w:id="36"/>
    <w:bookmarkEnd w:id="37"/>
    <w:p w14:paraId="6B1BF90A" w14:textId="77777777" w:rsidR="006B2A8E" w:rsidRPr="00A40512" w:rsidRDefault="006B2A8E" w:rsidP="006B2A8E">
      <w:pPr>
        <w:spacing w:line="360" w:lineRule="auto"/>
        <w:jc w:val="both"/>
      </w:pPr>
    </w:p>
    <w:p w14:paraId="2B2DDEA8" w14:textId="77777777" w:rsidR="006B2A8E" w:rsidRPr="00A40512" w:rsidRDefault="006B2A8E" w:rsidP="006B2A8E">
      <w:pPr>
        <w:spacing w:line="360" w:lineRule="auto"/>
        <w:jc w:val="both"/>
      </w:pPr>
      <w:r w:rsidRPr="00A40512">
        <w:rPr>
          <w:rFonts w:ascii="Book Antiqua" w:eastAsia="Book Antiqua" w:hAnsi="Book Antiqua" w:cs="Book Antiqua"/>
          <w:b/>
          <w:caps/>
          <w:color w:val="000000"/>
          <w:u w:val="single"/>
        </w:rPr>
        <w:t>CONCLUSION</w:t>
      </w:r>
    </w:p>
    <w:p w14:paraId="19C3ADC6" w14:textId="7205B743" w:rsidR="006B2A8E" w:rsidRPr="00A40512" w:rsidRDefault="006B2A8E" w:rsidP="006B2A8E">
      <w:pPr>
        <w:spacing w:line="360" w:lineRule="auto"/>
        <w:jc w:val="both"/>
      </w:pPr>
      <w:bookmarkStart w:id="38" w:name="OLE_LINK64"/>
      <w:bookmarkStart w:id="39" w:name="OLE_LINK65"/>
      <w:r w:rsidRPr="00A40512">
        <w:rPr>
          <w:rFonts w:ascii="Book Antiqua" w:eastAsia="Book Antiqua" w:hAnsi="Book Antiqua" w:cs="Book Antiqua"/>
          <w:color w:val="000000"/>
        </w:rPr>
        <w:t xml:space="preserve">One of the major challenges in advanced and metastatic hepatopancreatobiliary cancers is to find a treatment regimen that increases therapy efficacy but has no additional adverse effects. Adjuvant hyperthermia fulfills those expectations. Patients treated with additional hyperthermia have been reported to have significantly higher local and overall response to treatment, longer progression-free and overall survival, and improved laboratory results. Several studies and case reports suggest that complementary hyperthermia also improved quality of life. Furthermore, there have been a few cases in which patient returned to his or her previous active life after treatment. As with every therapeutic method, hyperthermia also has some adverse effects, which are associated with the local heating process; all have been considered to be grade II complications at the highest. It has to be mentioned however, that regional </w:t>
      </w:r>
      <w:r w:rsidRPr="00A40512">
        <w:rPr>
          <w:rFonts w:ascii="Book Antiqua" w:eastAsia="Book Antiqua" w:hAnsi="Book Antiqua" w:cs="Book Antiqua"/>
          <w:color w:val="000000"/>
        </w:rPr>
        <w:lastRenderedPageBreak/>
        <w:t>hyperthermia and mEHT is more advantageous and more accepted among patients than whole-body hyperthermia as no conscious sedation is needed, and the former do not require long treatment times.</w:t>
      </w:r>
    </w:p>
    <w:p w14:paraId="02EE3723" w14:textId="009F5444"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The application of hyperthermia has not found its exact clinical indication in the setting of disease stage. For most patients, it is a palliative treatment when no other possibility is available in the traditional oncological armamentarium. Thus, a refined or subdivided stage 4 category would be most beneficial to stratify the patients according to tumor load and involved organs, supplemented by serum tumor marker levels. Tumor markers like lactic dehydrogenase as used in stage 4 melanoma might be an option</w:t>
      </w:r>
      <w:r w:rsidRPr="00A40512">
        <w:rPr>
          <w:rFonts w:ascii="Book Antiqua" w:eastAsia="Book Antiqua" w:hAnsi="Book Antiqua" w:cs="Book Antiqua"/>
          <w:color w:val="000000"/>
          <w:szCs w:val="30"/>
          <w:vertAlign w:val="superscript"/>
        </w:rPr>
        <w:t>[76]</w:t>
      </w:r>
      <w:r w:rsidRPr="00A40512">
        <w:rPr>
          <w:rFonts w:ascii="Book Antiqua" w:eastAsia="Book Antiqua" w:hAnsi="Book Antiqua" w:cs="Book Antiqua"/>
          <w:color w:val="000000"/>
        </w:rPr>
        <w:t>. Certain organs that are vital or less crucial could also be taken into account when containing metastases. To our knowledge, no such classification exists for the stratification of patients for hyperthermia treatment. Higher Eastern Cooperative Oncology Group performance status or increased amount of body fluids (ascites, hydrothorax, other edema) may be limitations in the administration of hyperthermia. In future analyses, it is encouraged to address the question of tumor load and the capabilities of the patient to overcome the neoplastic disease.</w:t>
      </w:r>
    </w:p>
    <w:p w14:paraId="07C5E1A8" w14:textId="7B705F42"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Summarizing all of the above, hyperthermia in advanced hepatopancreatobiliary cancers is an effective complementary treatment option with several promising positive results extending current protocols. To date, its usage in these three cancer types is mainly limited to research only. However, based on the clinical results and observations provided in this review, its routine use in advanced liver-</w:t>
      </w:r>
      <w:r w:rsidRPr="00A40512">
        <w:rPr>
          <w:rFonts w:ascii="Book Antiqua" w:hAnsi="Book Antiqua" w:cs="Book Antiqua"/>
          <w:color w:val="000000"/>
          <w:lang w:eastAsia="zh-CN"/>
        </w:rPr>
        <w:t>PC</w:t>
      </w:r>
      <w:r w:rsidRPr="00A40512">
        <w:rPr>
          <w:rFonts w:ascii="Book Antiqua" w:eastAsia="Book Antiqua" w:hAnsi="Book Antiqua" w:cs="Book Antiqua"/>
          <w:color w:val="000000"/>
        </w:rPr>
        <w:t xml:space="preserve"> care, especially with further immunomodulation, should be considered.</w:t>
      </w:r>
    </w:p>
    <w:bookmarkEnd w:id="38"/>
    <w:bookmarkEnd w:id="39"/>
    <w:p w14:paraId="4D6E9664" w14:textId="77777777" w:rsidR="006B2A8E" w:rsidRPr="00A40512" w:rsidRDefault="006B2A8E" w:rsidP="006B2A8E">
      <w:pPr>
        <w:spacing w:line="360" w:lineRule="auto"/>
        <w:jc w:val="both"/>
      </w:pPr>
    </w:p>
    <w:p w14:paraId="268C592E" w14:textId="77777777" w:rsidR="006B2A8E" w:rsidRPr="00A40512" w:rsidRDefault="006B2A8E" w:rsidP="006B2A8E">
      <w:pPr>
        <w:spacing w:line="360" w:lineRule="auto"/>
        <w:jc w:val="both"/>
      </w:pPr>
      <w:r w:rsidRPr="00A40512">
        <w:rPr>
          <w:rFonts w:ascii="Book Antiqua" w:eastAsia="Book Antiqua" w:hAnsi="Book Antiqua" w:cs="Book Antiqua"/>
          <w:b/>
          <w:caps/>
          <w:color w:val="000000"/>
          <w:u w:val="single"/>
        </w:rPr>
        <w:t>ACKNOWLEDGEMENTS</w:t>
      </w:r>
    </w:p>
    <w:p w14:paraId="7146029D" w14:textId="77777777" w:rsidR="006B2A8E" w:rsidRPr="00A40512" w:rsidRDefault="006B2A8E" w:rsidP="006B2A8E">
      <w:pPr>
        <w:spacing w:line="360" w:lineRule="auto"/>
        <w:jc w:val="both"/>
      </w:pPr>
      <w:r w:rsidRPr="00A40512">
        <w:rPr>
          <w:rFonts w:ascii="Book Antiqua" w:eastAsia="Book Antiqua" w:hAnsi="Book Antiqua" w:cs="Book Antiqua"/>
          <w:color w:val="000000"/>
        </w:rPr>
        <w:t>We are grateful to Viktor Madar-Dank for English proofreading.</w:t>
      </w:r>
    </w:p>
    <w:p w14:paraId="25DF3720" w14:textId="77777777" w:rsidR="006B2A8E" w:rsidRPr="00A40512" w:rsidRDefault="006B2A8E" w:rsidP="006B2A8E">
      <w:pPr>
        <w:spacing w:line="360" w:lineRule="auto"/>
        <w:jc w:val="both"/>
      </w:pPr>
    </w:p>
    <w:p w14:paraId="7F52844A" w14:textId="77777777" w:rsidR="006B2A8E" w:rsidRPr="00A40512" w:rsidRDefault="006B2A8E" w:rsidP="006B2A8E">
      <w:pPr>
        <w:adjustRightInd w:val="0"/>
        <w:snapToGrid w:val="0"/>
        <w:spacing w:line="360" w:lineRule="auto"/>
        <w:jc w:val="both"/>
        <w:rPr>
          <w:rFonts w:ascii="Book Antiqua" w:hAnsi="Book Antiqua"/>
        </w:rPr>
      </w:pPr>
      <w:r w:rsidRPr="00A40512">
        <w:rPr>
          <w:rFonts w:ascii="Book Antiqua" w:eastAsia="Book Antiqua" w:hAnsi="Book Antiqua" w:cs="Book Antiqua"/>
          <w:b/>
        </w:rPr>
        <w:t>REFERENCES</w:t>
      </w:r>
    </w:p>
    <w:p w14:paraId="1BA9F78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0" w:name="OLE_LINK66"/>
      <w:bookmarkStart w:id="41" w:name="OLE_LINK67"/>
      <w:r w:rsidRPr="00A40512">
        <w:rPr>
          <w:rFonts w:ascii="Book Antiqua" w:hAnsi="Book Antiqua"/>
        </w:rPr>
        <w:lastRenderedPageBreak/>
        <w:t>1 </w:t>
      </w:r>
      <w:r w:rsidRPr="00A40512">
        <w:rPr>
          <w:rFonts w:ascii="Book Antiqua" w:hAnsi="Book Antiqua"/>
          <w:b/>
          <w:bCs/>
        </w:rPr>
        <w:t>Llovet JM</w:t>
      </w:r>
      <w:r w:rsidRPr="00A40512">
        <w:rPr>
          <w:rFonts w:ascii="Book Antiqua" w:hAnsi="Book Antiqua"/>
        </w:rPr>
        <w:t>, Kelley RK, Villanueva A, Singal AG, Pikarsky E, Roayaie S, Lencioni R, Koike K, Zucman-Rossi J, Finn RS. Hepatocellular carcinoma. </w:t>
      </w:r>
      <w:r w:rsidRPr="00A40512">
        <w:rPr>
          <w:rFonts w:ascii="Book Antiqua" w:hAnsi="Book Antiqua"/>
          <w:i/>
          <w:iCs/>
        </w:rPr>
        <w:t>Nat Rev Dis Primers</w:t>
      </w:r>
      <w:r w:rsidRPr="00A40512">
        <w:rPr>
          <w:rFonts w:ascii="Book Antiqua" w:hAnsi="Book Antiqua"/>
        </w:rPr>
        <w:t> 2021; </w:t>
      </w:r>
      <w:r w:rsidRPr="00A40512">
        <w:rPr>
          <w:rFonts w:ascii="Book Antiqua" w:hAnsi="Book Antiqua"/>
          <w:b/>
          <w:bCs/>
        </w:rPr>
        <w:t>7</w:t>
      </w:r>
      <w:r w:rsidRPr="00A40512">
        <w:rPr>
          <w:rFonts w:ascii="Book Antiqua" w:hAnsi="Book Antiqua"/>
        </w:rPr>
        <w:t>: 6 [PMID: 33479224 DOI: 10.1038/s41572-020-00240-3]</w:t>
      </w:r>
    </w:p>
    <w:p w14:paraId="6289DE91"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2 </w:t>
      </w:r>
      <w:r w:rsidRPr="00A40512">
        <w:rPr>
          <w:rFonts w:ascii="Book Antiqua" w:hAnsi="Book Antiqua"/>
          <w:b/>
          <w:bCs/>
        </w:rPr>
        <w:t>Valle JW</w:t>
      </w:r>
      <w:r w:rsidRPr="00A40512">
        <w:rPr>
          <w:rFonts w:ascii="Book Antiqua" w:hAnsi="Book Antiqua"/>
        </w:rPr>
        <w:t>, Kelley RK, Nervi B, Oh DY, Zhu AX. Biliary tract cancer. </w:t>
      </w:r>
      <w:r w:rsidRPr="00A40512">
        <w:rPr>
          <w:rFonts w:ascii="Book Antiqua" w:hAnsi="Book Antiqua"/>
          <w:i/>
          <w:iCs/>
        </w:rPr>
        <w:t>Lancet</w:t>
      </w:r>
      <w:r w:rsidRPr="00A40512">
        <w:rPr>
          <w:rFonts w:ascii="Book Antiqua" w:hAnsi="Book Antiqua"/>
        </w:rPr>
        <w:t> 2021; </w:t>
      </w:r>
      <w:r w:rsidRPr="00A40512">
        <w:rPr>
          <w:rFonts w:ascii="Book Antiqua" w:hAnsi="Book Antiqua"/>
          <w:b/>
          <w:bCs/>
        </w:rPr>
        <w:t>397</w:t>
      </w:r>
      <w:r w:rsidRPr="00A40512">
        <w:rPr>
          <w:rFonts w:ascii="Book Antiqua" w:hAnsi="Book Antiqua"/>
        </w:rPr>
        <w:t>: 428-444 [PMID: 33516341 DOI: 10.1016/S0140-6736(21)00153-7]</w:t>
      </w:r>
    </w:p>
    <w:p w14:paraId="5E2C496D"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3 </w:t>
      </w:r>
      <w:r w:rsidRPr="00A40512">
        <w:rPr>
          <w:rFonts w:ascii="Book Antiqua" w:hAnsi="Book Antiqua"/>
          <w:b/>
          <w:bCs/>
        </w:rPr>
        <w:t>Mizrahi JD</w:t>
      </w:r>
      <w:r w:rsidRPr="00A40512">
        <w:rPr>
          <w:rFonts w:ascii="Book Antiqua" w:hAnsi="Book Antiqua"/>
        </w:rPr>
        <w:t>, Surana R, Valle JW, Shroff RT. Pancreatic cancer. </w:t>
      </w:r>
      <w:r w:rsidRPr="00A40512">
        <w:rPr>
          <w:rFonts w:ascii="Book Antiqua" w:hAnsi="Book Antiqua"/>
          <w:i/>
          <w:iCs/>
        </w:rPr>
        <w:t>Lancet</w:t>
      </w:r>
      <w:r w:rsidRPr="00A40512">
        <w:rPr>
          <w:rFonts w:ascii="Book Antiqua" w:hAnsi="Book Antiqua"/>
        </w:rPr>
        <w:t> 2020; </w:t>
      </w:r>
      <w:r w:rsidRPr="00A40512">
        <w:rPr>
          <w:rFonts w:ascii="Book Antiqua" w:hAnsi="Book Antiqua"/>
          <w:b/>
          <w:bCs/>
        </w:rPr>
        <w:t>395</w:t>
      </w:r>
      <w:r w:rsidRPr="00A40512">
        <w:rPr>
          <w:rFonts w:ascii="Book Antiqua" w:hAnsi="Book Antiqua"/>
        </w:rPr>
        <w:t>: 2008-2020 [PMID: 32593337 DOI: 10.1016/S0140-6736(20)30974-0]</w:t>
      </w:r>
    </w:p>
    <w:p w14:paraId="6409B1E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4 </w:t>
      </w:r>
      <w:r w:rsidRPr="00A40512">
        <w:rPr>
          <w:rFonts w:ascii="Book Antiqua" w:hAnsi="Book Antiqua"/>
          <w:b/>
          <w:bCs/>
        </w:rPr>
        <w:t>Bray F</w:t>
      </w:r>
      <w:r w:rsidRPr="00A40512">
        <w:rPr>
          <w:rFonts w:ascii="Book Antiqua" w:hAnsi="Book Antiqua"/>
        </w:rPr>
        <w:t>, Ferlay J, Soerjomataram I, Siegel RL, Torre LA, Jemal A. Global cancer statistics 2018: GLOBOCAN estimates of incidence and mortality worldwide for 36 cancers in 185 countries. </w:t>
      </w:r>
      <w:r w:rsidRPr="00A40512">
        <w:rPr>
          <w:rFonts w:ascii="Book Antiqua" w:hAnsi="Book Antiqua"/>
          <w:i/>
          <w:iCs/>
        </w:rPr>
        <w:t>CA Cancer J Clin</w:t>
      </w:r>
      <w:r w:rsidRPr="00A40512">
        <w:rPr>
          <w:rFonts w:ascii="Book Antiqua" w:hAnsi="Book Antiqua"/>
        </w:rPr>
        <w:t> 2018; </w:t>
      </w:r>
      <w:r w:rsidRPr="00A40512">
        <w:rPr>
          <w:rFonts w:ascii="Book Antiqua" w:hAnsi="Book Antiqua"/>
          <w:b/>
          <w:bCs/>
        </w:rPr>
        <w:t>68</w:t>
      </w:r>
      <w:r w:rsidRPr="00A40512">
        <w:rPr>
          <w:rFonts w:ascii="Book Antiqua" w:hAnsi="Book Antiqua"/>
        </w:rPr>
        <w:t>: 394-424 [PMID: 30207593 DOI: 10.3322/caac.21492]</w:t>
      </w:r>
    </w:p>
    <w:p w14:paraId="62FA42C1"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5 </w:t>
      </w:r>
      <w:r w:rsidRPr="00A40512">
        <w:rPr>
          <w:rFonts w:ascii="Book Antiqua" w:hAnsi="Book Antiqua"/>
          <w:b/>
          <w:bCs/>
        </w:rPr>
        <w:t>Brace C</w:t>
      </w:r>
      <w:r w:rsidRPr="00A40512">
        <w:rPr>
          <w:rFonts w:ascii="Book Antiqua" w:hAnsi="Book Antiqua"/>
        </w:rPr>
        <w:t>. Thermal tumor ablation in clinical use. </w:t>
      </w:r>
      <w:r w:rsidRPr="00A40512">
        <w:rPr>
          <w:rFonts w:ascii="Book Antiqua" w:hAnsi="Book Antiqua"/>
          <w:i/>
          <w:iCs/>
        </w:rPr>
        <w:t>IEEE Pulse</w:t>
      </w:r>
      <w:r w:rsidRPr="00A40512">
        <w:rPr>
          <w:rFonts w:ascii="Book Antiqua" w:hAnsi="Book Antiqua"/>
        </w:rPr>
        <w:t> 2011; </w:t>
      </w:r>
      <w:r w:rsidRPr="00A40512">
        <w:rPr>
          <w:rFonts w:ascii="Book Antiqua" w:hAnsi="Book Antiqua"/>
          <w:b/>
          <w:bCs/>
        </w:rPr>
        <w:t>2</w:t>
      </w:r>
      <w:r w:rsidRPr="00A40512">
        <w:rPr>
          <w:rFonts w:ascii="Book Antiqua" w:hAnsi="Book Antiqua"/>
        </w:rPr>
        <w:t>: 28-38 [PMID: 25372967 DOI: 10.1109/MPUL.2011.942603]</w:t>
      </w:r>
    </w:p>
    <w:p w14:paraId="35DFD88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6 </w:t>
      </w:r>
      <w:r w:rsidRPr="00A40512">
        <w:rPr>
          <w:rFonts w:ascii="Book Antiqua" w:hAnsi="Book Antiqua"/>
          <w:b/>
          <w:bCs/>
        </w:rPr>
        <w:t>Ni Y</w:t>
      </w:r>
      <w:r w:rsidRPr="00A40512">
        <w:rPr>
          <w:rFonts w:ascii="Book Antiqua" w:hAnsi="Book Antiqua"/>
        </w:rPr>
        <w:t>, Mulier S, Miao Y, Michel L, Marchal G. A review of the general aspects of radiofrequency ablation. </w:t>
      </w:r>
      <w:r w:rsidRPr="00A40512">
        <w:rPr>
          <w:rFonts w:ascii="Book Antiqua" w:hAnsi="Book Antiqua"/>
          <w:i/>
          <w:iCs/>
        </w:rPr>
        <w:t>Abdom Imaging</w:t>
      </w:r>
      <w:r w:rsidRPr="00A40512">
        <w:rPr>
          <w:rFonts w:ascii="Book Antiqua" w:hAnsi="Book Antiqua"/>
        </w:rPr>
        <w:t> 2005; </w:t>
      </w:r>
      <w:r w:rsidRPr="00A40512">
        <w:rPr>
          <w:rFonts w:ascii="Book Antiqua" w:hAnsi="Book Antiqua"/>
          <w:b/>
          <w:bCs/>
        </w:rPr>
        <w:t>30</w:t>
      </w:r>
      <w:r w:rsidRPr="00A40512">
        <w:rPr>
          <w:rFonts w:ascii="Book Antiqua" w:hAnsi="Book Antiqua"/>
        </w:rPr>
        <w:t>: 381-400 [PMID: 15776302 DOI: 10.1007/s00261-004-0253-9]</w:t>
      </w:r>
    </w:p>
    <w:p w14:paraId="67829AE4"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7 </w:t>
      </w:r>
      <w:r w:rsidRPr="00A40512">
        <w:rPr>
          <w:rFonts w:ascii="Book Antiqua" w:hAnsi="Book Antiqua"/>
          <w:b/>
          <w:bCs/>
        </w:rPr>
        <w:t>Imajo K</w:t>
      </w:r>
      <w:r w:rsidRPr="00A40512">
        <w:rPr>
          <w:rFonts w:ascii="Book Antiqua" w:hAnsi="Book Antiqua"/>
        </w:rPr>
        <w:t>, Ogawa Y, Yoneda M, Saito S, Nakajima A. A review of conventional and newer generation microwave ablation systems for hepatocellular carcinoma. </w:t>
      </w:r>
      <w:r w:rsidRPr="00A40512">
        <w:rPr>
          <w:rFonts w:ascii="Book Antiqua" w:hAnsi="Book Antiqua"/>
          <w:i/>
          <w:iCs/>
        </w:rPr>
        <w:t>J Med Ultrason (2001)</w:t>
      </w:r>
      <w:r w:rsidRPr="00A40512">
        <w:rPr>
          <w:rFonts w:ascii="Book Antiqua" w:hAnsi="Book Antiqua"/>
        </w:rPr>
        <w:t> 2020; </w:t>
      </w:r>
      <w:r w:rsidRPr="00A40512">
        <w:rPr>
          <w:rFonts w:ascii="Book Antiqua" w:hAnsi="Book Antiqua"/>
          <w:b/>
          <w:bCs/>
        </w:rPr>
        <w:t>47</w:t>
      </w:r>
      <w:r w:rsidRPr="00A40512">
        <w:rPr>
          <w:rFonts w:ascii="Book Antiqua" w:hAnsi="Book Antiqua"/>
        </w:rPr>
        <w:t>: 265-277 [PMID: 31960190 DOI: 10.1007/s10396-019-00997-5]</w:t>
      </w:r>
    </w:p>
    <w:p w14:paraId="187D139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8 </w:t>
      </w:r>
      <w:r w:rsidRPr="00A40512">
        <w:rPr>
          <w:rFonts w:ascii="Book Antiqua" w:hAnsi="Book Antiqua"/>
          <w:b/>
          <w:bCs/>
        </w:rPr>
        <w:t>Mensel B</w:t>
      </w:r>
      <w:r w:rsidRPr="00A40512">
        <w:rPr>
          <w:rFonts w:ascii="Book Antiqua" w:hAnsi="Book Antiqua"/>
        </w:rPr>
        <w:t>, Weigel C, Hosten N. Laser-induced thermotherapy. </w:t>
      </w:r>
      <w:r w:rsidRPr="00A40512">
        <w:rPr>
          <w:rFonts w:ascii="Book Antiqua" w:hAnsi="Book Antiqua"/>
          <w:i/>
          <w:iCs/>
        </w:rPr>
        <w:t>Recent Results Cancer Res</w:t>
      </w:r>
      <w:r w:rsidRPr="00A40512">
        <w:rPr>
          <w:rFonts w:ascii="Book Antiqua" w:hAnsi="Book Antiqua"/>
        </w:rPr>
        <w:t> 2006; </w:t>
      </w:r>
      <w:r w:rsidRPr="00A40512">
        <w:rPr>
          <w:rFonts w:ascii="Book Antiqua" w:hAnsi="Book Antiqua"/>
          <w:b/>
          <w:bCs/>
        </w:rPr>
        <w:t>167</w:t>
      </w:r>
      <w:r w:rsidRPr="00A40512">
        <w:rPr>
          <w:rFonts w:ascii="Book Antiqua" w:hAnsi="Book Antiqua"/>
        </w:rPr>
        <w:t>: 69-75 [PMID: 17044297 DOI: 10.1007/3-540-28137-1_5]</w:t>
      </w:r>
    </w:p>
    <w:p w14:paraId="11655DE0"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9 </w:t>
      </w:r>
      <w:r w:rsidRPr="00A40512">
        <w:rPr>
          <w:rFonts w:ascii="Book Antiqua" w:hAnsi="Book Antiqua"/>
          <w:b/>
          <w:bCs/>
        </w:rPr>
        <w:t>Goodman MD</w:t>
      </w:r>
      <w:r w:rsidRPr="00A40512">
        <w:rPr>
          <w:rFonts w:ascii="Book Antiqua" w:hAnsi="Book Antiqua"/>
        </w:rPr>
        <w:t>, McPartland S, Detelich D, Saif MW. Chemotherapy for intraperitoneal use: a review of hyperthermic intraperitoneal chemotherapy and early post-operative intraperitoneal chemotherapy. </w:t>
      </w:r>
      <w:r w:rsidRPr="00A40512">
        <w:rPr>
          <w:rFonts w:ascii="Book Antiqua" w:hAnsi="Book Antiqua"/>
          <w:i/>
          <w:iCs/>
        </w:rPr>
        <w:t>J Gastrointest Oncol</w:t>
      </w:r>
      <w:r w:rsidRPr="00A40512">
        <w:rPr>
          <w:rFonts w:ascii="Book Antiqua" w:hAnsi="Book Antiqua"/>
        </w:rPr>
        <w:t> 2016; </w:t>
      </w:r>
      <w:r w:rsidRPr="00A40512">
        <w:rPr>
          <w:rFonts w:ascii="Book Antiqua" w:hAnsi="Book Antiqua"/>
          <w:b/>
          <w:bCs/>
        </w:rPr>
        <w:t>7</w:t>
      </w:r>
      <w:r w:rsidRPr="00A40512">
        <w:rPr>
          <w:rFonts w:ascii="Book Antiqua" w:hAnsi="Book Antiqua"/>
        </w:rPr>
        <w:t>: 45-57 [PMID: 26941983 DOI: 10.3978/j.issn.2078-6891.2015.111]</w:t>
      </w:r>
    </w:p>
    <w:p w14:paraId="78CF21EE"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10 </w:t>
      </w:r>
      <w:r w:rsidRPr="00A40512">
        <w:rPr>
          <w:rFonts w:ascii="Book Antiqua" w:hAnsi="Book Antiqua"/>
          <w:b/>
          <w:bCs/>
        </w:rPr>
        <w:t>Lee MJ</w:t>
      </w:r>
      <w:r w:rsidRPr="00A40512">
        <w:rPr>
          <w:rFonts w:ascii="Book Antiqua" w:hAnsi="Book Antiqua"/>
        </w:rPr>
        <w:t>, Mueller PR, Dawson SL, Gazelle SG, Hahn PF, Goldberg MA, Boland GW. Percutaneous ethanol injection for the treatment of hepatic tumors: indications, mechanism of action, technique, and efficacy. </w:t>
      </w:r>
      <w:r w:rsidRPr="00A40512">
        <w:rPr>
          <w:rFonts w:ascii="Book Antiqua" w:hAnsi="Book Antiqua"/>
          <w:i/>
          <w:iCs/>
        </w:rPr>
        <w:t>AJR Am J Roentgenol</w:t>
      </w:r>
      <w:r w:rsidRPr="00A40512">
        <w:rPr>
          <w:rFonts w:ascii="Book Antiqua" w:hAnsi="Book Antiqua"/>
        </w:rPr>
        <w:t> 1995; </w:t>
      </w:r>
      <w:r w:rsidRPr="00A40512">
        <w:rPr>
          <w:rFonts w:ascii="Book Antiqua" w:hAnsi="Book Antiqua"/>
          <w:b/>
          <w:bCs/>
        </w:rPr>
        <w:t>164</w:t>
      </w:r>
      <w:r w:rsidRPr="00A40512">
        <w:rPr>
          <w:rFonts w:ascii="Book Antiqua" w:hAnsi="Book Antiqua"/>
        </w:rPr>
        <w:t>: 215-220 [PMID: 7998542 DOI: 10.2214/ajr.164.1.7998542]</w:t>
      </w:r>
    </w:p>
    <w:p w14:paraId="3D559335"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11 </w:t>
      </w:r>
      <w:r w:rsidRPr="00A40512">
        <w:rPr>
          <w:rFonts w:ascii="Book Antiqua" w:hAnsi="Book Antiqua"/>
          <w:b/>
          <w:bCs/>
        </w:rPr>
        <w:t>Lencioni R</w:t>
      </w:r>
      <w:r w:rsidRPr="00A40512">
        <w:rPr>
          <w:rFonts w:ascii="Book Antiqua" w:hAnsi="Book Antiqua"/>
        </w:rPr>
        <w:t>, Petruzzi P, Crocetti L. Chemoembolization of hepatocellular carcinoma. </w:t>
      </w:r>
      <w:r w:rsidRPr="00A40512">
        <w:rPr>
          <w:rFonts w:ascii="Book Antiqua" w:hAnsi="Book Antiqua"/>
          <w:i/>
          <w:iCs/>
        </w:rPr>
        <w:t>Semin Intervent Radiol</w:t>
      </w:r>
      <w:r w:rsidRPr="00A40512">
        <w:rPr>
          <w:rFonts w:ascii="Book Antiqua" w:hAnsi="Book Antiqua"/>
        </w:rPr>
        <w:t> 2013; </w:t>
      </w:r>
      <w:r w:rsidRPr="00A40512">
        <w:rPr>
          <w:rFonts w:ascii="Book Antiqua" w:hAnsi="Book Antiqua"/>
          <w:b/>
          <w:bCs/>
        </w:rPr>
        <w:t>30</w:t>
      </w:r>
      <w:r w:rsidRPr="00A40512">
        <w:rPr>
          <w:rFonts w:ascii="Book Antiqua" w:hAnsi="Book Antiqua"/>
        </w:rPr>
        <w:t>: 3-11 [PMID: 24436512 DOI: 10.1055/s-0033-1333648]</w:t>
      </w:r>
    </w:p>
    <w:p w14:paraId="16FD39E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12 </w:t>
      </w:r>
      <w:r w:rsidRPr="00A40512">
        <w:rPr>
          <w:rFonts w:ascii="Book Antiqua" w:hAnsi="Book Antiqua"/>
          <w:b/>
          <w:bCs/>
        </w:rPr>
        <w:t>Izadifar Z</w:t>
      </w:r>
      <w:r w:rsidRPr="00A40512">
        <w:rPr>
          <w:rFonts w:ascii="Book Antiqua" w:hAnsi="Book Antiqua"/>
        </w:rPr>
        <w:t>, Izadifar Z, Chapman D, Babyn P. An Introduction to High Intensity Focused Ultrasound: Systematic Review on Principles, Devices, and Clinical Applications. </w:t>
      </w:r>
      <w:r w:rsidRPr="00A40512">
        <w:rPr>
          <w:rFonts w:ascii="Book Antiqua" w:hAnsi="Book Antiqua"/>
          <w:i/>
          <w:iCs/>
        </w:rPr>
        <w:t>J Clin Med</w:t>
      </w:r>
      <w:r w:rsidRPr="00A40512">
        <w:rPr>
          <w:rFonts w:ascii="Book Antiqua" w:hAnsi="Book Antiqua"/>
        </w:rPr>
        <w:t> 2020; </w:t>
      </w:r>
      <w:r w:rsidRPr="00A40512">
        <w:rPr>
          <w:rFonts w:ascii="Book Antiqua" w:hAnsi="Book Antiqua"/>
          <w:b/>
          <w:bCs/>
        </w:rPr>
        <w:t>9</w:t>
      </w:r>
      <w:r w:rsidRPr="00A40512">
        <w:rPr>
          <w:rFonts w:ascii="Book Antiqua" w:hAnsi="Book Antiqua"/>
        </w:rPr>
        <w:t> [PMID: 32046072 DOI: 10.3390/jcm9020460]</w:t>
      </w:r>
    </w:p>
    <w:p w14:paraId="0BA286F2"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13 </w:t>
      </w:r>
      <w:r w:rsidRPr="00A40512">
        <w:rPr>
          <w:rFonts w:ascii="Book Antiqua" w:hAnsi="Book Antiqua"/>
          <w:b/>
          <w:bCs/>
        </w:rPr>
        <w:t>Rao W</w:t>
      </w:r>
      <w:r w:rsidRPr="00A40512">
        <w:rPr>
          <w:rFonts w:ascii="Book Antiqua" w:hAnsi="Book Antiqua"/>
        </w:rPr>
        <w:t>, Deng ZS, Liu J. A review of hyperthermia combined with radiotherapy/chemotherapy on malignant tumors. </w:t>
      </w:r>
      <w:r w:rsidRPr="00A40512">
        <w:rPr>
          <w:rFonts w:ascii="Book Antiqua" w:hAnsi="Book Antiqua"/>
          <w:i/>
          <w:iCs/>
        </w:rPr>
        <w:t>Crit Rev Biomed Eng</w:t>
      </w:r>
      <w:r w:rsidRPr="00A40512">
        <w:rPr>
          <w:rFonts w:ascii="Book Antiqua" w:hAnsi="Book Antiqua"/>
        </w:rPr>
        <w:t> 2010; </w:t>
      </w:r>
      <w:r w:rsidRPr="00A40512">
        <w:rPr>
          <w:rFonts w:ascii="Book Antiqua" w:hAnsi="Book Antiqua"/>
          <w:b/>
          <w:bCs/>
        </w:rPr>
        <w:t>38</w:t>
      </w:r>
      <w:r w:rsidRPr="00A40512">
        <w:rPr>
          <w:rFonts w:ascii="Book Antiqua" w:hAnsi="Book Antiqua"/>
        </w:rPr>
        <w:t>: 101-116 [PMID: 21175406 DOI: 10.1615/critrevbiomedeng.v38.i1.80]</w:t>
      </w:r>
    </w:p>
    <w:p w14:paraId="751F9E5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14 </w:t>
      </w:r>
      <w:r w:rsidRPr="00A40512">
        <w:rPr>
          <w:rFonts w:ascii="Book Antiqua" w:hAnsi="Book Antiqua"/>
          <w:b/>
          <w:bCs/>
        </w:rPr>
        <w:t>Hegyi G</w:t>
      </w:r>
      <w:r w:rsidRPr="00A40512">
        <w:rPr>
          <w:rFonts w:ascii="Book Antiqua" w:hAnsi="Book Antiqua"/>
        </w:rPr>
        <w:t>, Szigeti GP, Szász A. Hyperthermia versus Oncothermia: Cellular Effects in Complementary Cancer Therapy. </w:t>
      </w:r>
      <w:r w:rsidRPr="00A40512">
        <w:rPr>
          <w:rFonts w:ascii="Book Antiqua" w:hAnsi="Book Antiqua"/>
          <w:i/>
          <w:iCs/>
        </w:rPr>
        <w:t>Evid Based Complement Alternat Med</w:t>
      </w:r>
      <w:r w:rsidRPr="00A40512">
        <w:rPr>
          <w:rFonts w:ascii="Book Antiqua" w:hAnsi="Book Antiqua"/>
        </w:rPr>
        <w:t> 2013; </w:t>
      </w:r>
      <w:r w:rsidRPr="00A40512">
        <w:rPr>
          <w:rFonts w:ascii="Book Antiqua" w:hAnsi="Book Antiqua"/>
          <w:b/>
          <w:bCs/>
        </w:rPr>
        <w:t>2013</w:t>
      </w:r>
      <w:r w:rsidRPr="00A40512">
        <w:rPr>
          <w:rFonts w:ascii="Book Antiqua" w:hAnsi="Book Antiqua"/>
        </w:rPr>
        <w:t>: 672873 [PMID: 23662149 DOI: 10.1155/2013/672873]</w:t>
      </w:r>
    </w:p>
    <w:p w14:paraId="590A8B2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15 </w:t>
      </w:r>
      <w:r w:rsidRPr="00A40512">
        <w:rPr>
          <w:rFonts w:ascii="Book Antiqua" w:hAnsi="Book Antiqua"/>
          <w:b/>
          <w:bCs/>
        </w:rPr>
        <w:t>Kampinga HH</w:t>
      </w:r>
      <w:r w:rsidRPr="00A40512">
        <w:rPr>
          <w:rFonts w:ascii="Book Antiqua" w:hAnsi="Book Antiqua"/>
        </w:rPr>
        <w:t>. Cell biological effects of hyperthermia alone or combined with radiation or drugs: a short introduction to newcomers in the field. </w:t>
      </w:r>
      <w:r w:rsidRPr="00A40512">
        <w:rPr>
          <w:rFonts w:ascii="Book Antiqua" w:hAnsi="Book Antiqua"/>
          <w:i/>
          <w:iCs/>
        </w:rPr>
        <w:t>Int J Hyperthermia</w:t>
      </w:r>
      <w:r w:rsidRPr="00A40512">
        <w:rPr>
          <w:rFonts w:ascii="Book Antiqua" w:hAnsi="Book Antiqua"/>
        </w:rPr>
        <w:t> 2006; </w:t>
      </w:r>
      <w:r w:rsidRPr="00A40512">
        <w:rPr>
          <w:rFonts w:ascii="Book Antiqua" w:hAnsi="Book Antiqua"/>
          <w:b/>
          <w:bCs/>
        </w:rPr>
        <w:t>22</w:t>
      </w:r>
      <w:r w:rsidRPr="00A40512">
        <w:rPr>
          <w:rFonts w:ascii="Book Antiqua" w:hAnsi="Book Antiqua"/>
        </w:rPr>
        <w:t>: 191-196 [PMID: 16754338 DOI: 10.1080/02656730500532028]</w:t>
      </w:r>
    </w:p>
    <w:p w14:paraId="04895AAC"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16 </w:t>
      </w:r>
      <w:r w:rsidRPr="00A40512">
        <w:rPr>
          <w:rFonts w:ascii="Book Antiqua" w:hAnsi="Book Antiqua"/>
          <w:b/>
          <w:bCs/>
        </w:rPr>
        <w:t>Pettigrew RT</w:t>
      </w:r>
      <w:r w:rsidRPr="00A40512">
        <w:rPr>
          <w:rFonts w:ascii="Book Antiqua" w:hAnsi="Book Antiqua"/>
        </w:rPr>
        <w:t>, Galt JM, Ludgate CM, Horn DB, Smith AN. Circulatory and biochemical effects of whole body hyperthermia. </w:t>
      </w:r>
      <w:r w:rsidRPr="00A40512">
        <w:rPr>
          <w:rFonts w:ascii="Book Antiqua" w:hAnsi="Book Antiqua"/>
          <w:i/>
          <w:iCs/>
        </w:rPr>
        <w:t>Br J Surg</w:t>
      </w:r>
      <w:r w:rsidRPr="00A40512">
        <w:rPr>
          <w:rFonts w:ascii="Book Antiqua" w:hAnsi="Book Antiqua"/>
        </w:rPr>
        <w:t> 1974; </w:t>
      </w:r>
      <w:r w:rsidRPr="00A40512">
        <w:rPr>
          <w:rFonts w:ascii="Book Antiqua" w:hAnsi="Book Antiqua"/>
          <w:b/>
          <w:bCs/>
        </w:rPr>
        <w:t>61</w:t>
      </w:r>
      <w:r w:rsidRPr="00A40512">
        <w:rPr>
          <w:rFonts w:ascii="Book Antiqua" w:hAnsi="Book Antiqua"/>
        </w:rPr>
        <w:t>: 727-730 [PMID: 4412451 DOI: 10.1002/bjs.1800610914]</w:t>
      </w:r>
    </w:p>
    <w:p w14:paraId="2468237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17 </w:t>
      </w:r>
      <w:r w:rsidRPr="00A40512">
        <w:rPr>
          <w:rFonts w:ascii="Book Antiqua" w:hAnsi="Book Antiqua"/>
          <w:b/>
          <w:bCs/>
        </w:rPr>
        <w:t>Robins HI</w:t>
      </w:r>
      <w:r w:rsidRPr="00A40512">
        <w:rPr>
          <w:rFonts w:ascii="Book Antiqua" w:hAnsi="Book Antiqua"/>
        </w:rPr>
        <w:t>, Kalin NH, Shelton SE, Martin PA, Shecterle LM, Barksdale CM, Neville AJ, Marshall J. Rise in plasma beta-endorphin, ACTH, and cortisol in cancer patients undergoing whole body hyperthermia. </w:t>
      </w:r>
      <w:r w:rsidRPr="00A40512">
        <w:rPr>
          <w:rFonts w:ascii="Book Antiqua" w:hAnsi="Book Antiqua"/>
          <w:i/>
          <w:iCs/>
        </w:rPr>
        <w:t>Horm Metab Res</w:t>
      </w:r>
      <w:r w:rsidRPr="00A40512">
        <w:rPr>
          <w:rFonts w:ascii="Book Antiqua" w:hAnsi="Book Antiqua"/>
        </w:rPr>
        <w:t> 1987; </w:t>
      </w:r>
      <w:r w:rsidRPr="00A40512">
        <w:rPr>
          <w:rFonts w:ascii="Book Antiqua" w:hAnsi="Book Antiqua"/>
          <w:b/>
          <w:bCs/>
        </w:rPr>
        <w:t>19</w:t>
      </w:r>
      <w:r w:rsidRPr="00A40512">
        <w:rPr>
          <w:rFonts w:ascii="Book Antiqua" w:hAnsi="Book Antiqua"/>
        </w:rPr>
        <w:t>: 441-443 [PMID: 2826324 DOI: 10.1055/s-2007-1011847]</w:t>
      </w:r>
    </w:p>
    <w:p w14:paraId="4A267CA7"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18 </w:t>
      </w:r>
      <w:r w:rsidRPr="00A40512">
        <w:rPr>
          <w:rFonts w:ascii="Book Antiqua" w:hAnsi="Book Antiqua"/>
          <w:b/>
          <w:bCs/>
        </w:rPr>
        <w:t>Chicheł A,</w:t>
      </w:r>
      <w:r w:rsidRPr="00A40512">
        <w:rPr>
          <w:rFonts w:ascii="Book Antiqua" w:hAnsi="Book Antiqua"/>
        </w:rPr>
        <w:t xml:space="preserve"> Skowronek J, Kubaszewska M, Kanikowski M. </w:t>
      </w:r>
      <w:bookmarkStart w:id="42" w:name="OLE_LINK7"/>
      <w:bookmarkStart w:id="43" w:name="OLE_LINK8"/>
      <w:r w:rsidRPr="00A40512">
        <w:rPr>
          <w:rFonts w:ascii="Book Antiqua" w:hAnsi="Book Antiqua"/>
        </w:rPr>
        <w:t>Hyperthermia – description of a method and a review of clinical applications</w:t>
      </w:r>
      <w:bookmarkEnd w:id="42"/>
      <w:bookmarkEnd w:id="43"/>
      <w:r w:rsidRPr="00A40512">
        <w:rPr>
          <w:rFonts w:ascii="Book Antiqua" w:hAnsi="Book Antiqua"/>
        </w:rPr>
        <w:t xml:space="preserve">. </w:t>
      </w:r>
      <w:bookmarkStart w:id="44" w:name="OLE_LINK9"/>
      <w:r w:rsidRPr="00A40512">
        <w:rPr>
          <w:rFonts w:ascii="Book Antiqua" w:hAnsi="Book Antiqua"/>
          <w:i/>
        </w:rPr>
        <w:t>Rep Pract Oncol Radiother</w:t>
      </w:r>
      <w:bookmarkEnd w:id="44"/>
      <w:r w:rsidRPr="00A40512">
        <w:rPr>
          <w:rFonts w:ascii="Book Antiqua" w:hAnsi="Book Antiqua"/>
        </w:rPr>
        <w:t xml:space="preserve">2007; </w:t>
      </w:r>
      <w:r w:rsidRPr="00A40512">
        <w:rPr>
          <w:rFonts w:ascii="Book Antiqua" w:hAnsi="Book Antiqua"/>
          <w:b/>
        </w:rPr>
        <w:t>12</w:t>
      </w:r>
      <w:r w:rsidRPr="00A40512">
        <w:rPr>
          <w:rFonts w:ascii="Book Antiqua" w:hAnsi="Book Antiqua"/>
        </w:rPr>
        <w:t>: 267-275 [</w:t>
      </w:r>
      <w:bookmarkStart w:id="45" w:name="OLE_LINK10"/>
      <w:bookmarkStart w:id="46" w:name="OLE_LINK11"/>
      <w:r w:rsidRPr="00A40512">
        <w:rPr>
          <w:rFonts w:ascii="Book Antiqua" w:hAnsi="Book Antiqua"/>
        </w:rPr>
        <w:t>DOI: 10.1016/S1507-1367(10)60065-X</w:t>
      </w:r>
      <w:bookmarkEnd w:id="45"/>
      <w:bookmarkEnd w:id="46"/>
      <w:r w:rsidRPr="00A40512">
        <w:rPr>
          <w:rFonts w:ascii="Book Antiqua" w:hAnsi="Book Antiqua"/>
        </w:rPr>
        <w:t>]</w:t>
      </w:r>
    </w:p>
    <w:p w14:paraId="4188F161"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19 </w:t>
      </w:r>
      <w:r w:rsidRPr="00A40512">
        <w:rPr>
          <w:rFonts w:ascii="Book Antiqua" w:hAnsi="Book Antiqua"/>
          <w:b/>
          <w:bCs/>
        </w:rPr>
        <w:t>Datta NR</w:t>
      </w:r>
      <w:r w:rsidRPr="00A40512">
        <w:rPr>
          <w:rFonts w:ascii="Book Antiqua" w:hAnsi="Book Antiqua"/>
        </w:rPr>
        <w:t>, Ordóñez SG, Gaipl US, Paulides MM, Crezee H, Gellermann J, Marder D, Puric E, Bodis S. Local hyperthermia combined with radiotherapy and-/or chemotherapy: recent advances and promises for the future. </w:t>
      </w:r>
      <w:r w:rsidRPr="00A40512">
        <w:rPr>
          <w:rFonts w:ascii="Book Antiqua" w:hAnsi="Book Antiqua"/>
          <w:i/>
          <w:iCs/>
        </w:rPr>
        <w:t>Cancer Treat Rev</w:t>
      </w:r>
      <w:r w:rsidRPr="00A40512">
        <w:rPr>
          <w:rFonts w:ascii="Book Antiqua" w:hAnsi="Book Antiqua"/>
        </w:rPr>
        <w:t> 2015; </w:t>
      </w:r>
      <w:r w:rsidRPr="00A40512">
        <w:rPr>
          <w:rFonts w:ascii="Book Antiqua" w:hAnsi="Book Antiqua"/>
          <w:b/>
          <w:bCs/>
        </w:rPr>
        <w:t>41</w:t>
      </w:r>
      <w:r w:rsidRPr="00A40512">
        <w:rPr>
          <w:rFonts w:ascii="Book Antiqua" w:hAnsi="Book Antiqua"/>
        </w:rPr>
        <w:t>: 742-753 [PMID: 26051911 DOI: 10.1016/j.ctrv.2015.05.009]</w:t>
      </w:r>
    </w:p>
    <w:p w14:paraId="3DA0E07E"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20 </w:t>
      </w:r>
      <w:r w:rsidRPr="00A40512">
        <w:rPr>
          <w:rFonts w:ascii="Book Antiqua" w:hAnsi="Book Antiqua"/>
          <w:b/>
          <w:bCs/>
        </w:rPr>
        <w:t>Dong Y</w:t>
      </w:r>
      <w:r w:rsidRPr="00A40512">
        <w:rPr>
          <w:rFonts w:ascii="Book Antiqua" w:hAnsi="Book Antiqua"/>
        </w:rPr>
        <w:t>, Wu G. Analysis of short and long term therapeutic effects of radiofrequency hyperthermia combined with conformal radiotherapy in hepatocellular carcinoma. </w:t>
      </w:r>
      <w:r w:rsidRPr="00A40512">
        <w:rPr>
          <w:rFonts w:ascii="Book Antiqua" w:hAnsi="Book Antiqua"/>
          <w:i/>
          <w:iCs/>
        </w:rPr>
        <w:t>J BUON</w:t>
      </w:r>
      <w:r w:rsidRPr="00A40512">
        <w:rPr>
          <w:rFonts w:ascii="Book Antiqua" w:hAnsi="Book Antiqua"/>
        </w:rPr>
        <w:t> 2016; </w:t>
      </w:r>
      <w:r w:rsidRPr="00A40512">
        <w:rPr>
          <w:rFonts w:ascii="Book Antiqua" w:hAnsi="Book Antiqua"/>
          <w:b/>
          <w:bCs/>
        </w:rPr>
        <w:t>21</w:t>
      </w:r>
      <w:r w:rsidRPr="00A40512">
        <w:rPr>
          <w:rFonts w:ascii="Book Antiqua" w:hAnsi="Book Antiqua"/>
        </w:rPr>
        <w:t>: 407-411 [</w:t>
      </w:r>
      <w:bookmarkStart w:id="47" w:name="OLE_LINK12"/>
      <w:bookmarkStart w:id="48" w:name="OLE_LINK13"/>
      <w:r w:rsidRPr="00A40512">
        <w:rPr>
          <w:rFonts w:ascii="Book Antiqua" w:hAnsi="Book Antiqua"/>
        </w:rPr>
        <w:t>PMID: 27273951</w:t>
      </w:r>
      <w:bookmarkEnd w:id="47"/>
      <w:bookmarkEnd w:id="48"/>
      <w:r w:rsidRPr="00A40512">
        <w:rPr>
          <w:rFonts w:ascii="Book Antiqua" w:hAnsi="Book Antiqua"/>
        </w:rPr>
        <w:t>]</w:t>
      </w:r>
    </w:p>
    <w:p w14:paraId="5FD11BD6"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21 </w:t>
      </w:r>
      <w:r w:rsidRPr="00A40512">
        <w:rPr>
          <w:rFonts w:ascii="Book Antiqua" w:hAnsi="Book Antiqua"/>
          <w:b/>
          <w:bCs/>
        </w:rPr>
        <w:t>Marmor JB</w:t>
      </w:r>
      <w:r w:rsidRPr="00A40512">
        <w:rPr>
          <w:rFonts w:ascii="Book Antiqua" w:hAnsi="Book Antiqua"/>
        </w:rPr>
        <w:t>, Hahn GM. Combined radiation and hyperthermia in superficial human tumors. </w:t>
      </w:r>
      <w:r w:rsidRPr="00A40512">
        <w:rPr>
          <w:rFonts w:ascii="Book Antiqua" w:hAnsi="Book Antiqua"/>
          <w:i/>
          <w:iCs/>
        </w:rPr>
        <w:t>Cancer</w:t>
      </w:r>
      <w:r w:rsidRPr="00A40512">
        <w:rPr>
          <w:rFonts w:ascii="Book Antiqua" w:hAnsi="Book Antiqua"/>
        </w:rPr>
        <w:t> 1980; </w:t>
      </w:r>
      <w:r w:rsidRPr="00A40512">
        <w:rPr>
          <w:rFonts w:ascii="Book Antiqua" w:hAnsi="Book Antiqua"/>
          <w:b/>
          <w:bCs/>
        </w:rPr>
        <w:t>46</w:t>
      </w:r>
      <w:r w:rsidRPr="00A40512">
        <w:rPr>
          <w:rFonts w:ascii="Book Antiqua" w:hAnsi="Book Antiqua"/>
        </w:rPr>
        <w:t>: 1986-1991 [PMID: 7427905 DOI: 10.1002/1097-0142(19801101)46:9&lt;1986::aid-cncr2820460915&gt;3.0.co;2-y]</w:t>
      </w:r>
    </w:p>
    <w:p w14:paraId="7425C751"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22 </w:t>
      </w:r>
      <w:r w:rsidRPr="00A40512">
        <w:rPr>
          <w:rFonts w:ascii="Book Antiqua" w:hAnsi="Book Antiqua"/>
          <w:b/>
          <w:bCs/>
        </w:rPr>
        <w:t>Falk RE</w:t>
      </w:r>
      <w:r w:rsidRPr="00A40512">
        <w:rPr>
          <w:rFonts w:ascii="Book Antiqua" w:hAnsi="Book Antiqua"/>
        </w:rPr>
        <w:t>, Moffat FL, Lawler M, Heine J, Makowka L, Falk JA. Combination therapy for resectable and unresectable adenocarcinoma of the pancreas. </w:t>
      </w:r>
      <w:r w:rsidRPr="00A40512">
        <w:rPr>
          <w:rFonts w:ascii="Book Antiqua" w:hAnsi="Book Antiqua"/>
          <w:i/>
          <w:iCs/>
        </w:rPr>
        <w:t>Cancer</w:t>
      </w:r>
      <w:r w:rsidRPr="00A40512">
        <w:rPr>
          <w:rFonts w:ascii="Book Antiqua" w:hAnsi="Book Antiqua"/>
        </w:rPr>
        <w:t> 1986; </w:t>
      </w:r>
      <w:r w:rsidRPr="00A40512">
        <w:rPr>
          <w:rFonts w:ascii="Book Antiqua" w:hAnsi="Book Antiqua"/>
          <w:b/>
          <w:bCs/>
        </w:rPr>
        <w:t>57</w:t>
      </w:r>
      <w:r w:rsidRPr="00A40512">
        <w:rPr>
          <w:rFonts w:ascii="Book Antiqua" w:hAnsi="Book Antiqua"/>
        </w:rPr>
        <w:t>: 685-688 [PMID: 3943007 DOI: 10.1002/1097-0142(19860201)57:3&lt;685::aid-cncr2820570348&gt;3.0.co;2-x]</w:t>
      </w:r>
    </w:p>
    <w:p w14:paraId="685C61D0"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23 </w:t>
      </w:r>
      <w:r w:rsidRPr="00A40512">
        <w:rPr>
          <w:rFonts w:ascii="Book Antiqua" w:hAnsi="Book Antiqua"/>
          <w:b/>
          <w:bCs/>
        </w:rPr>
        <w:t>Kakehi M</w:t>
      </w:r>
      <w:r w:rsidRPr="00A40512">
        <w:rPr>
          <w:rFonts w:ascii="Book Antiqua" w:hAnsi="Book Antiqua"/>
        </w:rPr>
        <w:t>, Ueda K, Mukojima T, Hiraoka M, Seto O, Akanuma A, Nakatsugawa S. Multi-institutional clinical studies on hyperthermia combined with radiotherapy or chemotherapy in advanced cancer of deep-seated organs. </w:t>
      </w:r>
      <w:r w:rsidRPr="00A40512">
        <w:rPr>
          <w:rFonts w:ascii="Book Antiqua" w:hAnsi="Book Antiqua"/>
          <w:i/>
          <w:iCs/>
        </w:rPr>
        <w:t>Int J Hyperthermia</w:t>
      </w:r>
      <w:r w:rsidRPr="00A40512">
        <w:rPr>
          <w:rFonts w:ascii="Book Antiqua" w:hAnsi="Book Antiqua"/>
        </w:rPr>
        <w:t> 1990; </w:t>
      </w:r>
      <w:r w:rsidRPr="00A40512">
        <w:rPr>
          <w:rFonts w:ascii="Book Antiqua" w:hAnsi="Book Antiqua"/>
          <w:b/>
          <w:bCs/>
        </w:rPr>
        <w:t>6</w:t>
      </w:r>
      <w:r w:rsidRPr="00A40512">
        <w:rPr>
          <w:rFonts w:ascii="Book Antiqua" w:hAnsi="Book Antiqua"/>
        </w:rPr>
        <w:t>: 719-740 [PMID: 2203848 DOI: 10.3109/02656739009140820]</w:t>
      </w:r>
    </w:p>
    <w:p w14:paraId="3B215E47"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24 </w:t>
      </w:r>
      <w:r w:rsidRPr="00A40512">
        <w:rPr>
          <w:rFonts w:ascii="Book Antiqua" w:hAnsi="Book Antiqua"/>
          <w:b/>
          <w:bCs/>
        </w:rPr>
        <w:t>Szasz AM</w:t>
      </w:r>
      <w:r w:rsidRPr="00A40512">
        <w:rPr>
          <w:rFonts w:ascii="Book Antiqua" w:hAnsi="Book Antiqua"/>
        </w:rPr>
        <w:t>, Minnaar CA, Szentmártoni G, Szigeti GP, Dank M. Review of the Clinical Evidences of Modulated Electro-Hyperthermia (mEHT) Method: An Update for the Practicing Oncologist. </w:t>
      </w:r>
      <w:r w:rsidRPr="00A40512">
        <w:rPr>
          <w:rFonts w:ascii="Book Antiqua" w:hAnsi="Book Antiqua"/>
          <w:i/>
          <w:iCs/>
        </w:rPr>
        <w:t>Front Oncol</w:t>
      </w:r>
      <w:r w:rsidRPr="00A40512">
        <w:rPr>
          <w:rFonts w:ascii="Book Antiqua" w:hAnsi="Book Antiqua"/>
        </w:rPr>
        <w:t> 2019; </w:t>
      </w:r>
      <w:r w:rsidRPr="00A40512">
        <w:rPr>
          <w:rFonts w:ascii="Book Antiqua" w:hAnsi="Book Antiqua"/>
          <w:b/>
          <w:bCs/>
        </w:rPr>
        <w:t>9</w:t>
      </w:r>
      <w:r w:rsidRPr="00A40512">
        <w:rPr>
          <w:rFonts w:ascii="Book Antiqua" w:hAnsi="Book Antiqua"/>
        </w:rPr>
        <w:t>: 1012 [PMID: 31737558 DOI: 10.3389/fonc.2019.01012]</w:t>
      </w:r>
    </w:p>
    <w:p w14:paraId="0A2A8AFC"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25 </w:t>
      </w:r>
      <w:r w:rsidRPr="00A40512">
        <w:rPr>
          <w:rFonts w:ascii="Book Antiqua" w:hAnsi="Book Antiqua"/>
          <w:b/>
          <w:bCs/>
        </w:rPr>
        <w:t>Robins HI</w:t>
      </w:r>
      <w:r w:rsidRPr="00A40512">
        <w:rPr>
          <w:rFonts w:ascii="Book Antiqua" w:hAnsi="Book Antiqua"/>
        </w:rPr>
        <w:t>, Cohen JD, Schmitt CL, Tutsch KD, Feierabend C, Arzoomanian RZ, Alberti D, d'Oleire F, Longo W, Heiss C. Phase I clinical trial of carboplatin and 41.8 degrees C whole-body hyperthermia in cancer patients. </w:t>
      </w:r>
      <w:r w:rsidRPr="00A40512">
        <w:rPr>
          <w:rFonts w:ascii="Book Antiqua" w:hAnsi="Book Antiqua"/>
          <w:i/>
          <w:iCs/>
        </w:rPr>
        <w:t>J Clin Oncol</w:t>
      </w:r>
      <w:r w:rsidRPr="00A40512">
        <w:rPr>
          <w:rFonts w:ascii="Book Antiqua" w:hAnsi="Book Antiqua"/>
        </w:rPr>
        <w:t> 1993; </w:t>
      </w:r>
      <w:r w:rsidRPr="00A40512">
        <w:rPr>
          <w:rFonts w:ascii="Book Antiqua" w:hAnsi="Book Antiqua"/>
          <w:b/>
          <w:bCs/>
        </w:rPr>
        <w:t>11</w:t>
      </w:r>
      <w:r w:rsidRPr="00A40512">
        <w:rPr>
          <w:rFonts w:ascii="Book Antiqua" w:hAnsi="Book Antiqua"/>
        </w:rPr>
        <w:t>: 1787-1794 [PMID: 8355046 DOI: 10.1200/JCO.1993.11.9.1787]</w:t>
      </w:r>
    </w:p>
    <w:p w14:paraId="1D229A1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26 </w:t>
      </w:r>
      <w:r w:rsidRPr="00A40512">
        <w:rPr>
          <w:rFonts w:ascii="Book Antiqua" w:hAnsi="Book Antiqua"/>
          <w:b/>
          <w:bCs/>
        </w:rPr>
        <w:t>Robins HI</w:t>
      </w:r>
      <w:r w:rsidRPr="00A40512">
        <w:rPr>
          <w:rFonts w:ascii="Book Antiqua" w:hAnsi="Book Antiqua"/>
        </w:rPr>
        <w:t>, Rushing D, Kutz M, Tutsch KD, Tiggelaar CL, Paul D, Spriggs D, Kraemer C, Gillis W, Feierabend C, Arzoomanian RZ, Longo W, Alberti D, d'Oleire F, Qu RP, Wilding G, Stewart JA. Phase I clinical trial of melphalan and 41.8 degrees C whole-body hyperthermia in cancer patients. </w:t>
      </w:r>
      <w:r w:rsidRPr="00A40512">
        <w:rPr>
          <w:rFonts w:ascii="Book Antiqua" w:hAnsi="Book Antiqua"/>
          <w:i/>
          <w:iCs/>
        </w:rPr>
        <w:t>J Clin Oncol</w:t>
      </w:r>
      <w:r w:rsidRPr="00A40512">
        <w:rPr>
          <w:rFonts w:ascii="Book Antiqua" w:hAnsi="Book Antiqua"/>
        </w:rPr>
        <w:t> 1997; </w:t>
      </w:r>
      <w:r w:rsidRPr="00A40512">
        <w:rPr>
          <w:rFonts w:ascii="Book Antiqua" w:hAnsi="Book Antiqua"/>
          <w:b/>
          <w:bCs/>
        </w:rPr>
        <w:t>15</w:t>
      </w:r>
      <w:r w:rsidRPr="00A40512">
        <w:rPr>
          <w:rFonts w:ascii="Book Antiqua" w:hAnsi="Book Antiqua"/>
        </w:rPr>
        <w:t>: 158-164 [PMID: 8996137 DOI: 10.1200/JCO.1997.15.1.158]</w:t>
      </w:r>
    </w:p>
    <w:p w14:paraId="537D8B0A"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27 </w:t>
      </w:r>
      <w:r w:rsidRPr="00A40512">
        <w:rPr>
          <w:rFonts w:ascii="Book Antiqua" w:hAnsi="Book Antiqua"/>
          <w:b/>
          <w:bCs/>
        </w:rPr>
        <w:t>Bull JM</w:t>
      </w:r>
      <w:r w:rsidRPr="00A40512">
        <w:rPr>
          <w:rFonts w:ascii="Book Antiqua" w:hAnsi="Book Antiqua"/>
        </w:rPr>
        <w:t xml:space="preserve">, Scott GL, Strebel FR, Nagle VL, Oliver D, Redwine M, Rowe RW, Ahn CW, Koch SM. Fever-range whole-body thermal therapy combined with cisplatin, </w:t>
      </w:r>
      <w:r w:rsidRPr="00A40512">
        <w:rPr>
          <w:rFonts w:ascii="Book Antiqua" w:hAnsi="Book Antiqua"/>
        </w:rPr>
        <w:lastRenderedPageBreak/>
        <w:t>gemcitabine, and daily interferon-alpha: a description of a phase I-II protocol. </w:t>
      </w:r>
      <w:r w:rsidRPr="00A40512">
        <w:rPr>
          <w:rFonts w:ascii="Book Antiqua" w:hAnsi="Book Antiqua"/>
          <w:i/>
          <w:iCs/>
        </w:rPr>
        <w:t>Int J Hyperthermia</w:t>
      </w:r>
      <w:r w:rsidRPr="00A40512">
        <w:rPr>
          <w:rFonts w:ascii="Book Antiqua" w:hAnsi="Book Antiqua"/>
        </w:rPr>
        <w:t> 2008; </w:t>
      </w:r>
      <w:r w:rsidRPr="00A40512">
        <w:rPr>
          <w:rFonts w:ascii="Book Antiqua" w:hAnsi="Book Antiqua"/>
          <w:b/>
          <w:bCs/>
        </w:rPr>
        <w:t>24</w:t>
      </w:r>
      <w:r w:rsidRPr="00A40512">
        <w:rPr>
          <w:rFonts w:ascii="Book Antiqua" w:hAnsi="Book Antiqua"/>
        </w:rPr>
        <w:t>: 649-662 [PMID: 18608594 DOI: 10.1080/02656730802104740]</w:t>
      </w:r>
    </w:p>
    <w:p w14:paraId="124BEB0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28 </w:t>
      </w:r>
      <w:r w:rsidRPr="00A40512">
        <w:rPr>
          <w:rFonts w:ascii="Book Antiqua" w:hAnsi="Book Antiqua"/>
          <w:b/>
          <w:bCs/>
        </w:rPr>
        <w:t>Bakshandeh-Bath A</w:t>
      </w:r>
      <w:r w:rsidRPr="00A40512">
        <w:rPr>
          <w:rFonts w:ascii="Book Antiqua" w:hAnsi="Book Antiqua"/>
        </w:rPr>
        <w:t>, Stoltz AS, Homann N, Wagner T, Stölting S, Peters SO. Preclinical and clinical aspects of carboplatin and gemcitabine combined with whole-body hyperthermia for pancreatic adenocarcinoma. </w:t>
      </w:r>
      <w:r w:rsidRPr="00A40512">
        <w:rPr>
          <w:rFonts w:ascii="Book Antiqua" w:hAnsi="Book Antiqua"/>
          <w:i/>
          <w:iCs/>
        </w:rPr>
        <w:t>Anticancer Res</w:t>
      </w:r>
      <w:r w:rsidRPr="00A40512">
        <w:rPr>
          <w:rFonts w:ascii="Book Antiqua" w:hAnsi="Book Antiqua"/>
        </w:rPr>
        <w:t> 2009; </w:t>
      </w:r>
      <w:r w:rsidRPr="00A40512">
        <w:rPr>
          <w:rFonts w:ascii="Book Antiqua" w:hAnsi="Book Antiqua"/>
          <w:b/>
          <w:bCs/>
        </w:rPr>
        <w:t>29</w:t>
      </w:r>
      <w:r w:rsidRPr="00A40512">
        <w:rPr>
          <w:rFonts w:ascii="Book Antiqua" w:hAnsi="Book Antiqua"/>
        </w:rPr>
        <w:t>: 3069-3077 [</w:t>
      </w:r>
      <w:bookmarkStart w:id="49" w:name="OLE_LINK14"/>
      <w:r w:rsidRPr="00A40512">
        <w:rPr>
          <w:rFonts w:ascii="Book Antiqua" w:hAnsi="Book Antiqua"/>
        </w:rPr>
        <w:t>PMID: 19661318</w:t>
      </w:r>
      <w:bookmarkEnd w:id="49"/>
      <w:r w:rsidRPr="00A40512">
        <w:rPr>
          <w:rFonts w:ascii="Book Antiqua" w:hAnsi="Book Antiqua"/>
        </w:rPr>
        <w:t>]</w:t>
      </w:r>
    </w:p>
    <w:p w14:paraId="05854B8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29 </w:t>
      </w:r>
      <w:r w:rsidRPr="00A40512">
        <w:rPr>
          <w:rFonts w:ascii="Book Antiqua" w:hAnsi="Book Antiqua"/>
          <w:b/>
          <w:bCs/>
        </w:rPr>
        <w:t>Cho C</w:t>
      </w:r>
      <w:r w:rsidRPr="00A40512">
        <w:rPr>
          <w:rFonts w:ascii="Book Antiqua" w:hAnsi="Book Antiqua"/>
        </w:rPr>
        <w:t>, Wust P, Hildebrandt B, Issels RD, Sehouli J, Kerner T, Deja M, Budach V, Gellermann J. Regional hyperthermia of the abdomen in conjunction with chemotherapy for peritoneal carcinomatosis: evaluation of two annular-phased-array applicators. </w:t>
      </w:r>
      <w:r w:rsidRPr="00A40512">
        <w:rPr>
          <w:rFonts w:ascii="Book Antiqua" w:hAnsi="Book Antiqua"/>
          <w:i/>
          <w:iCs/>
        </w:rPr>
        <w:t>Int J Hyperthermia</w:t>
      </w:r>
      <w:r w:rsidRPr="00A40512">
        <w:rPr>
          <w:rFonts w:ascii="Book Antiqua" w:hAnsi="Book Antiqua"/>
        </w:rPr>
        <w:t> 2008; </w:t>
      </w:r>
      <w:r w:rsidRPr="00A40512">
        <w:rPr>
          <w:rFonts w:ascii="Book Antiqua" w:hAnsi="Book Antiqua"/>
          <w:b/>
          <w:bCs/>
        </w:rPr>
        <w:t>24</w:t>
      </w:r>
      <w:r w:rsidRPr="00A40512">
        <w:rPr>
          <w:rFonts w:ascii="Book Antiqua" w:hAnsi="Book Antiqua"/>
        </w:rPr>
        <w:t>: 399-408 [PMID: 18608591 DOI: 10.1080/02656730801929915]</w:t>
      </w:r>
    </w:p>
    <w:p w14:paraId="65B06DC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30 </w:t>
      </w:r>
      <w:r w:rsidRPr="00A40512">
        <w:rPr>
          <w:rFonts w:ascii="Book Antiqua" w:hAnsi="Book Antiqua"/>
          <w:b/>
          <w:bCs/>
        </w:rPr>
        <w:t>Zhang LP</w:t>
      </w:r>
      <w:r w:rsidRPr="00A40512">
        <w:rPr>
          <w:rFonts w:ascii="Book Antiqua" w:hAnsi="Book Antiqua"/>
        </w:rPr>
        <w:t>, Nie Q, Kang JB, Wang B, Cai CL, Li JG, Qi WJ. [Efficacy of whole body gamma-knife radiotherapy combined with thermochemotherapy on locally advanced pancreatic cancer]. </w:t>
      </w:r>
      <w:r w:rsidRPr="00A40512">
        <w:rPr>
          <w:rFonts w:ascii="Book Antiqua" w:hAnsi="Book Antiqua"/>
          <w:i/>
          <w:iCs/>
        </w:rPr>
        <w:t>Ai Zheng</w:t>
      </w:r>
      <w:r w:rsidRPr="00A40512">
        <w:rPr>
          <w:rFonts w:ascii="Book Antiqua" w:hAnsi="Book Antiqua"/>
        </w:rPr>
        <w:t> 2008; </w:t>
      </w:r>
      <w:r w:rsidRPr="00A40512">
        <w:rPr>
          <w:rFonts w:ascii="Book Antiqua" w:hAnsi="Book Antiqua"/>
          <w:b/>
          <w:bCs/>
        </w:rPr>
        <w:t>27</w:t>
      </w:r>
      <w:r w:rsidRPr="00A40512">
        <w:rPr>
          <w:rFonts w:ascii="Book Antiqua" w:hAnsi="Book Antiqua"/>
        </w:rPr>
        <w:t>: 1204-1207 [</w:t>
      </w:r>
      <w:bookmarkStart w:id="50" w:name="OLE_LINK15"/>
      <w:bookmarkStart w:id="51" w:name="OLE_LINK16"/>
      <w:r w:rsidRPr="00A40512">
        <w:rPr>
          <w:rFonts w:ascii="Book Antiqua" w:hAnsi="Book Antiqua"/>
        </w:rPr>
        <w:t>PMID: 19000454</w:t>
      </w:r>
      <w:bookmarkEnd w:id="50"/>
      <w:bookmarkEnd w:id="51"/>
      <w:r w:rsidRPr="00A40512">
        <w:rPr>
          <w:rFonts w:ascii="Book Antiqua" w:hAnsi="Book Antiqua"/>
        </w:rPr>
        <w:t>]</w:t>
      </w:r>
    </w:p>
    <w:p w14:paraId="3C6FB040"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31 </w:t>
      </w:r>
      <w:r w:rsidRPr="00A40512">
        <w:rPr>
          <w:rFonts w:ascii="Book Antiqua" w:hAnsi="Book Antiqua"/>
          <w:b/>
          <w:bCs/>
        </w:rPr>
        <w:t>Ohguri T</w:t>
      </w:r>
      <w:r w:rsidRPr="00A40512">
        <w:rPr>
          <w:rFonts w:ascii="Book Antiqua" w:hAnsi="Book Antiqua"/>
        </w:rPr>
        <w:t>, Imada H, Yahara K, Narisada H, Morioka T, Nakano K, Korogi Y. Concurrent chemoradiotherapy with gemcitabine plus regional hyperthermia for locally advanced pancreatic carcinoma: initial experience. </w:t>
      </w:r>
      <w:r w:rsidRPr="00A40512">
        <w:rPr>
          <w:rFonts w:ascii="Book Antiqua" w:hAnsi="Book Antiqua"/>
          <w:i/>
          <w:iCs/>
        </w:rPr>
        <w:t>Radiat Med</w:t>
      </w:r>
      <w:r w:rsidRPr="00A40512">
        <w:rPr>
          <w:rFonts w:ascii="Book Antiqua" w:hAnsi="Book Antiqua"/>
        </w:rPr>
        <w:t> 2008; </w:t>
      </w:r>
      <w:r w:rsidRPr="00A40512">
        <w:rPr>
          <w:rFonts w:ascii="Book Antiqua" w:hAnsi="Book Antiqua"/>
          <w:b/>
          <w:bCs/>
        </w:rPr>
        <w:t>26</w:t>
      </w:r>
      <w:r w:rsidRPr="00A40512">
        <w:rPr>
          <w:rFonts w:ascii="Book Antiqua" w:hAnsi="Book Antiqua"/>
        </w:rPr>
        <w:t>: 587-596 [PMID: 19132489 DOI: 10.1007/s11604-008-0279-y]</w:t>
      </w:r>
    </w:p>
    <w:p w14:paraId="23C95BF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32 </w:t>
      </w:r>
      <w:r w:rsidRPr="00A40512">
        <w:rPr>
          <w:rFonts w:ascii="Book Antiqua" w:hAnsi="Book Antiqua"/>
          <w:b/>
          <w:bCs/>
        </w:rPr>
        <w:t>Volovat C,</w:t>
      </w:r>
      <w:r w:rsidRPr="00A40512">
        <w:rPr>
          <w:rFonts w:ascii="Book Antiqua" w:hAnsi="Book Antiqua"/>
        </w:rPr>
        <w:t xml:space="preserve"> Volovat S, Scripcaru V, Miron L. </w:t>
      </w:r>
      <w:bookmarkStart w:id="52" w:name="OLE_LINK17"/>
      <w:bookmarkStart w:id="53" w:name="OLE_LINK18"/>
      <w:r w:rsidRPr="00A40512">
        <w:rPr>
          <w:rFonts w:ascii="Book Antiqua" w:hAnsi="Book Antiqua"/>
        </w:rPr>
        <w:t>Second-line chemotherapy with gemcitabine and oxaliplatin in combination with loco-regional hyperthermia (EHY-2000) in patients with refractory metastatic pancreatic cancer - preliminary results of a prospective trial</w:t>
      </w:r>
      <w:bookmarkEnd w:id="52"/>
      <w:bookmarkEnd w:id="53"/>
      <w:r w:rsidRPr="00A40512">
        <w:rPr>
          <w:rFonts w:ascii="Book Antiqua" w:hAnsi="Book Antiqua"/>
        </w:rPr>
        <w:t xml:space="preserve">. </w:t>
      </w:r>
      <w:r w:rsidRPr="00A40512">
        <w:rPr>
          <w:rFonts w:ascii="Book Antiqua" w:hAnsi="Book Antiqua"/>
          <w:i/>
        </w:rPr>
        <w:t>Rom Rep Phys</w:t>
      </w:r>
      <w:r w:rsidRPr="00A40512">
        <w:rPr>
          <w:rFonts w:ascii="Book Antiqua" w:hAnsi="Book Antiqua"/>
        </w:rPr>
        <w:t xml:space="preserve"> 2014; </w:t>
      </w:r>
      <w:r w:rsidRPr="00A40512">
        <w:rPr>
          <w:rFonts w:ascii="Book Antiqua" w:hAnsi="Book Antiqua"/>
          <w:b/>
        </w:rPr>
        <w:t>66</w:t>
      </w:r>
      <w:r w:rsidRPr="00A40512">
        <w:rPr>
          <w:rFonts w:ascii="Book Antiqua" w:hAnsi="Book Antiqua"/>
        </w:rPr>
        <w:t xml:space="preserve">: 166-174 </w:t>
      </w:r>
    </w:p>
    <w:p w14:paraId="7EDB09D1"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33 </w:t>
      </w:r>
      <w:r w:rsidRPr="00A40512">
        <w:rPr>
          <w:rFonts w:ascii="Book Antiqua" w:hAnsi="Book Antiqua"/>
          <w:b/>
          <w:bCs/>
        </w:rPr>
        <w:t>Tschoep-Lechner KE</w:t>
      </w:r>
      <w:r w:rsidRPr="00A40512">
        <w:rPr>
          <w:rFonts w:ascii="Book Antiqua" w:hAnsi="Book Antiqua"/>
        </w:rPr>
        <w:t>, Milani V, Berger F, Dieterle N, Abdel-Rahman S, Salat C, Issels RD. Gemcitabine and cisplatin combined with regional hyperthermia as second-line treatment in patients with gemcitabine-refractory advanced pancreatic cancer. </w:t>
      </w:r>
      <w:r w:rsidRPr="00A40512">
        <w:rPr>
          <w:rFonts w:ascii="Book Antiqua" w:hAnsi="Book Antiqua"/>
          <w:i/>
          <w:iCs/>
        </w:rPr>
        <w:t>Int J Hyperthermia</w:t>
      </w:r>
      <w:r w:rsidRPr="00A40512">
        <w:rPr>
          <w:rFonts w:ascii="Book Antiqua" w:hAnsi="Book Antiqua"/>
        </w:rPr>
        <w:t> 2013; </w:t>
      </w:r>
      <w:r w:rsidRPr="00A40512">
        <w:rPr>
          <w:rFonts w:ascii="Book Antiqua" w:hAnsi="Book Antiqua"/>
          <w:b/>
          <w:bCs/>
        </w:rPr>
        <w:t>29</w:t>
      </w:r>
      <w:r w:rsidRPr="00A40512">
        <w:rPr>
          <w:rFonts w:ascii="Book Antiqua" w:hAnsi="Book Antiqua"/>
        </w:rPr>
        <w:t>: 8-16 [PMID: 23245336 DOI: 10.3109/02656736.2012.740764]</w:t>
      </w:r>
    </w:p>
    <w:p w14:paraId="3414A25E"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34 </w:t>
      </w:r>
      <w:r w:rsidRPr="00A40512">
        <w:rPr>
          <w:rFonts w:ascii="Book Antiqua" w:hAnsi="Book Antiqua"/>
          <w:b/>
          <w:bCs/>
        </w:rPr>
        <w:t>Fan YF</w:t>
      </w:r>
      <w:r w:rsidRPr="00A40512">
        <w:rPr>
          <w:rFonts w:ascii="Book Antiqua" w:hAnsi="Book Antiqua"/>
        </w:rPr>
        <w:t>, Qin Y, Li DG, Kerr D. Retrospective Clinical Study of Advanced Pancreatic Cancer Treated With Chemotherapy and Abdominal Hyperthermia. </w:t>
      </w:r>
      <w:r w:rsidRPr="00A40512">
        <w:rPr>
          <w:rFonts w:ascii="Book Antiqua" w:hAnsi="Book Antiqua"/>
          <w:i/>
          <w:iCs/>
        </w:rPr>
        <w:t>J Glob Oncol</w:t>
      </w:r>
      <w:r w:rsidRPr="00A40512">
        <w:rPr>
          <w:rFonts w:ascii="Book Antiqua" w:hAnsi="Book Antiqua"/>
        </w:rPr>
        <w:t> 2018; </w:t>
      </w:r>
      <w:r w:rsidRPr="00A40512">
        <w:rPr>
          <w:rFonts w:ascii="Book Antiqua" w:hAnsi="Book Antiqua"/>
          <w:b/>
          <w:bCs/>
        </w:rPr>
        <w:t>4</w:t>
      </w:r>
      <w:r w:rsidRPr="00A40512">
        <w:rPr>
          <w:rFonts w:ascii="Book Antiqua" w:hAnsi="Book Antiqua"/>
        </w:rPr>
        <w:t>: 1-4 [PMID: 30241198 DOI: 10.1200/JGO.2017.009985]</w:t>
      </w:r>
    </w:p>
    <w:p w14:paraId="16A5CB57"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35 </w:t>
      </w:r>
      <w:r w:rsidRPr="00A40512">
        <w:rPr>
          <w:rFonts w:ascii="Book Antiqua" w:hAnsi="Book Antiqua"/>
          <w:b/>
          <w:bCs/>
        </w:rPr>
        <w:t>He M</w:t>
      </w:r>
      <w:r w:rsidRPr="00A40512">
        <w:rPr>
          <w:rFonts w:ascii="Book Antiqua" w:hAnsi="Book Antiqua"/>
        </w:rPr>
        <w:t>, Sun J, Zhao D, He H, Wang B, Xu L, Shang Y, Ren S, Zhang Y, Wu T. Modified-FOLFIRINOX combined with deep regional hyperthermia in pancreatic cancer: a retrospective study in Chinese patients. </w:t>
      </w:r>
      <w:r w:rsidRPr="00A40512">
        <w:rPr>
          <w:rFonts w:ascii="Book Antiqua" w:hAnsi="Book Antiqua"/>
          <w:i/>
          <w:iCs/>
        </w:rPr>
        <w:t>Int J Hyperthermia</w:t>
      </w:r>
      <w:r w:rsidRPr="00A40512">
        <w:rPr>
          <w:rFonts w:ascii="Book Antiqua" w:hAnsi="Book Antiqua"/>
        </w:rPr>
        <w:t> 2019; </w:t>
      </w:r>
      <w:r w:rsidRPr="00A40512">
        <w:rPr>
          <w:rFonts w:ascii="Book Antiqua" w:hAnsi="Book Antiqua"/>
          <w:b/>
          <w:bCs/>
        </w:rPr>
        <w:t>36</w:t>
      </w:r>
      <w:r w:rsidRPr="00A40512">
        <w:rPr>
          <w:rFonts w:ascii="Book Antiqua" w:hAnsi="Book Antiqua"/>
        </w:rPr>
        <w:t>: 394-402 [PMID: 30917701 DOI: 10.1080/02656736.2019.1579371]</w:t>
      </w:r>
    </w:p>
    <w:p w14:paraId="71767E40"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36 </w:t>
      </w:r>
      <w:r w:rsidRPr="00A40512">
        <w:rPr>
          <w:rFonts w:ascii="Book Antiqua" w:hAnsi="Book Antiqua"/>
          <w:b/>
          <w:bCs/>
        </w:rPr>
        <w:t>Fiorentini G</w:t>
      </w:r>
      <w:r w:rsidRPr="00A40512">
        <w:rPr>
          <w:rFonts w:ascii="Book Antiqua" w:hAnsi="Book Antiqua"/>
        </w:rPr>
        <w:t>, Sarti D, Casadei V, Milandri C, Dentico P, Mambrini A, Nani R, Fiorentini C, Guadagni S. Modulated Electro-Hyperthermia as Palliative Treatment for Pancreatic Cancer: A Retrospective Observational Study on 106 Patients. </w:t>
      </w:r>
      <w:r w:rsidRPr="00A40512">
        <w:rPr>
          <w:rFonts w:ascii="Book Antiqua" w:hAnsi="Book Antiqua"/>
          <w:i/>
          <w:iCs/>
        </w:rPr>
        <w:t>Integr Cancer Ther</w:t>
      </w:r>
      <w:r w:rsidRPr="00A40512">
        <w:rPr>
          <w:rFonts w:ascii="Book Antiqua" w:hAnsi="Book Antiqua"/>
        </w:rPr>
        <w:t> 2019; </w:t>
      </w:r>
      <w:r w:rsidRPr="00A40512">
        <w:rPr>
          <w:rFonts w:ascii="Book Antiqua" w:hAnsi="Book Antiqua"/>
          <w:b/>
          <w:bCs/>
        </w:rPr>
        <w:t>18</w:t>
      </w:r>
      <w:r w:rsidRPr="00A40512">
        <w:rPr>
          <w:rFonts w:ascii="Book Antiqua" w:hAnsi="Book Antiqua"/>
        </w:rPr>
        <w:t>: 1534735419878505 [PMID: 31561722 DOI: 10.1177/1534735419878505]</w:t>
      </w:r>
    </w:p>
    <w:p w14:paraId="69D65F8C"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37 </w:t>
      </w:r>
      <w:r w:rsidRPr="00A40512">
        <w:rPr>
          <w:rFonts w:ascii="Book Antiqua" w:hAnsi="Book Antiqua"/>
          <w:b/>
          <w:bCs/>
        </w:rPr>
        <w:t>Kim BS</w:t>
      </w:r>
      <w:r w:rsidRPr="00A40512">
        <w:rPr>
          <w:rFonts w:ascii="Book Antiqua" w:hAnsi="Book Antiqua"/>
        </w:rPr>
        <w:t>, Yoo HS, Park YJ, Loh JJ. Current status and future aspects on treatment of liver cancer. </w:t>
      </w:r>
      <w:r w:rsidRPr="00A40512">
        <w:rPr>
          <w:rFonts w:ascii="Book Antiqua" w:hAnsi="Book Antiqua"/>
          <w:i/>
          <w:iCs/>
        </w:rPr>
        <w:t>Cancer Chemother Pharmacol</w:t>
      </w:r>
      <w:r w:rsidRPr="00A40512">
        <w:rPr>
          <w:rFonts w:ascii="Book Antiqua" w:hAnsi="Book Antiqua"/>
        </w:rPr>
        <w:t> 1989; </w:t>
      </w:r>
      <w:r w:rsidRPr="00A40512">
        <w:rPr>
          <w:rFonts w:ascii="Book Antiqua" w:hAnsi="Book Antiqua"/>
          <w:b/>
          <w:bCs/>
        </w:rPr>
        <w:t>23 Suppl</w:t>
      </w:r>
      <w:r w:rsidRPr="00A40512">
        <w:rPr>
          <w:rFonts w:ascii="Book Antiqua" w:hAnsi="Book Antiqua"/>
        </w:rPr>
        <w:t>: S118-S120 [PMID: 2538257 DOI: 10.1007/BF00647255]</w:t>
      </w:r>
    </w:p>
    <w:p w14:paraId="601C7944"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38 </w:t>
      </w:r>
      <w:r w:rsidRPr="00A40512">
        <w:rPr>
          <w:rFonts w:ascii="Book Antiqua" w:hAnsi="Book Antiqua"/>
          <w:b/>
          <w:bCs/>
        </w:rPr>
        <w:t>Yumoto Y</w:t>
      </w:r>
      <w:r w:rsidRPr="00A40512">
        <w:rPr>
          <w:rFonts w:ascii="Book Antiqua" w:hAnsi="Book Antiqua"/>
        </w:rPr>
        <w:t>, Jinno K, Tokuyama K, Wada T, Kobashi H, Okamoto T, Toki H, Inatsuki S, Hara K, Moriwaki S. Trans-catheter hepatic arterial injection of lipiodol soluble anti-cancer agent SMANCS and ADR suspension in lipiodol combined with arterial embolization and local hyperthermia for treatment of hepatocellular carcinoma. </w:t>
      </w:r>
      <w:r w:rsidRPr="00A40512">
        <w:rPr>
          <w:rFonts w:ascii="Book Antiqua" w:hAnsi="Book Antiqua"/>
          <w:i/>
          <w:iCs/>
        </w:rPr>
        <w:t>Int J Hyperthermia</w:t>
      </w:r>
      <w:r w:rsidRPr="00A40512">
        <w:rPr>
          <w:rFonts w:ascii="Book Antiqua" w:hAnsi="Book Antiqua"/>
        </w:rPr>
        <w:t> 1991; </w:t>
      </w:r>
      <w:r w:rsidRPr="00A40512">
        <w:rPr>
          <w:rFonts w:ascii="Book Antiqua" w:hAnsi="Book Antiqua"/>
          <w:b/>
          <w:bCs/>
        </w:rPr>
        <w:t>7</w:t>
      </w:r>
      <w:r w:rsidRPr="00A40512">
        <w:rPr>
          <w:rFonts w:ascii="Book Antiqua" w:hAnsi="Book Antiqua"/>
        </w:rPr>
        <w:t>: 7-17 [PMID: 1711090 DOI: 10.3109/02656739109004972]</w:t>
      </w:r>
    </w:p>
    <w:p w14:paraId="3F6505C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39 </w:t>
      </w:r>
      <w:r w:rsidRPr="00A40512">
        <w:rPr>
          <w:rFonts w:ascii="Book Antiqua" w:hAnsi="Book Antiqua"/>
          <w:b/>
          <w:bCs/>
        </w:rPr>
        <w:t>Kim BS</w:t>
      </w:r>
      <w:r w:rsidRPr="00A40512">
        <w:rPr>
          <w:rFonts w:ascii="Book Antiqua" w:hAnsi="Book Antiqua"/>
        </w:rPr>
        <w:t>, Chung HC, Seong JS, Suh CO, Kim GE. Phase II trial for combined external radiotherapy and hyperthermia for unresectable hepatoma. </w:t>
      </w:r>
      <w:r w:rsidRPr="00A40512">
        <w:rPr>
          <w:rFonts w:ascii="Book Antiqua" w:hAnsi="Book Antiqua"/>
          <w:i/>
          <w:iCs/>
        </w:rPr>
        <w:t>Cancer Chemother Pharmacol</w:t>
      </w:r>
      <w:r w:rsidRPr="00A40512">
        <w:rPr>
          <w:rFonts w:ascii="Book Antiqua" w:hAnsi="Book Antiqua"/>
        </w:rPr>
        <w:t> 1992; </w:t>
      </w:r>
      <w:r w:rsidRPr="00A40512">
        <w:rPr>
          <w:rFonts w:ascii="Book Antiqua" w:hAnsi="Book Antiqua"/>
          <w:b/>
          <w:bCs/>
        </w:rPr>
        <w:t>31 Suppl</w:t>
      </w:r>
      <w:r w:rsidRPr="00A40512">
        <w:rPr>
          <w:rFonts w:ascii="Book Antiqua" w:hAnsi="Book Antiqua"/>
        </w:rPr>
        <w:t>: S119-S127 [PMID: 1281042 DOI: 10.1007/BF00687121]</w:t>
      </w:r>
    </w:p>
    <w:p w14:paraId="219ADE70"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40 </w:t>
      </w:r>
      <w:r w:rsidRPr="00A40512">
        <w:rPr>
          <w:rFonts w:ascii="Book Antiqua" w:hAnsi="Book Antiqua"/>
          <w:b/>
          <w:bCs/>
        </w:rPr>
        <w:t>Seong J</w:t>
      </w:r>
      <w:r w:rsidRPr="00A40512">
        <w:rPr>
          <w:rFonts w:ascii="Book Antiqua" w:hAnsi="Book Antiqua"/>
        </w:rPr>
        <w:t>, Lee HS, Han KH, Chon CY, Suh CO, Kim GE. Combined treatment of radiotherapy and hyperthermia for unresectable hepatocellular carcinoma. </w:t>
      </w:r>
      <w:r w:rsidRPr="00A40512">
        <w:rPr>
          <w:rFonts w:ascii="Book Antiqua" w:hAnsi="Book Antiqua"/>
          <w:i/>
          <w:iCs/>
        </w:rPr>
        <w:t>Yonsei Med J</w:t>
      </w:r>
      <w:r w:rsidRPr="00A40512">
        <w:rPr>
          <w:rFonts w:ascii="Book Antiqua" w:hAnsi="Book Antiqua"/>
        </w:rPr>
        <w:t> 1994; </w:t>
      </w:r>
      <w:r w:rsidRPr="00A40512">
        <w:rPr>
          <w:rFonts w:ascii="Book Antiqua" w:hAnsi="Book Antiqua"/>
          <w:b/>
          <w:bCs/>
        </w:rPr>
        <w:t>35</w:t>
      </w:r>
      <w:r w:rsidRPr="00A40512">
        <w:rPr>
          <w:rFonts w:ascii="Book Antiqua" w:hAnsi="Book Antiqua"/>
        </w:rPr>
        <w:t>: 252-259 [PMID: 7975734 DOI: 10.3349/ymj.1994.35.3.252]</w:t>
      </w:r>
    </w:p>
    <w:p w14:paraId="4D5424E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41 </w:t>
      </w:r>
      <w:r w:rsidRPr="00A40512">
        <w:rPr>
          <w:rFonts w:ascii="Book Antiqua" w:hAnsi="Book Antiqua"/>
          <w:b/>
          <w:bCs/>
        </w:rPr>
        <w:t>Nagata Y</w:t>
      </w:r>
      <w:r w:rsidRPr="00A40512">
        <w:rPr>
          <w:rFonts w:ascii="Book Antiqua" w:hAnsi="Book Antiqua"/>
        </w:rPr>
        <w:t>, Hiraoka M, Nishimura Y, Masunaga S, Mitumori M, Okuno Y, Fujishiro M, Kanamori S, Horii N, Akuta K, Sasai K, Abe M, Fukuda Y. Clinical results of radiofrequency hyperthermia for malignant liver tumors. </w:t>
      </w:r>
      <w:r w:rsidRPr="00A40512">
        <w:rPr>
          <w:rFonts w:ascii="Book Antiqua" w:hAnsi="Book Antiqua"/>
          <w:i/>
          <w:iCs/>
        </w:rPr>
        <w:t>Int J Radiat Oncol Biol Phys</w:t>
      </w:r>
      <w:r w:rsidRPr="00A40512">
        <w:rPr>
          <w:rFonts w:ascii="Book Antiqua" w:hAnsi="Book Antiqua"/>
        </w:rPr>
        <w:t> 1997; </w:t>
      </w:r>
      <w:r w:rsidRPr="00A40512">
        <w:rPr>
          <w:rFonts w:ascii="Book Antiqua" w:hAnsi="Book Antiqua"/>
          <w:b/>
          <w:bCs/>
        </w:rPr>
        <w:t>38</w:t>
      </w:r>
      <w:r w:rsidRPr="00A40512">
        <w:rPr>
          <w:rFonts w:ascii="Book Antiqua" w:hAnsi="Book Antiqua"/>
        </w:rPr>
        <w:t>: 359-365 [PMID: 9226324 DOI: 10.1016/s0360-3016(96)00625-6]</w:t>
      </w:r>
    </w:p>
    <w:p w14:paraId="3019D225"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42 </w:t>
      </w:r>
      <w:r w:rsidRPr="00A40512">
        <w:rPr>
          <w:rFonts w:ascii="Book Antiqua" w:hAnsi="Book Antiqua"/>
          <w:b/>
          <w:bCs/>
        </w:rPr>
        <w:t>Gadaleta-Caldarola G</w:t>
      </w:r>
      <w:r w:rsidRPr="00A40512">
        <w:rPr>
          <w:rFonts w:ascii="Book Antiqua" w:hAnsi="Book Antiqua"/>
        </w:rPr>
        <w:t>, Infusino S, Galise I, Ranieri G, Vinciarelli G, Fazio V, Divella R, Daniele A, Filippelli G, Gadaleta CD. Sorafenib and locoregional deep electro-</w:t>
      </w:r>
      <w:r w:rsidRPr="00A40512">
        <w:rPr>
          <w:rFonts w:ascii="Book Antiqua" w:hAnsi="Book Antiqua"/>
        </w:rPr>
        <w:lastRenderedPageBreak/>
        <w:t>hyperthermia in advanced hepatocellular carcinoma: A phase II study. </w:t>
      </w:r>
      <w:r w:rsidRPr="00A40512">
        <w:rPr>
          <w:rFonts w:ascii="Book Antiqua" w:hAnsi="Book Antiqua"/>
          <w:i/>
          <w:iCs/>
        </w:rPr>
        <w:t>Oncol Lett</w:t>
      </w:r>
      <w:r w:rsidRPr="00A40512">
        <w:rPr>
          <w:rFonts w:ascii="Book Antiqua" w:hAnsi="Book Antiqua"/>
        </w:rPr>
        <w:t> 2014; </w:t>
      </w:r>
      <w:r w:rsidRPr="00A40512">
        <w:rPr>
          <w:rFonts w:ascii="Book Antiqua" w:hAnsi="Book Antiqua"/>
          <w:b/>
          <w:bCs/>
        </w:rPr>
        <w:t>8</w:t>
      </w:r>
      <w:r w:rsidRPr="00A40512">
        <w:rPr>
          <w:rFonts w:ascii="Book Antiqua" w:hAnsi="Book Antiqua"/>
        </w:rPr>
        <w:t>: 1783-1787 [PMID: 25202410 DOI: 10.3892/ol.2014.2376]</w:t>
      </w:r>
    </w:p>
    <w:p w14:paraId="699FAFCD"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43 </w:t>
      </w:r>
      <w:r w:rsidRPr="00A40512">
        <w:rPr>
          <w:rFonts w:ascii="Book Antiqua" w:hAnsi="Book Antiqua"/>
          <w:b/>
          <w:bCs/>
        </w:rPr>
        <w:t>Yu JI</w:t>
      </w:r>
      <w:r w:rsidRPr="00A40512">
        <w:rPr>
          <w:rFonts w:ascii="Book Antiqua" w:hAnsi="Book Antiqua"/>
        </w:rPr>
        <w:t>, Park HC, Oh D, Noh JM, Jung SH, Kim HY, Shin SW, Cho SK, Sinn DH, Paik YH, Gwak GY, Choi MS, Lee JH, Koh KC, Paik SW, Yoo BC. Combination treatment of trans-arterial chemo-embolisation, radiotherapy and hyperthermia (CERT) for hepatocellular carcinoma with portal vein tumour thrombosis: Interim analysis of prospective phase II trial. </w:t>
      </w:r>
      <w:r w:rsidRPr="00A40512">
        <w:rPr>
          <w:rFonts w:ascii="Book Antiqua" w:hAnsi="Book Antiqua"/>
          <w:i/>
          <w:iCs/>
        </w:rPr>
        <w:t>Int J Hyperthermia</w:t>
      </w:r>
      <w:r w:rsidRPr="00A40512">
        <w:rPr>
          <w:rFonts w:ascii="Book Antiqua" w:hAnsi="Book Antiqua"/>
        </w:rPr>
        <w:t> 2016; </w:t>
      </w:r>
      <w:r w:rsidRPr="00A40512">
        <w:rPr>
          <w:rFonts w:ascii="Book Antiqua" w:hAnsi="Book Antiqua"/>
          <w:b/>
          <w:bCs/>
        </w:rPr>
        <w:t>32</w:t>
      </w:r>
      <w:r w:rsidRPr="00A40512">
        <w:rPr>
          <w:rFonts w:ascii="Book Antiqua" w:hAnsi="Book Antiqua"/>
        </w:rPr>
        <w:t>: 331-338 [PMID: 26915594 DOI: 10.3109/02656736.2016.1144895]</w:t>
      </w:r>
    </w:p>
    <w:p w14:paraId="2E284DED"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44 </w:t>
      </w:r>
      <w:r w:rsidRPr="00A40512">
        <w:rPr>
          <w:rFonts w:ascii="Book Antiqua" w:hAnsi="Book Antiqua"/>
          <w:b/>
          <w:bCs/>
        </w:rPr>
        <w:t>Yu JI</w:t>
      </w:r>
      <w:r w:rsidRPr="00A40512">
        <w:rPr>
          <w:rFonts w:ascii="Book Antiqua" w:hAnsi="Book Antiqua"/>
        </w:rPr>
        <w:t>, Park HC, Jung SH, Choi C, Shin SW, Cho SK, Sinn DH, Paik YH, Gwak GY, Choi MS, Lee JH, Koh KC, Yoo BC, Sahinbas H, Paik SW. Combination treatment with transarterial chemoembolization, radiotherapy, and hyperthermia (CERT) for hepatocellular carcinoma with portal vein tumor thrombosis: Final results of a prospective phase II trial. </w:t>
      </w:r>
      <w:r w:rsidRPr="00A40512">
        <w:rPr>
          <w:rFonts w:ascii="Book Antiqua" w:hAnsi="Book Antiqua"/>
          <w:i/>
          <w:iCs/>
        </w:rPr>
        <w:t>Oncotarget</w:t>
      </w:r>
      <w:r w:rsidRPr="00A40512">
        <w:rPr>
          <w:rFonts w:ascii="Book Antiqua" w:hAnsi="Book Antiqua"/>
        </w:rPr>
        <w:t> 2017; </w:t>
      </w:r>
      <w:r w:rsidRPr="00A40512">
        <w:rPr>
          <w:rFonts w:ascii="Book Antiqua" w:hAnsi="Book Antiqua"/>
          <w:b/>
          <w:bCs/>
        </w:rPr>
        <w:t>8</w:t>
      </w:r>
      <w:r w:rsidRPr="00A40512">
        <w:rPr>
          <w:rFonts w:ascii="Book Antiqua" w:hAnsi="Book Antiqua"/>
        </w:rPr>
        <w:t>: 52651-52664 [PMID: 28881759 DOI: 10.18632/oncotarget.17072]</w:t>
      </w:r>
    </w:p>
    <w:p w14:paraId="5B4239A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45 </w:t>
      </w:r>
      <w:r w:rsidRPr="00A40512">
        <w:rPr>
          <w:rFonts w:ascii="Book Antiqua" w:hAnsi="Book Antiqua"/>
          <w:b/>
          <w:bCs/>
        </w:rPr>
        <w:t>Mambrini A</w:t>
      </w:r>
      <w:r w:rsidRPr="00A40512">
        <w:rPr>
          <w:rFonts w:ascii="Book Antiqua" w:hAnsi="Book Antiqua"/>
        </w:rPr>
        <w:t>, Del Freo A, Pacetti P, Orlandi M, Torri T, Fiorentini G, Cantore M. Intra-arterial and systemic chemotherapy plus external hyperthermia in unresectable biliary cancer. </w:t>
      </w:r>
      <w:r w:rsidRPr="00A40512">
        <w:rPr>
          <w:rFonts w:ascii="Book Antiqua" w:hAnsi="Book Antiqua"/>
          <w:i/>
          <w:iCs/>
        </w:rPr>
        <w:t>Clin Oncol (R Coll Radiol)</w:t>
      </w:r>
      <w:r w:rsidRPr="00A40512">
        <w:rPr>
          <w:rFonts w:ascii="Book Antiqua" w:hAnsi="Book Antiqua"/>
        </w:rPr>
        <w:t> 2007; </w:t>
      </w:r>
      <w:r w:rsidRPr="00A40512">
        <w:rPr>
          <w:rFonts w:ascii="Book Antiqua" w:hAnsi="Book Antiqua"/>
          <w:b/>
          <w:bCs/>
        </w:rPr>
        <w:t>19</w:t>
      </w:r>
      <w:r w:rsidRPr="00A40512">
        <w:rPr>
          <w:rFonts w:ascii="Book Antiqua" w:hAnsi="Book Antiqua"/>
        </w:rPr>
        <w:t>: 805-806 [PMID: 17892927 DOI: 10.1016/j.clon.2007.08.013]</w:t>
      </w:r>
    </w:p>
    <w:p w14:paraId="16AA196E"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46 </w:t>
      </w:r>
      <w:r w:rsidRPr="00A40512">
        <w:rPr>
          <w:rFonts w:ascii="Book Antiqua" w:hAnsi="Book Antiqua"/>
          <w:b/>
          <w:bCs/>
        </w:rPr>
        <w:t>Chen Y</w:t>
      </w:r>
      <w:r w:rsidRPr="00A40512">
        <w:rPr>
          <w:rFonts w:ascii="Book Antiqua" w:hAnsi="Book Antiqua"/>
        </w:rPr>
        <w:t>, Li H, Jiang X, Chen D, Ni J, Sun H, Luo J, Yao H, Xu L. Regional thermochemotherapy versus hepatic arterial infusion chemotherapy for palliative treatment of advanced hilar cholangiocarcinoma: a retrospective controlled study. </w:t>
      </w:r>
      <w:r w:rsidRPr="00A40512">
        <w:rPr>
          <w:rFonts w:ascii="Book Antiqua" w:hAnsi="Book Antiqua"/>
          <w:i/>
          <w:iCs/>
        </w:rPr>
        <w:t>Eur Radiol</w:t>
      </w:r>
      <w:r w:rsidRPr="00A40512">
        <w:rPr>
          <w:rFonts w:ascii="Book Antiqua" w:hAnsi="Book Antiqua"/>
        </w:rPr>
        <w:t> 2016; </w:t>
      </w:r>
      <w:r w:rsidRPr="00A40512">
        <w:rPr>
          <w:rFonts w:ascii="Book Antiqua" w:hAnsi="Book Antiqua"/>
          <w:b/>
          <w:bCs/>
        </w:rPr>
        <w:t>26</w:t>
      </w:r>
      <w:r w:rsidRPr="00A40512">
        <w:rPr>
          <w:rFonts w:ascii="Book Antiqua" w:hAnsi="Book Antiqua"/>
        </w:rPr>
        <w:t>: 3500-3509 [PMID: 26822373 DOI: 10.1007/s00330-016-4208-7]</w:t>
      </w:r>
    </w:p>
    <w:p w14:paraId="169E4411"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47 </w:t>
      </w:r>
      <w:r w:rsidRPr="00A40512">
        <w:rPr>
          <w:rFonts w:ascii="Book Antiqua" w:hAnsi="Book Antiqua"/>
          <w:b/>
          <w:bCs/>
        </w:rPr>
        <w:t>Ishikawa T</w:t>
      </w:r>
      <w:r w:rsidRPr="00A40512">
        <w:rPr>
          <w:rFonts w:ascii="Book Antiqua" w:hAnsi="Book Antiqua"/>
        </w:rPr>
        <w:t>, Kokura S, Sakamoto N, Ando T, Imamoto E, Hattori T, Oyamada H, Yoshinami N, Sakamoto M, Kitagawa K, Okumura Y, Yoshida N, Kamada K, Katada K, Uchiyama K, Handa O, Takagi T, Yasuda H, Sakagami J, Konishi H, Yagi N, Naito Y, Yoshikawa T. Phase II trial of combined regional hyperthermia and gemcitabine for locally advanced or metastatic pancreatic cancer. </w:t>
      </w:r>
      <w:r w:rsidRPr="00A40512">
        <w:rPr>
          <w:rFonts w:ascii="Book Antiqua" w:hAnsi="Book Antiqua"/>
          <w:i/>
          <w:iCs/>
        </w:rPr>
        <w:t>Int J Hyperthermia</w:t>
      </w:r>
      <w:r w:rsidRPr="00A40512">
        <w:rPr>
          <w:rFonts w:ascii="Book Antiqua" w:hAnsi="Book Antiqua"/>
        </w:rPr>
        <w:t> 2012; </w:t>
      </w:r>
      <w:r w:rsidRPr="00A40512">
        <w:rPr>
          <w:rFonts w:ascii="Book Antiqua" w:hAnsi="Book Antiqua"/>
          <w:b/>
          <w:bCs/>
        </w:rPr>
        <w:t>28</w:t>
      </w:r>
      <w:r w:rsidRPr="00A40512">
        <w:rPr>
          <w:rFonts w:ascii="Book Antiqua" w:hAnsi="Book Antiqua"/>
        </w:rPr>
        <w:t>: 597-604 [PMID: 22838644 DOI: 10.3109/02656736.2012.695428]</w:t>
      </w:r>
    </w:p>
    <w:p w14:paraId="50A5EF01"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48 </w:t>
      </w:r>
      <w:r w:rsidRPr="00A40512">
        <w:rPr>
          <w:rFonts w:ascii="Book Antiqua" w:hAnsi="Book Antiqua"/>
          <w:b/>
          <w:bCs/>
        </w:rPr>
        <w:t>Ducreux M</w:t>
      </w:r>
      <w:r w:rsidRPr="00A40512">
        <w:rPr>
          <w:rFonts w:ascii="Book Antiqua" w:hAnsi="Book Antiqua"/>
        </w:rPr>
        <w:t>, Seufferlein T, Van Laethem JL, Laurent-Puig P, Smolenschi C, Malka D, Boige V, Hollebecque A, Conroy T. Systemic treatment of pancreatic cancer revisited. </w:t>
      </w:r>
      <w:r w:rsidRPr="00A40512">
        <w:rPr>
          <w:rFonts w:ascii="Book Antiqua" w:hAnsi="Book Antiqua"/>
          <w:i/>
          <w:iCs/>
        </w:rPr>
        <w:t>Semin Oncol</w:t>
      </w:r>
      <w:r w:rsidRPr="00A40512">
        <w:rPr>
          <w:rFonts w:ascii="Book Antiqua" w:hAnsi="Book Antiqua"/>
        </w:rPr>
        <w:t> 2019; </w:t>
      </w:r>
      <w:r w:rsidRPr="00A40512">
        <w:rPr>
          <w:rFonts w:ascii="Book Antiqua" w:hAnsi="Book Antiqua"/>
          <w:b/>
          <w:bCs/>
        </w:rPr>
        <w:t>46</w:t>
      </w:r>
      <w:r w:rsidRPr="00A40512">
        <w:rPr>
          <w:rFonts w:ascii="Book Antiqua" w:hAnsi="Book Antiqua"/>
        </w:rPr>
        <w:t>: 28-38 [PMID: 30638624 DOI: 10.1053/j.seminoncol.2018.12.003]</w:t>
      </w:r>
    </w:p>
    <w:p w14:paraId="08CEE75D"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49 </w:t>
      </w:r>
      <w:r w:rsidRPr="00A40512">
        <w:rPr>
          <w:rFonts w:ascii="Book Antiqua" w:hAnsi="Book Antiqua"/>
          <w:b/>
          <w:bCs/>
        </w:rPr>
        <w:t>Conroy T</w:t>
      </w:r>
      <w:r w:rsidRPr="00A40512">
        <w:rPr>
          <w:rFonts w:ascii="Book Antiqua" w:hAnsi="Book Antiqua"/>
        </w:rPr>
        <w:t>,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sidRPr="00A40512">
        <w:rPr>
          <w:rFonts w:ascii="Book Antiqua" w:hAnsi="Book Antiqua"/>
          <w:i/>
          <w:iCs/>
        </w:rPr>
        <w:t>N Engl J Med</w:t>
      </w:r>
      <w:r w:rsidRPr="00A40512">
        <w:rPr>
          <w:rFonts w:ascii="Book Antiqua" w:hAnsi="Book Antiqua"/>
        </w:rPr>
        <w:t> 2018; </w:t>
      </w:r>
      <w:r w:rsidRPr="00A40512">
        <w:rPr>
          <w:rFonts w:ascii="Book Antiqua" w:hAnsi="Book Antiqua"/>
          <w:b/>
          <w:bCs/>
        </w:rPr>
        <w:t>379</w:t>
      </w:r>
      <w:r w:rsidRPr="00A40512">
        <w:rPr>
          <w:rFonts w:ascii="Book Antiqua" w:hAnsi="Book Antiqua"/>
        </w:rPr>
        <w:t>: 2395-2406 [PMID: 30575490 DOI: 10.1056/NEJMoa1809775]</w:t>
      </w:r>
    </w:p>
    <w:p w14:paraId="048E80C7"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D703EB">
        <w:rPr>
          <w:rFonts w:ascii="Book Antiqua" w:hAnsi="Book Antiqua"/>
        </w:rPr>
        <w:t xml:space="preserve">50 </w:t>
      </w:r>
      <w:r w:rsidRPr="00D703EB">
        <w:rPr>
          <w:rFonts w:ascii="Book Antiqua" w:hAnsi="Book Antiqua"/>
          <w:b/>
          <w:bCs/>
        </w:rPr>
        <w:t>Peeters M</w:t>
      </w:r>
      <w:r w:rsidRPr="00D703EB">
        <w:rPr>
          <w:rFonts w:ascii="Book Antiqua" w:hAnsi="Book Antiqua"/>
        </w:rPr>
        <w:t>. Safety study of whole body hyperthermia for advanced cancer (MATTERS). [accessed 2021 Feb 10]. In: ClinicalTrials.gov [Internet]. Bethesda (MD): U.S. National Library of Medicine. Available from: https://www.clinicaltrials.gov/ct2/show/NCT04467593 ClinicalTrials.gov Identifier: NCT04467593</w:t>
      </w:r>
    </w:p>
    <w:p w14:paraId="69EF094A"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51 </w:t>
      </w:r>
      <w:r w:rsidRPr="00A40512">
        <w:rPr>
          <w:rFonts w:ascii="Book Antiqua" w:hAnsi="Book Antiqua"/>
          <w:b/>
          <w:bCs/>
        </w:rPr>
        <w:t>Hamazoe R</w:t>
      </w:r>
      <w:r w:rsidRPr="00A40512">
        <w:rPr>
          <w:rFonts w:ascii="Book Antiqua" w:hAnsi="Book Antiqua"/>
        </w:rPr>
        <w:t>, Maeta M, Murakami A, Yamashiro H, Kaibara N. Heating efficiency of radiofrequency capacitive hyperthermia for treatment of deep-seated tumors in the peritoneal cavity. </w:t>
      </w:r>
      <w:r w:rsidRPr="00A40512">
        <w:rPr>
          <w:rFonts w:ascii="Book Antiqua" w:hAnsi="Book Antiqua"/>
          <w:i/>
          <w:iCs/>
        </w:rPr>
        <w:t>J Surg Oncol</w:t>
      </w:r>
      <w:r w:rsidRPr="00A40512">
        <w:rPr>
          <w:rFonts w:ascii="Book Antiqua" w:hAnsi="Book Antiqua"/>
        </w:rPr>
        <w:t> 1991; </w:t>
      </w:r>
      <w:r w:rsidRPr="00A40512">
        <w:rPr>
          <w:rFonts w:ascii="Book Antiqua" w:hAnsi="Book Antiqua"/>
          <w:b/>
          <w:bCs/>
        </w:rPr>
        <w:t>48</w:t>
      </w:r>
      <w:r w:rsidRPr="00A40512">
        <w:rPr>
          <w:rFonts w:ascii="Book Antiqua" w:hAnsi="Book Antiqua"/>
        </w:rPr>
        <w:t>: 176-179 [PMID: 1943113 DOI: 10.1002/jso.2930480307]</w:t>
      </w:r>
    </w:p>
    <w:p w14:paraId="1244422A"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52 </w:t>
      </w:r>
      <w:r w:rsidRPr="00A40512">
        <w:rPr>
          <w:rFonts w:ascii="Book Antiqua" w:hAnsi="Book Antiqua"/>
          <w:b/>
          <w:bCs/>
        </w:rPr>
        <w:t>Ishikawa T,</w:t>
      </w:r>
      <w:r w:rsidRPr="00A40512">
        <w:rPr>
          <w:rFonts w:ascii="Book Antiqua" w:hAnsi="Book Antiqua"/>
        </w:rPr>
        <w:t xml:space="preserve"> Kokura S, Oyamada H, Inui T, Okita M, Isozaki Y, Nagao Y, Takagi T, Handa O, Ando T, Naito Y, Yoshida N, Yoshikawa T. Effects of a sequential combination of hyperthermia and gemcitabine in the treatment of advanced unresectable pancreatic cancer : A retrospective study. </w:t>
      </w:r>
      <w:r w:rsidRPr="00A40512">
        <w:rPr>
          <w:rFonts w:ascii="Book Antiqua" w:hAnsi="Book Antiqua"/>
          <w:i/>
        </w:rPr>
        <w:t>Therm Med</w:t>
      </w:r>
      <w:r w:rsidRPr="00A40512">
        <w:rPr>
          <w:rFonts w:ascii="Book Antiqua" w:hAnsi="Book Antiqua"/>
        </w:rPr>
        <w:t xml:space="preserve"> 2008; </w:t>
      </w:r>
      <w:r w:rsidRPr="00A40512">
        <w:rPr>
          <w:rFonts w:ascii="Book Antiqua" w:hAnsi="Book Antiqua"/>
          <w:b/>
        </w:rPr>
        <w:t>24</w:t>
      </w:r>
      <w:r w:rsidRPr="00A40512">
        <w:rPr>
          <w:rFonts w:ascii="Book Antiqua" w:hAnsi="Book Antiqua"/>
        </w:rPr>
        <w:t>: 131-139 [</w:t>
      </w:r>
      <w:bookmarkStart w:id="54" w:name="OLE_LINK19"/>
      <w:r w:rsidRPr="00A40512">
        <w:rPr>
          <w:rFonts w:ascii="Book Antiqua" w:hAnsi="Book Antiqua"/>
        </w:rPr>
        <w:t>DOI: 10.3191/thermalmed.24.131</w:t>
      </w:r>
      <w:bookmarkEnd w:id="54"/>
      <w:r w:rsidRPr="00A40512">
        <w:rPr>
          <w:rFonts w:ascii="Book Antiqua" w:hAnsi="Book Antiqua"/>
        </w:rPr>
        <w:t>]</w:t>
      </w:r>
    </w:p>
    <w:p w14:paraId="5FAAF669"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53 </w:t>
      </w:r>
      <w:r w:rsidRPr="00A40512">
        <w:rPr>
          <w:rFonts w:ascii="Book Antiqua" w:hAnsi="Book Antiqua"/>
          <w:b/>
          <w:bCs/>
        </w:rPr>
        <w:t>Maluta S</w:t>
      </w:r>
      <w:r w:rsidRPr="00A40512">
        <w:rPr>
          <w:rFonts w:ascii="Book Antiqua" w:hAnsi="Book Antiqua"/>
        </w:rPr>
        <w:t xml:space="preserve">, Schaffer M, Pioli F, Dall'oglio S, Pasetto S, Schaffer PM, Weber B, Giri MG. Regional hyperthermia combined with chemoradiotherapy in primary or recurrent </w:t>
      </w:r>
      <w:r w:rsidRPr="00A40512">
        <w:rPr>
          <w:rFonts w:ascii="Book Antiqua" w:hAnsi="Book Antiqua"/>
        </w:rPr>
        <w:lastRenderedPageBreak/>
        <w:t>locally advanced pancreatic cancer : an open-label comparative cohort trial. </w:t>
      </w:r>
      <w:r w:rsidRPr="00A40512">
        <w:rPr>
          <w:rFonts w:ascii="Book Antiqua" w:hAnsi="Book Antiqua"/>
          <w:i/>
          <w:iCs/>
        </w:rPr>
        <w:t>Strahlenther Onkol</w:t>
      </w:r>
      <w:r w:rsidRPr="00A40512">
        <w:rPr>
          <w:rFonts w:ascii="Book Antiqua" w:hAnsi="Book Antiqua"/>
        </w:rPr>
        <w:t> 2011; </w:t>
      </w:r>
      <w:r w:rsidRPr="00A40512">
        <w:rPr>
          <w:rFonts w:ascii="Book Antiqua" w:hAnsi="Book Antiqua"/>
          <w:b/>
          <w:bCs/>
        </w:rPr>
        <w:t>187</w:t>
      </w:r>
      <w:r w:rsidRPr="00A40512">
        <w:rPr>
          <w:rFonts w:ascii="Book Antiqua" w:hAnsi="Book Antiqua"/>
        </w:rPr>
        <w:t>: 619-625 [PMID: 21932025 DOI: 10.1007/s00066-011-2226-6]</w:t>
      </w:r>
    </w:p>
    <w:p w14:paraId="3CBBF9FA"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54 </w:t>
      </w:r>
      <w:r w:rsidRPr="00A40512">
        <w:rPr>
          <w:rFonts w:ascii="Book Antiqua" w:hAnsi="Book Antiqua"/>
          <w:b/>
          <w:bCs/>
        </w:rPr>
        <w:t>Maebayashi T</w:t>
      </w:r>
      <w:r w:rsidRPr="00A40512">
        <w:rPr>
          <w:rFonts w:ascii="Book Antiqua" w:hAnsi="Book Antiqua"/>
        </w:rPr>
        <w:t>, Ishibashi N, Aizawa T, Sakaguchi M, Sato T, Kawamori J, Tanaka Y. Treatment outcomes of concurrent hyperthermia and chemoradiotherapy for pancreatic cancer: Insights into the significance of hyperthermia treatment. </w:t>
      </w:r>
      <w:r w:rsidRPr="00A40512">
        <w:rPr>
          <w:rFonts w:ascii="Book Antiqua" w:hAnsi="Book Antiqua"/>
          <w:i/>
          <w:iCs/>
        </w:rPr>
        <w:t>Oncol Lett</w:t>
      </w:r>
      <w:r w:rsidRPr="00A40512">
        <w:rPr>
          <w:rFonts w:ascii="Book Antiqua" w:hAnsi="Book Antiqua"/>
        </w:rPr>
        <w:t> 2017; </w:t>
      </w:r>
      <w:r w:rsidRPr="00A40512">
        <w:rPr>
          <w:rFonts w:ascii="Book Antiqua" w:hAnsi="Book Antiqua"/>
          <w:b/>
          <w:bCs/>
        </w:rPr>
        <w:t>13</w:t>
      </w:r>
      <w:r w:rsidRPr="00A40512">
        <w:rPr>
          <w:rFonts w:ascii="Book Antiqua" w:hAnsi="Book Antiqua"/>
        </w:rPr>
        <w:t>: 4959-4964 [PMID: 28588736 DOI: 10.3892/ol.2017.6066]</w:t>
      </w:r>
    </w:p>
    <w:p w14:paraId="1271D1E0" w14:textId="77777777" w:rsidR="006B2A8E" w:rsidRPr="005909C8"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55 </w:t>
      </w:r>
      <w:r w:rsidRPr="00A40512">
        <w:rPr>
          <w:rFonts w:ascii="Book Antiqua" w:hAnsi="Book Antiqua"/>
          <w:b/>
          <w:bCs/>
        </w:rPr>
        <w:t>Iyikesici MS</w:t>
      </w:r>
      <w:r w:rsidRPr="00A40512">
        <w:rPr>
          <w:rFonts w:ascii="Book Antiqua" w:hAnsi="Book Antiqua"/>
        </w:rPr>
        <w:t>. Long-Term Survival Outcomes of Metabolically Supported Chemotherapy with Gemcitabine-Based or FOLFIRINOX Regimen Combined with Ketogenic Diet, Hyperthermia, and Hyperbaric Oxygen Therapy in Metastatic Pancreatic Cancer. </w:t>
      </w:r>
      <w:r w:rsidRPr="005909C8">
        <w:rPr>
          <w:rFonts w:ascii="Book Antiqua" w:hAnsi="Book Antiqua"/>
          <w:i/>
          <w:iCs/>
        </w:rPr>
        <w:t>Complement Med Res</w:t>
      </w:r>
      <w:r w:rsidRPr="005909C8">
        <w:rPr>
          <w:rFonts w:ascii="Book Antiqua" w:hAnsi="Book Antiqua"/>
        </w:rPr>
        <w:t> 2020; </w:t>
      </w:r>
      <w:r w:rsidRPr="005909C8">
        <w:rPr>
          <w:rFonts w:ascii="Book Antiqua" w:hAnsi="Book Antiqua"/>
          <w:b/>
          <w:bCs/>
        </w:rPr>
        <w:t>27</w:t>
      </w:r>
      <w:r w:rsidRPr="005909C8">
        <w:rPr>
          <w:rFonts w:ascii="Book Antiqua" w:hAnsi="Book Antiqua"/>
        </w:rPr>
        <w:t>: 31-39 [PMID: 31527373 DOI: 10.1159/000502135]</w:t>
      </w:r>
    </w:p>
    <w:p w14:paraId="338D40FD"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5909C8">
        <w:rPr>
          <w:rFonts w:ascii="Book Antiqua" w:hAnsi="Book Antiqua"/>
        </w:rPr>
        <w:t>56 </w:t>
      </w:r>
      <w:r w:rsidRPr="005909C8">
        <w:rPr>
          <w:rFonts w:ascii="Book Antiqua" w:hAnsi="Book Antiqua"/>
          <w:b/>
          <w:bCs/>
        </w:rPr>
        <w:t>Werthmann PG</w:t>
      </w:r>
      <w:r w:rsidRPr="005909C8">
        <w:rPr>
          <w:rFonts w:ascii="Book Antiqua" w:hAnsi="Book Antiqua"/>
        </w:rPr>
        <w:t xml:space="preserve">, Inter P, Welsch T, Sturm AK, Grützmann R, Debus M, Sterner MG, Kienle GS. </w:t>
      </w:r>
      <w:r w:rsidRPr="00A40512">
        <w:rPr>
          <w:rFonts w:ascii="Book Antiqua" w:hAnsi="Book Antiqua"/>
        </w:rPr>
        <w:t>Long-term tumor-free survival in a metastatic pancreatic carcinoma patient with FOLFIRINOX/Mitomycin, high-dose, fever inducing Viscum album extracts and subsequent R0 resection: A case report. </w:t>
      </w:r>
      <w:r w:rsidRPr="00A40512">
        <w:rPr>
          <w:rFonts w:ascii="Book Antiqua" w:hAnsi="Book Antiqua"/>
          <w:i/>
          <w:iCs/>
        </w:rPr>
        <w:t>Medicine (Baltimore)</w:t>
      </w:r>
      <w:r w:rsidRPr="00A40512">
        <w:rPr>
          <w:rFonts w:ascii="Book Antiqua" w:hAnsi="Book Antiqua"/>
        </w:rPr>
        <w:t> 2018; </w:t>
      </w:r>
      <w:r w:rsidRPr="00A40512">
        <w:rPr>
          <w:rFonts w:ascii="Book Antiqua" w:hAnsi="Book Antiqua"/>
          <w:b/>
          <w:bCs/>
        </w:rPr>
        <w:t>97</w:t>
      </w:r>
      <w:r w:rsidRPr="00A40512">
        <w:rPr>
          <w:rFonts w:ascii="Book Antiqua" w:hAnsi="Book Antiqua"/>
        </w:rPr>
        <w:t>: e13243 [PMID: 30544385 DOI: 10.1097/MD.0000000000013243]</w:t>
      </w:r>
    </w:p>
    <w:p w14:paraId="4D02EFBE"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57 </w:t>
      </w:r>
      <w:r w:rsidRPr="00A40512">
        <w:rPr>
          <w:rFonts w:ascii="Book Antiqua" w:hAnsi="Book Antiqua"/>
          <w:b/>
          <w:bCs/>
        </w:rPr>
        <w:t>Bonucci M</w:t>
      </w:r>
      <w:r w:rsidRPr="00A40512">
        <w:rPr>
          <w:rFonts w:ascii="Book Antiqua" w:hAnsi="Book Antiqua"/>
        </w:rPr>
        <w:t>, Pastore C, Ferrera V, Fiorentini C, Fabbri A. Integrated Cancer Treatment in the Course of Metastatic Pancreatic Cancer: Complete Resolution in 2 Cases. </w:t>
      </w:r>
      <w:r w:rsidRPr="00A40512">
        <w:rPr>
          <w:rFonts w:ascii="Book Antiqua" w:hAnsi="Book Antiqua"/>
          <w:i/>
          <w:iCs/>
        </w:rPr>
        <w:t>Integr Cancer Ther</w:t>
      </w:r>
      <w:r w:rsidRPr="00A40512">
        <w:rPr>
          <w:rFonts w:ascii="Book Antiqua" w:hAnsi="Book Antiqua"/>
        </w:rPr>
        <w:t> 2018; </w:t>
      </w:r>
      <w:r w:rsidRPr="00A40512">
        <w:rPr>
          <w:rFonts w:ascii="Book Antiqua" w:hAnsi="Book Antiqua"/>
          <w:b/>
          <w:bCs/>
        </w:rPr>
        <w:t>17</w:t>
      </w:r>
      <w:r w:rsidRPr="00A40512">
        <w:rPr>
          <w:rFonts w:ascii="Book Antiqua" w:hAnsi="Book Antiqua"/>
        </w:rPr>
        <w:t>: 994-999 [PMID: 29478350 DOI: 10.1177/1534735418755479]</w:t>
      </w:r>
    </w:p>
    <w:p w14:paraId="04B430F5"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58 </w:t>
      </w:r>
      <w:r w:rsidRPr="00A40512">
        <w:rPr>
          <w:rFonts w:ascii="Book Antiqua" w:hAnsi="Book Antiqua"/>
          <w:b/>
          <w:bCs/>
        </w:rPr>
        <w:t>Dani A,</w:t>
      </w:r>
      <w:r w:rsidRPr="00A40512">
        <w:rPr>
          <w:rFonts w:ascii="Book Antiqua" w:hAnsi="Book Antiqua"/>
        </w:rPr>
        <w:t xml:space="preserve"> Varkonyi A, Magyar T, Kalden M, Szasz A. Clinical study for advanced pancreas cancer treated by oncothermia. </w:t>
      </w:r>
      <w:r w:rsidRPr="00A40512">
        <w:rPr>
          <w:rFonts w:ascii="Book Antiqua" w:hAnsi="Book Antiqua"/>
          <w:i/>
        </w:rPr>
        <w:t>Oncotherm J</w:t>
      </w:r>
      <w:r w:rsidRPr="00A40512">
        <w:rPr>
          <w:rFonts w:ascii="Book Antiqua" w:hAnsi="Book Antiqua"/>
        </w:rPr>
        <w:t xml:space="preserve"> 2012; </w:t>
      </w:r>
      <w:r w:rsidRPr="00A40512">
        <w:rPr>
          <w:rFonts w:ascii="Book Antiqua" w:hAnsi="Book Antiqua"/>
          <w:b/>
        </w:rPr>
        <w:t>6</w:t>
      </w:r>
      <w:r w:rsidRPr="00A40512">
        <w:rPr>
          <w:rFonts w:ascii="Book Antiqua" w:hAnsi="Book Antiqua"/>
        </w:rPr>
        <w:t xml:space="preserve">: 11-25 </w:t>
      </w:r>
    </w:p>
    <w:p w14:paraId="0FC6CDD2"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59 </w:t>
      </w:r>
      <w:r w:rsidRPr="00A40512">
        <w:rPr>
          <w:rFonts w:ascii="Book Antiqua" w:hAnsi="Book Antiqua"/>
          <w:b/>
          <w:bCs/>
        </w:rPr>
        <w:t>Pang CLK</w:t>
      </w:r>
      <w:r w:rsidRPr="00A40512">
        <w:rPr>
          <w:rFonts w:ascii="Book Antiqua" w:hAnsi="Book Antiqua"/>
        </w:rPr>
        <w:t>, Zhang X, Wang Z, Ou J, Lu Y, Chen P, Zhao C, Wang X, Zhang H, Roussakow SV. Local modulated electro-hyperthermia in combination with traditional Chinese medicine vs. intraperitoneal chemoinfusion for the treatment of peritoneal carcinomatosis with malignant ascites: A phase II randomized trial. </w:t>
      </w:r>
      <w:r w:rsidRPr="00A40512">
        <w:rPr>
          <w:rFonts w:ascii="Book Antiqua" w:hAnsi="Book Antiqua"/>
          <w:i/>
          <w:iCs/>
        </w:rPr>
        <w:t>Mol Clin Oncol</w:t>
      </w:r>
      <w:r w:rsidRPr="00A40512">
        <w:rPr>
          <w:rFonts w:ascii="Book Antiqua" w:hAnsi="Book Antiqua"/>
        </w:rPr>
        <w:t> 2017; </w:t>
      </w:r>
      <w:r w:rsidRPr="00A40512">
        <w:rPr>
          <w:rFonts w:ascii="Book Antiqua" w:hAnsi="Book Antiqua"/>
          <w:b/>
          <w:bCs/>
        </w:rPr>
        <w:t>6</w:t>
      </w:r>
      <w:r w:rsidRPr="00A40512">
        <w:rPr>
          <w:rFonts w:ascii="Book Antiqua" w:hAnsi="Book Antiqua"/>
        </w:rPr>
        <w:t>: 723-732 [PMID: 28529748 DOI: 10.3892/mco.2017.1221]</w:t>
      </w:r>
    </w:p>
    <w:p w14:paraId="58D2A836" w14:textId="77777777" w:rsidR="006B2A8E" w:rsidRPr="00D703EB"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D703EB">
        <w:rPr>
          <w:rFonts w:ascii="Book Antiqua" w:hAnsi="Book Antiqua"/>
        </w:rPr>
        <w:t>60</w:t>
      </w:r>
      <w:r w:rsidRPr="00D703EB">
        <w:rPr>
          <w:rFonts w:ascii="Book Antiqua" w:hAnsi="Book Antiqua"/>
          <w:b/>
          <w:bCs/>
        </w:rPr>
        <w:t xml:space="preserve"> Issels RD</w:t>
      </w:r>
      <w:r w:rsidRPr="00D703EB">
        <w:rPr>
          <w:rFonts w:ascii="Book Antiqua" w:hAnsi="Book Antiqua"/>
        </w:rPr>
        <w:t xml:space="preserve">. Hyperthermia European Adjuvant Trial (HEAT). [accessed 2021 Feb 10]. In: ClinicalTrials.gov [Internet]. Bethesda (MD): U.S. National Library of Medicine. </w:t>
      </w:r>
      <w:r w:rsidRPr="00D703EB">
        <w:rPr>
          <w:rFonts w:ascii="Book Antiqua" w:hAnsi="Book Antiqua"/>
        </w:rPr>
        <w:lastRenderedPageBreak/>
        <w:t>Available from: https://www.clinicaltrials.gov/ct2/show/NCT01077427 ClinicalTrials.gov Identifier: NCT01077427</w:t>
      </w:r>
    </w:p>
    <w:p w14:paraId="248BFEEE"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D703EB">
        <w:rPr>
          <w:rFonts w:ascii="Book Antiqua" w:hAnsi="Book Antiqua"/>
        </w:rPr>
        <w:t>61 </w:t>
      </w:r>
      <w:r w:rsidRPr="00D703EB">
        <w:rPr>
          <w:rFonts w:ascii="Book Antiqua" w:hAnsi="Book Antiqua"/>
          <w:b/>
          <w:bCs/>
        </w:rPr>
        <w:t>Datta NR,</w:t>
      </w:r>
      <w:r w:rsidRPr="00D703EB">
        <w:rPr>
          <w:rFonts w:ascii="Book Antiqua" w:hAnsi="Book Antiqua"/>
        </w:rPr>
        <w:t> Aarau K. Concurrent Hyperthermia and Chemoradiotherapy in LAPC: Phase II Study (HEATPAC). [accessed 2021 Feb 10]. In: ClinicalTrials.gov [Internet]. Bethesda (MD): U.S. National Library of Medicine. Available from: https://www.clinicaltrials.gov/ct2/show/NCT02439593 ClinicalTrials.gov Identifier: NCT02439593</w:t>
      </w:r>
    </w:p>
    <w:p w14:paraId="29BFA5BD"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62 </w:t>
      </w:r>
      <w:r w:rsidRPr="00A40512">
        <w:rPr>
          <w:rFonts w:ascii="Book Antiqua" w:hAnsi="Book Antiqua"/>
          <w:b/>
          <w:bCs/>
        </w:rPr>
        <w:t>Datta NR</w:t>
      </w:r>
      <w:r w:rsidRPr="00A40512">
        <w:rPr>
          <w:rFonts w:ascii="Book Antiqua" w:hAnsi="Book Antiqua"/>
        </w:rPr>
        <w:t>, Pestalozzi B, Clavien PA, Siebenhüner A, Puric E, Khan S, Mamot C, Riesterer O, Knuchel J, Reiner CS, Bodis S; members of the HEATPAC Trial Group. "HEATPAC" - a phase II randomized study of concurrent thermochemoradiotherapy versus chemoradiotherapy alone in locally advanced pancreatic cancer. </w:t>
      </w:r>
      <w:r w:rsidRPr="00A40512">
        <w:rPr>
          <w:rFonts w:ascii="Book Antiqua" w:hAnsi="Book Antiqua"/>
          <w:i/>
          <w:iCs/>
        </w:rPr>
        <w:t>Radiat Oncol</w:t>
      </w:r>
      <w:r w:rsidRPr="00A40512">
        <w:rPr>
          <w:rFonts w:ascii="Book Antiqua" w:hAnsi="Book Antiqua"/>
        </w:rPr>
        <w:t> 2017; </w:t>
      </w:r>
      <w:r w:rsidRPr="00A40512">
        <w:rPr>
          <w:rFonts w:ascii="Book Antiqua" w:hAnsi="Book Antiqua"/>
          <w:b/>
          <w:bCs/>
        </w:rPr>
        <w:t>12</w:t>
      </w:r>
      <w:r w:rsidRPr="00A40512">
        <w:rPr>
          <w:rFonts w:ascii="Book Antiqua" w:hAnsi="Book Antiqua"/>
        </w:rPr>
        <w:t>: 183 [PMID: 29162142 DOI: 10.1186/s13014-017-0923-8]</w:t>
      </w:r>
    </w:p>
    <w:p w14:paraId="3845FCC2"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63 </w:t>
      </w:r>
      <w:r w:rsidRPr="00A40512">
        <w:rPr>
          <w:rFonts w:ascii="Book Antiqua" w:hAnsi="Book Antiqua"/>
          <w:b/>
          <w:bCs/>
        </w:rPr>
        <w:t>Nagata Y</w:t>
      </w:r>
      <w:r w:rsidRPr="00A40512">
        <w:rPr>
          <w:rFonts w:ascii="Book Antiqua" w:hAnsi="Book Antiqua"/>
        </w:rPr>
        <w:t>, Hiraoka M, Akuta K, Abe M, Takahashi M, Jo S, Nishimura Y, Masunaga S, Fukuda M, Imura H. Radiofrequency thermotherapy for malignant liver tumors. </w:t>
      </w:r>
      <w:r w:rsidRPr="00A40512">
        <w:rPr>
          <w:rFonts w:ascii="Book Antiqua" w:hAnsi="Book Antiqua"/>
          <w:i/>
          <w:iCs/>
        </w:rPr>
        <w:t>Cancer</w:t>
      </w:r>
      <w:r w:rsidRPr="00A40512">
        <w:rPr>
          <w:rFonts w:ascii="Book Antiqua" w:hAnsi="Book Antiqua"/>
        </w:rPr>
        <w:t> 1990; </w:t>
      </w:r>
      <w:r w:rsidRPr="00A40512">
        <w:rPr>
          <w:rFonts w:ascii="Book Antiqua" w:hAnsi="Book Antiqua"/>
          <w:b/>
          <w:bCs/>
        </w:rPr>
        <w:t>65</w:t>
      </w:r>
      <w:r w:rsidRPr="00A40512">
        <w:rPr>
          <w:rFonts w:ascii="Book Antiqua" w:hAnsi="Book Antiqua"/>
        </w:rPr>
        <w:t>: 1730-1736 [PMID: 2156599 DOI: 10.1002/1097-0142(19900415)65:8&lt;1730::aid-cncr2820650812&gt;3.0.co;2-d]</w:t>
      </w:r>
    </w:p>
    <w:p w14:paraId="6FFE61A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64 </w:t>
      </w:r>
      <w:r w:rsidRPr="00A40512">
        <w:rPr>
          <w:rFonts w:ascii="Book Antiqua" w:hAnsi="Book Antiqua"/>
          <w:b/>
          <w:bCs/>
        </w:rPr>
        <w:t>Tanaka Y</w:t>
      </w:r>
      <w:r w:rsidRPr="00A40512">
        <w:rPr>
          <w:rFonts w:ascii="Book Antiqua" w:hAnsi="Book Antiqua"/>
        </w:rPr>
        <w:t>, Yamamoto K, Murata T, Nagata K. Effects of multimodal treatment and hyperthermia on hepatic tumors. </w:t>
      </w:r>
      <w:r w:rsidRPr="00A40512">
        <w:rPr>
          <w:rFonts w:ascii="Book Antiqua" w:hAnsi="Book Antiqua"/>
          <w:i/>
          <w:iCs/>
        </w:rPr>
        <w:t>Cancer Chemother Pharmacol</w:t>
      </w:r>
      <w:r w:rsidRPr="00A40512">
        <w:rPr>
          <w:rFonts w:ascii="Book Antiqua" w:hAnsi="Book Antiqua"/>
        </w:rPr>
        <w:t> 1992; </w:t>
      </w:r>
      <w:r w:rsidRPr="00A40512">
        <w:rPr>
          <w:rFonts w:ascii="Book Antiqua" w:hAnsi="Book Antiqua"/>
          <w:b/>
          <w:bCs/>
        </w:rPr>
        <w:t>31 Suppl</w:t>
      </w:r>
      <w:r w:rsidRPr="00A40512">
        <w:rPr>
          <w:rFonts w:ascii="Book Antiqua" w:hAnsi="Book Antiqua"/>
        </w:rPr>
        <w:t>: S111-S114 [PMID: 1333897 DOI: 10.1007/BF00687119]</w:t>
      </w:r>
    </w:p>
    <w:p w14:paraId="0CF6742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65 </w:t>
      </w:r>
      <w:r w:rsidRPr="00A40512">
        <w:rPr>
          <w:rFonts w:ascii="Book Antiqua" w:hAnsi="Book Antiqua"/>
          <w:b/>
          <w:bCs/>
        </w:rPr>
        <w:t>Seong JS</w:t>
      </w:r>
      <w:r w:rsidRPr="00A40512">
        <w:rPr>
          <w:rFonts w:ascii="Book Antiqua" w:hAnsi="Book Antiqua"/>
        </w:rPr>
        <w:t>, Han EK, Han KH, Noh SH, Park CI, Loh JJ, Choi HJ. Histological studies of surgically resected hepatocellular carcinoma following combined radiotherapy and hyperthermia. </w:t>
      </w:r>
      <w:r w:rsidRPr="00A40512">
        <w:rPr>
          <w:rFonts w:ascii="Book Antiqua" w:hAnsi="Book Antiqua"/>
          <w:i/>
          <w:iCs/>
        </w:rPr>
        <w:t>Yonsei Med J</w:t>
      </w:r>
      <w:r w:rsidRPr="00A40512">
        <w:rPr>
          <w:rFonts w:ascii="Book Antiqua" w:hAnsi="Book Antiqua"/>
        </w:rPr>
        <w:t> 1991; </w:t>
      </w:r>
      <w:r w:rsidRPr="00A40512">
        <w:rPr>
          <w:rFonts w:ascii="Book Antiqua" w:hAnsi="Book Antiqua"/>
          <w:b/>
          <w:bCs/>
        </w:rPr>
        <w:t>32</w:t>
      </w:r>
      <w:r w:rsidRPr="00A40512">
        <w:rPr>
          <w:rFonts w:ascii="Book Antiqua" w:hAnsi="Book Antiqua"/>
        </w:rPr>
        <w:t>: 147-156 [PMID: 1659040 DOI: 10.3349/ymj.1991.32.2.147]</w:t>
      </w:r>
    </w:p>
    <w:p w14:paraId="65D2E67D"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66 </w:t>
      </w:r>
      <w:r w:rsidRPr="00A40512">
        <w:rPr>
          <w:rFonts w:ascii="Book Antiqua" w:hAnsi="Book Antiqua"/>
          <w:b/>
          <w:bCs/>
        </w:rPr>
        <w:t>Akuta K</w:t>
      </w:r>
      <w:r w:rsidRPr="00A40512">
        <w:rPr>
          <w:rFonts w:ascii="Book Antiqua" w:hAnsi="Book Antiqua"/>
        </w:rPr>
        <w:t>, Abe M, Kondo M, Yoshikawa T, Tanaka Y, Yoshida M, Miura T, Nakao N, Onoyama Y, Yamada T. Combined effects of hepatic arterial embolization using degradable starch microspheres (DSM) in hyperthermia for liver cancer. </w:t>
      </w:r>
      <w:r w:rsidRPr="00A40512">
        <w:rPr>
          <w:rFonts w:ascii="Book Antiqua" w:hAnsi="Book Antiqua"/>
          <w:i/>
          <w:iCs/>
        </w:rPr>
        <w:t>Int J Hyperthermia</w:t>
      </w:r>
      <w:r w:rsidRPr="00A40512">
        <w:rPr>
          <w:rFonts w:ascii="Book Antiqua" w:hAnsi="Book Antiqua"/>
        </w:rPr>
        <w:t> 1991; </w:t>
      </w:r>
      <w:r w:rsidRPr="00A40512">
        <w:rPr>
          <w:rFonts w:ascii="Book Antiqua" w:hAnsi="Book Antiqua"/>
          <w:b/>
          <w:bCs/>
        </w:rPr>
        <w:t>7</w:t>
      </w:r>
      <w:r w:rsidRPr="00A40512">
        <w:rPr>
          <w:rFonts w:ascii="Book Antiqua" w:hAnsi="Book Antiqua"/>
        </w:rPr>
        <w:t>: 231-242 [PMID: 1715374 DOI: 10.3109/02656739109004993]</w:t>
      </w:r>
    </w:p>
    <w:p w14:paraId="66E13FF2"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67 </w:t>
      </w:r>
      <w:r w:rsidRPr="00A40512">
        <w:rPr>
          <w:rFonts w:ascii="Book Antiqua" w:hAnsi="Book Antiqua"/>
          <w:b/>
          <w:bCs/>
        </w:rPr>
        <w:t>Maeta M</w:t>
      </w:r>
      <w:r w:rsidRPr="00A40512">
        <w:rPr>
          <w:rFonts w:ascii="Book Antiqua" w:hAnsi="Book Antiqua"/>
        </w:rPr>
        <w:t xml:space="preserve">, Kaibara N, Nakashima K, Kobayashi M, Yoshikawa T, Okamoto A, Sugiyama A. A case-matched control study of intrahepatoarterial chemotherapy in </w:t>
      </w:r>
      <w:r w:rsidRPr="00A40512">
        <w:rPr>
          <w:rFonts w:ascii="Book Antiqua" w:hAnsi="Book Antiqua"/>
        </w:rPr>
        <w:lastRenderedPageBreak/>
        <w:t>combination with or without regional hyperthermia for treatment of primary and metastatic hepatic tumours. </w:t>
      </w:r>
      <w:r w:rsidRPr="00A40512">
        <w:rPr>
          <w:rFonts w:ascii="Book Antiqua" w:hAnsi="Book Antiqua"/>
          <w:i/>
          <w:iCs/>
        </w:rPr>
        <w:t>Int J Hyperthermia</w:t>
      </w:r>
      <w:r w:rsidRPr="00A40512">
        <w:rPr>
          <w:rFonts w:ascii="Book Antiqua" w:hAnsi="Book Antiqua"/>
        </w:rPr>
        <w:t> 1994; </w:t>
      </w:r>
      <w:r w:rsidRPr="00A40512">
        <w:rPr>
          <w:rFonts w:ascii="Book Antiqua" w:hAnsi="Book Antiqua"/>
          <w:b/>
          <w:bCs/>
        </w:rPr>
        <w:t>10</w:t>
      </w:r>
      <w:r w:rsidRPr="00A40512">
        <w:rPr>
          <w:rFonts w:ascii="Book Antiqua" w:hAnsi="Book Antiqua"/>
        </w:rPr>
        <w:t>: 51-58 [PMID: 8144988 DOI: 10.3109/02656739409009331]</w:t>
      </w:r>
    </w:p>
    <w:p w14:paraId="6A5F0E6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68 </w:t>
      </w:r>
      <w:bookmarkStart w:id="55" w:name="OLE_LINK24"/>
      <w:bookmarkStart w:id="56" w:name="OLE_LINK25"/>
      <w:r w:rsidRPr="00A40512">
        <w:rPr>
          <w:rFonts w:ascii="Book Antiqua" w:hAnsi="Book Antiqua"/>
          <w:b/>
          <w:bCs/>
        </w:rPr>
        <w:t>Dvorák</w:t>
      </w:r>
      <w:bookmarkEnd w:id="55"/>
      <w:bookmarkEnd w:id="56"/>
      <w:r w:rsidRPr="00A40512">
        <w:rPr>
          <w:rFonts w:ascii="Book Antiqua" w:hAnsi="Book Antiqua"/>
          <w:b/>
          <w:bCs/>
        </w:rPr>
        <w:t xml:space="preserve"> J</w:t>
      </w:r>
      <w:r w:rsidRPr="00A40512">
        <w:rPr>
          <w:rFonts w:ascii="Book Antiqua" w:hAnsi="Book Antiqua"/>
        </w:rPr>
        <w:t>, Zoul Z, Melichar B, Jandík P, Mergancová J, Motycková I, Kalousová D, Petera J. Pegylated liposomal doxorubicin in combination with hyperthermia in the treatment of a case of advanced hepatocellular carcinoma. </w:t>
      </w:r>
      <w:r w:rsidRPr="00A40512">
        <w:rPr>
          <w:rFonts w:ascii="Book Antiqua" w:hAnsi="Book Antiqua"/>
          <w:i/>
          <w:iCs/>
        </w:rPr>
        <w:t>J Clin Gastroenterol</w:t>
      </w:r>
      <w:r w:rsidRPr="00A40512">
        <w:rPr>
          <w:rFonts w:ascii="Book Antiqua" w:hAnsi="Book Antiqua"/>
        </w:rPr>
        <w:t> 2002; </w:t>
      </w:r>
      <w:r w:rsidRPr="00A40512">
        <w:rPr>
          <w:rFonts w:ascii="Book Antiqua" w:hAnsi="Book Antiqua"/>
          <w:b/>
          <w:bCs/>
        </w:rPr>
        <w:t>34</w:t>
      </w:r>
      <w:r w:rsidRPr="00A40512">
        <w:rPr>
          <w:rFonts w:ascii="Book Antiqua" w:hAnsi="Book Antiqua"/>
        </w:rPr>
        <w:t>: 96-98 [PMID: 11743256 DOI: 10.1097/00004836-200201000-00020]</w:t>
      </w:r>
    </w:p>
    <w:p w14:paraId="5BB7E63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69 </w:t>
      </w:r>
      <w:r w:rsidRPr="00A40512">
        <w:rPr>
          <w:rFonts w:ascii="Book Antiqua" w:hAnsi="Book Antiqua"/>
          <w:b/>
          <w:bCs/>
        </w:rPr>
        <w:t>Maeda M</w:t>
      </w:r>
      <w:r w:rsidRPr="00A40512">
        <w:rPr>
          <w:rFonts w:ascii="Book Antiqua" w:hAnsi="Book Antiqua"/>
        </w:rPr>
        <w:t>, Watanabe N, Yamauchi N, Tsuji Y, Niitsu Y. Successful treatment of a case of hepatocellular carcinoma with tumor necrosis factor and local hyperthermia. </w:t>
      </w:r>
      <w:r w:rsidRPr="00A40512">
        <w:rPr>
          <w:rFonts w:ascii="Book Antiqua" w:hAnsi="Book Antiqua"/>
          <w:i/>
          <w:iCs/>
        </w:rPr>
        <w:t>Gastroenterol Jpn</w:t>
      </w:r>
      <w:r w:rsidRPr="00A40512">
        <w:rPr>
          <w:rFonts w:ascii="Book Antiqua" w:hAnsi="Book Antiqua"/>
        </w:rPr>
        <w:t> 1991; </w:t>
      </w:r>
      <w:r w:rsidRPr="00A40512">
        <w:rPr>
          <w:rFonts w:ascii="Book Antiqua" w:hAnsi="Book Antiqua"/>
          <w:b/>
          <w:bCs/>
        </w:rPr>
        <w:t>26</w:t>
      </w:r>
      <w:r w:rsidRPr="00A40512">
        <w:rPr>
          <w:rFonts w:ascii="Book Antiqua" w:hAnsi="Book Antiqua"/>
        </w:rPr>
        <w:t>: 774-778 [PMID: 1722471 DOI: 10.1007/BF02782867]</w:t>
      </w:r>
    </w:p>
    <w:p w14:paraId="3908E983"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70 </w:t>
      </w:r>
      <w:r w:rsidRPr="00A40512">
        <w:rPr>
          <w:rFonts w:ascii="Book Antiqua" w:hAnsi="Book Antiqua"/>
          <w:b/>
          <w:bCs/>
        </w:rPr>
        <w:t>Shen RN</w:t>
      </w:r>
      <w:r w:rsidRPr="00A40512">
        <w:rPr>
          <w:rFonts w:ascii="Book Antiqua" w:hAnsi="Book Antiqua"/>
        </w:rPr>
        <w:t>, Lu L, Young P, Shidnia H, Hornback NB, Broxmeyer HE. Influence of elevated temperature on natural killer cell activity, lymphokine-activated killer cell activity and lectin-dependent cytotoxicity of human umbilical cord blood and adult blood cells. </w:t>
      </w:r>
      <w:r w:rsidRPr="00A40512">
        <w:rPr>
          <w:rFonts w:ascii="Book Antiqua" w:hAnsi="Book Antiqua"/>
          <w:i/>
          <w:iCs/>
        </w:rPr>
        <w:t>Int J Radiat Oncol Biol Phys</w:t>
      </w:r>
      <w:r w:rsidRPr="00A40512">
        <w:rPr>
          <w:rFonts w:ascii="Book Antiqua" w:hAnsi="Book Antiqua"/>
        </w:rPr>
        <w:t> 1994; </w:t>
      </w:r>
      <w:r w:rsidRPr="00A40512">
        <w:rPr>
          <w:rFonts w:ascii="Book Antiqua" w:hAnsi="Book Antiqua"/>
          <w:b/>
          <w:bCs/>
        </w:rPr>
        <w:t>29</w:t>
      </w:r>
      <w:r w:rsidRPr="00A40512">
        <w:rPr>
          <w:rFonts w:ascii="Book Antiqua" w:hAnsi="Book Antiqua"/>
        </w:rPr>
        <w:t>: 821-826 [PMID: 8040029 DOI: 10.1016/0360-3016(94)90571-1]</w:t>
      </w:r>
    </w:p>
    <w:p w14:paraId="25F30C46"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71 </w:t>
      </w:r>
      <w:r w:rsidRPr="00A40512">
        <w:rPr>
          <w:rFonts w:ascii="Book Antiqua" w:hAnsi="Book Antiqua"/>
          <w:b/>
          <w:bCs/>
        </w:rPr>
        <w:t>Huang YH</w:t>
      </w:r>
      <w:r w:rsidRPr="00A40512">
        <w:rPr>
          <w:rFonts w:ascii="Book Antiqua" w:hAnsi="Book Antiqua"/>
        </w:rPr>
        <w:t>, Haegerstrand A, Frostegård J. Effects of in vitro hyperthermia on proliferative responses and lymphocyte activity. </w:t>
      </w:r>
      <w:r w:rsidRPr="00A40512">
        <w:rPr>
          <w:rFonts w:ascii="Book Antiqua" w:hAnsi="Book Antiqua"/>
          <w:i/>
          <w:iCs/>
        </w:rPr>
        <w:t>Clin Exp Immunol</w:t>
      </w:r>
      <w:r w:rsidRPr="00A40512">
        <w:rPr>
          <w:rFonts w:ascii="Book Antiqua" w:hAnsi="Book Antiqua"/>
        </w:rPr>
        <w:t> 1996; </w:t>
      </w:r>
      <w:r w:rsidRPr="00A40512">
        <w:rPr>
          <w:rFonts w:ascii="Book Antiqua" w:hAnsi="Book Antiqua"/>
          <w:b/>
          <w:bCs/>
        </w:rPr>
        <w:t>103</w:t>
      </w:r>
      <w:r w:rsidRPr="00A40512">
        <w:rPr>
          <w:rFonts w:ascii="Book Antiqua" w:hAnsi="Book Antiqua"/>
        </w:rPr>
        <w:t>: 61-66 [PMID: 8565288 DOI: 10.1046/j.1365-2249.1996.00932.x]</w:t>
      </w:r>
    </w:p>
    <w:p w14:paraId="782AB06B"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72 </w:t>
      </w:r>
      <w:r w:rsidRPr="00A40512">
        <w:rPr>
          <w:rFonts w:ascii="Book Antiqua" w:hAnsi="Book Antiqua"/>
          <w:b/>
          <w:bCs/>
        </w:rPr>
        <w:t>Ostapenko VV</w:t>
      </w:r>
      <w:r w:rsidRPr="00A40512">
        <w:rPr>
          <w:rFonts w:ascii="Book Antiqua" w:hAnsi="Book Antiqua"/>
        </w:rPr>
        <w:t>, Tanaka H, Miyano M, Nishide T, Ueda H, Nishide I, Tanaka Y, Mune M, Yukawa S. Immune-related effects of local hyperthermia in patients with primary liver cancer. </w:t>
      </w:r>
      <w:r w:rsidRPr="00A40512">
        <w:rPr>
          <w:rFonts w:ascii="Book Antiqua" w:hAnsi="Book Antiqua"/>
          <w:i/>
          <w:iCs/>
        </w:rPr>
        <w:t>Hepatogastroenterology</w:t>
      </w:r>
      <w:r w:rsidRPr="00A40512">
        <w:rPr>
          <w:rFonts w:ascii="Book Antiqua" w:hAnsi="Book Antiqua"/>
        </w:rPr>
        <w:t> 2005; </w:t>
      </w:r>
      <w:r w:rsidRPr="00A40512">
        <w:rPr>
          <w:rFonts w:ascii="Book Antiqua" w:hAnsi="Book Antiqua"/>
          <w:b/>
          <w:bCs/>
        </w:rPr>
        <w:t>52</w:t>
      </w:r>
      <w:r w:rsidRPr="00A40512">
        <w:rPr>
          <w:rFonts w:ascii="Book Antiqua" w:hAnsi="Book Antiqua"/>
        </w:rPr>
        <w:t>: 1502-1506 [</w:t>
      </w:r>
      <w:bookmarkStart w:id="57" w:name="OLE_LINK20"/>
      <w:bookmarkStart w:id="58" w:name="OLE_LINK21"/>
      <w:r w:rsidRPr="00A40512">
        <w:rPr>
          <w:rFonts w:ascii="Book Antiqua" w:hAnsi="Book Antiqua"/>
        </w:rPr>
        <w:t>PMID: 16201106</w:t>
      </w:r>
      <w:bookmarkEnd w:id="57"/>
      <w:bookmarkEnd w:id="58"/>
      <w:r w:rsidRPr="00A40512">
        <w:rPr>
          <w:rFonts w:ascii="Book Antiqua" w:hAnsi="Book Antiqua"/>
        </w:rPr>
        <w:t>]</w:t>
      </w:r>
    </w:p>
    <w:p w14:paraId="18BEF4A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73 </w:t>
      </w:r>
      <w:r w:rsidRPr="00A40512">
        <w:rPr>
          <w:rFonts w:ascii="Book Antiqua" w:hAnsi="Book Antiqua"/>
          <w:b/>
          <w:bCs/>
        </w:rPr>
        <w:t>Wang XP</w:t>
      </w:r>
      <w:r w:rsidRPr="00A40512">
        <w:rPr>
          <w:rFonts w:ascii="Book Antiqua" w:hAnsi="Book Antiqua"/>
        </w:rPr>
        <w:t>, Xu M, Gao HF, Zhao JF, Xu KC. Intraperitoneal perfusion of cytokine-induced killer cells with local hyperthermia for advanced hepatocellular carcinoma. </w:t>
      </w:r>
      <w:r w:rsidRPr="00A40512">
        <w:rPr>
          <w:rFonts w:ascii="Book Antiqua" w:hAnsi="Book Antiqua"/>
          <w:i/>
          <w:iCs/>
        </w:rPr>
        <w:t>World J Gastroenterol</w:t>
      </w:r>
      <w:r w:rsidRPr="00A40512">
        <w:rPr>
          <w:rFonts w:ascii="Book Antiqua" w:hAnsi="Book Antiqua"/>
        </w:rPr>
        <w:t> 2013; </w:t>
      </w:r>
      <w:r w:rsidRPr="00A40512">
        <w:rPr>
          <w:rFonts w:ascii="Book Antiqua" w:hAnsi="Book Antiqua"/>
          <w:b/>
          <w:bCs/>
        </w:rPr>
        <w:t>19</w:t>
      </w:r>
      <w:r w:rsidRPr="00A40512">
        <w:rPr>
          <w:rFonts w:ascii="Book Antiqua" w:hAnsi="Book Antiqua"/>
        </w:rPr>
        <w:t>: 2956-2962 [PMID: 23704829 DOI: 10.3748/wjg.v19.i19.2956]</w:t>
      </w:r>
    </w:p>
    <w:p w14:paraId="70BC8734"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74 </w:t>
      </w:r>
      <w:r w:rsidRPr="00A40512">
        <w:rPr>
          <w:rFonts w:ascii="Book Antiqua" w:hAnsi="Book Antiqua"/>
          <w:b/>
          <w:bCs/>
        </w:rPr>
        <w:t>Kamisawa T</w:t>
      </w:r>
      <w:r w:rsidRPr="00A40512">
        <w:rPr>
          <w:rFonts w:ascii="Book Antiqua" w:hAnsi="Book Antiqua"/>
        </w:rPr>
        <w:t>, Tu Y, Egawa N, Karasawa K, Matsuda T, Tsuruta K, Okamoto A. Thermo-chemo-radiotherapy for advanced bile duct carcinoma. </w:t>
      </w:r>
      <w:r w:rsidRPr="00A40512">
        <w:rPr>
          <w:rFonts w:ascii="Book Antiqua" w:hAnsi="Book Antiqua"/>
          <w:i/>
          <w:iCs/>
        </w:rPr>
        <w:t>World J Gastroenterol</w:t>
      </w:r>
      <w:r w:rsidRPr="00A40512">
        <w:rPr>
          <w:rFonts w:ascii="Book Antiqua" w:hAnsi="Book Antiqua"/>
        </w:rPr>
        <w:t> 2005; </w:t>
      </w:r>
      <w:r w:rsidRPr="00A40512">
        <w:rPr>
          <w:rFonts w:ascii="Book Antiqua" w:hAnsi="Book Antiqua"/>
          <w:b/>
          <w:bCs/>
        </w:rPr>
        <w:t>11</w:t>
      </w:r>
      <w:r w:rsidRPr="00A40512">
        <w:rPr>
          <w:rFonts w:ascii="Book Antiqua" w:hAnsi="Book Antiqua"/>
        </w:rPr>
        <w:t>: 4206-4209 [PMID: 16015690 DOI: 10.3748/wjg.v11.i27.4206]</w:t>
      </w:r>
    </w:p>
    <w:p w14:paraId="0B9BBC3F"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75 </w:t>
      </w:r>
      <w:r w:rsidRPr="00A40512">
        <w:rPr>
          <w:rFonts w:ascii="Book Antiqua" w:hAnsi="Book Antiqua"/>
          <w:b/>
          <w:bCs/>
        </w:rPr>
        <w:t>Ryu J</w:t>
      </w:r>
      <w:r w:rsidRPr="00A40512">
        <w:rPr>
          <w:rFonts w:ascii="Book Antiqua" w:hAnsi="Book Antiqua"/>
        </w:rPr>
        <w:t>, Lee K, Joe C, Joo J, Lee N, Yoo HS. Patient With Unresectable Cholangiocarcinoma Treated With Radiofrequency Hyperthermia in Combination With Chemotherapy: A Case Report. </w:t>
      </w:r>
      <w:r w:rsidRPr="00A40512">
        <w:rPr>
          <w:rFonts w:ascii="Book Antiqua" w:hAnsi="Book Antiqua"/>
          <w:i/>
          <w:iCs/>
        </w:rPr>
        <w:t>Integr Cancer Ther</w:t>
      </w:r>
      <w:r w:rsidRPr="00A40512">
        <w:rPr>
          <w:rFonts w:ascii="Book Antiqua" w:hAnsi="Book Antiqua"/>
        </w:rPr>
        <w:t> 2018; </w:t>
      </w:r>
      <w:r w:rsidRPr="00A40512">
        <w:rPr>
          <w:rFonts w:ascii="Book Antiqua" w:hAnsi="Book Antiqua"/>
          <w:b/>
          <w:bCs/>
        </w:rPr>
        <w:t>17</w:t>
      </w:r>
      <w:r w:rsidRPr="00A40512">
        <w:rPr>
          <w:rFonts w:ascii="Book Antiqua" w:hAnsi="Book Antiqua"/>
        </w:rPr>
        <w:t>: 558-561 [PMID: 28745084 DOI: 10.1177/1534735417722225]</w:t>
      </w:r>
    </w:p>
    <w:p w14:paraId="70917528" w14:textId="77777777" w:rsidR="006B2A8E" w:rsidRPr="00A40512" w:rsidRDefault="006B2A8E" w:rsidP="006B2A8E">
      <w:pPr>
        <w:pStyle w:val="a3"/>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76 </w:t>
      </w:r>
      <w:r w:rsidRPr="00A40512">
        <w:rPr>
          <w:rFonts w:ascii="Book Antiqua" w:hAnsi="Book Antiqua"/>
          <w:b/>
          <w:bCs/>
        </w:rPr>
        <w:t>Gao D</w:t>
      </w:r>
      <w:r w:rsidRPr="00A40512">
        <w:rPr>
          <w:rFonts w:ascii="Book Antiqua" w:hAnsi="Book Antiqua"/>
        </w:rPr>
        <w:t>, Ma X. Serum lactate dehydrogenase is a predictor of poor survival in malignant melanoma. </w:t>
      </w:r>
      <w:r w:rsidRPr="00A40512">
        <w:rPr>
          <w:rFonts w:ascii="Book Antiqua" w:hAnsi="Book Antiqua"/>
          <w:i/>
          <w:iCs/>
        </w:rPr>
        <w:t>Panminerva Med</w:t>
      </w:r>
      <w:r w:rsidRPr="00A40512">
        <w:rPr>
          <w:rFonts w:ascii="Book Antiqua" w:hAnsi="Book Antiqua"/>
        </w:rPr>
        <w:t> 2017; </w:t>
      </w:r>
      <w:r w:rsidRPr="00A40512">
        <w:rPr>
          <w:rFonts w:ascii="Book Antiqua" w:hAnsi="Book Antiqua"/>
          <w:b/>
          <w:bCs/>
        </w:rPr>
        <w:t>59</w:t>
      </w:r>
      <w:r w:rsidRPr="00A40512">
        <w:rPr>
          <w:rFonts w:ascii="Book Antiqua" w:hAnsi="Book Antiqua"/>
        </w:rPr>
        <w:t>: 332-337 [PMID: 27309261 DOI: 10.23736/S0031-0808.16.03216-X]</w:t>
      </w:r>
    </w:p>
    <w:bookmarkEnd w:id="40"/>
    <w:bookmarkEnd w:id="41"/>
    <w:p w14:paraId="1748692F" w14:textId="77777777" w:rsidR="006B2A8E" w:rsidRPr="00A40512" w:rsidRDefault="006B2A8E" w:rsidP="006B2A8E">
      <w:pPr>
        <w:spacing w:line="360" w:lineRule="auto"/>
        <w:jc w:val="both"/>
        <w:sectPr w:rsidR="006B2A8E" w:rsidRPr="00A40512">
          <w:pgSz w:w="12240" w:h="15840"/>
          <w:pgMar w:top="1440" w:right="1440" w:bottom="1440" w:left="1440" w:header="720" w:footer="720" w:gutter="0"/>
          <w:cols w:space="720"/>
          <w:docGrid w:linePitch="360"/>
        </w:sectPr>
      </w:pPr>
    </w:p>
    <w:p w14:paraId="4FF7E80C" w14:textId="77777777" w:rsidR="006B2A8E" w:rsidRPr="00A40512" w:rsidRDefault="006B2A8E" w:rsidP="006B2A8E">
      <w:pPr>
        <w:spacing w:line="360" w:lineRule="auto"/>
        <w:jc w:val="both"/>
      </w:pPr>
      <w:r w:rsidRPr="00A40512">
        <w:rPr>
          <w:rFonts w:ascii="Book Antiqua" w:eastAsia="Book Antiqua" w:hAnsi="Book Antiqua" w:cs="Book Antiqua"/>
          <w:b/>
          <w:color w:val="000000"/>
        </w:rPr>
        <w:lastRenderedPageBreak/>
        <w:t>Footnotes</w:t>
      </w:r>
    </w:p>
    <w:p w14:paraId="748DE222" w14:textId="10F00BD5"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Conflict-of-interest statement: </w:t>
      </w:r>
      <w:r w:rsidRPr="00A40512">
        <w:rPr>
          <w:rFonts w:ascii="Book Antiqua" w:eastAsia="Book Antiqua" w:hAnsi="Book Antiqua" w:cs="Book Antiqua"/>
          <w:color w:val="000000"/>
        </w:rPr>
        <w:t>The authors declare that they have no conflicting interests.</w:t>
      </w:r>
    </w:p>
    <w:p w14:paraId="02292106" w14:textId="77777777" w:rsidR="006B2A8E" w:rsidRPr="00A40512" w:rsidRDefault="006B2A8E" w:rsidP="006B2A8E">
      <w:pPr>
        <w:spacing w:line="360" w:lineRule="auto"/>
        <w:jc w:val="both"/>
      </w:pPr>
    </w:p>
    <w:p w14:paraId="7EE4A197"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Open-Access: </w:t>
      </w:r>
      <w:r w:rsidRPr="00A405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1829D3" w14:textId="77777777" w:rsidR="006B2A8E" w:rsidRPr="00A40512" w:rsidRDefault="006B2A8E" w:rsidP="006B2A8E">
      <w:pPr>
        <w:spacing w:line="360" w:lineRule="auto"/>
        <w:jc w:val="both"/>
      </w:pPr>
    </w:p>
    <w:p w14:paraId="4E0959E5"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Manuscript source: </w:t>
      </w:r>
      <w:r w:rsidRPr="00A40512">
        <w:rPr>
          <w:rFonts w:ascii="Book Antiqua" w:eastAsia="Book Antiqua" w:hAnsi="Book Antiqua" w:cs="Book Antiqua"/>
          <w:color w:val="000000"/>
        </w:rPr>
        <w:t xml:space="preserve">Invited </w:t>
      </w:r>
      <w:r w:rsidRPr="00A40512">
        <w:rPr>
          <w:rFonts w:ascii="Book Antiqua" w:hAnsi="Book Antiqua" w:cs="Book Antiqua"/>
          <w:color w:val="000000"/>
          <w:lang w:eastAsia="zh-CN"/>
        </w:rPr>
        <w:t>m</w:t>
      </w:r>
      <w:r w:rsidRPr="00A40512">
        <w:rPr>
          <w:rFonts w:ascii="Book Antiqua" w:eastAsia="Book Antiqua" w:hAnsi="Book Antiqua" w:cs="Book Antiqua"/>
          <w:color w:val="000000"/>
        </w:rPr>
        <w:t>anuscript</w:t>
      </w:r>
    </w:p>
    <w:p w14:paraId="57CA82A7" w14:textId="77777777" w:rsidR="006B2A8E" w:rsidRPr="00A40512" w:rsidRDefault="006B2A8E" w:rsidP="006B2A8E">
      <w:pPr>
        <w:spacing w:line="360" w:lineRule="auto"/>
        <w:jc w:val="both"/>
      </w:pPr>
    </w:p>
    <w:p w14:paraId="0F03200E"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Peer-review started: </w:t>
      </w:r>
      <w:r w:rsidRPr="00A40512">
        <w:rPr>
          <w:rFonts w:ascii="Book Antiqua" w:eastAsia="Book Antiqua" w:hAnsi="Book Antiqua" w:cs="Book Antiqua"/>
          <w:color w:val="000000"/>
        </w:rPr>
        <w:t>February 22, 2021</w:t>
      </w:r>
    </w:p>
    <w:p w14:paraId="05F17555"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First decision: </w:t>
      </w:r>
      <w:r w:rsidRPr="00A40512">
        <w:rPr>
          <w:rFonts w:ascii="Book Antiqua" w:eastAsia="Book Antiqua" w:hAnsi="Book Antiqua" w:cs="Book Antiqua"/>
          <w:color w:val="000000"/>
        </w:rPr>
        <w:t>April 19, 2021</w:t>
      </w:r>
    </w:p>
    <w:p w14:paraId="1B2EF2DB" w14:textId="7793AB14" w:rsidR="006B2A8E" w:rsidRPr="00A40512" w:rsidRDefault="006B2A8E" w:rsidP="006B2A8E">
      <w:pPr>
        <w:spacing w:line="360" w:lineRule="auto"/>
        <w:jc w:val="both"/>
      </w:pPr>
      <w:r w:rsidRPr="00A40512">
        <w:rPr>
          <w:rFonts w:ascii="Book Antiqua" w:eastAsia="Book Antiqua" w:hAnsi="Book Antiqua" w:cs="Book Antiqua"/>
          <w:b/>
          <w:color w:val="000000"/>
        </w:rPr>
        <w:t xml:space="preserve">Article in press: </w:t>
      </w:r>
      <w:r w:rsidR="005B2EDE" w:rsidRPr="00A40512">
        <w:rPr>
          <w:rFonts w:ascii="Book Antiqua" w:eastAsia="宋体" w:hAnsi="Book Antiqua"/>
          <w:color w:val="000000" w:themeColor="text1"/>
        </w:rPr>
        <w:t>July 23, 2021</w:t>
      </w:r>
    </w:p>
    <w:p w14:paraId="73277F24" w14:textId="77777777" w:rsidR="006B2A8E" w:rsidRPr="00A40512" w:rsidRDefault="006B2A8E" w:rsidP="006B2A8E">
      <w:pPr>
        <w:spacing w:line="360" w:lineRule="auto"/>
        <w:jc w:val="both"/>
      </w:pPr>
    </w:p>
    <w:p w14:paraId="4D458223"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Specialty type: </w:t>
      </w:r>
      <w:r w:rsidRPr="00A40512">
        <w:rPr>
          <w:rFonts w:ascii="Book Antiqua" w:eastAsia="Book Antiqua" w:hAnsi="Book Antiqua" w:cs="Book Antiqua"/>
          <w:color w:val="000000"/>
        </w:rPr>
        <w:t xml:space="preserve">Oncology </w:t>
      </w:r>
    </w:p>
    <w:p w14:paraId="7E9E4E81"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Country/Territory of origin: </w:t>
      </w:r>
      <w:r w:rsidRPr="00A40512">
        <w:rPr>
          <w:rFonts w:ascii="Book Antiqua" w:eastAsia="Book Antiqua" w:hAnsi="Book Antiqua" w:cs="Book Antiqua"/>
          <w:color w:val="000000"/>
        </w:rPr>
        <w:t>Hungary</w:t>
      </w:r>
    </w:p>
    <w:p w14:paraId="1A36AA3E"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Peer-review report’s scientific quality classification</w:t>
      </w:r>
    </w:p>
    <w:p w14:paraId="3E2DDE45"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A (Excellent): 0</w:t>
      </w:r>
    </w:p>
    <w:p w14:paraId="00B4DD6E"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B (Very good): B</w:t>
      </w:r>
    </w:p>
    <w:p w14:paraId="359F68B4"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C (Good): 0</w:t>
      </w:r>
    </w:p>
    <w:p w14:paraId="3F808D85"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D (Fair): 0</w:t>
      </w:r>
    </w:p>
    <w:p w14:paraId="41C1FB3C"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E (Poor): 0</w:t>
      </w:r>
    </w:p>
    <w:p w14:paraId="49D0176B" w14:textId="77777777" w:rsidR="006B2A8E" w:rsidRPr="00A40512" w:rsidRDefault="006B2A8E" w:rsidP="006B2A8E">
      <w:pPr>
        <w:spacing w:line="360" w:lineRule="auto"/>
        <w:jc w:val="both"/>
      </w:pPr>
    </w:p>
    <w:p w14:paraId="4F1F4FEB" w14:textId="2E88562B" w:rsidR="006B2A8E" w:rsidRPr="00A40512" w:rsidRDefault="006B2A8E" w:rsidP="006B2A8E">
      <w:pPr>
        <w:spacing w:line="360" w:lineRule="auto"/>
        <w:jc w:val="both"/>
        <w:sectPr w:rsidR="006B2A8E" w:rsidRPr="00A40512">
          <w:pgSz w:w="12240" w:h="15840"/>
          <w:pgMar w:top="1440" w:right="1440" w:bottom="1440" w:left="1440" w:header="720" w:footer="720" w:gutter="0"/>
          <w:cols w:space="720"/>
          <w:docGrid w:linePitch="360"/>
        </w:sectPr>
      </w:pPr>
      <w:r w:rsidRPr="00A40512">
        <w:rPr>
          <w:rFonts w:ascii="Book Antiqua" w:eastAsia="Book Antiqua" w:hAnsi="Book Antiqua" w:cs="Book Antiqua"/>
          <w:b/>
          <w:color w:val="000000"/>
        </w:rPr>
        <w:t xml:space="preserve">P-Reviewer: </w:t>
      </w:r>
      <w:r w:rsidRPr="00A40512">
        <w:rPr>
          <w:rFonts w:ascii="Book Antiqua" w:eastAsia="Book Antiqua" w:hAnsi="Book Antiqua" w:cs="Book Antiqua"/>
          <w:color w:val="000000"/>
        </w:rPr>
        <w:t>Pongcharoen S</w:t>
      </w:r>
      <w:r w:rsidRPr="00A40512">
        <w:rPr>
          <w:rFonts w:ascii="Book Antiqua" w:eastAsia="Book Antiqua" w:hAnsi="Book Antiqua" w:cs="Book Antiqua"/>
          <w:b/>
          <w:color w:val="000000"/>
        </w:rPr>
        <w:t xml:space="preserve"> S-Editor: </w:t>
      </w:r>
      <w:r w:rsidRPr="00A40512">
        <w:rPr>
          <w:rFonts w:ascii="Book Antiqua" w:hAnsi="Book Antiqua" w:cs="Book Antiqua"/>
          <w:color w:val="000000"/>
          <w:lang w:eastAsia="zh-CN"/>
        </w:rPr>
        <w:t>Zhang H</w:t>
      </w:r>
      <w:r w:rsidRPr="00A40512">
        <w:rPr>
          <w:rFonts w:ascii="Book Antiqua" w:eastAsia="Book Antiqua" w:hAnsi="Book Antiqua" w:cs="Book Antiqua"/>
          <w:b/>
          <w:color w:val="000000"/>
        </w:rPr>
        <w:t xml:space="preserve"> L-Editor: </w:t>
      </w:r>
      <w:r w:rsidRPr="00A40512">
        <w:rPr>
          <w:rFonts w:ascii="Book Antiqua" w:eastAsia="Book Antiqua" w:hAnsi="Book Antiqua" w:cs="Book Antiqua"/>
          <w:bCs/>
          <w:color w:val="000000"/>
        </w:rPr>
        <w:t>Filipodia</w:t>
      </w:r>
      <w:r w:rsidRPr="00A40512">
        <w:rPr>
          <w:rFonts w:ascii="Book Antiqua" w:eastAsia="Book Antiqua" w:hAnsi="Book Antiqua" w:cs="Book Antiqua"/>
          <w:b/>
          <w:color w:val="000000"/>
        </w:rPr>
        <w:t xml:space="preserve"> P-Editor: </w:t>
      </w:r>
      <w:r w:rsidR="007C469D">
        <w:rPr>
          <w:rFonts w:ascii="Book Antiqua" w:eastAsia="Book Antiqua" w:hAnsi="Book Antiqua" w:cs="Book Antiqua"/>
          <w:bCs/>
          <w:color w:val="000000"/>
        </w:rPr>
        <w:t>Wang LYT</w:t>
      </w:r>
    </w:p>
    <w:p w14:paraId="7F49C15C" w14:textId="77777777" w:rsidR="006B2A8E" w:rsidRPr="00A40512" w:rsidRDefault="006B2A8E" w:rsidP="006B2A8E">
      <w:pPr>
        <w:spacing w:line="360" w:lineRule="auto"/>
        <w:jc w:val="both"/>
      </w:pPr>
      <w:r w:rsidRPr="00A40512">
        <w:rPr>
          <w:rFonts w:ascii="Book Antiqua" w:eastAsia="Book Antiqua" w:hAnsi="Book Antiqua" w:cs="Book Antiqua"/>
          <w:b/>
          <w:color w:val="000000"/>
        </w:rPr>
        <w:lastRenderedPageBreak/>
        <w:t>Figure Legends</w:t>
      </w:r>
    </w:p>
    <w:p w14:paraId="4B8BE234" w14:textId="77777777" w:rsidR="006B2A8E" w:rsidRPr="00A40512" w:rsidRDefault="006B2A8E" w:rsidP="006B2A8E">
      <w:pPr>
        <w:spacing w:line="360" w:lineRule="auto"/>
        <w:jc w:val="both"/>
        <w:rPr>
          <w:rFonts w:ascii="Book Antiqua" w:hAnsi="Book Antiqua" w:cs="Book Antiqua"/>
          <w:b/>
          <w:bCs/>
          <w:color w:val="000000"/>
          <w:lang w:eastAsia="zh-CN"/>
        </w:rPr>
      </w:pPr>
      <w:r w:rsidRPr="005909C8">
        <w:rPr>
          <w:rFonts w:ascii="Book Antiqua" w:hAnsi="Book Antiqua" w:cs="Book Antiqua"/>
          <w:b/>
          <w:bCs/>
          <w:noProof/>
          <w:color w:val="000000"/>
          <w:lang w:eastAsia="zh-CN"/>
        </w:rPr>
        <w:drawing>
          <wp:inline distT="0" distB="0" distL="0" distR="0" wp14:anchorId="708BBE95" wp14:editId="3C1B608D">
            <wp:extent cx="5590540" cy="5797550"/>
            <wp:effectExtent l="0" t="0" r="0" b="0"/>
            <wp:docPr id="1" name="图片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540" cy="5797550"/>
                    </a:xfrm>
                    <a:prstGeom prst="rect">
                      <a:avLst/>
                    </a:prstGeom>
                    <a:noFill/>
                  </pic:spPr>
                </pic:pic>
              </a:graphicData>
            </a:graphic>
          </wp:inline>
        </w:drawing>
      </w:r>
    </w:p>
    <w:p w14:paraId="5071C16D" w14:textId="28DDA1E0" w:rsidR="006B2A8E" w:rsidRPr="00A40512" w:rsidRDefault="006B2A8E" w:rsidP="006B2A8E">
      <w:pPr>
        <w:spacing w:line="360" w:lineRule="auto"/>
        <w:jc w:val="both"/>
      </w:pPr>
      <w:bookmarkStart w:id="59" w:name="OLE_LINK68"/>
      <w:bookmarkStart w:id="60" w:name="OLE_LINK69"/>
      <w:r w:rsidRPr="00A40512">
        <w:rPr>
          <w:rFonts w:ascii="Book Antiqua" w:eastAsia="Book Antiqua" w:hAnsi="Book Antiqua" w:cs="Book Antiqua"/>
          <w:b/>
          <w:bCs/>
          <w:color w:val="000000"/>
        </w:rPr>
        <w:t>Figure 1</w:t>
      </w:r>
      <w:r w:rsidRPr="00A40512">
        <w:rPr>
          <w:rFonts w:ascii="Book Antiqua" w:eastAsia="Book Antiqua" w:hAnsi="Book Antiqua" w:cs="Book Antiqua"/>
          <w:color w:val="000000"/>
        </w:rPr>
        <w:t xml:space="preserve"> </w:t>
      </w:r>
      <w:r w:rsidRPr="00A40512">
        <w:rPr>
          <w:rFonts w:ascii="Book Antiqua" w:eastAsia="Book Antiqua" w:hAnsi="Book Antiqua" w:cs="Book Antiqua"/>
          <w:b/>
          <w:color w:val="000000"/>
        </w:rPr>
        <w:t>Flow diagram of the selection of PubMed/MEDLINE articles.</w:t>
      </w:r>
      <w:r w:rsidRPr="00A40512">
        <w:rPr>
          <w:rFonts w:ascii="Book Antiqua" w:eastAsia="Book Antiqua" w:hAnsi="Book Antiqua" w:cs="Book Antiqua"/>
          <w:color w:val="000000"/>
        </w:rPr>
        <w:t xml:space="preserve"> MWA: Microwave ablation; RFA: Radiofrequency ablation.</w:t>
      </w:r>
    </w:p>
    <w:bookmarkEnd w:id="59"/>
    <w:bookmarkEnd w:id="60"/>
    <w:p w14:paraId="371658F3" w14:textId="77777777" w:rsidR="006B2A8E" w:rsidRPr="00A40512" w:rsidRDefault="006B2A8E" w:rsidP="006B2A8E">
      <w:pPr>
        <w:spacing w:line="360" w:lineRule="auto"/>
        <w:jc w:val="both"/>
      </w:pPr>
      <w:r w:rsidRPr="00A40512">
        <w:br w:type="page"/>
      </w:r>
      <w:r w:rsidRPr="005909C8">
        <w:rPr>
          <w:noProof/>
          <w:lang w:eastAsia="zh-CN"/>
        </w:rPr>
        <w:lastRenderedPageBreak/>
        <w:drawing>
          <wp:inline distT="0" distB="0" distL="0" distR="0" wp14:anchorId="0153D5F9" wp14:editId="08444F48">
            <wp:extent cx="5905500" cy="3374723"/>
            <wp:effectExtent l="0" t="0" r="0" b="0"/>
            <wp:docPr id="2" name="图片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hart, scatt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692" cy="3374833"/>
                    </a:xfrm>
                    <a:prstGeom prst="rect">
                      <a:avLst/>
                    </a:prstGeom>
                    <a:noFill/>
                  </pic:spPr>
                </pic:pic>
              </a:graphicData>
            </a:graphic>
          </wp:inline>
        </w:drawing>
      </w:r>
    </w:p>
    <w:p w14:paraId="6F5F40C2" w14:textId="08330AA6" w:rsidR="006B2A8E" w:rsidRPr="00A40512" w:rsidRDefault="006B2A8E" w:rsidP="006B2A8E">
      <w:pPr>
        <w:spacing w:line="360" w:lineRule="auto"/>
        <w:jc w:val="both"/>
        <w:rPr>
          <w:lang w:eastAsia="zh-CN"/>
        </w:rPr>
      </w:pPr>
      <w:bookmarkStart w:id="61" w:name="OLE_LINK70"/>
      <w:bookmarkStart w:id="62" w:name="OLE_LINK71"/>
      <w:r w:rsidRPr="00E21697">
        <w:rPr>
          <w:rFonts w:ascii="Book Antiqua" w:eastAsia="Book Antiqua" w:hAnsi="Book Antiqua" w:cs="Book Antiqua"/>
          <w:b/>
          <w:bCs/>
          <w:color w:val="000000"/>
        </w:rPr>
        <w:t>Figure 2</w:t>
      </w:r>
      <w:r w:rsidRPr="00A40512">
        <w:rPr>
          <w:rFonts w:ascii="Book Antiqua" w:eastAsia="Book Antiqua" w:hAnsi="Book Antiqua" w:cs="Book Antiqua"/>
          <w:b/>
          <w:color w:val="000000"/>
        </w:rPr>
        <w:t xml:space="preserve"> Differences in median </w:t>
      </w:r>
      <w:bookmarkStart w:id="63" w:name="OLE_LINK4"/>
      <w:bookmarkStart w:id="64" w:name="OLE_LINK5"/>
      <w:r w:rsidRPr="00A40512">
        <w:rPr>
          <w:rFonts w:ascii="Book Antiqua" w:eastAsia="Book Antiqua" w:hAnsi="Book Antiqua" w:cs="Book Antiqua"/>
          <w:b/>
          <w:color w:val="000000"/>
        </w:rPr>
        <w:t>overall survival</w:t>
      </w:r>
      <w:bookmarkEnd w:id="63"/>
      <w:bookmarkEnd w:id="64"/>
      <w:r w:rsidRPr="00A40512">
        <w:rPr>
          <w:rFonts w:ascii="Book Antiqua" w:eastAsia="Book Antiqua" w:hAnsi="Book Antiqua" w:cs="Book Antiqua"/>
          <w:b/>
          <w:color w:val="000000"/>
        </w:rPr>
        <w:t xml:space="preserve"> between cohorts treated with and without </w:t>
      </w:r>
      <w:bookmarkStart w:id="65" w:name="OLE_LINK6"/>
      <w:bookmarkStart w:id="66" w:name="OLE_LINK26"/>
      <w:r w:rsidRPr="00A40512">
        <w:rPr>
          <w:rFonts w:ascii="Book Antiqua" w:eastAsia="Book Antiqua" w:hAnsi="Book Antiqua" w:cs="Book Antiqua"/>
          <w:b/>
          <w:color w:val="000000"/>
        </w:rPr>
        <w:t>hyperthermia</w:t>
      </w:r>
      <w:bookmarkEnd w:id="65"/>
      <w:bookmarkEnd w:id="66"/>
      <w:r w:rsidRPr="00A40512">
        <w:rPr>
          <w:rFonts w:ascii="Book Antiqua" w:eastAsia="Book Antiqua" w:hAnsi="Book Antiqua" w:cs="Book Antiqua"/>
          <w:b/>
          <w:color w:val="000000"/>
        </w:rPr>
        <w:t>.</w:t>
      </w:r>
      <w:r w:rsidRPr="00A40512">
        <w:rPr>
          <w:rFonts w:ascii="Book Antiqua" w:hAnsi="Book Antiqua" w:cs="Book Antiqua"/>
          <w:b/>
          <w:color w:val="000000"/>
          <w:lang w:eastAsia="zh-CN"/>
        </w:rPr>
        <w:t xml:space="preserve"> </w:t>
      </w:r>
      <w:bookmarkStart w:id="67" w:name="OLE_LINK28"/>
      <w:bookmarkStart w:id="68" w:name="OLE_LINK29"/>
      <w:r w:rsidRPr="00A40512">
        <w:rPr>
          <w:rFonts w:ascii="Book Antiqua" w:hAnsi="Book Antiqua" w:cs="Book Antiqua"/>
          <w:color w:val="000000"/>
          <w:lang w:eastAsia="zh-CN"/>
        </w:rPr>
        <w:t>HT: H</w:t>
      </w:r>
      <w:r w:rsidRPr="00A40512">
        <w:rPr>
          <w:rFonts w:ascii="Book Antiqua" w:eastAsia="Book Antiqua" w:hAnsi="Book Antiqua" w:cs="Book Antiqua"/>
          <w:color w:val="000000"/>
        </w:rPr>
        <w:t>yperthermia</w:t>
      </w:r>
      <w:bookmarkEnd w:id="67"/>
      <w:bookmarkEnd w:id="68"/>
      <w:r w:rsidRPr="00A40512">
        <w:rPr>
          <w:rFonts w:ascii="Book Antiqua" w:hAnsi="Book Antiqua" w:cs="Book Antiqua"/>
          <w:color w:val="000000"/>
          <w:lang w:eastAsia="zh-CN"/>
        </w:rPr>
        <w:t>; OS: O</w:t>
      </w:r>
      <w:r w:rsidRPr="00A40512">
        <w:rPr>
          <w:rFonts w:ascii="Book Antiqua" w:eastAsia="Book Antiqua" w:hAnsi="Book Antiqua" w:cs="Book Antiqua"/>
          <w:color w:val="000000"/>
        </w:rPr>
        <w:t>verall survival</w:t>
      </w:r>
      <w:r w:rsidRPr="00A40512">
        <w:rPr>
          <w:rFonts w:ascii="Book Antiqua" w:hAnsi="Book Antiqua" w:cs="Book Antiqua"/>
          <w:color w:val="000000"/>
          <w:lang w:eastAsia="zh-CN"/>
        </w:rPr>
        <w:t>.</w:t>
      </w:r>
    </w:p>
    <w:bookmarkEnd w:id="61"/>
    <w:bookmarkEnd w:id="62"/>
    <w:p w14:paraId="3444548E" w14:textId="77777777" w:rsidR="006B2A8E" w:rsidRPr="00A40512" w:rsidRDefault="006B2A8E" w:rsidP="006B2A8E">
      <w:pPr>
        <w:spacing w:line="360" w:lineRule="auto"/>
        <w:jc w:val="both"/>
      </w:pPr>
      <w:r w:rsidRPr="00A40512">
        <w:br w:type="page"/>
      </w:r>
      <w:r w:rsidRPr="005909C8">
        <w:rPr>
          <w:noProof/>
          <w:lang w:eastAsia="zh-CN"/>
        </w:rPr>
        <w:lastRenderedPageBreak/>
        <w:drawing>
          <wp:inline distT="0" distB="0" distL="0" distR="0" wp14:anchorId="3FA23BDF" wp14:editId="4DDFC0A0">
            <wp:extent cx="5943600" cy="3396495"/>
            <wp:effectExtent l="0" t="0" r="0" b="0"/>
            <wp:docPr id="3" name="图片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art, scatt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2125" cy="3401367"/>
                    </a:xfrm>
                    <a:prstGeom prst="rect">
                      <a:avLst/>
                    </a:prstGeom>
                    <a:noFill/>
                  </pic:spPr>
                </pic:pic>
              </a:graphicData>
            </a:graphic>
          </wp:inline>
        </w:drawing>
      </w:r>
    </w:p>
    <w:p w14:paraId="3C6C8BA6" w14:textId="77777777" w:rsidR="006B2A8E" w:rsidRPr="00A40512" w:rsidRDefault="006B2A8E" w:rsidP="006B2A8E">
      <w:pPr>
        <w:spacing w:line="360" w:lineRule="auto"/>
        <w:jc w:val="both"/>
        <w:rPr>
          <w:rFonts w:ascii="Book Antiqua" w:hAnsi="Book Antiqua" w:cs="Book Antiqua"/>
          <w:b/>
          <w:color w:val="000000"/>
          <w:lang w:eastAsia="zh-CN"/>
        </w:rPr>
      </w:pPr>
      <w:bookmarkStart w:id="69" w:name="OLE_LINK72"/>
      <w:bookmarkStart w:id="70" w:name="OLE_LINK73"/>
      <w:r w:rsidRPr="00A40512">
        <w:rPr>
          <w:rFonts w:ascii="Book Antiqua" w:eastAsia="Book Antiqua" w:hAnsi="Book Antiqua" w:cs="Book Antiqua"/>
          <w:b/>
          <w:bCs/>
          <w:color w:val="000000"/>
        </w:rPr>
        <w:t>Figure 3</w:t>
      </w:r>
      <w:r w:rsidRPr="00A40512">
        <w:rPr>
          <w:rFonts w:ascii="Book Antiqua" w:eastAsia="Book Antiqua" w:hAnsi="Book Antiqua" w:cs="Book Antiqua"/>
          <w:b/>
          <w:color w:val="000000"/>
        </w:rPr>
        <w:t xml:space="preserve"> Differences in the </w:t>
      </w:r>
      <w:bookmarkStart w:id="71" w:name="OLE_LINK27"/>
      <w:r w:rsidRPr="00A40512">
        <w:rPr>
          <w:rFonts w:ascii="Book Antiqua" w:eastAsia="Book Antiqua" w:hAnsi="Book Antiqua" w:cs="Book Antiqua"/>
          <w:b/>
          <w:color w:val="000000"/>
        </w:rPr>
        <w:t>disease control rate</w:t>
      </w:r>
      <w:bookmarkEnd w:id="71"/>
      <w:r w:rsidRPr="00A40512">
        <w:rPr>
          <w:rFonts w:ascii="Book Antiqua" w:eastAsia="Book Antiqua" w:hAnsi="Book Antiqua" w:cs="Book Antiqua"/>
          <w:b/>
          <w:color w:val="000000"/>
        </w:rPr>
        <w:t xml:space="preserve"> between cohorts treated with and without hyperthermia.</w:t>
      </w:r>
      <w:r w:rsidRPr="00A40512">
        <w:rPr>
          <w:rFonts w:ascii="Book Antiqua" w:hAnsi="Book Antiqua" w:cs="Book Antiqua"/>
          <w:b/>
          <w:color w:val="000000"/>
          <w:lang w:eastAsia="zh-CN"/>
        </w:rPr>
        <w:t xml:space="preserve"> </w:t>
      </w:r>
      <w:r w:rsidRPr="00A40512">
        <w:rPr>
          <w:rFonts w:ascii="Book Antiqua" w:hAnsi="Book Antiqua" w:cs="Book Antiqua"/>
          <w:color w:val="000000"/>
          <w:lang w:eastAsia="zh-CN"/>
        </w:rPr>
        <w:t>DCR: D</w:t>
      </w:r>
      <w:r w:rsidRPr="00A40512">
        <w:rPr>
          <w:rFonts w:ascii="Book Antiqua" w:eastAsia="Book Antiqua" w:hAnsi="Book Antiqua" w:cs="Book Antiqua"/>
          <w:color w:val="000000"/>
        </w:rPr>
        <w:t>isease control rate</w:t>
      </w:r>
      <w:r w:rsidRPr="00A40512">
        <w:rPr>
          <w:rFonts w:ascii="Book Antiqua" w:hAnsi="Book Antiqua" w:cs="Book Antiqua"/>
          <w:color w:val="000000"/>
          <w:lang w:eastAsia="zh-CN"/>
        </w:rPr>
        <w:t>; HT: H</w:t>
      </w:r>
      <w:r w:rsidRPr="00A40512">
        <w:rPr>
          <w:rFonts w:ascii="Book Antiqua" w:eastAsia="Book Antiqua" w:hAnsi="Book Antiqua" w:cs="Book Antiqua"/>
          <w:color w:val="000000"/>
        </w:rPr>
        <w:t>yperthermia</w:t>
      </w:r>
      <w:r w:rsidRPr="00A40512">
        <w:rPr>
          <w:rFonts w:ascii="Book Antiqua" w:hAnsi="Book Antiqua" w:cs="Book Antiqua"/>
          <w:color w:val="000000"/>
          <w:lang w:eastAsia="zh-CN"/>
        </w:rPr>
        <w:t>.</w:t>
      </w:r>
    </w:p>
    <w:bookmarkEnd w:id="69"/>
    <w:bookmarkEnd w:id="70"/>
    <w:p w14:paraId="2B3644C2" w14:textId="77777777" w:rsidR="006B2A8E" w:rsidRPr="00A40512" w:rsidRDefault="006B2A8E" w:rsidP="006B2A8E">
      <w:pPr>
        <w:adjustRightInd w:val="0"/>
        <w:snapToGrid w:val="0"/>
        <w:spacing w:line="360" w:lineRule="auto"/>
        <w:jc w:val="both"/>
        <w:rPr>
          <w:rFonts w:ascii="Book Antiqua" w:hAnsi="Book Antiqua"/>
          <w:b/>
          <w:bCs/>
          <w:lang w:eastAsia="zh-CN"/>
        </w:rPr>
      </w:pPr>
      <w:r w:rsidRPr="00A40512">
        <w:rPr>
          <w:rFonts w:ascii="Book Antiqua" w:eastAsia="Book Antiqua" w:hAnsi="Book Antiqua" w:cs="Book Antiqua"/>
          <w:b/>
          <w:color w:val="000000"/>
        </w:rPr>
        <w:br w:type="page"/>
      </w:r>
      <w:r w:rsidRPr="00A40512">
        <w:rPr>
          <w:rFonts w:ascii="Book Antiqua" w:hAnsi="Book Antiqua"/>
          <w:b/>
          <w:bCs/>
        </w:rPr>
        <w:lastRenderedPageBreak/>
        <w:t>Table 1 Details of the articles retrieved from the searches</w:t>
      </w:r>
    </w:p>
    <w:tbl>
      <w:tblPr>
        <w:tblStyle w:val="a5"/>
        <w:tblW w:w="9639" w:type="dxa"/>
        <w:jc w:val="center"/>
        <w:tblLook w:val="04A0" w:firstRow="1" w:lastRow="0" w:firstColumn="1" w:lastColumn="0" w:noHBand="0" w:noVBand="1"/>
      </w:tblPr>
      <w:tblGrid>
        <w:gridCol w:w="3148"/>
        <w:gridCol w:w="1459"/>
        <w:gridCol w:w="1710"/>
        <w:gridCol w:w="3322"/>
      </w:tblGrid>
      <w:tr w:rsidR="006B2A8E" w:rsidRPr="00A40512" w14:paraId="42996AA1" w14:textId="77777777" w:rsidTr="007F2CEE">
        <w:trPr>
          <w:jc w:val="center"/>
        </w:trPr>
        <w:tc>
          <w:tcPr>
            <w:tcW w:w="3148" w:type="dxa"/>
            <w:tcBorders>
              <w:left w:val="nil"/>
              <w:bottom w:val="single" w:sz="4" w:space="0" w:color="auto"/>
              <w:right w:val="nil"/>
            </w:tcBorders>
          </w:tcPr>
          <w:p w14:paraId="5BF89E11" w14:textId="77777777" w:rsidR="006B2A8E" w:rsidRPr="005909C8" w:rsidRDefault="006B2A8E" w:rsidP="007F2CEE">
            <w:pPr>
              <w:adjustRightInd w:val="0"/>
              <w:snapToGrid w:val="0"/>
              <w:spacing w:line="360" w:lineRule="auto"/>
              <w:jc w:val="both"/>
              <w:rPr>
                <w:rFonts w:ascii="Book Antiqua" w:eastAsia="宋体" w:hAnsi="Book Antiqua"/>
                <w:b/>
                <w:bCs/>
                <w:lang w:val="en-US" w:eastAsia="zh-CN"/>
              </w:rPr>
            </w:pPr>
            <w:r w:rsidRPr="00A40512">
              <w:rPr>
                <w:rFonts w:ascii="Book Antiqua" w:eastAsia="宋体" w:hAnsi="Book Antiqua"/>
                <w:b/>
                <w:bCs/>
                <w:lang w:eastAsia="zh-CN"/>
              </w:rPr>
              <w:t>Ref.</w:t>
            </w:r>
          </w:p>
        </w:tc>
        <w:tc>
          <w:tcPr>
            <w:tcW w:w="1459" w:type="dxa"/>
            <w:tcBorders>
              <w:left w:val="nil"/>
              <w:bottom w:val="single" w:sz="4" w:space="0" w:color="auto"/>
              <w:right w:val="nil"/>
            </w:tcBorders>
          </w:tcPr>
          <w:p w14:paraId="6BD4D8FA" w14:textId="77777777" w:rsidR="006B2A8E" w:rsidRPr="005909C8" w:rsidRDefault="006B2A8E" w:rsidP="007F2CEE">
            <w:pPr>
              <w:adjustRightInd w:val="0"/>
              <w:snapToGrid w:val="0"/>
              <w:spacing w:line="360" w:lineRule="auto"/>
              <w:jc w:val="both"/>
              <w:rPr>
                <w:rFonts w:ascii="Book Antiqua" w:eastAsia="宋体" w:hAnsi="Book Antiqua"/>
                <w:b/>
                <w:bCs/>
                <w:lang w:val="en-US"/>
              </w:rPr>
            </w:pPr>
            <w:r w:rsidRPr="00A40512">
              <w:rPr>
                <w:rFonts w:ascii="Book Antiqua" w:eastAsia="宋体" w:hAnsi="Book Antiqua"/>
                <w:b/>
                <w:bCs/>
              </w:rPr>
              <w:t>Study type</w:t>
            </w:r>
          </w:p>
        </w:tc>
        <w:tc>
          <w:tcPr>
            <w:tcW w:w="1710" w:type="dxa"/>
            <w:tcBorders>
              <w:left w:val="nil"/>
              <w:bottom w:val="single" w:sz="4" w:space="0" w:color="auto"/>
              <w:right w:val="nil"/>
            </w:tcBorders>
          </w:tcPr>
          <w:p w14:paraId="5F94D0C0" w14:textId="77777777" w:rsidR="006B2A8E" w:rsidRPr="005909C8" w:rsidRDefault="006B2A8E" w:rsidP="007F2CEE">
            <w:pPr>
              <w:adjustRightInd w:val="0"/>
              <w:snapToGrid w:val="0"/>
              <w:spacing w:line="360" w:lineRule="auto"/>
              <w:jc w:val="both"/>
              <w:rPr>
                <w:rFonts w:ascii="Book Antiqua" w:eastAsia="宋体" w:hAnsi="Book Antiqua"/>
                <w:b/>
                <w:bCs/>
                <w:lang w:val="en-US"/>
              </w:rPr>
            </w:pPr>
            <w:r w:rsidRPr="00A40512">
              <w:rPr>
                <w:rFonts w:ascii="Book Antiqua" w:eastAsia="宋体" w:hAnsi="Book Antiqua"/>
                <w:b/>
                <w:bCs/>
              </w:rPr>
              <w:t>Type of hyperthermia</w:t>
            </w:r>
          </w:p>
        </w:tc>
        <w:tc>
          <w:tcPr>
            <w:tcW w:w="3322" w:type="dxa"/>
            <w:tcBorders>
              <w:left w:val="nil"/>
              <w:bottom w:val="single" w:sz="4" w:space="0" w:color="auto"/>
              <w:right w:val="nil"/>
            </w:tcBorders>
          </w:tcPr>
          <w:p w14:paraId="6B193F2C" w14:textId="77777777" w:rsidR="006B2A8E" w:rsidRPr="005909C8" w:rsidRDefault="006B2A8E" w:rsidP="007F2CEE">
            <w:pPr>
              <w:adjustRightInd w:val="0"/>
              <w:snapToGrid w:val="0"/>
              <w:spacing w:line="360" w:lineRule="auto"/>
              <w:jc w:val="both"/>
              <w:rPr>
                <w:rFonts w:ascii="Book Antiqua" w:eastAsia="宋体" w:hAnsi="Book Antiqua"/>
                <w:b/>
                <w:bCs/>
                <w:lang w:val="en-US"/>
              </w:rPr>
            </w:pPr>
            <w:r w:rsidRPr="00A40512">
              <w:rPr>
                <w:rFonts w:ascii="Book Antiqua" w:eastAsia="宋体" w:hAnsi="Book Antiqua"/>
                <w:b/>
                <w:bCs/>
              </w:rPr>
              <w:t>Tumor type</w:t>
            </w:r>
          </w:p>
        </w:tc>
      </w:tr>
      <w:tr w:rsidR="006B2A8E" w:rsidRPr="00A40512" w14:paraId="33842CDC" w14:textId="77777777" w:rsidTr="007F2CEE">
        <w:trPr>
          <w:jc w:val="center"/>
        </w:trPr>
        <w:tc>
          <w:tcPr>
            <w:tcW w:w="3148" w:type="dxa"/>
            <w:tcBorders>
              <w:top w:val="single" w:sz="4" w:space="0" w:color="auto"/>
              <w:left w:val="nil"/>
              <w:bottom w:val="nil"/>
              <w:right w:val="nil"/>
            </w:tcBorders>
            <w:vAlign w:val="center"/>
          </w:tcPr>
          <w:p w14:paraId="129C6ED8"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Falk</w:t>
            </w:r>
            <w:bookmarkStart w:id="72" w:name="OLE_LINK22"/>
            <w:bookmarkStart w:id="73" w:name="OLE_LINK23"/>
            <w:r w:rsidRPr="00A40512">
              <w:rPr>
                <w:rFonts w:ascii="Book Antiqua" w:eastAsia="宋体" w:hAnsi="Book Antiqua"/>
                <w:bCs/>
                <w:lang w:eastAsia="zh-CN"/>
              </w:rPr>
              <w:t xml:space="preserve"> </w:t>
            </w:r>
            <w:r w:rsidRPr="00A40512">
              <w:rPr>
                <w:rFonts w:ascii="Book Antiqua" w:eastAsia="宋体" w:hAnsi="Book Antiqua"/>
                <w:bCs/>
                <w:i/>
                <w:lang w:eastAsia="zh-CN"/>
              </w:rPr>
              <w:t>et al</w:t>
            </w:r>
            <w:bookmarkEnd w:id="72"/>
            <w:bookmarkEnd w:id="73"/>
            <w:r w:rsidRPr="005909C8">
              <w:rPr>
                <w:rFonts w:ascii="Book Antiqua" w:eastAsia="宋体" w:hAnsi="Book Antiqua"/>
                <w:bCs/>
                <w:vertAlign w:val="superscript"/>
              </w:rPr>
              <w:t>[22]</w:t>
            </w:r>
            <w:r w:rsidRPr="00A40512">
              <w:rPr>
                <w:rFonts w:ascii="Book Antiqua" w:eastAsia="宋体" w:hAnsi="Book Antiqua"/>
                <w:bCs/>
              </w:rPr>
              <w:t>, 1986</w:t>
            </w:r>
            <w:r w:rsidRPr="005909C8">
              <w:rPr>
                <w:rFonts w:ascii="Book Antiqua" w:eastAsia="宋体" w:hAnsi="Book Antiqua"/>
                <w:bCs/>
                <w:vertAlign w:val="superscript"/>
                <w:lang w:eastAsia="zh-CN"/>
              </w:rPr>
              <w:t>1</w:t>
            </w:r>
          </w:p>
        </w:tc>
        <w:tc>
          <w:tcPr>
            <w:tcW w:w="1459" w:type="dxa"/>
            <w:tcBorders>
              <w:top w:val="single" w:sz="4" w:space="0" w:color="auto"/>
              <w:left w:val="nil"/>
              <w:bottom w:val="nil"/>
              <w:right w:val="nil"/>
            </w:tcBorders>
          </w:tcPr>
          <w:p w14:paraId="16550B7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nRCT</w:t>
            </w:r>
          </w:p>
        </w:tc>
        <w:tc>
          <w:tcPr>
            <w:tcW w:w="1710" w:type="dxa"/>
            <w:tcBorders>
              <w:top w:val="single" w:sz="4" w:space="0" w:color="auto"/>
              <w:left w:val="nil"/>
              <w:bottom w:val="nil"/>
              <w:right w:val="nil"/>
            </w:tcBorders>
            <w:vAlign w:val="center"/>
          </w:tcPr>
          <w:p w14:paraId="57A5BA8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single" w:sz="4" w:space="0" w:color="auto"/>
              <w:left w:val="nil"/>
              <w:bottom w:val="nil"/>
              <w:right w:val="nil"/>
            </w:tcBorders>
            <w:vAlign w:val="center"/>
          </w:tcPr>
          <w:p w14:paraId="0BF0E4B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30AF8E03" w14:textId="77777777" w:rsidTr="007F2CEE">
        <w:trPr>
          <w:jc w:val="center"/>
        </w:trPr>
        <w:tc>
          <w:tcPr>
            <w:tcW w:w="3148" w:type="dxa"/>
            <w:tcBorders>
              <w:top w:val="nil"/>
              <w:left w:val="nil"/>
              <w:bottom w:val="nil"/>
              <w:right w:val="nil"/>
            </w:tcBorders>
          </w:tcPr>
          <w:p w14:paraId="70B9B39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Kim</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[37]</w:t>
            </w:r>
            <w:r w:rsidRPr="00A40512">
              <w:rPr>
                <w:rFonts w:ascii="Book Antiqua" w:eastAsia="宋体" w:hAnsi="Book Antiqua"/>
                <w:bCs/>
              </w:rPr>
              <w:t>, 1989</w:t>
            </w:r>
          </w:p>
        </w:tc>
        <w:tc>
          <w:tcPr>
            <w:tcW w:w="1459" w:type="dxa"/>
            <w:tcBorders>
              <w:top w:val="nil"/>
              <w:left w:val="nil"/>
              <w:bottom w:val="nil"/>
              <w:right w:val="nil"/>
            </w:tcBorders>
          </w:tcPr>
          <w:p w14:paraId="1F2C50A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021EB63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6F41218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7AF0C62D" w14:textId="77777777" w:rsidTr="007F2CEE">
        <w:trPr>
          <w:jc w:val="center"/>
        </w:trPr>
        <w:tc>
          <w:tcPr>
            <w:tcW w:w="3148" w:type="dxa"/>
            <w:tcBorders>
              <w:top w:val="nil"/>
              <w:left w:val="nil"/>
              <w:bottom w:val="nil"/>
              <w:right w:val="nil"/>
            </w:tcBorders>
          </w:tcPr>
          <w:p w14:paraId="59E7D763"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Kakehi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[23]</w:t>
            </w:r>
            <w:r w:rsidRPr="00A40512">
              <w:rPr>
                <w:rFonts w:ascii="Book Antiqua" w:eastAsia="宋体" w:hAnsi="Book Antiqua"/>
                <w:bCs/>
              </w:rPr>
              <w:t>, 1990</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2E3EEA0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RCT</w:t>
            </w:r>
          </w:p>
        </w:tc>
        <w:tc>
          <w:tcPr>
            <w:tcW w:w="1710" w:type="dxa"/>
            <w:tcBorders>
              <w:top w:val="nil"/>
              <w:left w:val="nil"/>
              <w:bottom w:val="nil"/>
              <w:right w:val="nil"/>
            </w:tcBorders>
          </w:tcPr>
          <w:p w14:paraId="3EA5BC9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77405B0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 and PC</w:t>
            </w:r>
          </w:p>
        </w:tc>
      </w:tr>
      <w:tr w:rsidR="006B2A8E" w:rsidRPr="00A40512" w14:paraId="2EF6118B" w14:textId="77777777" w:rsidTr="007F2CEE">
        <w:trPr>
          <w:jc w:val="center"/>
        </w:trPr>
        <w:tc>
          <w:tcPr>
            <w:tcW w:w="3148" w:type="dxa"/>
            <w:tcBorders>
              <w:top w:val="nil"/>
              <w:left w:val="nil"/>
              <w:bottom w:val="nil"/>
              <w:right w:val="nil"/>
            </w:tcBorders>
          </w:tcPr>
          <w:p w14:paraId="01EF93D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Nagata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[63]</w:t>
            </w:r>
            <w:r w:rsidRPr="00A40512">
              <w:rPr>
                <w:rFonts w:ascii="Book Antiqua" w:eastAsia="宋体" w:hAnsi="Book Antiqua"/>
                <w:bCs/>
              </w:rPr>
              <w:t>, 1990</w:t>
            </w:r>
          </w:p>
        </w:tc>
        <w:tc>
          <w:tcPr>
            <w:tcW w:w="1459" w:type="dxa"/>
            <w:tcBorders>
              <w:top w:val="nil"/>
              <w:left w:val="nil"/>
              <w:bottom w:val="nil"/>
              <w:right w:val="nil"/>
            </w:tcBorders>
          </w:tcPr>
          <w:p w14:paraId="5F06D9A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24D8808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20C7E05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 and CCC</w:t>
            </w:r>
          </w:p>
        </w:tc>
      </w:tr>
      <w:tr w:rsidR="006B2A8E" w:rsidRPr="00A40512" w14:paraId="20520DDC" w14:textId="77777777" w:rsidTr="007F2CEE">
        <w:trPr>
          <w:jc w:val="center"/>
        </w:trPr>
        <w:tc>
          <w:tcPr>
            <w:tcW w:w="3148" w:type="dxa"/>
            <w:tcBorders>
              <w:top w:val="nil"/>
              <w:left w:val="nil"/>
              <w:bottom w:val="nil"/>
              <w:right w:val="nil"/>
            </w:tcBorders>
          </w:tcPr>
          <w:p w14:paraId="310BD43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Akuta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[66]</w:t>
            </w:r>
            <w:r w:rsidRPr="00A40512">
              <w:rPr>
                <w:rFonts w:ascii="Book Antiqua" w:eastAsia="宋体" w:hAnsi="Book Antiqua"/>
                <w:bCs/>
              </w:rPr>
              <w:t>, 1991</w:t>
            </w:r>
          </w:p>
        </w:tc>
        <w:tc>
          <w:tcPr>
            <w:tcW w:w="1459" w:type="dxa"/>
            <w:tcBorders>
              <w:top w:val="nil"/>
              <w:left w:val="nil"/>
              <w:bottom w:val="nil"/>
              <w:right w:val="nil"/>
            </w:tcBorders>
          </w:tcPr>
          <w:p w14:paraId="2DD9303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001AF5C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2553F10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w:t>
            </w:r>
          </w:p>
        </w:tc>
      </w:tr>
      <w:tr w:rsidR="006B2A8E" w:rsidRPr="00A40512" w14:paraId="68662359" w14:textId="77777777" w:rsidTr="007F2CEE">
        <w:trPr>
          <w:jc w:val="center"/>
        </w:trPr>
        <w:tc>
          <w:tcPr>
            <w:tcW w:w="3148" w:type="dxa"/>
            <w:tcBorders>
              <w:top w:val="nil"/>
              <w:left w:val="nil"/>
              <w:bottom w:val="nil"/>
              <w:right w:val="nil"/>
            </w:tcBorders>
          </w:tcPr>
          <w:p w14:paraId="06EA65E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Hamazoe</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[51]</w:t>
            </w:r>
            <w:r w:rsidRPr="00A40512">
              <w:rPr>
                <w:rFonts w:ascii="Book Antiqua" w:eastAsia="宋体" w:hAnsi="Book Antiqua"/>
                <w:bCs/>
              </w:rPr>
              <w:t>, 1991</w:t>
            </w:r>
          </w:p>
        </w:tc>
        <w:tc>
          <w:tcPr>
            <w:tcW w:w="1459" w:type="dxa"/>
            <w:tcBorders>
              <w:top w:val="nil"/>
              <w:left w:val="nil"/>
              <w:bottom w:val="nil"/>
              <w:right w:val="nil"/>
            </w:tcBorders>
          </w:tcPr>
          <w:p w14:paraId="6953EC2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5396F4C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613925A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 PC and BC</w:t>
            </w:r>
          </w:p>
        </w:tc>
      </w:tr>
      <w:tr w:rsidR="006B2A8E" w:rsidRPr="00A40512" w14:paraId="5A3BE3FD" w14:textId="77777777" w:rsidTr="007F2CEE">
        <w:trPr>
          <w:jc w:val="center"/>
        </w:trPr>
        <w:tc>
          <w:tcPr>
            <w:tcW w:w="3148" w:type="dxa"/>
            <w:tcBorders>
              <w:top w:val="nil"/>
              <w:left w:val="nil"/>
              <w:bottom w:val="nil"/>
              <w:right w:val="nil"/>
            </w:tcBorders>
          </w:tcPr>
          <w:p w14:paraId="3167099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Maeda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[69]</w:t>
            </w:r>
            <w:r w:rsidRPr="00A40512">
              <w:rPr>
                <w:rFonts w:ascii="Book Antiqua" w:eastAsia="宋体" w:hAnsi="Book Antiqua"/>
                <w:bCs/>
              </w:rPr>
              <w:t>, 1991</w:t>
            </w:r>
          </w:p>
        </w:tc>
        <w:tc>
          <w:tcPr>
            <w:tcW w:w="1459" w:type="dxa"/>
            <w:tcBorders>
              <w:top w:val="nil"/>
              <w:left w:val="nil"/>
              <w:bottom w:val="nil"/>
              <w:right w:val="nil"/>
            </w:tcBorders>
          </w:tcPr>
          <w:p w14:paraId="58E6B94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CR</w:t>
            </w:r>
          </w:p>
        </w:tc>
        <w:tc>
          <w:tcPr>
            <w:tcW w:w="1710" w:type="dxa"/>
            <w:tcBorders>
              <w:top w:val="nil"/>
              <w:left w:val="nil"/>
              <w:bottom w:val="nil"/>
              <w:right w:val="nil"/>
            </w:tcBorders>
          </w:tcPr>
          <w:p w14:paraId="265F663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34E1EC8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4D9DD33E" w14:textId="77777777" w:rsidTr="007F2CEE">
        <w:trPr>
          <w:jc w:val="center"/>
        </w:trPr>
        <w:tc>
          <w:tcPr>
            <w:tcW w:w="3148" w:type="dxa"/>
            <w:tcBorders>
              <w:top w:val="nil"/>
              <w:left w:val="nil"/>
              <w:bottom w:val="nil"/>
              <w:right w:val="nil"/>
            </w:tcBorders>
          </w:tcPr>
          <w:p w14:paraId="46A63EC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Seong</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[65]</w:t>
            </w:r>
            <w:r w:rsidRPr="00A40512">
              <w:rPr>
                <w:rFonts w:ascii="Book Antiqua" w:eastAsia="宋体" w:hAnsi="Book Antiqua"/>
                <w:bCs/>
              </w:rPr>
              <w:t>, 1991</w:t>
            </w:r>
          </w:p>
        </w:tc>
        <w:tc>
          <w:tcPr>
            <w:tcW w:w="1459" w:type="dxa"/>
            <w:tcBorders>
              <w:top w:val="nil"/>
              <w:left w:val="nil"/>
              <w:bottom w:val="nil"/>
              <w:right w:val="nil"/>
            </w:tcBorders>
          </w:tcPr>
          <w:p w14:paraId="72C3E26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CR</w:t>
            </w:r>
          </w:p>
        </w:tc>
        <w:tc>
          <w:tcPr>
            <w:tcW w:w="1710" w:type="dxa"/>
            <w:tcBorders>
              <w:top w:val="nil"/>
              <w:left w:val="nil"/>
              <w:bottom w:val="nil"/>
              <w:right w:val="nil"/>
            </w:tcBorders>
          </w:tcPr>
          <w:p w14:paraId="5FD2C3B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33AB4C6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41DCE667" w14:textId="77777777" w:rsidTr="007F2CEE">
        <w:trPr>
          <w:jc w:val="center"/>
        </w:trPr>
        <w:tc>
          <w:tcPr>
            <w:tcW w:w="3148" w:type="dxa"/>
            <w:tcBorders>
              <w:top w:val="nil"/>
              <w:left w:val="nil"/>
              <w:bottom w:val="nil"/>
              <w:right w:val="nil"/>
            </w:tcBorders>
          </w:tcPr>
          <w:p w14:paraId="3ABDDF98"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Yumoto</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[38]</w:t>
            </w:r>
            <w:r w:rsidRPr="00A40512">
              <w:rPr>
                <w:rFonts w:ascii="Book Antiqua" w:eastAsia="宋体" w:hAnsi="Book Antiqua"/>
                <w:bCs/>
              </w:rPr>
              <w:t>, 1991</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21379D8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RCT</w:t>
            </w:r>
          </w:p>
        </w:tc>
        <w:tc>
          <w:tcPr>
            <w:tcW w:w="1710" w:type="dxa"/>
            <w:tcBorders>
              <w:top w:val="nil"/>
              <w:left w:val="nil"/>
              <w:bottom w:val="nil"/>
              <w:right w:val="nil"/>
            </w:tcBorders>
          </w:tcPr>
          <w:p w14:paraId="6DA3905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36E6732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67E70743" w14:textId="77777777" w:rsidTr="007F2CEE">
        <w:trPr>
          <w:jc w:val="center"/>
        </w:trPr>
        <w:tc>
          <w:tcPr>
            <w:tcW w:w="3148" w:type="dxa"/>
            <w:tcBorders>
              <w:top w:val="nil"/>
              <w:left w:val="nil"/>
              <w:bottom w:val="nil"/>
              <w:right w:val="nil"/>
            </w:tcBorders>
          </w:tcPr>
          <w:p w14:paraId="527FD69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Kim</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[39]</w:t>
            </w:r>
            <w:r w:rsidRPr="00A40512">
              <w:rPr>
                <w:rFonts w:ascii="Book Antiqua" w:eastAsia="宋体" w:hAnsi="Book Antiqua"/>
                <w:bCs/>
              </w:rPr>
              <w:t>, 1992</w:t>
            </w:r>
          </w:p>
        </w:tc>
        <w:tc>
          <w:tcPr>
            <w:tcW w:w="1459" w:type="dxa"/>
            <w:tcBorders>
              <w:top w:val="nil"/>
              <w:left w:val="nil"/>
              <w:bottom w:val="nil"/>
              <w:right w:val="nil"/>
            </w:tcBorders>
          </w:tcPr>
          <w:p w14:paraId="0D57F1D1"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nRCT</w:t>
            </w:r>
          </w:p>
        </w:tc>
        <w:tc>
          <w:tcPr>
            <w:tcW w:w="1710" w:type="dxa"/>
            <w:tcBorders>
              <w:top w:val="nil"/>
              <w:left w:val="nil"/>
              <w:bottom w:val="nil"/>
              <w:right w:val="nil"/>
            </w:tcBorders>
          </w:tcPr>
          <w:p w14:paraId="01E490A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388F2E11"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71D7B5E7" w14:textId="77777777" w:rsidTr="007F2CEE">
        <w:trPr>
          <w:jc w:val="center"/>
        </w:trPr>
        <w:tc>
          <w:tcPr>
            <w:tcW w:w="3148" w:type="dxa"/>
            <w:tcBorders>
              <w:top w:val="nil"/>
              <w:left w:val="nil"/>
              <w:bottom w:val="nil"/>
              <w:right w:val="nil"/>
            </w:tcBorders>
          </w:tcPr>
          <w:p w14:paraId="250E71F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Tanaka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[64]</w:t>
            </w:r>
            <w:r w:rsidRPr="00A40512">
              <w:rPr>
                <w:rFonts w:ascii="Book Antiqua" w:eastAsia="宋体" w:hAnsi="Book Antiqua"/>
                <w:bCs/>
              </w:rPr>
              <w:t>, 1992</w:t>
            </w:r>
          </w:p>
        </w:tc>
        <w:tc>
          <w:tcPr>
            <w:tcW w:w="1459" w:type="dxa"/>
            <w:tcBorders>
              <w:top w:val="nil"/>
              <w:left w:val="nil"/>
              <w:bottom w:val="nil"/>
              <w:right w:val="nil"/>
            </w:tcBorders>
          </w:tcPr>
          <w:p w14:paraId="3636649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vAlign w:val="center"/>
          </w:tcPr>
          <w:p w14:paraId="5FBE1BF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1B42EF01"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 and CCC</w:t>
            </w:r>
          </w:p>
        </w:tc>
      </w:tr>
      <w:tr w:rsidR="006B2A8E" w:rsidRPr="00A40512" w14:paraId="5FFF35D2" w14:textId="77777777" w:rsidTr="007F2CEE">
        <w:trPr>
          <w:jc w:val="center"/>
        </w:trPr>
        <w:tc>
          <w:tcPr>
            <w:tcW w:w="3148" w:type="dxa"/>
            <w:tcBorders>
              <w:top w:val="nil"/>
              <w:left w:val="nil"/>
              <w:bottom w:val="nil"/>
              <w:right w:val="nil"/>
            </w:tcBorders>
          </w:tcPr>
          <w:p w14:paraId="7B6A562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Robins</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[25]</w:t>
            </w:r>
            <w:r w:rsidRPr="00A40512">
              <w:rPr>
                <w:rFonts w:ascii="Book Antiqua" w:eastAsia="宋体" w:hAnsi="Book Antiqua"/>
                <w:bCs/>
              </w:rPr>
              <w:t>, 1993</w:t>
            </w:r>
          </w:p>
        </w:tc>
        <w:tc>
          <w:tcPr>
            <w:tcW w:w="1459" w:type="dxa"/>
            <w:tcBorders>
              <w:top w:val="nil"/>
              <w:left w:val="nil"/>
              <w:bottom w:val="nil"/>
              <w:right w:val="nil"/>
            </w:tcBorders>
          </w:tcPr>
          <w:p w14:paraId="3977098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nRCT</w:t>
            </w:r>
          </w:p>
        </w:tc>
        <w:tc>
          <w:tcPr>
            <w:tcW w:w="1710" w:type="dxa"/>
            <w:tcBorders>
              <w:top w:val="nil"/>
              <w:left w:val="nil"/>
              <w:bottom w:val="nil"/>
              <w:right w:val="nil"/>
            </w:tcBorders>
            <w:vAlign w:val="center"/>
          </w:tcPr>
          <w:p w14:paraId="26B55C4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Whole-body</w:t>
            </w:r>
          </w:p>
        </w:tc>
        <w:tc>
          <w:tcPr>
            <w:tcW w:w="3322" w:type="dxa"/>
            <w:tcBorders>
              <w:top w:val="nil"/>
              <w:left w:val="nil"/>
              <w:bottom w:val="nil"/>
              <w:right w:val="nil"/>
            </w:tcBorders>
            <w:vAlign w:val="center"/>
          </w:tcPr>
          <w:p w14:paraId="16A200A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PC</w:t>
            </w:r>
          </w:p>
        </w:tc>
      </w:tr>
      <w:tr w:rsidR="006B2A8E" w:rsidRPr="00A40512" w14:paraId="0282E87D" w14:textId="77777777" w:rsidTr="007F2CEE">
        <w:trPr>
          <w:jc w:val="center"/>
        </w:trPr>
        <w:tc>
          <w:tcPr>
            <w:tcW w:w="3148" w:type="dxa"/>
            <w:tcBorders>
              <w:top w:val="nil"/>
              <w:left w:val="nil"/>
              <w:bottom w:val="nil"/>
              <w:right w:val="nil"/>
            </w:tcBorders>
          </w:tcPr>
          <w:p w14:paraId="5CC0938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Maeta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[67]</w:t>
            </w:r>
            <w:r w:rsidRPr="00A40512">
              <w:rPr>
                <w:rFonts w:ascii="Book Antiqua" w:eastAsia="宋体" w:hAnsi="Book Antiqua"/>
                <w:bCs/>
              </w:rPr>
              <w:t>, 1994</w:t>
            </w:r>
          </w:p>
        </w:tc>
        <w:tc>
          <w:tcPr>
            <w:tcW w:w="1459" w:type="dxa"/>
            <w:tcBorders>
              <w:top w:val="nil"/>
              <w:left w:val="nil"/>
              <w:bottom w:val="nil"/>
              <w:right w:val="nil"/>
            </w:tcBorders>
          </w:tcPr>
          <w:p w14:paraId="62E78A0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tcPr>
          <w:p w14:paraId="67A6803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79927441"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w:t>
            </w:r>
          </w:p>
        </w:tc>
      </w:tr>
      <w:tr w:rsidR="006B2A8E" w:rsidRPr="00A40512" w14:paraId="33AF287E" w14:textId="77777777" w:rsidTr="007F2CEE">
        <w:trPr>
          <w:jc w:val="center"/>
        </w:trPr>
        <w:tc>
          <w:tcPr>
            <w:tcW w:w="3148" w:type="dxa"/>
            <w:tcBorders>
              <w:top w:val="nil"/>
              <w:left w:val="nil"/>
              <w:bottom w:val="nil"/>
              <w:right w:val="nil"/>
            </w:tcBorders>
          </w:tcPr>
          <w:p w14:paraId="731DB51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Seong</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[40]</w:t>
            </w:r>
            <w:r w:rsidRPr="00A40512">
              <w:rPr>
                <w:rFonts w:ascii="Book Antiqua" w:eastAsia="宋体" w:hAnsi="Book Antiqua"/>
                <w:bCs/>
              </w:rPr>
              <w:t>, 1994</w:t>
            </w:r>
          </w:p>
        </w:tc>
        <w:tc>
          <w:tcPr>
            <w:tcW w:w="1459" w:type="dxa"/>
            <w:tcBorders>
              <w:top w:val="nil"/>
              <w:left w:val="nil"/>
              <w:bottom w:val="nil"/>
              <w:right w:val="nil"/>
            </w:tcBorders>
          </w:tcPr>
          <w:p w14:paraId="55B8F73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33F1E5C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6209F95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0B794A6D" w14:textId="77777777" w:rsidTr="007F2CEE">
        <w:trPr>
          <w:jc w:val="center"/>
        </w:trPr>
        <w:tc>
          <w:tcPr>
            <w:tcW w:w="3148" w:type="dxa"/>
            <w:tcBorders>
              <w:top w:val="nil"/>
              <w:left w:val="nil"/>
              <w:bottom w:val="nil"/>
              <w:right w:val="nil"/>
            </w:tcBorders>
          </w:tcPr>
          <w:p w14:paraId="61B131D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Nagata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[41]</w:t>
            </w:r>
            <w:r w:rsidRPr="00A40512">
              <w:rPr>
                <w:rFonts w:ascii="Book Antiqua" w:eastAsia="宋体" w:hAnsi="Book Antiqua"/>
                <w:bCs/>
              </w:rPr>
              <w:t>, 1997</w:t>
            </w:r>
          </w:p>
        </w:tc>
        <w:tc>
          <w:tcPr>
            <w:tcW w:w="1459" w:type="dxa"/>
            <w:tcBorders>
              <w:top w:val="nil"/>
              <w:left w:val="nil"/>
              <w:bottom w:val="nil"/>
              <w:right w:val="nil"/>
            </w:tcBorders>
          </w:tcPr>
          <w:p w14:paraId="65D26E5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54E0840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4436F59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 and CCC</w:t>
            </w:r>
          </w:p>
        </w:tc>
      </w:tr>
      <w:tr w:rsidR="006B2A8E" w:rsidRPr="00A40512" w14:paraId="01D443AB" w14:textId="77777777" w:rsidTr="007F2CEE">
        <w:trPr>
          <w:jc w:val="center"/>
        </w:trPr>
        <w:tc>
          <w:tcPr>
            <w:tcW w:w="3148" w:type="dxa"/>
            <w:tcBorders>
              <w:top w:val="nil"/>
              <w:left w:val="nil"/>
              <w:bottom w:val="nil"/>
              <w:right w:val="nil"/>
            </w:tcBorders>
          </w:tcPr>
          <w:p w14:paraId="4728E88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Robins</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[26]</w:t>
            </w:r>
            <w:r w:rsidRPr="00A40512">
              <w:rPr>
                <w:rFonts w:ascii="Book Antiqua" w:eastAsia="宋体" w:hAnsi="Book Antiqua"/>
                <w:bCs/>
              </w:rPr>
              <w:t>, 1997</w:t>
            </w:r>
          </w:p>
        </w:tc>
        <w:tc>
          <w:tcPr>
            <w:tcW w:w="1459" w:type="dxa"/>
            <w:tcBorders>
              <w:top w:val="nil"/>
              <w:left w:val="nil"/>
              <w:bottom w:val="nil"/>
              <w:right w:val="nil"/>
            </w:tcBorders>
          </w:tcPr>
          <w:p w14:paraId="076D4DF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nRCT</w:t>
            </w:r>
          </w:p>
        </w:tc>
        <w:tc>
          <w:tcPr>
            <w:tcW w:w="1710" w:type="dxa"/>
            <w:tcBorders>
              <w:top w:val="nil"/>
              <w:left w:val="nil"/>
              <w:bottom w:val="nil"/>
              <w:right w:val="nil"/>
            </w:tcBorders>
            <w:vAlign w:val="center"/>
          </w:tcPr>
          <w:p w14:paraId="0755158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Whole-body</w:t>
            </w:r>
          </w:p>
        </w:tc>
        <w:tc>
          <w:tcPr>
            <w:tcW w:w="3322" w:type="dxa"/>
            <w:tcBorders>
              <w:top w:val="nil"/>
              <w:left w:val="nil"/>
              <w:bottom w:val="nil"/>
              <w:right w:val="nil"/>
            </w:tcBorders>
            <w:vAlign w:val="center"/>
          </w:tcPr>
          <w:p w14:paraId="6627041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 and PC</w:t>
            </w:r>
          </w:p>
        </w:tc>
      </w:tr>
      <w:tr w:rsidR="006B2A8E" w:rsidRPr="00A40512" w14:paraId="56FD3939" w14:textId="77777777" w:rsidTr="007F2CEE">
        <w:trPr>
          <w:jc w:val="center"/>
        </w:trPr>
        <w:tc>
          <w:tcPr>
            <w:tcW w:w="3148" w:type="dxa"/>
            <w:tcBorders>
              <w:top w:val="nil"/>
              <w:left w:val="nil"/>
              <w:bottom w:val="nil"/>
              <w:right w:val="nil"/>
            </w:tcBorders>
          </w:tcPr>
          <w:p w14:paraId="4734A6C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 xml:space="preserve">Dvorák </w:t>
            </w:r>
            <w:r w:rsidRPr="00A40512">
              <w:rPr>
                <w:rFonts w:ascii="Book Antiqua" w:eastAsia="宋体" w:hAnsi="Book Antiqua"/>
                <w:bCs/>
                <w:i/>
                <w:lang w:eastAsia="zh-CN"/>
              </w:rPr>
              <w:t>et al</w:t>
            </w:r>
            <w:r w:rsidRPr="005909C8">
              <w:rPr>
                <w:rFonts w:ascii="Book Antiqua" w:eastAsia="宋体" w:hAnsi="Book Antiqua"/>
                <w:bCs/>
                <w:vertAlign w:val="superscript"/>
              </w:rPr>
              <w:t>[68]</w:t>
            </w:r>
            <w:r w:rsidRPr="00A40512">
              <w:rPr>
                <w:rFonts w:ascii="Book Antiqua" w:eastAsia="宋体" w:hAnsi="Book Antiqua"/>
                <w:bCs/>
              </w:rPr>
              <w:t>, 2002</w:t>
            </w:r>
          </w:p>
        </w:tc>
        <w:tc>
          <w:tcPr>
            <w:tcW w:w="1459" w:type="dxa"/>
            <w:tcBorders>
              <w:top w:val="nil"/>
              <w:left w:val="nil"/>
              <w:bottom w:val="nil"/>
              <w:right w:val="nil"/>
            </w:tcBorders>
          </w:tcPr>
          <w:p w14:paraId="49EEE7D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CR</w:t>
            </w:r>
          </w:p>
        </w:tc>
        <w:tc>
          <w:tcPr>
            <w:tcW w:w="1710" w:type="dxa"/>
            <w:tcBorders>
              <w:top w:val="nil"/>
              <w:left w:val="nil"/>
              <w:bottom w:val="nil"/>
              <w:right w:val="nil"/>
            </w:tcBorders>
          </w:tcPr>
          <w:p w14:paraId="6D41729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02D5968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63FA4AC7" w14:textId="77777777" w:rsidTr="007F2CEE">
        <w:trPr>
          <w:jc w:val="center"/>
        </w:trPr>
        <w:tc>
          <w:tcPr>
            <w:tcW w:w="3148" w:type="dxa"/>
            <w:tcBorders>
              <w:top w:val="nil"/>
              <w:left w:val="nil"/>
              <w:bottom w:val="nil"/>
              <w:right w:val="nil"/>
            </w:tcBorders>
          </w:tcPr>
          <w:p w14:paraId="4B891AA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Kamisawa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[74]</w:t>
            </w:r>
            <w:r w:rsidRPr="00A40512">
              <w:rPr>
                <w:rFonts w:ascii="Book Antiqua" w:eastAsia="宋体" w:hAnsi="Book Antiqua"/>
                <w:bCs/>
              </w:rPr>
              <w:t>, 2005</w:t>
            </w:r>
          </w:p>
        </w:tc>
        <w:tc>
          <w:tcPr>
            <w:tcW w:w="1459" w:type="dxa"/>
            <w:tcBorders>
              <w:top w:val="nil"/>
              <w:left w:val="nil"/>
              <w:bottom w:val="nil"/>
              <w:right w:val="nil"/>
            </w:tcBorders>
          </w:tcPr>
          <w:p w14:paraId="65D1169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215CA47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7A1DCAC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BC</w:t>
            </w:r>
          </w:p>
        </w:tc>
      </w:tr>
      <w:tr w:rsidR="006B2A8E" w:rsidRPr="00A40512" w14:paraId="3D28549E" w14:textId="77777777" w:rsidTr="007F2CEE">
        <w:trPr>
          <w:jc w:val="center"/>
        </w:trPr>
        <w:tc>
          <w:tcPr>
            <w:tcW w:w="3148" w:type="dxa"/>
            <w:tcBorders>
              <w:top w:val="nil"/>
              <w:left w:val="nil"/>
              <w:bottom w:val="nil"/>
              <w:right w:val="nil"/>
            </w:tcBorders>
          </w:tcPr>
          <w:p w14:paraId="14139D92"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Ostapenko</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[72]</w:t>
            </w:r>
            <w:r w:rsidRPr="00A40512">
              <w:rPr>
                <w:rFonts w:ascii="Book Antiqua" w:eastAsia="宋体" w:hAnsi="Book Antiqua"/>
                <w:bCs/>
              </w:rPr>
              <w:t>, 2005</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4F90A56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7B25750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67081C0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4AAFFB19" w14:textId="77777777" w:rsidTr="007F2CEE">
        <w:trPr>
          <w:jc w:val="center"/>
        </w:trPr>
        <w:tc>
          <w:tcPr>
            <w:tcW w:w="3148" w:type="dxa"/>
            <w:tcBorders>
              <w:top w:val="nil"/>
              <w:left w:val="nil"/>
              <w:bottom w:val="nil"/>
              <w:right w:val="nil"/>
            </w:tcBorders>
          </w:tcPr>
          <w:p w14:paraId="4F4318F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Mambrini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[45]</w:t>
            </w:r>
            <w:r w:rsidRPr="00A40512">
              <w:rPr>
                <w:rFonts w:ascii="Book Antiqua" w:eastAsia="宋体" w:hAnsi="Book Antiqua"/>
                <w:bCs/>
              </w:rPr>
              <w:t>, 2007</w:t>
            </w:r>
          </w:p>
        </w:tc>
        <w:tc>
          <w:tcPr>
            <w:tcW w:w="1459" w:type="dxa"/>
            <w:tcBorders>
              <w:top w:val="nil"/>
              <w:left w:val="nil"/>
              <w:bottom w:val="nil"/>
              <w:right w:val="nil"/>
            </w:tcBorders>
          </w:tcPr>
          <w:p w14:paraId="5C20FD2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789D1AC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3E1870E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BC, incl. CCC and GC</w:t>
            </w:r>
          </w:p>
        </w:tc>
      </w:tr>
      <w:tr w:rsidR="006B2A8E" w:rsidRPr="00A40512" w14:paraId="196B775F" w14:textId="77777777" w:rsidTr="007F2CEE">
        <w:trPr>
          <w:jc w:val="center"/>
        </w:trPr>
        <w:tc>
          <w:tcPr>
            <w:tcW w:w="3148" w:type="dxa"/>
            <w:tcBorders>
              <w:top w:val="nil"/>
              <w:left w:val="nil"/>
              <w:bottom w:val="nil"/>
              <w:right w:val="nil"/>
            </w:tcBorders>
          </w:tcPr>
          <w:p w14:paraId="5C40DC3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Bull</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[27]</w:t>
            </w:r>
            <w:r w:rsidRPr="00A40512">
              <w:rPr>
                <w:rFonts w:ascii="Book Antiqua" w:eastAsia="宋体" w:hAnsi="Book Antiqua"/>
                <w:bCs/>
              </w:rPr>
              <w:t>, 2008</w:t>
            </w:r>
          </w:p>
        </w:tc>
        <w:tc>
          <w:tcPr>
            <w:tcW w:w="1459" w:type="dxa"/>
            <w:tcBorders>
              <w:top w:val="nil"/>
              <w:left w:val="nil"/>
              <w:bottom w:val="nil"/>
              <w:right w:val="nil"/>
            </w:tcBorders>
          </w:tcPr>
          <w:p w14:paraId="3F4D775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vAlign w:val="center"/>
          </w:tcPr>
          <w:p w14:paraId="19E8D98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Whole-body</w:t>
            </w:r>
          </w:p>
        </w:tc>
        <w:tc>
          <w:tcPr>
            <w:tcW w:w="3322" w:type="dxa"/>
            <w:tcBorders>
              <w:top w:val="nil"/>
              <w:left w:val="nil"/>
              <w:bottom w:val="nil"/>
              <w:right w:val="nil"/>
            </w:tcBorders>
            <w:vAlign w:val="center"/>
          </w:tcPr>
          <w:p w14:paraId="14EE6A2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PC</w:t>
            </w:r>
          </w:p>
        </w:tc>
      </w:tr>
      <w:tr w:rsidR="006B2A8E" w:rsidRPr="00A40512" w14:paraId="3A4587BF" w14:textId="77777777" w:rsidTr="007F2CEE">
        <w:trPr>
          <w:jc w:val="center"/>
        </w:trPr>
        <w:tc>
          <w:tcPr>
            <w:tcW w:w="3148" w:type="dxa"/>
            <w:tcBorders>
              <w:top w:val="nil"/>
              <w:left w:val="nil"/>
              <w:bottom w:val="nil"/>
              <w:right w:val="nil"/>
            </w:tcBorders>
          </w:tcPr>
          <w:p w14:paraId="4ACF2E2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Cho</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[29]</w:t>
            </w:r>
            <w:r w:rsidRPr="00A40512">
              <w:rPr>
                <w:rFonts w:ascii="Book Antiqua" w:eastAsia="宋体" w:hAnsi="Book Antiqua"/>
                <w:bCs/>
              </w:rPr>
              <w:t>, 2008</w:t>
            </w:r>
          </w:p>
        </w:tc>
        <w:tc>
          <w:tcPr>
            <w:tcW w:w="1459" w:type="dxa"/>
            <w:tcBorders>
              <w:top w:val="nil"/>
              <w:left w:val="nil"/>
              <w:bottom w:val="nil"/>
              <w:right w:val="nil"/>
            </w:tcBorders>
          </w:tcPr>
          <w:p w14:paraId="0929B82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208A75E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7ADAE30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PC</w:t>
            </w:r>
          </w:p>
        </w:tc>
      </w:tr>
      <w:tr w:rsidR="006B2A8E" w:rsidRPr="00A40512" w14:paraId="0B1ECD6C" w14:textId="77777777" w:rsidTr="007F2CEE">
        <w:trPr>
          <w:jc w:val="center"/>
        </w:trPr>
        <w:tc>
          <w:tcPr>
            <w:tcW w:w="3148" w:type="dxa"/>
            <w:tcBorders>
              <w:top w:val="nil"/>
              <w:left w:val="nil"/>
              <w:bottom w:val="nil"/>
              <w:right w:val="nil"/>
            </w:tcBorders>
          </w:tcPr>
          <w:p w14:paraId="1875876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Ishikawa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[52]</w:t>
            </w:r>
            <w:r w:rsidRPr="00A40512">
              <w:rPr>
                <w:rFonts w:ascii="Book Antiqua" w:eastAsia="宋体" w:hAnsi="Book Antiqua"/>
                <w:bCs/>
              </w:rPr>
              <w:t>, 2008</w:t>
            </w:r>
          </w:p>
        </w:tc>
        <w:tc>
          <w:tcPr>
            <w:tcW w:w="1459" w:type="dxa"/>
            <w:tcBorders>
              <w:top w:val="nil"/>
              <w:left w:val="nil"/>
              <w:bottom w:val="nil"/>
              <w:right w:val="nil"/>
            </w:tcBorders>
          </w:tcPr>
          <w:p w14:paraId="6FD7314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tcPr>
          <w:p w14:paraId="2D8B8FD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5E19495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0724A11F" w14:textId="77777777" w:rsidTr="007F2CEE">
        <w:trPr>
          <w:jc w:val="center"/>
        </w:trPr>
        <w:tc>
          <w:tcPr>
            <w:tcW w:w="3148" w:type="dxa"/>
            <w:tcBorders>
              <w:top w:val="nil"/>
              <w:left w:val="nil"/>
              <w:bottom w:val="nil"/>
              <w:right w:val="nil"/>
            </w:tcBorders>
          </w:tcPr>
          <w:p w14:paraId="37BB5AA9"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Ohguri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[31]</w:t>
            </w:r>
            <w:r w:rsidRPr="00A40512">
              <w:rPr>
                <w:rFonts w:ascii="Book Antiqua" w:eastAsia="宋体" w:hAnsi="Book Antiqua"/>
                <w:bCs/>
              </w:rPr>
              <w:t>, 2008</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2991E89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tcPr>
          <w:p w14:paraId="5D95224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3D51D351"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6C5AFDE3" w14:textId="77777777" w:rsidTr="007F2CEE">
        <w:trPr>
          <w:jc w:val="center"/>
        </w:trPr>
        <w:tc>
          <w:tcPr>
            <w:tcW w:w="3148" w:type="dxa"/>
            <w:tcBorders>
              <w:top w:val="nil"/>
              <w:left w:val="nil"/>
              <w:bottom w:val="nil"/>
              <w:right w:val="nil"/>
            </w:tcBorders>
          </w:tcPr>
          <w:p w14:paraId="2345DBC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Zhang</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[30]</w:t>
            </w:r>
            <w:r w:rsidRPr="00A40512">
              <w:rPr>
                <w:rFonts w:ascii="Book Antiqua" w:eastAsia="宋体" w:hAnsi="Book Antiqua"/>
                <w:bCs/>
              </w:rPr>
              <w:t>, 2008</w:t>
            </w:r>
          </w:p>
        </w:tc>
        <w:tc>
          <w:tcPr>
            <w:tcW w:w="1459" w:type="dxa"/>
            <w:tcBorders>
              <w:top w:val="nil"/>
              <w:left w:val="nil"/>
              <w:bottom w:val="nil"/>
              <w:right w:val="nil"/>
            </w:tcBorders>
          </w:tcPr>
          <w:p w14:paraId="4A0E5AD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23C0686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277270B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3A20366F" w14:textId="77777777" w:rsidTr="007F2CEE">
        <w:trPr>
          <w:jc w:val="center"/>
        </w:trPr>
        <w:tc>
          <w:tcPr>
            <w:tcW w:w="3148" w:type="dxa"/>
            <w:tcBorders>
              <w:top w:val="nil"/>
              <w:left w:val="nil"/>
              <w:bottom w:val="nil"/>
              <w:right w:val="nil"/>
            </w:tcBorders>
          </w:tcPr>
          <w:p w14:paraId="79CACC6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lastRenderedPageBreak/>
              <w:t>Bakshandeh-Bath</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[28]</w:t>
            </w:r>
            <w:r w:rsidRPr="00A40512">
              <w:rPr>
                <w:rFonts w:ascii="Book Antiqua" w:eastAsia="宋体" w:hAnsi="Book Antiqua"/>
                <w:bCs/>
              </w:rPr>
              <w:t>, 2009</w:t>
            </w:r>
          </w:p>
        </w:tc>
        <w:tc>
          <w:tcPr>
            <w:tcW w:w="1459" w:type="dxa"/>
            <w:tcBorders>
              <w:top w:val="nil"/>
              <w:left w:val="nil"/>
              <w:bottom w:val="nil"/>
              <w:right w:val="nil"/>
            </w:tcBorders>
          </w:tcPr>
          <w:p w14:paraId="7410444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vAlign w:val="center"/>
          </w:tcPr>
          <w:p w14:paraId="2F189FA1"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Whole-body</w:t>
            </w:r>
          </w:p>
        </w:tc>
        <w:tc>
          <w:tcPr>
            <w:tcW w:w="3322" w:type="dxa"/>
            <w:tcBorders>
              <w:top w:val="nil"/>
              <w:left w:val="nil"/>
              <w:bottom w:val="nil"/>
              <w:right w:val="nil"/>
            </w:tcBorders>
            <w:vAlign w:val="center"/>
          </w:tcPr>
          <w:p w14:paraId="5EB0A7B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5BEED513" w14:textId="77777777" w:rsidTr="007F2CEE">
        <w:trPr>
          <w:jc w:val="center"/>
        </w:trPr>
        <w:tc>
          <w:tcPr>
            <w:tcW w:w="3148" w:type="dxa"/>
            <w:tcBorders>
              <w:top w:val="nil"/>
              <w:left w:val="nil"/>
              <w:bottom w:val="nil"/>
              <w:right w:val="nil"/>
            </w:tcBorders>
          </w:tcPr>
          <w:p w14:paraId="00D51752"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Maluta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[53]</w:t>
            </w:r>
            <w:r w:rsidRPr="00A40512">
              <w:rPr>
                <w:rFonts w:ascii="Book Antiqua" w:eastAsia="宋体" w:hAnsi="Book Antiqua"/>
                <w:bCs/>
              </w:rPr>
              <w:t>, 2011</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09EC53D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vAlign w:val="center"/>
          </w:tcPr>
          <w:p w14:paraId="4A59620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6211B23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69AD9B27" w14:textId="77777777" w:rsidTr="007F2CEE">
        <w:trPr>
          <w:jc w:val="center"/>
        </w:trPr>
        <w:tc>
          <w:tcPr>
            <w:tcW w:w="3148" w:type="dxa"/>
            <w:tcBorders>
              <w:top w:val="nil"/>
              <w:left w:val="nil"/>
              <w:bottom w:val="nil"/>
              <w:right w:val="nil"/>
            </w:tcBorders>
          </w:tcPr>
          <w:p w14:paraId="747125B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Dani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[58]</w:t>
            </w:r>
            <w:r w:rsidRPr="00A40512">
              <w:rPr>
                <w:rFonts w:ascii="Book Antiqua" w:eastAsia="宋体" w:hAnsi="Book Antiqua"/>
                <w:bCs/>
              </w:rPr>
              <w:t>, 2012</w:t>
            </w:r>
          </w:p>
        </w:tc>
        <w:tc>
          <w:tcPr>
            <w:tcW w:w="1459" w:type="dxa"/>
            <w:tcBorders>
              <w:top w:val="nil"/>
              <w:left w:val="nil"/>
              <w:bottom w:val="nil"/>
              <w:right w:val="nil"/>
            </w:tcBorders>
          </w:tcPr>
          <w:p w14:paraId="33C112A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vAlign w:val="center"/>
          </w:tcPr>
          <w:p w14:paraId="10F598F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mEHT</w:t>
            </w:r>
          </w:p>
        </w:tc>
        <w:tc>
          <w:tcPr>
            <w:tcW w:w="3322" w:type="dxa"/>
            <w:tcBorders>
              <w:top w:val="nil"/>
              <w:left w:val="nil"/>
              <w:bottom w:val="nil"/>
              <w:right w:val="nil"/>
            </w:tcBorders>
            <w:vAlign w:val="center"/>
          </w:tcPr>
          <w:p w14:paraId="38F9FEB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56E6D465" w14:textId="77777777" w:rsidTr="007F2CEE">
        <w:trPr>
          <w:jc w:val="center"/>
        </w:trPr>
        <w:tc>
          <w:tcPr>
            <w:tcW w:w="3148" w:type="dxa"/>
            <w:tcBorders>
              <w:top w:val="nil"/>
              <w:left w:val="nil"/>
              <w:bottom w:val="nil"/>
              <w:right w:val="nil"/>
            </w:tcBorders>
          </w:tcPr>
          <w:p w14:paraId="44261DDB"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Ishikawa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[47]</w:t>
            </w:r>
            <w:r w:rsidRPr="00A40512">
              <w:rPr>
                <w:rFonts w:ascii="Book Antiqua" w:eastAsia="宋体" w:hAnsi="Book Antiqua"/>
                <w:bCs/>
              </w:rPr>
              <w:t>, 2012</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0554299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nRCT</w:t>
            </w:r>
          </w:p>
        </w:tc>
        <w:tc>
          <w:tcPr>
            <w:tcW w:w="1710" w:type="dxa"/>
            <w:tcBorders>
              <w:top w:val="nil"/>
              <w:left w:val="nil"/>
              <w:bottom w:val="nil"/>
              <w:right w:val="nil"/>
            </w:tcBorders>
          </w:tcPr>
          <w:p w14:paraId="08CD115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3E1F6EB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0DFA3957" w14:textId="77777777" w:rsidTr="007F2CEE">
        <w:trPr>
          <w:jc w:val="center"/>
        </w:trPr>
        <w:tc>
          <w:tcPr>
            <w:tcW w:w="3148" w:type="dxa"/>
            <w:tcBorders>
              <w:top w:val="nil"/>
              <w:left w:val="nil"/>
              <w:bottom w:val="nil"/>
              <w:right w:val="nil"/>
            </w:tcBorders>
          </w:tcPr>
          <w:p w14:paraId="706EFAD5"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Tschoep-Lechner</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[33]</w:t>
            </w:r>
            <w:r w:rsidRPr="00A40512">
              <w:rPr>
                <w:rFonts w:ascii="Book Antiqua" w:eastAsia="宋体" w:hAnsi="Book Antiqua"/>
                <w:bCs/>
              </w:rPr>
              <w:t>, 2013</w:t>
            </w:r>
          </w:p>
        </w:tc>
        <w:tc>
          <w:tcPr>
            <w:tcW w:w="1459" w:type="dxa"/>
            <w:tcBorders>
              <w:top w:val="nil"/>
              <w:left w:val="nil"/>
              <w:bottom w:val="nil"/>
              <w:right w:val="nil"/>
            </w:tcBorders>
          </w:tcPr>
          <w:p w14:paraId="6C99BCE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tcPr>
          <w:p w14:paraId="60F0F01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16386EA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1C6DBCF4" w14:textId="77777777" w:rsidTr="007F2CEE">
        <w:trPr>
          <w:jc w:val="center"/>
        </w:trPr>
        <w:tc>
          <w:tcPr>
            <w:tcW w:w="3148" w:type="dxa"/>
            <w:tcBorders>
              <w:top w:val="nil"/>
              <w:left w:val="nil"/>
              <w:bottom w:val="nil"/>
              <w:right w:val="nil"/>
            </w:tcBorders>
          </w:tcPr>
          <w:p w14:paraId="53768051"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Wang</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[73]</w:t>
            </w:r>
            <w:r w:rsidRPr="00A40512">
              <w:rPr>
                <w:rFonts w:ascii="Book Antiqua" w:eastAsia="宋体" w:hAnsi="Book Antiqua"/>
                <w:bCs/>
              </w:rPr>
              <w:t>, 2013</w:t>
            </w:r>
          </w:p>
        </w:tc>
        <w:tc>
          <w:tcPr>
            <w:tcW w:w="1459" w:type="dxa"/>
            <w:tcBorders>
              <w:top w:val="nil"/>
              <w:left w:val="nil"/>
              <w:bottom w:val="nil"/>
              <w:right w:val="nil"/>
            </w:tcBorders>
          </w:tcPr>
          <w:p w14:paraId="042588B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2EFB379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7690648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0A1A1AA1" w14:textId="77777777" w:rsidTr="007F2CEE">
        <w:trPr>
          <w:jc w:val="center"/>
        </w:trPr>
        <w:tc>
          <w:tcPr>
            <w:tcW w:w="3148" w:type="dxa"/>
            <w:tcBorders>
              <w:top w:val="nil"/>
              <w:left w:val="nil"/>
              <w:bottom w:val="nil"/>
              <w:right w:val="nil"/>
            </w:tcBorders>
          </w:tcPr>
          <w:p w14:paraId="38F6A6B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Gadaleta-Caldarola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[42]</w:t>
            </w:r>
            <w:r w:rsidRPr="00A40512">
              <w:rPr>
                <w:rFonts w:ascii="Book Antiqua" w:eastAsia="宋体" w:hAnsi="Book Antiqua"/>
                <w:bCs/>
              </w:rPr>
              <w:t>, 2014</w:t>
            </w:r>
          </w:p>
        </w:tc>
        <w:tc>
          <w:tcPr>
            <w:tcW w:w="1459" w:type="dxa"/>
            <w:tcBorders>
              <w:top w:val="nil"/>
              <w:left w:val="nil"/>
              <w:bottom w:val="nil"/>
              <w:right w:val="nil"/>
            </w:tcBorders>
          </w:tcPr>
          <w:p w14:paraId="6967B98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vAlign w:val="center"/>
          </w:tcPr>
          <w:p w14:paraId="4B44C56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mEHT</w:t>
            </w:r>
          </w:p>
        </w:tc>
        <w:tc>
          <w:tcPr>
            <w:tcW w:w="3322" w:type="dxa"/>
            <w:tcBorders>
              <w:top w:val="nil"/>
              <w:left w:val="nil"/>
              <w:bottom w:val="nil"/>
              <w:right w:val="nil"/>
            </w:tcBorders>
            <w:vAlign w:val="center"/>
          </w:tcPr>
          <w:p w14:paraId="2856196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2729BAE6" w14:textId="77777777" w:rsidTr="007F2CEE">
        <w:trPr>
          <w:jc w:val="center"/>
        </w:trPr>
        <w:tc>
          <w:tcPr>
            <w:tcW w:w="3148" w:type="dxa"/>
            <w:tcBorders>
              <w:top w:val="nil"/>
              <w:left w:val="nil"/>
              <w:bottom w:val="nil"/>
              <w:right w:val="nil"/>
            </w:tcBorders>
          </w:tcPr>
          <w:p w14:paraId="267C568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Volovat</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[32]</w:t>
            </w:r>
            <w:r w:rsidRPr="00A40512">
              <w:rPr>
                <w:rFonts w:ascii="Book Antiqua" w:eastAsia="宋体" w:hAnsi="Book Antiqua"/>
                <w:bCs/>
              </w:rPr>
              <w:t>, 2014</w:t>
            </w:r>
          </w:p>
        </w:tc>
        <w:tc>
          <w:tcPr>
            <w:tcW w:w="1459" w:type="dxa"/>
            <w:tcBorders>
              <w:top w:val="nil"/>
              <w:left w:val="nil"/>
              <w:bottom w:val="nil"/>
              <w:right w:val="nil"/>
            </w:tcBorders>
          </w:tcPr>
          <w:p w14:paraId="0B1029D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pOS</w:t>
            </w:r>
          </w:p>
        </w:tc>
        <w:tc>
          <w:tcPr>
            <w:tcW w:w="1710" w:type="dxa"/>
            <w:tcBorders>
              <w:top w:val="nil"/>
              <w:left w:val="nil"/>
              <w:bottom w:val="nil"/>
              <w:right w:val="nil"/>
            </w:tcBorders>
          </w:tcPr>
          <w:p w14:paraId="062140A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44B9CE3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30F3AB59" w14:textId="77777777" w:rsidTr="007F2CEE">
        <w:trPr>
          <w:jc w:val="center"/>
        </w:trPr>
        <w:tc>
          <w:tcPr>
            <w:tcW w:w="3148" w:type="dxa"/>
            <w:tcBorders>
              <w:top w:val="nil"/>
              <w:left w:val="nil"/>
              <w:bottom w:val="nil"/>
              <w:right w:val="nil"/>
            </w:tcBorders>
          </w:tcPr>
          <w:p w14:paraId="06F3E10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Chen</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[46]</w:t>
            </w:r>
            <w:r w:rsidRPr="00A40512">
              <w:rPr>
                <w:rFonts w:ascii="Book Antiqua" w:eastAsia="宋体" w:hAnsi="Book Antiqua"/>
                <w:bCs/>
              </w:rPr>
              <w:t>, 2016</w:t>
            </w:r>
          </w:p>
        </w:tc>
        <w:tc>
          <w:tcPr>
            <w:tcW w:w="1459" w:type="dxa"/>
            <w:tcBorders>
              <w:top w:val="nil"/>
              <w:left w:val="nil"/>
              <w:bottom w:val="nil"/>
              <w:right w:val="nil"/>
            </w:tcBorders>
          </w:tcPr>
          <w:p w14:paraId="550B6F8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tcPr>
          <w:p w14:paraId="32C16BA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414C8E1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CCC</w:t>
            </w:r>
          </w:p>
        </w:tc>
      </w:tr>
      <w:tr w:rsidR="006B2A8E" w:rsidRPr="00A40512" w14:paraId="34D5C5C8" w14:textId="77777777" w:rsidTr="007F2CEE">
        <w:trPr>
          <w:jc w:val="center"/>
        </w:trPr>
        <w:tc>
          <w:tcPr>
            <w:tcW w:w="3148" w:type="dxa"/>
            <w:tcBorders>
              <w:top w:val="nil"/>
              <w:left w:val="nil"/>
              <w:bottom w:val="nil"/>
              <w:right w:val="nil"/>
            </w:tcBorders>
          </w:tcPr>
          <w:p w14:paraId="0F014881"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Dong</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[20]</w:t>
            </w:r>
            <w:r w:rsidRPr="00A40512">
              <w:rPr>
                <w:rFonts w:ascii="Book Antiqua" w:eastAsia="宋体" w:hAnsi="Book Antiqua"/>
                <w:bCs/>
              </w:rPr>
              <w:t>, 2016</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3F47482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RCT</w:t>
            </w:r>
          </w:p>
        </w:tc>
        <w:tc>
          <w:tcPr>
            <w:tcW w:w="1710" w:type="dxa"/>
            <w:tcBorders>
              <w:top w:val="nil"/>
              <w:left w:val="nil"/>
              <w:bottom w:val="nil"/>
              <w:right w:val="nil"/>
            </w:tcBorders>
          </w:tcPr>
          <w:p w14:paraId="2CA8622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52CA456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653E06D9" w14:textId="77777777" w:rsidTr="007F2CEE">
        <w:trPr>
          <w:jc w:val="center"/>
        </w:trPr>
        <w:tc>
          <w:tcPr>
            <w:tcW w:w="3148" w:type="dxa"/>
            <w:tcBorders>
              <w:top w:val="nil"/>
              <w:left w:val="nil"/>
              <w:bottom w:val="nil"/>
              <w:right w:val="nil"/>
            </w:tcBorders>
          </w:tcPr>
          <w:p w14:paraId="08114E12" w14:textId="77777777" w:rsidR="006B2A8E" w:rsidRPr="005909C8" w:rsidRDefault="006B2A8E" w:rsidP="007F2CEE">
            <w:pPr>
              <w:adjustRightInd w:val="0"/>
              <w:snapToGrid w:val="0"/>
              <w:spacing w:line="360" w:lineRule="auto"/>
              <w:jc w:val="both"/>
              <w:rPr>
                <w:rFonts w:ascii="Book Antiqua" w:eastAsia="宋体" w:hAnsi="Book Antiqua"/>
                <w:bCs/>
                <w:lang w:val="en-US" w:eastAsia="zh-CN"/>
              </w:rPr>
            </w:pPr>
            <w:r w:rsidRPr="00A40512">
              <w:rPr>
                <w:rFonts w:ascii="Book Antiqua" w:eastAsia="宋体" w:hAnsi="Book Antiqua"/>
                <w:bCs/>
              </w:rPr>
              <w:t>Yu</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[43</w:t>
            </w:r>
            <w:r w:rsidRPr="005909C8">
              <w:rPr>
                <w:rFonts w:ascii="Book Antiqua" w:eastAsia="宋体" w:hAnsi="Book Antiqua"/>
                <w:bCs/>
                <w:vertAlign w:val="superscript"/>
                <w:lang w:eastAsia="zh-CN"/>
              </w:rPr>
              <w:t>,44</w:t>
            </w:r>
            <w:r w:rsidRPr="005909C8">
              <w:rPr>
                <w:rFonts w:ascii="Book Antiqua" w:eastAsia="宋体" w:hAnsi="Book Antiqua"/>
                <w:bCs/>
                <w:vertAlign w:val="superscript"/>
              </w:rPr>
              <w:t>]</w:t>
            </w:r>
            <w:r w:rsidRPr="00A40512">
              <w:rPr>
                <w:rFonts w:ascii="Book Antiqua" w:eastAsia="宋体" w:hAnsi="Book Antiqua"/>
                <w:bCs/>
              </w:rPr>
              <w:t>, 2016</w:t>
            </w:r>
            <w:r w:rsidRPr="00A40512">
              <w:rPr>
                <w:rFonts w:ascii="Book Antiqua" w:eastAsia="宋体" w:hAnsi="Book Antiqua"/>
                <w:bCs/>
                <w:lang w:eastAsia="zh-CN"/>
              </w:rPr>
              <w:t>, 2017</w:t>
            </w:r>
            <w:r w:rsidRPr="005909C8">
              <w:rPr>
                <w:rFonts w:ascii="Book Antiqua" w:eastAsia="宋体" w:hAnsi="Book Antiqua"/>
                <w:bCs/>
                <w:vertAlign w:val="superscript"/>
                <w:lang w:eastAsia="zh-CN"/>
              </w:rPr>
              <w:t>1</w:t>
            </w:r>
          </w:p>
        </w:tc>
        <w:tc>
          <w:tcPr>
            <w:tcW w:w="1459" w:type="dxa"/>
            <w:tcBorders>
              <w:top w:val="nil"/>
              <w:left w:val="nil"/>
              <w:bottom w:val="nil"/>
              <w:right w:val="nil"/>
            </w:tcBorders>
          </w:tcPr>
          <w:p w14:paraId="1AECB5C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nRCT</w:t>
            </w:r>
          </w:p>
        </w:tc>
        <w:tc>
          <w:tcPr>
            <w:tcW w:w="1710" w:type="dxa"/>
            <w:tcBorders>
              <w:top w:val="nil"/>
              <w:left w:val="nil"/>
              <w:bottom w:val="nil"/>
              <w:right w:val="nil"/>
            </w:tcBorders>
          </w:tcPr>
          <w:p w14:paraId="060721D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5AAACB1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HCC</w:t>
            </w:r>
          </w:p>
        </w:tc>
      </w:tr>
      <w:tr w:rsidR="006B2A8E" w:rsidRPr="00A40512" w14:paraId="0EDBA177" w14:textId="77777777" w:rsidTr="007F2CEE">
        <w:trPr>
          <w:jc w:val="center"/>
        </w:trPr>
        <w:tc>
          <w:tcPr>
            <w:tcW w:w="3148" w:type="dxa"/>
            <w:tcBorders>
              <w:top w:val="nil"/>
              <w:left w:val="nil"/>
              <w:bottom w:val="nil"/>
              <w:right w:val="nil"/>
            </w:tcBorders>
          </w:tcPr>
          <w:p w14:paraId="1799965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Datta</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[62]</w:t>
            </w:r>
            <w:r w:rsidRPr="00A40512">
              <w:rPr>
                <w:rFonts w:ascii="Book Antiqua" w:eastAsia="宋体" w:hAnsi="Book Antiqua"/>
                <w:bCs/>
              </w:rPr>
              <w:t>, 2017</w:t>
            </w:r>
          </w:p>
        </w:tc>
        <w:tc>
          <w:tcPr>
            <w:tcW w:w="1459" w:type="dxa"/>
            <w:tcBorders>
              <w:top w:val="nil"/>
              <w:left w:val="nil"/>
              <w:bottom w:val="nil"/>
              <w:right w:val="nil"/>
            </w:tcBorders>
          </w:tcPr>
          <w:p w14:paraId="7A294378"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RCT</w:t>
            </w:r>
          </w:p>
        </w:tc>
        <w:tc>
          <w:tcPr>
            <w:tcW w:w="1710" w:type="dxa"/>
            <w:tcBorders>
              <w:top w:val="nil"/>
              <w:left w:val="nil"/>
              <w:bottom w:val="nil"/>
              <w:right w:val="nil"/>
            </w:tcBorders>
          </w:tcPr>
          <w:p w14:paraId="1C0E57D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6D4BC54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4D323CE8" w14:textId="77777777" w:rsidTr="007F2CEE">
        <w:trPr>
          <w:jc w:val="center"/>
        </w:trPr>
        <w:tc>
          <w:tcPr>
            <w:tcW w:w="3148" w:type="dxa"/>
            <w:tcBorders>
              <w:top w:val="nil"/>
              <w:left w:val="nil"/>
              <w:bottom w:val="nil"/>
              <w:right w:val="nil"/>
            </w:tcBorders>
          </w:tcPr>
          <w:p w14:paraId="1ACE0B1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Fan</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[34]</w:t>
            </w:r>
            <w:r w:rsidRPr="00A40512">
              <w:rPr>
                <w:rFonts w:ascii="Book Antiqua" w:eastAsia="宋体" w:hAnsi="Book Antiqua"/>
                <w:bCs/>
              </w:rPr>
              <w:t>, 2017</w:t>
            </w:r>
          </w:p>
        </w:tc>
        <w:tc>
          <w:tcPr>
            <w:tcW w:w="1459" w:type="dxa"/>
            <w:tcBorders>
              <w:top w:val="nil"/>
              <w:left w:val="nil"/>
              <w:bottom w:val="nil"/>
              <w:right w:val="nil"/>
            </w:tcBorders>
          </w:tcPr>
          <w:p w14:paraId="6D8CB91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tcPr>
          <w:p w14:paraId="4AA6711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6E4E4ECF"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7C87EF70" w14:textId="77777777" w:rsidTr="007F2CEE">
        <w:trPr>
          <w:jc w:val="center"/>
        </w:trPr>
        <w:tc>
          <w:tcPr>
            <w:tcW w:w="3148" w:type="dxa"/>
            <w:tcBorders>
              <w:top w:val="nil"/>
              <w:left w:val="nil"/>
              <w:bottom w:val="nil"/>
              <w:right w:val="nil"/>
            </w:tcBorders>
          </w:tcPr>
          <w:p w14:paraId="1B5764B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Maebayashi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[54]</w:t>
            </w:r>
            <w:r w:rsidRPr="00A40512">
              <w:rPr>
                <w:rFonts w:ascii="Book Antiqua" w:eastAsia="宋体" w:hAnsi="Book Antiqua"/>
                <w:bCs/>
              </w:rPr>
              <w:t>, 2017</w:t>
            </w:r>
          </w:p>
        </w:tc>
        <w:tc>
          <w:tcPr>
            <w:tcW w:w="1459" w:type="dxa"/>
            <w:tcBorders>
              <w:top w:val="nil"/>
              <w:left w:val="nil"/>
              <w:bottom w:val="nil"/>
              <w:right w:val="nil"/>
            </w:tcBorders>
          </w:tcPr>
          <w:p w14:paraId="02C00240"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tcPr>
          <w:p w14:paraId="1B22FA1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27E0F79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3C819823" w14:textId="77777777" w:rsidTr="007F2CEE">
        <w:trPr>
          <w:jc w:val="center"/>
        </w:trPr>
        <w:tc>
          <w:tcPr>
            <w:tcW w:w="3148" w:type="dxa"/>
            <w:tcBorders>
              <w:top w:val="nil"/>
              <w:left w:val="nil"/>
              <w:bottom w:val="nil"/>
              <w:right w:val="nil"/>
            </w:tcBorders>
          </w:tcPr>
          <w:p w14:paraId="05F99EB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Pang</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[59]</w:t>
            </w:r>
            <w:r w:rsidRPr="00A40512">
              <w:rPr>
                <w:rFonts w:ascii="Book Antiqua" w:eastAsia="宋体" w:hAnsi="Book Antiqua"/>
                <w:bCs/>
              </w:rPr>
              <w:t>, 2017</w:t>
            </w:r>
          </w:p>
        </w:tc>
        <w:tc>
          <w:tcPr>
            <w:tcW w:w="1459" w:type="dxa"/>
            <w:tcBorders>
              <w:top w:val="nil"/>
              <w:left w:val="nil"/>
              <w:bottom w:val="nil"/>
              <w:right w:val="nil"/>
            </w:tcBorders>
          </w:tcPr>
          <w:p w14:paraId="544B86A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RCT</w:t>
            </w:r>
          </w:p>
        </w:tc>
        <w:tc>
          <w:tcPr>
            <w:tcW w:w="1710" w:type="dxa"/>
            <w:tcBorders>
              <w:top w:val="nil"/>
              <w:left w:val="nil"/>
              <w:bottom w:val="nil"/>
              <w:right w:val="nil"/>
            </w:tcBorders>
            <w:vAlign w:val="center"/>
          </w:tcPr>
          <w:p w14:paraId="7079DE9A"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mEHT</w:t>
            </w:r>
          </w:p>
        </w:tc>
        <w:tc>
          <w:tcPr>
            <w:tcW w:w="3322" w:type="dxa"/>
            <w:tcBorders>
              <w:top w:val="nil"/>
              <w:left w:val="nil"/>
              <w:bottom w:val="nil"/>
              <w:right w:val="nil"/>
            </w:tcBorders>
            <w:vAlign w:val="center"/>
          </w:tcPr>
          <w:p w14:paraId="0E5DB8A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Mixed, incl. HCC and PC</w:t>
            </w:r>
          </w:p>
        </w:tc>
      </w:tr>
      <w:tr w:rsidR="006B2A8E" w:rsidRPr="00A40512" w14:paraId="62BE55D9" w14:textId="77777777" w:rsidTr="007F2CEE">
        <w:trPr>
          <w:jc w:val="center"/>
        </w:trPr>
        <w:tc>
          <w:tcPr>
            <w:tcW w:w="3148" w:type="dxa"/>
            <w:tcBorders>
              <w:top w:val="nil"/>
              <w:left w:val="nil"/>
              <w:bottom w:val="nil"/>
              <w:right w:val="nil"/>
            </w:tcBorders>
          </w:tcPr>
          <w:p w14:paraId="52B65CC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Bonucci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[57]</w:t>
            </w:r>
            <w:r w:rsidRPr="00A40512">
              <w:rPr>
                <w:rFonts w:ascii="Book Antiqua" w:eastAsia="宋体" w:hAnsi="Book Antiqua"/>
                <w:bCs/>
              </w:rPr>
              <w:t>, 2018</w:t>
            </w:r>
          </w:p>
        </w:tc>
        <w:tc>
          <w:tcPr>
            <w:tcW w:w="1459" w:type="dxa"/>
            <w:tcBorders>
              <w:top w:val="nil"/>
              <w:left w:val="nil"/>
              <w:bottom w:val="nil"/>
              <w:right w:val="nil"/>
            </w:tcBorders>
          </w:tcPr>
          <w:p w14:paraId="3911B42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CR</w:t>
            </w:r>
          </w:p>
        </w:tc>
        <w:tc>
          <w:tcPr>
            <w:tcW w:w="1710" w:type="dxa"/>
            <w:tcBorders>
              <w:top w:val="nil"/>
              <w:left w:val="nil"/>
              <w:bottom w:val="nil"/>
              <w:right w:val="nil"/>
            </w:tcBorders>
          </w:tcPr>
          <w:p w14:paraId="773A0E8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094CCF6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6CEB6E68" w14:textId="77777777" w:rsidTr="007F2CEE">
        <w:trPr>
          <w:jc w:val="center"/>
        </w:trPr>
        <w:tc>
          <w:tcPr>
            <w:tcW w:w="3148" w:type="dxa"/>
            <w:tcBorders>
              <w:top w:val="nil"/>
              <w:left w:val="nil"/>
              <w:bottom w:val="nil"/>
              <w:right w:val="nil"/>
            </w:tcBorders>
          </w:tcPr>
          <w:p w14:paraId="3AF04A1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Ryu</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[75]</w:t>
            </w:r>
            <w:r w:rsidRPr="00A40512">
              <w:rPr>
                <w:rFonts w:ascii="Book Antiqua" w:eastAsia="宋体" w:hAnsi="Book Antiqua"/>
                <w:bCs/>
              </w:rPr>
              <w:t>, 2018</w:t>
            </w:r>
          </w:p>
        </w:tc>
        <w:tc>
          <w:tcPr>
            <w:tcW w:w="1459" w:type="dxa"/>
            <w:tcBorders>
              <w:top w:val="nil"/>
              <w:left w:val="nil"/>
              <w:bottom w:val="nil"/>
              <w:right w:val="nil"/>
            </w:tcBorders>
          </w:tcPr>
          <w:p w14:paraId="2F57092E"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CR</w:t>
            </w:r>
          </w:p>
        </w:tc>
        <w:tc>
          <w:tcPr>
            <w:tcW w:w="1710" w:type="dxa"/>
            <w:tcBorders>
              <w:top w:val="nil"/>
              <w:left w:val="nil"/>
              <w:bottom w:val="nil"/>
              <w:right w:val="nil"/>
            </w:tcBorders>
          </w:tcPr>
          <w:p w14:paraId="390805B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03D06626"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CCC</w:t>
            </w:r>
          </w:p>
        </w:tc>
      </w:tr>
      <w:tr w:rsidR="006B2A8E" w:rsidRPr="00A40512" w14:paraId="6043E205" w14:textId="77777777" w:rsidTr="007F2CEE">
        <w:trPr>
          <w:jc w:val="center"/>
        </w:trPr>
        <w:tc>
          <w:tcPr>
            <w:tcW w:w="3148" w:type="dxa"/>
            <w:tcBorders>
              <w:top w:val="nil"/>
              <w:left w:val="nil"/>
              <w:bottom w:val="nil"/>
              <w:right w:val="nil"/>
            </w:tcBorders>
          </w:tcPr>
          <w:p w14:paraId="1EF78B3D"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Werthmann</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[56]</w:t>
            </w:r>
            <w:r w:rsidRPr="00A40512">
              <w:rPr>
                <w:rFonts w:ascii="Book Antiqua" w:eastAsia="宋体" w:hAnsi="Book Antiqua"/>
                <w:bCs/>
              </w:rPr>
              <w:t>, 2018</w:t>
            </w:r>
          </w:p>
        </w:tc>
        <w:tc>
          <w:tcPr>
            <w:tcW w:w="1459" w:type="dxa"/>
            <w:tcBorders>
              <w:top w:val="nil"/>
              <w:left w:val="nil"/>
              <w:bottom w:val="nil"/>
              <w:right w:val="nil"/>
            </w:tcBorders>
          </w:tcPr>
          <w:p w14:paraId="19A5559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CR</w:t>
            </w:r>
          </w:p>
        </w:tc>
        <w:tc>
          <w:tcPr>
            <w:tcW w:w="1710" w:type="dxa"/>
            <w:tcBorders>
              <w:top w:val="nil"/>
              <w:left w:val="nil"/>
              <w:bottom w:val="nil"/>
              <w:right w:val="nil"/>
            </w:tcBorders>
          </w:tcPr>
          <w:p w14:paraId="76D13EB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545F1F6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5F1C7AAC" w14:textId="77777777" w:rsidTr="007F2CEE">
        <w:trPr>
          <w:jc w:val="center"/>
        </w:trPr>
        <w:tc>
          <w:tcPr>
            <w:tcW w:w="3148" w:type="dxa"/>
            <w:tcBorders>
              <w:top w:val="nil"/>
              <w:left w:val="nil"/>
              <w:bottom w:val="nil"/>
              <w:right w:val="nil"/>
            </w:tcBorders>
          </w:tcPr>
          <w:p w14:paraId="2742B77B"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Fiorentini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[36]</w:t>
            </w:r>
            <w:r w:rsidRPr="00A40512">
              <w:rPr>
                <w:rFonts w:ascii="Book Antiqua" w:eastAsia="宋体" w:hAnsi="Book Antiqua"/>
                <w:bCs/>
              </w:rPr>
              <w:t>, 2019</w:t>
            </w:r>
          </w:p>
        </w:tc>
        <w:tc>
          <w:tcPr>
            <w:tcW w:w="1459" w:type="dxa"/>
            <w:tcBorders>
              <w:top w:val="nil"/>
              <w:left w:val="nil"/>
              <w:bottom w:val="nil"/>
              <w:right w:val="nil"/>
            </w:tcBorders>
          </w:tcPr>
          <w:p w14:paraId="45859F1C"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vAlign w:val="center"/>
          </w:tcPr>
          <w:p w14:paraId="3235BC3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mEHT</w:t>
            </w:r>
          </w:p>
        </w:tc>
        <w:tc>
          <w:tcPr>
            <w:tcW w:w="3322" w:type="dxa"/>
            <w:tcBorders>
              <w:top w:val="nil"/>
              <w:left w:val="nil"/>
              <w:bottom w:val="nil"/>
              <w:right w:val="nil"/>
            </w:tcBorders>
            <w:vAlign w:val="center"/>
          </w:tcPr>
          <w:p w14:paraId="5281F83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776069D2" w14:textId="77777777" w:rsidTr="007F2CEE">
        <w:trPr>
          <w:jc w:val="center"/>
        </w:trPr>
        <w:tc>
          <w:tcPr>
            <w:tcW w:w="3148" w:type="dxa"/>
            <w:tcBorders>
              <w:top w:val="nil"/>
              <w:left w:val="nil"/>
              <w:bottom w:val="nil"/>
              <w:right w:val="nil"/>
            </w:tcBorders>
          </w:tcPr>
          <w:p w14:paraId="629AFBC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He</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[35]</w:t>
            </w:r>
            <w:r w:rsidRPr="00A40512">
              <w:rPr>
                <w:rFonts w:ascii="Book Antiqua" w:eastAsia="宋体" w:hAnsi="Book Antiqua"/>
                <w:bCs/>
              </w:rPr>
              <w:t>, 2019</w:t>
            </w:r>
          </w:p>
        </w:tc>
        <w:tc>
          <w:tcPr>
            <w:tcW w:w="1459" w:type="dxa"/>
            <w:tcBorders>
              <w:top w:val="nil"/>
              <w:left w:val="nil"/>
              <w:bottom w:val="nil"/>
              <w:right w:val="nil"/>
            </w:tcBorders>
          </w:tcPr>
          <w:p w14:paraId="6EB95B8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bottom w:val="nil"/>
              <w:right w:val="nil"/>
            </w:tcBorders>
            <w:vAlign w:val="center"/>
          </w:tcPr>
          <w:p w14:paraId="57F9354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bottom w:val="nil"/>
              <w:right w:val="nil"/>
            </w:tcBorders>
            <w:vAlign w:val="center"/>
          </w:tcPr>
          <w:p w14:paraId="0E7D48D9"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r w:rsidR="006B2A8E" w:rsidRPr="00A40512" w14:paraId="1B08A377" w14:textId="77777777" w:rsidTr="007F2CEE">
        <w:trPr>
          <w:jc w:val="center"/>
        </w:trPr>
        <w:tc>
          <w:tcPr>
            <w:tcW w:w="3148" w:type="dxa"/>
            <w:tcBorders>
              <w:top w:val="nil"/>
              <w:left w:val="nil"/>
              <w:right w:val="nil"/>
            </w:tcBorders>
            <w:vAlign w:val="center"/>
          </w:tcPr>
          <w:p w14:paraId="48C897F2"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Iyikesici</w:t>
            </w:r>
            <w:r w:rsidRPr="00A40512">
              <w:rPr>
                <w:rFonts w:ascii="Book Antiqua" w:eastAsia="宋体" w:hAnsi="Book Antiqua"/>
                <w:bCs/>
                <w:lang w:eastAsia="zh-CN"/>
              </w:rPr>
              <w:t xml:space="preserve"> </w:t>
            </w:r>
            <w:r w:rsidRPr="00A40512">
              <w:rPr>
                <w:rFonts w:ascii="Book Antiqua" w:eastAsia="宋体" w:hAnsi="Book Antiqua"/>
                <w:bCs/>
                <w:i/>
                <w:lang w:eastAsia="zh-CN"/>
              </w:rPr>
              <w:t>et al</w:t>
            </w:r>
            <w:r w:rsidRPr="005909C8">
              <w:rPr>
                <w:rFonts w:ascii="Book Antiqua" w:eastAsia="宋体" w:hAnsi="Book Antiqua"/>
                <w:bCs/>
                <w:vertAlign w:val="superscript"/>
              </w:rPr>
              <w:t>[55]</w:t>
            </w:r>
            <w:r w:rsidRPr="00A40512">
              <w:rPr>
                <w:rFonts w:ascii="Book Antiqua" w:eastAsia="宋体" w:hAnsi="Book Antiqua"/>
                <w:bCs/>
              </w:rPr>
              <w:t>, 2020</w:t>
            </w:r>
          </w:p>
        </w:tc>
        <w:tc>
          <w:tcPr>
            <w:tcW w:w="1459" w:type="dxa"/>
            <w:tcBorders>
              <w:top w:val="nil"/>
              <w:left w:val="nil"/>
              <w:right w:val="nil"/>
            </w:tcBorders>
          </w:tcPr>
          <w:p w14:paraId="527A0617"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rOS</w:t>
            </w:r>
          </w:p>
        </w:tc>
        <w:tc>
          <w:tcPr>
            <w:tcW w:w="1710" w:type="dxa"/>
            <w:tcBorders>
              <w:top w:val="nil"/>
              <w:left w:val="nil"/>
              <w:right w:val="nil"/>
            </w:tcBorders>
            <w:vAlign w:val="center"/>
          </w:tcPr>
          <w:p w14:paraId="2E487EC4"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Regional</w:t>
            </w:r>
          </w:p>
        </w:tc>
        <w:tc>
          <w:tcPr>
            <w:tcW w:w="3322" w:type="dxa"/>
            <w:tcBorders>
              <w:top w:val="nil"/>
              <w:left w:val="nil"/>
              <w:right w:val="nil"/>
            </w:tcBorders>
            <w:vAlign w:val="center"/>
          </w:tcPr>
          <w:p w14:paraId="2E33F9F3" w14:textId="77777777" w:rsidR="006B2A8E" w:rsidRPr="005909C8" w:rsidRDefault="006B2A8E" w:rsidP="007F2CEE">
            <w:pPr>
              <w:adjustRightInd w:val="0"/>
              <w:snapToGrid w:val="0"/>
              <w:spacing w:line="360" w:lineRule="auto"/>
              <w:jc w:val="both"/>
              <w:rPr>
                <w:rFonts w:ascii="Book Antiqua" w:eastAsia="宋体" w:hAnsi="Book Antiqua"/>
                <w:bCs/>
                <w:lang w:val="en-US"/>
              </w:rPr>
            </w:pPr>
            <w:r w:rsidRPr="00A40512">
              <w:rPr>
                <w:rFonts w:ascii="Book Antiqua" w:eastAsia="宋体" w:hAnsi="Book Antiqua"/>
                <w:bCs/>
              </w:rPr>
              <w:t>PC</w:t>
            </w:r>
          </w:p>
        </w:tc>
      </w:tr>
    </w:tbl>
    <w:p w14:paraId="25E9555F" w14:textId="77777777" w:rsidR="0024425A" w:rsidRDefault="006B2A8E" w:rsidP="006B2A8E">
      <w:pPr>
        <w:adjustRightInd w:val="0"/>
        <w:snapToGrid w:val="0"/>
        <w:spacing w:line="360" w:lineRule="auto"/>
        <w:jc w:val="both"/>
        <w:rPr>
          <w:rFonts w:ascii="Book Antiqua" w:hAnsi="Book Antiqua"/>
          <w:bCs/>
        </w:rPr>
      </w:pPr>
      <w:r w:rsidRPr="00A40512">
        <w:rPr>
          <w:rFonts w:ascii="Book Antiqua" w:hAnsi="Book Antiqua"/>
          <w:bCs/>
        </w:rPr>
        <w:t>Most subjects included in the studies were patients with advanced or metastatic malignancies with no probability of cure with conventional treatments (Stage III and IV)</w:t>
      </w:r>
      <w:r w:rsidRPr="00A40512">
        <w:rPr>
          <w:rFonts w:ascii="Book Antiqua" w:hAnsi="Book Antiqua"/>
          <w:bCs/>
          <w:lang w:eastAsia="zh-CN"/>
        </w:rPr>
        <w:t>.</w:t>
      </w:r>
      <w:r w:rsidRPr="00A40512">
        <w:rPr>
          <w:rFonts w:ascii="Book Antiqua" w:hAnsi="Book Antiqua"/>
          <w:bCs/>
        </w:rPr>
        <w:t xml:space="preserve"> </w:t>
      </w:r>
    </w:p>
    <w:p w14:paraId="363D8107" w14:textId="47382276" w:rsidR="00315BCE" w:rsidRDefault="006B2A8E" w:rsidP="006B2A8E">
      <w:pPr>
        <w:adjustRightInd w:val="0"/>
        <w:snapToGrid w:val="0"/>
        <w:spacing w:line="360" w:lineRule="auto"/>
        <w:jc w:val="both"/>
        <w:rPr>
          <w:rFonts w:ascii="Book Antiqua" w:hAnsi="Book Antiqua"/>
          <w:bCs/>
          <w:lang w:eastAsia="zh-CN"/>
        </w:rPr>
      </w:pPr>
      <w:r w:rsidRPr="00A40512">
        <w:rPr>
          <w:rFonts w:ascii="Book Antiqua" w:hAnsi="Book Antiqua"/>
          <w:bCs/>
          <w:vertAlign w:val="superscript"/>
        </w:rPr>
        <w:t>1</w:t>
      </w:r>
      <w:r w:rsidRPr="00A40512">
        <w:rPr>
          <w:rFonts w:ascii="Book Antiqua" w:hAnsi="Book Antiqua"/>
          <w:bCs/>
          <w:lang w:eastAsia="zh-CN"/>
        </w:rPr>
        <w:t xml:space="preserve">Study including </w:t>
      </w:r>
      <w:r w:rsidRPr="00A40512">
        <w:rPr>
          <w:rFonts w:ascii="Book Antiqua" w:hAnsi="Book Antiqua"/>
          <w:bCs/>
        </w:rPr>
        <w:t>some Stage I and II patients.</w:t>
      </w:r>
      <w:r w:rsidRPr="00A40512">
        <w:rPr>
          <w:rFonts w:ascii="Book Antiqua" w:hAnsi="Book Antiqua"/>
          <w:bCs/>
          <w:lang w:eastAsia="zh-CN"/>
        </w:rPr>
        <w:t xml:space="preserve"> </w:t>
      </w:r>
      <w:r w:rsidRPr="00A40512">
        <w:rPr>
          <w:rFonts w:ascii="Book Antiqua" w:hAnsi="Book Antiqua"/>
          <w:bCs/>
        </w:rPr>
        <w:t xml:space="preserve">BC: </w:t>
      </w:r>
      <w:r w:rsidRPr="00A40512">
        <w:rPr>
          <w:rFonts w:ascii="Book Antiqua" w:hAnsi="Book Antiqua"/>
          <w:bCs/>
          <w:lang w:eastAsia="zh-CN"/>
        </w:rPr>
        <w:t>B</w:t>
      </w:r>
      <w:r w:rsidRPr="00A40512">
        <w:rPr>
          <w:rFonts w:ascii="Book Antiqua" w:hAnsi="Book Antiqua"/>
          <w:bCs/>
        </w:rPr>
        <w:t xml:space="preserve">iliary cancer; CCC: </w:t>
      </w:r>
      <w:r w:rsidRPr="00A40512">
        <w:rPr>
          <w:rFonts w:ascii="Book Antiqua" w:hAnsi="Book Antiqua"/>
          <w:bCs/>
          <w:lang w:eastAsia="zh-CN"/>
        </w:rPr>
        <w:t>C</w:t>
      </w:r>
      <w:r w:rsidRPr="00A40512">
        <w:rPr>
          <w:rFonts w:ascii="Book Antiqua" w:hAnsi="Book Antiqua"/>
          <w:bCs/>
        </w:rPr>
        <w:t xml:space="preserve">holangiocellular cancer; CR: </w:t>
      </w:r>
      <w:r w:rsidRPr="00A40512">
        <w:rPr>
          <w:rFonts w:ascii="Book Antiqua" w:hAnsi="Book Antiqua"/>
          <w:bCs/>
          <w:lang w:eastAsia="zh-CN"/>
        </w:rPr>
        <w:t>C</w:t>
      </w:r>
      <w:r w:rsidRPr="00A40512">
        <w:rPr>
          <w:rFonts w:ascii="Book Antiqua" w:hAnsi="Book Antiqua"/>
          <w:bCs/>
        </w:rPr>
        <w:t xml:space="preserve">ase report; GC: </w:t>
      </w:r>
      <w:r w:rsidRPr="00A40512">
        <w:rPr>
          <w:rFonts w:ascii="Book Antiqua" w:hAnsi="Book Antiqua"/>
          <w:bCs/>
          <w:lang w:eastAsia="zh-CN"/>
        </w:rPr>
        <w:t>G</w:t>
      </w:r>
      <w:r w:rsidRPr="00A40512">
        <w:rPr>
          <w:rFonts w:ascii="Book Antiqua" w:hAnsi="Book Antiqua"/>
          <w:bCs/>
        </w:rPr>
        <w:t xml:space="preserve">allbladder cancer; HCC: </w:t>
      </w:r>
      <w:r w:rsidRPr="00A40512">
        <w:rPr>
          <w:rFonts w:ascii="Book Antiqua" w:hAnsi="Book Antiqua"/>
          <w:bCs/>
          <w:lang w:eastAsia="zh-CN"/>
        </w:rPr>
        <w:t>H</w:t>
      </w:r>
      <w:r w:rsidRPr="00A40512">
        <w:rPr>
          <w:rFonts w:ascii="Book Antiqua" w:hAnsi="Book Antiqua"/>
          <w:bCs/>
        </w:rPr>
        <w:t xml:space="preserve">epatocellular cancer; mEHT: </w:t>
      </w:r>
      <w:r w:rsidRPr="00A40512">
        <w:rPr>
          <w:rFonts w:ascii="Book Antiqua" w:hAnsi="Book Antiqua"/>
          <w:bCs/>
          <w:lang w:eastAsia="zh-CN"/>
        </w:rPr>
        <w:t>M</w:t>
      </w:r>
      <w:r w:rsidRPr="00A40512">
        <w:rPr>
          <w:rFonts w:ascii="Book Antiqua" w:hAnsi="Book Antiqua"/>
          <w:bCs/>
        </w:rPr>
        <w:t xml:space="preserve">odulated electrohyperthermia; nRCT: </w:t>
      </w:r>
      <w:r w:rsidRPr="00A40512">
        <w:rPr>
          <w:rFonts w:ascii="Book Antiqua" w:hAnsi="Book Antiqua"/>
          <w:bCs/>
          <w:lang w:eastAsia="zh-CN"/>
        </w:rPr>
        <w:t>N</w:t>
      </w:r>
      <w:r w:rsidRPr="00A40512">
        <w:rPr>
          <w:rFonts w:ascii="Book Antiqua" w:hAnsi="Book Antiqua"/>
          <w:bCs/>
        </w:rPr>
        <w:t>on-</w:t>
      </w:r>
      <w:r w:rsidRPr="00A40512">
        <w:rPr>
          <w:rFonts w:ascii="Book Antiqua" w:hAnsi="Book Antiqua"/>
          <w:bCs/>
        </w:rPr>
        <w:lastRenderedPageBreak/>
        <w:t xml:space="preserve">randomized clinical trial; PC: </w:t>
      </w:r>
      <w:r w:rsidRPr="00A40512">
        <w:rPr>
          <w:rFonts w:ascii="Book Antiqua" w:hAnsi="Book Antiqua"/>
          <w:bCs/>
          <w:lang w:eastAsia="zh-CN"/>
        </w:rPr>
        <w:t>P</w:t>
      </w:r>
      <w:r w:rsidRPr="00A40512">
        <w:rPr>
          <w:rFonts w:ascii="Book Antiqua" w:hAnsi="Book Antiqua"/>
          <w:bCs/>
        </w:rPr>
        <w:t xml:space="preserve">ancreatic cancer; pOS: </w:t>
      </w:r>
      <w:r w:rsidRPr="00A40512">
        <w:rPr>
          <w:rFonts w:ascii="Book Antiqua" w:hAnsi="Book Antiqua"/>
          <w:bCs/>
          <w:lang w:eastAsia="zh-CN"/>
        </w:rPr>
        <w:t>P</w:t>
      </w:r>
      <w:r w:rsidRPr="00A40512">
        <w:rPr>
          <w:rFonts w:ascii="Book Antiqua" w:hAnsi="Book Antiqua"/>
          <w:bCs/>
        </w:rPr>
        <w:t xml:space="preserve">rospective observational study; RCT: </w:t>
      </w:r>
      <w:r w:rsidRPr="00A40512">
        <w:rPr>
          <w:rFonts w:ascii="Book Antiqua" w:hAnsi="Book Antiqua"/>
          <w:bCs/>
          <w:lang w:eastAsia="zh-CN"/>
        </w:rPr>
        <w:t>R</w:t>
      </w:r>
      <w:r w:rsidRPr="00A40512">
        <w:rPr>
          <w:rFonts w:ascii="Book Antiqua" w:hAnsi="Book Antiqua"/>
          <w:bCs/>
        </w:rPr>
        <w:t xml:space="preserve">andomized clinical trial; rOS: </w:t>
      </w:r>
      <w:r w:rsidRPr="00A40512">
        <w:rPr>
          <w:rFonts w:ascii="Book Antiqua" w:hAnsi="Book Antiqua"/>
          <w:bCs/>
          <w:lang w:eastAsia="zh-CN"/>
        </w:rPr>
        <w:t>R</w:t>
      </w:r>
      <w:r w:rsidRPr="00A40512">
        <w:rPr>
          <w:rFonts w:ascii="Book Antiqua" w:hAnsi="Book Antiqua"/>
          <w:bCs/>
        </w:rPr>
        <w:t>etrospective observational study.</w:t>
      </w:r>
    </w:p>
    <w:p w14:paraId="4F8EEB9F" w14:textId="77777777" w:rsidR="00315BCE" w:rsidRDefault="00315BCE">
      <w:pPr>
        <w:rPr>
          <w:rFonts w:ascii="Book Antiqua" w:hAnsi="Book Antiqua"/>
          <w:bCs/>
          <w:lang w:eastAsia="zh-CN"/>
        </w:rPr>
      </w:pPr>
      <w:r>
        <w:rPr>
          <w:rFonts w:ascii="Book Antiqua" w:hAnsi="Book Antiqua"/>
          <w:bCs/>
          <w:lang w:eastAsia="zh-CN"/>
        </w:rPr>
        <w:br w:type="page"/>
      </w:r>
    </w:p>
    <w:p w14:paraId="38F21C09" w14:textId="77777777" w:rsidR="00315BCE" w:rsidRDefault="00315BCE" w:rsidP="00315BCE">
      <w:pPr>
        <w:jc w:val="center"/>
        <w:rPr>
          <w:rFonts w:ascii="Book Antiqua" w:hAnsi="Book Antiqua"/>
        </w:rPr>
      </w:pPr>
    </w:p>
    <w:p w14:paraId="3B2A66FA" w14:textId="77777777" w:rsidR="00315BCE" w:rsidRDefault="00315BCE" w:rsidP="00315BCE">
      <w:pPr>
        <w:jc w:val="center"/>
        <w:rPr>
          <w:rFonts w:ascii="Book Antiqua" w:hAnsi="Book Antiqua"/>
        </w:rPr>
      </w:pPr>
    </w:p>
    <w:p w14:paraId="64BD5943" w14:textId="77777777" w:rsidR="00315BCE" w:rsidRDefault="00315BCE" w:rsidP="00315BCE">
      <w:pPr>
        <w:jc w:val="center"/>
        <w:rPr>
          <w:rFonts w:ascii="Book Antiqua" w:hAnsi="Book Antiqua"/>
        </w:rPr>
      </w:pPr>
    </w:p>
    <w:p w14:paraId="4F165461" w14:textId="77777777" w:rsidR="00315BCE" w:rsidRDefault="00315BCE" w:rsidP="00315BCE">
      <w:pPr>
        <w:jc w:val="center"/>
        <w:rPr>
          <w:rFonts w:ascii="Book Antiqua" w:hAnsi="Book Antiqua"/>
        </w:rPr>
      </w:pPr>
    </w:p>
    <w:p w14:paraId="26AFDC70" w14:textId="77777777" w:rsidR="00315BCE" w:rsidRDefault="00315BCE" w:rsidP="00315BCE">
      <w:pPr>
        <w:jc w:val="center"/>
        <w:rPr>
          <w:rFonts w:ascii="Book Antiqua" w:hAnsi="Book Antiqua"/>
        </w:rPr>
      </w:pPr>
    </w:p>
    <w:p w14:paraId="43A88E4D" w14:textId="77777777" w:rsidR="00315BCE" w:rsidRDefault="00315BCE" w:rsidP="00315BCE">
      <w:pPr>
        <w:jc w:val="center"/>
        <w:rPr>
          <w:rFonts w:ascii="Book Antiqua" w:hAnsi="Book Antiqua"/>
        </w:rPr>
      </w:pPr>
      <w:r>
        <w:rPr>
          <w:rFonts w:ascii="Book Antiqua" w:hAnsi="Book Antiqua"/>
          <w:noProof/>
          <w:lang w:eastAsia="zh-CN"/>
        </w:rPr>
        <w:drawing>
          <wp:inline distT="0" distB="0" distL="0" distR="0" wp14:anchorId="4061055B" wp14:editId="65175B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68031B" w14:textId="77777777" w:rsidR="00315BCE" w:rsidRDefault="00315BCE" w:rsidP="00315BCE">
      <w:pPr>
        <w:jc w:val="center"/>
        <w:rPr>
          <w:rFonts w:ascii="Book Antiqua" w:hAnsi="Book Antiqua"/>
        </w:rPr>
      </w:pPr>
    </w:p>
    <w:p w14:paraId="154BE233" w14:textId="77777777" w:rsidR="00315BCE" w:rsidRPr="00763D22" w:rsidRDefault="00315BCE" w:rsidP="00315B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318BA2" w14:textId="77777777" w:rsidR="00315BCE" w:rsidRPr="00763D22" w:rsidRDefault="00315BCE" w:rsidP="00315B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6C675CE" w14:textId="77777777" w:rsidR="00315BCE" w:rsidRPr="00763D22" w:rsidRDefault="00315BCE" w:rsidP="00315B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A24345" w14:textId="77777777" w:rsidR="00315BCE" w:rsidRPr="00763D22" w:rsidRDefault="00315BCE" w:rsidP="00315B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FB62F7" w14:textId="77777777" w:rsidR="00315BCE" w:rsidRPr="00763D22" w:rsidRDefault="00315BCE" w:rsidP="00315B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1080B5" w14:textId="77777777" w:rsidR="00315BCE" w:rsidRPr="00763D22" w:rsidRDefault="00315BCE" w:rsidP="00315BC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0269DEF" w14:textId="77777777" w:rsidR="00315BCE" w:rsidRDefault="00315BCE" w:rsidP="00315BCE">
      <w:pPr>
        <w:jc w:val="center"/>
        <w:rPr>
          <w:rFonts w:ascii="Book Antiqua" w:hAnsi="Book Antiqua"/>
        </w:rPr>
      </w:pPr>
    </w:p>
    <w:p w14:paraId="7485AF2A" w14:textId="77777777" w:rsidR="00315BCE" w:rsidRDefault="00315BCE" w:rsidP="00315BCE">
      <w:pPr>
        <w:jc w:val="center"/>
        <w:rPr>
          <w:rFonts w:ascii="Book Antiqua" w:hAnsi="Book Antiqua"/>
        </w:rPr>
      </w:pPr>
    </w:p>
    <w:p w14:paraId="479DDA30" w14:textId="77777777" w:rsidR="00315BCE" w:rsidRDefault="00315BCE" w:rsidP="00315BCE">
      <w:pPr>
        <w:jc w:val="center"/>
        <w:rPr>
          <w:rFonts w:ascii="Book Antiqua" w:hAnsi="Book Antiqua"/>
        </w:rPr>
      </w:pPr>
    </w:p>
    <w:p w14:paraId="0DC84DEA" w14:textId="77777777" w:rsidR="00315BCE" w:rsidRDefault="00315BCE" w:rsidP="00315BCE">
      <w:pPr>
        <w:jc w:val="center"/>
        <w:rPr>
          <w:rFonts w:ascii="Book Antiqua" w:hAnsi="Book Antiqua"/>
        </w:rPr>
      </w:pPr>
      <w:r>
        <w:rPr>
          <w:rFonts w:ascii="Book Antiqua" w:hAnsi="Book Antiqua"/>
          <w:noProof/>
          <w:lang w:eastAsia="zh-CN"/>
        </w:rPr>
        <w:drawing>
          <wp:inline distT="0" distB="0" distL="0" distR="0" wp14:anchorId="4C1C8AD1" wp14:editId="7E0662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61C1C1" w14:textId="77777777" w:rsidR="00315BCE" w:rsidRDefault="00315BCE" w:rsidP="00315BCE">
      <w:pPr>
        <w:jc w:val="center"/>
        <w:rPr>
          <w:rFonts w:ascii="Book Antiqua" w:hAnsi="Book Antiqua"/>
        </w:rPr>
      </w:pPr>
    </w:p>
    <w:p w14:paraId="3952E859" w14:textId="77777777" w:rsidR="00315BCE" w:rsidRDefault="00315BCE" w:rsidP="00315BCE">
      <w:pPr>
        <w:jc w:val="center"/>
        <w:rPr>
          <w:rFonts w:ascii="Book Antiqua" w:hAnsi="Book Antiqua"/>
        </w:rPr>
      </w:pPr>
    </w:p>
    <w:p w14:paraId="3CA87300" w14:textId="77777777" w:rsidR="00315BCE" w:rsidRDefault="00315BCE" w:rsidP="00315BCE">
      <w:pPr>
        <w:jc w:val="center"/>
        <w:rPr>
          <w:rFonts w:ascii="Book Antiqua" w:hAnsi="Book Antiqua"/>
        </w:rPr>
      </w:pPr>
    </w:p>
    <w:p w14:paraId="2550AA95" w14:textId="77777777" w:rsidR="00315BCE" w:rsidRDefault="00315BCE" w:rsidP="00315BCE">
      <w:pPr>
        <w:jc w:val="center"/>
        <w:rPr>
          <w:rFonts w:ascii="Book Antiqua" w:hAnsi="Book Antiqua"/>
        </w:rPr>
      </w:pPr>
    </w:p>
    <w:p w14:paraId="22ACD8F8" w14:textId="77777777" w:rsidR="00315BCE" w:rsidRDefault="00315BCE" w:rsidP="00315BCE">
      <w:pPr>
        <w:jc w:val="center"/>
        <w:rPr>
          <w:rFonts w:ascii="Book Antiqua" w:hAnsi="Book Antiqua"/>
        </w:rPr>
      </w:pPr>
    </w:p>
    <w:p w14:paraId="5C0C5678" w14:textId="77777777" w:rsidR="00315BCE" w:rsidRDefault="00315BCE" w:rsidP="00315BCE">
      <w:pPr>
        <w:jc w:val="center"/>
        <w:rPr>
          <w:rFonts w:ascii="Book Antiqua" w:hAnsi="Book Antiqua"/>
        </w:rPr>
      </w:pPr>
    </w:p>
    <w:p w14:paraId="605E1228" w14:textId="77777777" w:rsidR="00315BCE" w:rsidRDefault="00315BCE" w:rsidP="00315BCE">
      <w:pPr>
        <w:jc w:val="center"/>
        <w:rPr>
          <w:rFonts w:ascii="Book Antiqua" w:hAnsi="Book Antiqua"/>
        </w:rPr>
      </w:pPr>
    </w:p>
    <w:p w14:paraId="13EB7D33" w14:textId="77777777" w:rsidR="00315BCE" w:rsidRDefault="00315BCE" w:rsidP="00315BCE">
      <w:pPr>
        <w:jc w:val="center"/>
        <w:rPr>
          <w:rFonts w:ascii="Book Antiqua" w:hAnsi="Book Antiqua"/>
        </w:rPr>
      </w:pPr>
    </w:p>
    <w:p w14:paraId="4C2EB9E2" w14:textId="77777777" w:rsidR="00315BCE" w:rsidRDefault="00315BCE" w:rsidP="00315BCE">
      <w:pPr>
        <w:jc w:val="center"/>
        <w:rPr>
          <w:rFonts w:ascii="Book Antiqua" w:hAnsi="Book Antiqua"/>
        </w:rPr>
      </w:pPr>
    </w:p>
    <w:p w14:paraId="379E0152" w14:textId="77777777" w:rsidR="00315BCE" w:rsidRPr="00763D22" w:rsidRDefault="00315BCE" w:rsidP="00315BCE">
      <w:pPr>
        <w:jc w:val="right"/>
        <w:rPr>
          <w:rFonts w:ascii="Book Antiqua" w:hAnsi="Book Antiqua"/>
          <w:color w:val="000000" w:themeColor="text1"/>
        </w:rPr>
      </w:pPr>
    </w:p>
    <w:p w14:paraId="43A5880C" w14:textId="77777777" w:rsidR="00315BCE" w:rsidRPr="00763D22" w:rsidRDefault="00315BCE" w:rsidP="00315BC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5375802" w14:textId="77777777" w:rsidR="006B2A8E" w:rsidRPr="00315BCE" w:rsidRDefault="006B2A8E" w:rsidP="006B2A8E">
      <w:pPr>
        <w:adjustRightInd w:val="0"/>
        <w:snapToGrid w:val="0"/>
        <w:spacing w:line="360" w:lineRule="auto"/>
        <w:jc w:val="both"/>
        <w:rPr>
          <w:rFonts w:ascii="Book Antiqua" w:hAnsi="Book Antiqua"/>
          <w:bCs/>
          <w:lang w:eastAsia="zh-CN"/>
        </w:rPr>
      </w:pPr>
    </w:p>
    <w:sectPr w:rsidR="006B2A8E" w:rsidRPr="00315BC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21D4" w14:textId="77777777" w:rsidR="00681C8E" w:rsidRDefault="00681C8E" w:rsidP="002E524B">
      <w:r>
        <w:separator/>
      </w:r>
    </w:p>
  </w:endnote>
  <w:endnote w:type="continuationSeparator" w:id="0">
    <w:p w14:paraId="722B91D7" w14:textId="77777777" w:rsidR="00681C8E" w:rsidRDefault="00681C8E" w:rsidP="002E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955262"/>
      <w:docPartObj>
        <w:docPartGallery w:val="Page Numbers (Bottom of Page)"/>
        <w:docPartUnique/>
      </w:docPartObj>
    </w:sdtPr>
    <w:sdtEndPr>
      <w:rPr>
        <w:rFonts w:ascii="Book Antiqua" w:hAnsi="Book Antiqua"/>
        <w:sz w:val="24"/>
        <w:szCs w:val="24"/>
      </w:rPr>
    </w:sdtEndPr>
    <w:sdtContent>
      <w:sdt>
        <w:sdtPr>
          <w:id w:val="-1792512315"/>
          <w:docPartObj>
            <w:docPartGallery w:val="Page Numbers (Top of Page)"/>
            <w:docPartUnique/>
          </w:docPartObj>
        </w:sdtPr>
        <w:sdtEndPr>
          <w:rPr>
            <w:rFonts w:ascii="Book Antiqua" w:hAnsi="Book Antiqua"/>
            <w:sz w:val="24"/>
            <w:szCs w:val="24"/>
          </w:rPr>
        </w:sdtEndPr>
        <w:sdtContent>
          <w:p w14:paraId="2B0299DF" w14:textId="77777777" w:rsidR="006B2A8E" w:rsidRPr="005909C8" w:rsidRDefault="006B2A8E">
            <w:pPr>
              <w:pStyle w:val="a7"/>
              <w:jc w:val="right"/>
              <w:rPr>
                <w:rFonts w:ascii="Book Antiqua" w:hAnsi="Book Antiqua"/>
                <w:sz w:val="24"/>
                <w:szCs w:val="24"/>
              </w:rPr>
            </w:pPr>
            <w:r>
              <w:rPr>
                <w:lang w:val="zh-CN" w:eastAsia="zh-CN"/>
              </w:rPr>
              <w:t xml:space="preserve"> </w:t>
            </w:r>
            <w:r w:rsidRPr="005909C8">
              <w:rPr>
                <w:rFonts w:ascii="Book Antiqua" w:hAnsi="Book Antiqua"/>
                <w:sz w:val="24"/>
                <w:szCs w:val="24"/>
              </w:rPr>
              <w:fldChar w:fldCharType="begin"/>
            </w:r>
            <w:r w:rsidRPr="005909C8">
              <w:rPr>
                <w:rFonts w:ascii="Book Antiqua" w:hAnsi="Book Antiqua"/>
                <w:sz w:val="24"/>
                <w:szCs w:val="24"/>
              </w:rPr>
              <w:instrText>PAGE</w:instrText>
            </w:r>
            <w:r w:rsidRPr="005909C8">
              <w:rPr>
                <w:rFonts w:ascii="Book Antiqua" w:hAnsi="Book Antiqua"/>
                <w:sz w:val="24"/>
                <w:szCs w:val="24"/>
              </w:rPr>
              <w:fldChar w:fldCharType="separate"/>
            </w:r>
            <w:r w:rsidR="00231F35">
              <w:rPr>
                <w:rFonts w:ascii="Book Antiqua" w:hAnsi="Book Antiqua"/>
                <w:noProof/>
                <w:sz w:val="24"/>
                <w:szCs w:val="24"/>
              </w:rPr>
              <w:t>5</w:t>
            </w:r>
            <w:r w:rsidRPr="005909C8">
              <w:rPr>
                <w:rFonts w:ascii="Book Antiqua" w:hAnsi="Book Antiqua"/>
                <w:sz w:val="24"/>
                <w:szCs w:val="24"/>
              </w:rPr>
              <w:fldChar w:fldCharType="end"/>
            </w:r>
            <w:r w:rsidRPr="005909C8">
              <w:rPr>
                <w:rFonts w:ascii="Book Antiqua" w:hAnsi="Book Antiqua"/>
                <w:sz w:val="24"/>
                <w:szCs w:val="24"/>
                <w:lang w:val="zh-CN" w:eastAsia="zh-CN"/>
              </w:rPr>
              <w:t xml:space="preserve"> / </w:t>
            </w:r>
            <w:r w:rsidRPr="005909C8">
              <w:rPr>
                <w:rFonts w:ascii="Book Antiqua" w:hAnsi="Book Antiqua"/>
                <w:sz w:val="24"/>
                <w:szCs w:val="24"/>
              </w:rPr>
              <w:fldChar w:fldCharType="begin"/>
            </w:r>
            <w:r w:rsidRPr="005909C8">
              <w:rPr>
                <w:rFonts w:ascii="Book Antiqua" w:hAnsi="Book Antiqua"/>
                <w:sz w:val="24"/>
                <w:szCs w:val="24"/>
              </w:rPr>
              <w:instrText>NUMPAGES</w:instrText>
            </w:r>
            <w:r w:rsidRPr="005909C8">
              <w:rPr>
                <w:rFonts w:ascii="Book Antiqua" w:hAnsi="Book Antiqua"/>
                <w:sz w:val="24"/>
                <w:szCs w:val="24"/>
              </w:rPr>
              <w:fldChar w:fldCharType="separate"/>
            </w:r>
            <w:r w:rsidR="00231F35">
              <w:rPr>
                <w:rFonts w:ascii="Book Antiqua" w:hAnsi="Book Antiqua"/>
                <w:noProof/>
                <w:sz w:val="24"/>
                <w:szCs w:val="24"/>
              </w:rPr>
              <w:t>32</w:t>
            </w:r>
            <w:r w:rsidRPr="005909C8">
              <w:rPr>
                <w:rFonts w:ascii="Book Antiqua" w:hAnsi="Book Antiqua"/>
                <w:sz w:val="24"/>
                <w:szCs w:val="24"/>
              </w:rPr>
              <w:fldChar w:fldCharType="end"/>
            </w:r>
          </w:p>
        </w:sdtContent>
      </w:sdt>
    </w:sdtContent>
  </w:sdt>
  <w:p w14:paraId="1DD5C3AD" w14:textId="77777777" w:rsidR="006B2A8E" w:rsidRDefault="006B2A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196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822E556" w14:textId="77777777" w:rsidR="002E524B" w:rsidRPr="005909C8" w:rsidRDefault="002E524B">
            <w:pPr>
              <w:pStyle w:val="a7"/>
              <w:jc w:val="right"/>
              <w:rPr>
                <w:rFonts w:ascii="Book Antiqua" w:hAnsi="Book Antiqua"/>
                <w:sz w:val="24"/>
                <w:szCs w:val="24"/>
              </w:rPr>
            </w:pPr>
            <w:r>
              <w:rPr>
                <w:lang w:val="zh-CN" w:eastAsia="zh-CN"/>
              </w:rPr>
              <w:t xml:space="preserve"> </w:t>
            </w:r>
            <w:r w:rsidRPr="005909C8">
              <w:rPr>
                <w:rFonts w:ascii="Book Antiqua" w:hAnsi="Book Antiqua"/>
                <w:sz w:val="24"/>
                <w:szCs w:val="24"/>
              </w:rPr>
              <w:fldChar w:fldCharType="begin"/>
            </w:r>
            <w:r w:rsidRPr="005909C8">
              <w:rPr>
                <w:rFonts w:ascii="Book Antiqua" w:hAnsi="Book Antiqua"/>
                <w:sz w:val="24"/>
                <w:szCs w:val="24"/>
              </w:rPr>
              <w:instrText>PAGE</w:instrText>
            </w:r>
            <w:r w:rsidRPr="005909C8">
              <w:rPr>
                <w:rFonts w:ascii="Book Antiqua" w:hAnsi="Book Antiqua"/>
                <w:sz w:val="24"/>
                <w:szCs w:val="24"/>
              </w:rPr>
              <w:fldChar w:fldCharType="separate"/>
            </w:r>
            <w:r w:rsidR="00231F35">
              <w:rPr>
                <w:rFonts w:ascii="Book Antiqua" w:hAnsi="Book Antiqua"/>
                <w:noProof/>
                <w:sz w:val="24"/>
                <w:szCs w:val="24"/>
              </w:rPr>
              <w:t>32</w:t>
            </w:r>
            <w:r w:rsidRPr="005909C8">
              <w:rPr>
                <w:rFonts w:ascii="Book Antiqua" w:hAnsi="Book Antiqua"/>
                <w:sz w:val="24"/>
                <w:szCs w:val="24"/>
              </w:rPr>
              <w:fldChar w:fldCharType="end"/>
            </w:r>
            <w:r w:rsidRPr="005909C8">
              <w:rPr>
                <w:rFonts w:ascii="Book Antiqua" w:hAnsi="Book Antiqua"/>
                <w:sz w:val="24"/>
                <w:szCs w:val="24"/>
                <w:lang w:val="zh-CN" w:eastAsia="zh-CN"/>
              </w:rPr>
              <w:t xml:space="preserve"> / </w:t>
            </w:r>
            <w:r w:rsidRPr="005909C8">
              <w:rPr>
                <w:rFonts w:ascii="Book Antiqua" w:hAnsi="Book Antiqua"/>
                <w:sz w:val="24"/>
                <w:szCs w:val="24"/>
              </w:rPr>
              <w:fldChar w:fldCharType="begin"/>
            </w:r>
            <w:r w:rsidRPr="005909C8">
              <w:rPr>
                <w:rFonts w:ascii="Book Antiqua" w:hAnsi="Book Antiqua"/>
                <w:sz w:val="24"/>
                <w:szCs w:val="24"/>
              </w:rPr>
              <w:instrText>NUMPAGES</w:instrText>
            </w:r>
            <w:r w:rsidRPr="005909C8">
              <w:rPr>
                <w:rFonts w:ascii="Book Antiqua" w:hAnsi="Book Antiqua"/>
                <w:sz w:val="24"/>
                <w:szCs w:val="24"/>
              </w:rPr>
              <w:fldChar w:fldCharType="separate"/>
            </w:r>
            <w:r w:rsidR="00231F35">
              <w:rPr>
                <w:rFonts w:ascii="Book Antiqua" w:hAnsi="Book Antiqua"/>
                <w:noProof/>
                <w:sz w:val="24"/>
                <w:szCs w:val="24"/>
              </w:rPr>
              <w:t>32</w:t>
            </w:r>
            <w:r w:rsidRPr="005909C8">
              <w:rPr>
                <w:rFonts w:ascii="Book Antiqua" w:hAnsi="Book Antiqua"/>
                <w:sz w:val="24"/>
                <w:szCs w:val="24"/>
              </w:rPr>
              <w:fldChar w:fldCharType="end"/>
            </w:r>
          </w:p>
        </w:sdtContent>
      </w:sdt>
    </w:sdtContent>
  </w:sdt>
  <w:p w14:paraId="7DC501DC" w14:textId="77777777" w:rsidR="002E524B" w:rsidRDefault="002E52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1221" w14:textId="77777777" w:rsidR="00681C8E" w:rsidRDefault="00681C8E" w:rsidP="002E524B">
      <w:r>
        <w:separator/>
      </w:r>
    </w:p>
  </w:footnote>
  <w:footnote w:type="continuationSeparator" w:id="0">
    <w:p w14:paraId="23E8A64E" w14:textId="77777777" w:rsidR="00681C8E" w:rsidRDefault="00681C8E" w:rsidP="002E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DF13" w14:textId="77777777" w:rsidR="006B2A8E" w:rsidRDefault="006B2A8E" w:rsidP="002B16D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D2"/>
    <w:rsid w:val="00015AAF"/>
    <w:rsid w:val="00023CA0"/>
    <w:rsid w:val="000452C5"/>
    <w:rsid w:val="00085177"/>
    <w:rsid w:val="000C0158"/>
    <w:rsid w:val="000F2E37"/>
    <w:rsid w:val="00144CCA"/>
    <w:rsid w:val="00167471"/>
    <w:rsid w:val="00183E01"/>
    <w:rsid w:val="00192CD1"/>
    <w:rsid w:val="001A2B6F"/>
    <w:rsid w:val="001B6008"/>
    <w:rsid w:val="001C698B"/>
    <w:rsid w:val="001C778B"/>
    <w:rsid w:val="001F132B"/>
    <w:rsid w:val="00231F35"/>
    <w:rsid w:val="002437D2"/>
    <w:rsid w:val="0024425A"/>
    <w:rsid w:val="002B16D3"/>
    <w:rsid w:val="002C1324"/>
    <w:rsid w:val="002C70DC"/>
    <w:rsid w:val="002E524B"/>
    <w:rsid w:val="00315BCE"/>
    <w:rsid w:val="00324C50"/>
    <w:rsid w:val="003358EA"/>
    <w:rsid w:val="003655D2"/>
    <w:rsid w:val="00366E51"/>
    <w:rsid w:val="0038191D"/>
    <w:rsid w:val="003A43C4"/>
    <w:rsid w:val="003C39F2"/>
    <w:rsid w:val="003E6048"/>
    <w:rsid w:val="003F25A3"/>
    <w:rsid w:val="00401E0F"/>
    <w:rsid w:val="0041107B"/>
    <w:rsid w:val="0042545D"/>
    <w:rsid w:val="00430052"/>
    <w:rsid w:val="004352CC"/>
    <w:rsid w:val="00445741"/>
    <w:rsid w:val="00445AB1"/>
    <w:rsid w:val="00460019"/>
    <w:rsid w:val="0047542E"/>
    <w:rsid w:val="005118DC"/>
    <w:rsid w:val="0052099B"/>
    <w:rsid w:val="0053016F"/>
    <w:rsid w:val="0055151D"/>
    <w:rsid w:val="00587EC5"/>
    <w:rsid w:val="005909C8"/>
    <w:rsid w:val="005A177E"/>
    <w:rsid w:val="005B2EDE"/>
    <w:rsid w:val="005B3F09"/>
    <w:rsid w:val="005D4E14"/>
    <w:rsid w:val="006265CB"/>
    <w:rsid w:val="00680993"/>
    <w:rsid w:val="00681C8E"/>
    <w:rsid w:val="0068448F"/>
    <w:rsid w:val="006B2A8E"/>
    <w:rsid w:val="006B6B35"/>
    <w:rsid w:val="006C24D5"/>
    <w:rsid w:val="006F070F"/>
    <w:rsid w:val="006F219B"/>
    <w:rsid w:val="00765379"/>
    <w:rsid w:val="0077107D"/>
    <w:rsid w:val="00781477"/>
    <w:rsid w:val="007A18CE"/>
    <w:rsid w:val="007A6054"/>
    <w:rsid w:val="007C469D"/>
    <w:rsid w:val="007D468B"/>
    <w:rsid w:val="007E5331"/>
    <w:rsid w:val="007F441C"/>
    <w:rsid w:val="00814D35"/>
    <w:rsid w:val="00817CDB"/>
    <w:rsid w:val="00836278"/>
    <w:rsid w:val="00837991"/>
    <w:rsid w:val="00841169"/>
    <w:rsid w:val="00877A95"/>
    <w:rsid w:val="00894740"/>
    <w:rsid w:val="008A366E"/>
    <w:rsid w:val="00945DDD"/>
    <w:rsid w:val="009766A4"/>
    <w:rsid w:val="009E0725"/>
    <w:rsid w:val="00A40512"/>
    <w:rsid w:val="00A77B3E"/>
    <w:rsid w:val="00A808C5"/>
    <w:rsid w:val="00AB0605"/>
    <w:rsid w:val="00AE4FD7"/>
    <w:rsid w:val="00B12369"/>
    <w:rsid w:val="00B1412D"/>
    <w:rsid w:val="00B221F3"/>
    <w:rsid w:val="00B23CD3"/>
    <w:rsid w:val="00B33296"/>
    <w:rsid w:val="00B9041A"/>
    <w:rsid w:val="00B9216E"/>
    <w:rsid w:val="00BA086F"/>
    <w:rsid w:val="00C032C6"/>
    <w:rsid w:val="00C5787F"/>
    <w:rsid w:val="00C7128C"/>
    <w:rsid w:val="00CA2A55"/>
    <w:rsid w:val="00CC27AE"/>
    <w:rsid w:val="00CF266B"/>
    <w:rsid w:val="00D1044D"/>
    <w:rsid w:val="00D12D72"/>
    <w:rsid w:val="00D434D0"/>
    <w:rsid w:val="00D703EB"/>
    <w:rsid w:val="00DD105F"/>
    <w:rsid w:val="00E21697"/>
    <w:rsid w:val="00E7023A"/>
    <w:rsid w:val="00EC0C25"/>
    <w:rsid w:val="00EC3B97"/>
    <w:rsid w:val="00EF0CEC"/>
    <w:rsid w:val="00F00ADA"/>
    <w:rsid w:val="00F81FD6"/>
    <w:rsid w:val="00FE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0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07B"/>
    <w:pPr>
      <w:spacing w:before="100" w:beforeAutospacing="1" w:after="100" w:afterAutospacing="1"/>
    </w:pPr>
    <w:rPr>
      <w:rFonts w:ascii="宋体" w:eastAsia="宋体" w:hAnsi="宋体" w:cs="宋体"/>
      <w:lang w:eastAsia="zh-CN"/>
    </w:rPr>
  </w:style>
  <w:style w:type="paragraph" w:styleId="a4">
    <w:name w:val="Balloon Text"/>
    <w:basedOn w:val="a"/>
    <w:link w:val="Char"/>
    <w:rsid w:val="008A366E"/>
    <w:rPr>
      <w:sz w:val="18"/>
      <w:szCs w:val="18"/>
    </w:rPr>
  </w:style>
  <w:style w:type="character" w:customStyle="1" w:styleId="Char">
    <w:name w:val="批注框文本 Char"/>
    <w:basedOn w:val="a0"/>
    <w:link w:val="a4"/>
    <w:rsid w:val="008A366E"/>
    <w:rPr>
      <w:sz w:val="18"/>
      <w:szCs w:val="18"/>
    </w:rPr>
  </w:style>
  <w:style w:type="table" w:styleId="a5">
    <w:name w:val="Table Grid"/>
    <w:basedOn w:val="a1"/>
    <w:uiPriority w:val="39"/>
    <w:rsid w:val="00836278"/>
    <w:rPr>
      <w:rFonts w:ascii="Calibri" w:hAnsi="Calibr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2E52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E524B"/>
    <w:rPr>
      <w:sz w:val="18"/>
      <w:szCs w:val="18"/>
    </w:rPr>
  </w:style>
  <w:style w:type="paragraph" w:styleId="a7">
    <w:name w:val="footer"/>
    <w:basedOn w:val="a"/>
    <w:link w:val="Char1"/>
    <w:uiPriority w:val="99"/>
    <w:rsid w:val="002E524B"/>
    <w:pPr>
      <w:tabs>
        <w:tab w:val="center" w:pos="4153"/>
        <w:tab w:val="right" w:pos="8306"/>
      </w:tabs>
      <w:snapToGrid w:val="0"/>
    </w:pPr>
    <w:rPr>
      <w:sz w:val="18"/>
      <w:szCs w:val="18"/>
    </w:rPr>
  </w:style>
  <w:style w:type="character" w:customStyle="1" w:styleId="Char1">
    <w:name w:val="页脚 Char"/>
    <w:basedOn w:val="a0"/>
    <w:link w:val="a7"/>
    <w:uiPriority w:val="99"/>
    <w:rsid w:val="002E524B"/>
    <w:rPr>
      <w:sz w:val="18"/>
      <w:szCs w:val="18"/>
    </w:rPr>
  </w:style>
  <w:style w:type="character" w:styleId="a8">
    <w:name w:val="annotation reference"/>
    <w:basedOn w:val="a0"/>
    <w:semiHidden/>
    <w:unhideWhenUsed/>
    <w:rsid w:val="00814D35"/>
    <w:rPr>
      <w:sz w:val="16"/>
      <w:szCs w:val="16"/>
    </w:rPr>
  </w:style>
  <w:style w:type="paragraph" w:styleId="a9">
    <w:name w:val="annotation text"/>
    <w:basedOn w:val="a"/>
    <w:link w:val="Char2"/>
    <w:semiHidden/>
    <w:unhideWhenUsed/>
    <w:rsid w:val="00814D35"/>
    <w:rPr>
      <w:sz w:val="20"/>
      <w:szCs w:val="20"/>
    </w:rPr>
  </w:style>
  <w:style w:type="character" w:customStyle="1" w:styleId="Char2">
    <w:name w:val="批注文字 Char"/>
    <w:basedOn w:val="a0"/>
    <w:link w:val="a9"/>
    <w:semiHidden/>
    <w:rsid w:val="00814D35"/>
  </w:style>
  <w:style w:type="paragraph" w:styleId="aa">
    <w:name w:val="annotation subject"/>
    <w:basedOn w:val="a9"/>
    <w:next w:val="a9"/>
    <w:link w:val="Char3"/>
    <w:semiHidden/>
    <w:unhideWhenUsed/>
    <w:rsid w:val="00814D35"/>
    <w:rPr>
      <w:b/>
      <w:bCs/>
    </w:rPr>
  </w:style>
  <w:style w:type="character" w:customStyle="1" w:styleId="Char3">
    <w:name w:val="批注主题 Char"/>
    <w:basedOn w:val="Char2"/>
    <w:link w:val="aa"/>
    <w:semiHidden/>
    <w:rsid w:val="00814D35"/>
    <w:rPr>
      <w:b/>
      <w:bCs/>
    </w:rPr>
  </w:style>
  <w:style w:type="character" w:styleId="ab">
    <w:name w:val="Hyperlink"/>
    <w:basedOn w:val="a0"/>
    <w:unhideWhenUsed/>
    <w:rsid w:val="007A1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07B"/>
    <w:pPr>
      <w:spacing w:before="100" w:beforeAutospacing="1" w:after="100" w:afterAutospacing="1"/>
    </w:pPr>
    <w:rPr>
      <w:rFonts w:ascii="宋体" w:eastAsia="宋体" w:hAnsi="宋体" w:cs="宋体"/>
      <w:lang w:eastAsia="zh-CN"/>
    </w:rPr>
  </w:style>
  <w:style w:type="paragraph" w:styleId="a4">
    <w:name w:val="Balloon Text"/>
    <w:basedOn w:val="a"/>
    <w:link w:val="Char"/>
    <w:rsid w:val="008A366E"/>
    <w:rPr>
      <w:sz w:val="18"/>
      <w:szCs w:val="18"/>
    </w:rPr>
  </w:style>
  <w:style w:type="character" w:customStyle="1" w:styleId="Char">
    <w:name w:val="批注框文本 Char"/>
    <w:basedOn w:val="a0"/>
    <w:link w:val="a4"/>
    <w:rsid w:val="008A366E"/>
    <w:rPr>
      <w:sz w:val="18"/>
      <w:szCs w:val="18"/>
    </w:rPr>
  </w:style>
  <w:style w:type="table" w:styleId="a5">
    <w:name w:val="Table Grid"/>
    <w:basedOn w:val="a1"/>
    <w:uiPriority w:val="39"/>
    <w:rsid w:val="00836278"/>
    <w:rPr>
      <w:rFonts w:ascii="Calibri" w:hAnsi="Calibr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2E52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E524B"/>
    <w:rPr>
      <w:sz w:val="18"/>
      <w:szCs w:val="18"/>
    </w:rPr>
  </w:style>
  <w:style w:type="paragraph" w:styleId="a7">
    <w:name w:val="footer"/>
    <w:basedOn w:val="a"/>
    <w:link w:val="Char1"/>
    <w:uiPriority w:val="99"/>
    <w:rsid w:val="002E524B"/>
    <w:pPr>
      <w:tabs>
        <w:tab w:val="center" w:pos="4153"/>
        <w:tab w:val="right" w:pos="8306"/>
      </w:tabs>
      <w:snapToGrid w:val="0"/>
    </w:pPr>
    <w:rPr>
      <w:sz w:val="18"/>
      <w:szCs w:val="18"/>
    </w:rPr>
  </w:style>
  <w:style w:type="character" w:customStyle="1" w:styleId="Char1">
    <w:name w:val="页脚 Char"/>
    <w:basedOn w:val="a0"/>
    <w:link w:val="a7"/>
    <w:uiPriority w:val="99"/>
    <w:rsid w:val="002E524B"/>
    <w:rPr>
      <w:sz w:val="18"/>
      <w:szCs w:val="18"/>
    </w:rPr>
  </w:style>
  <w:style w:type="character" w:styleId="a8">
    <w:name w:val="annotation reference"/>
    <w:basedOn w:val="a0"/>
    <w:semiHidden/>
    <w:unhideWhenUsed/>
    <w:rsid w:val="00814D35"/>
    <w:rPr>
      <w:sz w:val="16"/>
      <w:szCs w:val="16"/>
    </w:rPr>
  </w:style>
  <w:style w:type="paragraph" w:styleId="a9">
    <w:name w:val="annotation text"/>
    <w:basedOn w:val="a"/>
    <w:link w:val="Char2"/>
    <w:semiHidden/>
    <w:unhideWhenUsed/>
    <w:rsid w:val="00814D35"/>
    <w:rPr>
      <w:sz w:val="20"/>
      <w:szCs w:val="20"/>
    </w:rPr>
  </w:style>
  <w:style w:type="character" w:customStyle="1" w:styleId="Char2">
    <w:name w:val="批注文字 Char"/>
    <w:basedOn w:val="a0"/>
    <w:link w:val="a9"/>
    <w:semiHidden/>
    <w:rsid w:val="00814D35"/>
  </w:style>
  <w:style w:type="paragraph" w:styleId="aa">
    <w:name w:val="annotation subject"/>
    <w:basedOn w:val="a9"/>
    <w:next w:val="a9"/>
    <w:link w:val="Char3"/>
    <w:semiHidden/>
    <w:unhideWhenUsed/>
    <w:rsid w:val="00814D35"/>
    <w:rPr>
      <w:b/>
      <w:bCs/>
    </w:rPr>
  </w:style>
  <w:style w:type="character" w:customStyle="1" w:styleId="Char3">
    <w:name w:val="批注主题 Char"/>
    <w:basedOn w:val="Char2"/>
    <w:link w:val="aa"/>
    <w:semiHidden/>
    <w:rsid w:val="00814D35"/>
    <w:rPr>
      <w:b/>
      <w:bCs/>
    </w:rPr>
  </w:style>
  <w:style w:type="character" w:styleId="ab">
    <w:name w:val="Hyperlink"/>
    <w:basedOn w:val="a0"/>
    <w:unhideWhenUsed/>
    <w:rsid w:val="007A1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5109">
      <w:bodyDiv w:val="1"/>
      <w:marLeft w:val="0"/>
      <w:marRight w:val="0"/>
      <w:marTop w:val="0"/>
      <w:marBottom w:val="0"/>
      <w:divBdr>
        <w:top w:val="none" w:sz="0" w:space="0" w:color="auto"/>
        <w:left w:val="none" w:sz="0" w:space="0" w:color="auto"/>
        <w:bottom w:val="none" w:sz="0" w:space="0" w:color="auto"/>
        <w:right w:val="none" w:sz="0" w:space="0" w:color="auto"/>
      </w:divBdr>
    </w:div>
    <w:div w:id="182211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FB36-B1B5-4AA7-B7D9-DE94E46B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7328</Words>
  <Characters>41770</Characters>
  <Application>Microsoft Office Word</Application>
  <DocSecurity>0</DocSecurity>
  <Lines>348</Lines>
  <Paragraphs>97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20</cp:revision>
  <dcterms:created xsi:type="dcterms:W3CDTF">2021-08-09T22:07:00Z</dcterms:created>
  <dcterms:modified xsi:type="dcterms:W3CDTF">2021-09-10T02:12:00Z</dcterms:modified>
</cp:coreProperties>
</file>