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E5FA" w14:textId="35A53CBD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A766AB" w:rsidRPr="00C761E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A766AB" w:rsidRPr="00C761E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color w:val="000000" w:themeColor="text1"/>
        </w:rPr>
        <w:t>Critical</w:t>
      </w:r>
      <w:r w:rsidR="00A766AB" w:rsidRPr="00C761E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color w:val="000000" w:themeColor="text1"/>
        </w:rPr>
        <w:t>Medicine</w:t>
      </w:r>
    </w:p>
    <w:p w14:paraId="65BA9F7B" w14:textId="03E1B696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64772</w:t>
      </w:r>
    </w:p>
    <w:p w14:paraId="43850EAB" w14:textId="68AB044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ORIGINAL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ARTICLE</w:t>
      </w:r>
    </w:p>
    <w:p w14:paraId="62909FEB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153E67E" w14:textId="6B4EB6EA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i/>
          <w:color w:val="000000" w:themeColor="text1"/>
        </w:rPr>
        <w:t>Case</w:t>
      </w:r>
      <w:r w:rsidR="00A766AB" w:rsidRPr="00C761E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i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i/>
          <w:color w:val="000000" w:themeColor="text1"/>
        </w:rPr>
        <w:t>Study</w:t>
      </w:r>
    </w:p>
    <w:p w14:paraId="6ABE4DBB" w14:textId="455AB6FA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Trends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26D12" w:rsidRPr="00C761E9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entral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line-associated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26D12" w:rsidRPr="00C761E9">
        <w:rPr>
          <w:rFonts w:ascii="Book Antiqua" w:eastAsia="Book Antiqua" w:hAnsi="Book Antiqua" w:cs="Book Antiqua"/>
          <w:b/>
          <w:bCs/>
          <w:color w:val="000000" w:themeColor="text1"/>
        </w:rPr>
        <w:t>bloodstream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26D12" w:rsidRPr="00C761E9">
        <w:rPr>
          <w:rFonts w:ascii="Book Antiqua" w:eastAsia="Book Antiqua" w:hAnsi="Book Antiqua" w:cs="Book Antiqua"/>
          <w:b/>
          <w:bCs/>
          <w:color w:val="000000" w:themeColor="text1"/>
        </w:rPr>
        <w:t>infections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26D12" w:rsidRPr="00C761E9">
        <w:rPr>
          <w:rFonts w:ascii="Book Antiqua" w:eastAsia="Book Antiqua" w:hAnsi="Book Antiqua" w:cs="Book Antiqua"/>
          <w:b/>
          <w:bCs/>
          <w:color w:val="000000" w:themeColor="text1"/>
        </w:rPr>
        <w:t>intensive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26D12" w:rsidRPr="00C761E9">
        <w:rPr>
          <w:rFonts w:ascii="Book Antiqua" w:eastAsia="Book Antiqua" w:hAnsi="Book Antiqua" w:cs="Book Antiqua"/>
          <w:b/>
          <w:bCs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26D12" w:rsidRPr="00C761E9">
        <w:rPr>
          <w:rFonts w:ascii="Book Antiqua" w:eastAsia="Book Antiqua" w:hAnsi="Book Antiqua" w:cs="Book Antiqua"/>
          <w:b/>
          <w:bCs/>
          <w:color w:val="000000" w:themeColor="text1"/>
        </w:rPr>
        <w:t>unit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Kingdom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Bahrain: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Four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years’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experience</w:t>
      </w:r>
    </w:p>
    <w:p w14:paraId="21B8F699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FD90221" w14:textId="7B343243" w:rsidR="00A77B3E" w:rsidRPr="00C761E9" w:rsidRDefault="00913CF5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Cs/>
          <w:color w:val="000000" w:themeColor="text1"/>
        </w:rPr>
        <w:t>Al-Khawaja</w:t>
      </w:r>
      <w:r w:rsidR="00A766AB" w:rsidRPr="00C761E9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CD5677" w:rsidRPr="00C761E9">
        <w:rPr>
          <w:rFonts w:ascii="Book Antiqua" w:eastAsia="Book Antiqua" w:hAnsi="Book Antiqua" w:cs="Book Antiqua"/>
          <w:bCs/>
          <w:color w:val="000000" w:themeColor="text1"/>
        </w:rPr>
        <w:t xml:space="preserve">S </w:t>
      </w:r>
      <w:r w:rsidRPr="00C761E9">
        <w:rPr>
          <w:rFonts w:ascii="Book Antiqua" w:hAnsi="Book Antiqua" w:cs="Book Antiqua"/>
          <w:bCs/>
          <w:i/>
          <w:color w:val="000000" w:themeColor="text1"/>
          <w:lang w:eastAsia="zh-CN"/>
        </w:rPr>
        <w:t>et</w:t>
      </w:r>
      <w:r w:rsidR="00A766AB" w:rsidRPr="00C761E9">
        <w:rPr>
          <w:rFonts w:ascii="Book Antiqua" w:hAnsi="Book Antiqua" w:cs="Book Antiqua"/>
          <w:bCs/>
          <w:i/>
          <w:color w:val="000000" w:themeColor="text1"/>
          <w:lang w:eastAsia="zh-CN"/>
        </w:rPr>
        <w:t xml:space="preserve"> </w:t>
      </w:r>
      <w:r w:rsidRPr="00C761E9">
        <w:rPr>
          <w:rFonts w:ascii="Book Antiqua" w:hAnsi="Book Antiqua" w:cs="Book Antiqua"/>
          <w:bCs/>
          <w:i/>
          <w:color w:val="000000" w:themeColor="text1"/>
          <w:lang w:eastAsia="zh-CN"/>
        </w:rPr>
        <w:t>al</w:t>
      </w:r>
      <w:r w:rsidRPr="00C761E9">
        <w:rPr>
          <w:rFonts w:ascii="Book Antiqua" w:hAnsi="Book Antiqua" w:cs="Book Antiqua"/>
          <w:bCs/>
          <w:color w:val="000000" w:themeColor="text1"/>
          <w:lang w:eastAsia="zh-CN"/>
        </w:rPr>
        <w:t>.</w:t>
      </w:r>
      <w:r w:rsidR="00A766AB" w:rsidRPr="00C761E9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D54E16" w:rsidRPr="00C761E9">
        <w:rPr>
          <w:rFonts w:ascii="Book Antiqua" w:eastAsia="Book Antiqua" w:hAnsi="Book Antiqua" w:cs="Book Antiqua"/>
          <w:bCs/>
          <w:color w:val="000000" w:themeColor="text1"/>
        </w:rPr>
        <w:t>C</w:t>
      </w:r>
      <w:r w:rsidR="00B26D12" w:rsidRPr="00C761E9">
        <w:rPr>
          <w:rFonts w:ascii="Book Antiqua" w:eastAsia="Book Antiqua" w:hAnsi="Book Antiqua" w:cs="Book Antiqua"/>
          <w:bCs/>
          <w:color w:val="000000" w:themeColor="text1"/>
        </w:rPr>
        <w:t>LABSI</w:t>
      </w:r>
      <w:r w:rsidR="00A766AB" w:rsidRPr="00C761E9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bCs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bCs/>
          <w:color w:val="000000" w:themeColor="text1"/>
        </w:rPr>
        <w:t>Bahrain</w:t>
      </w:r>
      <w:r w:rsidR="00A766AB" w:rsidRPr="00C761E9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B26D12" w:rsidRPr="00C761E9">
        <w:rPr>
          <w:rFonts w:ascii="Book Antiqua" w:eastAsia="Book Antiqua" w:hAnsi="Book Antiqua" w:cs="Book Antiqua"/>
          <w:bCs/>
          <w:color w:val="000000" w:themeColor="text1"/>
        </w:rPr>
        <w:t>ICU</w:t>
      </w:r>
    </w:p>
    <w:p w14:paraId="53338ED1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BFAD82A" w14:textId="40A77333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Safaa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Al-Khawaja,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Nermin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Kamal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Saeed,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Sanaa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</w:t>
      </w:r>
      <w:r w:rsidR="001B6CAF" w:rsidRPr="00C761E9">
        <w:rPr>
          <w:rFonts w:ascii="Book Antiqua" w:eastAsia="Book Antiqua" w:hAnsi="Book Antiqua" w:cs="Book Antiqua"/>
          <w:color w:val="000000" w:themeColor="text1"/>
        </w:rPr>
        <w:t>-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khawaja</w:t>
      </w:r>
      <w:proofErr w:type="spellEnd"/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Nashwa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Azzam,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Mohammed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Al-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Biltagi</w:t>
      </w:r>
      <w:proofErr w:type="spellEnd"/>
    </w:p>
    <w:p w14:paraId="6143C734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03E1127" w14:textId="3AEB6033" w:rsidR="00A77B3E" w:rsidRPr="00C761E9" w:rsidRDefault="00D54E16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proofErr w:type="spellStart"/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Safaa</w:t>
      </w:r>
      <w:proofErr w:type="spellEnd"/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Al-Khawaja,</w:t>
      </w:r>
      <w:r w:rsidR="00A766AB" w:rsidRPr="00C761E9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913CF5" w:rsidRPr="00C761E9">
        <w:rPr>
          <w:rFonts w:ascii="Book Antiqua" w:hAnsi="Book Antiqua" w:cs="Book Antiqua"/>
          <w:bCs/>
          <w:color w:val="000000" w:themeColor="text1"/>
          <w:lang w:eastAsia="zh-CN"/>
        </w:rPr>
        <w:t>The</w:t>
      </w:r>
      <w:r w:rsidR="00A766AB" w:rsidRPr="00C761E9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Disease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Department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Internal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Medicine,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Salmaniya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Medical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Complex,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Ministry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Health,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Kingdom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Bahrain,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Manama</w:t>
      </w:r>
      <w:r w:rsidR="00AE7F13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9B492D" w:rsidRPr="00C761E9">
        <w:rPr>
          <w:rFonts w:ascii="Book Antiqua" w:eastAsia="Book Antiqua" w:hAnsi="Book Antiqua" w:cs="Book Antiqua"/>
          <w:color w:val="000000" w:themeColor="text1"/>
        </w:rPr>
        <w:t>P.O. Box 12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Bahrain</w:t>
      </w:r>
    </w:p>
    <w:p w14:paraId="33D4D0E0" w14:textId="77777777" w:rsidR="00E44C40" w:rsidRPr="00C761E9" w:rsidRDefault="00E44C40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6E5CBB76" w14:textId="53A0F728" w:rsidR="00E44C40" w:rsidRPr="00C761E9" w:rsidRDefault="00E44C40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Safaa</w:t>
      </w:r>
      <w:proofErr w:type="spellEnd"/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Al-Khawaja, </w:t>
      </w:r>
      <w:r w:rsidR="00AE7F13" w:rsidRPr="00C761E9">
        <w:rPr>
          <w:rFonts w:ascii="Book Antiqua" w:eastAsia="Book Antiqua" w:hAnsi="Book Antiqua" w:cs="Book Antiqua"/>
          <w:b/>
          <w:bCs/>
          <w:color w:val="000000" w:themeColor="text1"/>
        </w:rPr>
        <w:t>Sanaa Al-Khawaja,</w:t>
      </w:r>
      <w:r w:rsidR="00AE7F13" w:rsidRPr="00C761E9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Department of </w:t>
      </w:r>
      <w:r w:rsidR="00AE7F13" w:rsidRPr="00C761E9">
        <w:rPr>
          <w:rFonts w:ascii="Book Antiqua" w:hAnsi="Book Antiqua" w:cs="Book Antiqua"/>
          <w:color w:val="000000" w:themeColor="text1"/>
          <w:lang w:eastAsia="zh-CN"/>
        </w:rPr>
        <w:t>I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nternal </w:t>
      </w:r>
      <w:r w:rsidR="00AE7F13" w:rsidRPr="00C761E9">
        <w:rPr>
          <w:rFonts w:ascii="Book Antiqua" w:hAnsi="Book Antiqua" w:cs="Book Antiqua"/>
          <w:color w:val="000000" w:themeColor="text1"/>
          <w:lang w:eastAsia="zh-CN"/>
        </w:rPr>
        <w:t>M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edicine, Arabian Gulf University, Kingdom of Bahrain, Manama </w:t>
      </w:r>
      <w:r w:rsidR="006B6545" w:rsidRPr="00C761E9">
        <w:rPr>
          <w:rFonts w:ascii="Book Antiqua" w:eastAsia="Book Antiqua" w:hAnsi="Book Antiqua" w:cs="Book Antiqua"/>
          <w:color w:val="000000" w:themeColor="text1"/>
        </w:rPr>
        <w:t>P.O. Box 26671</w:t>
      </w:r>
      <w:r w:rsidRPr="00C761E9">
        <w:rPr>
          <w:rFonts w:ascii="Book Antiqua" w:eastAsia="Book Antiqua" w:hAnsi="Book Antiqua" w:cs="Book Antiqua"/>
          <w:color w:val="000000" w:themeColor="text1"/>
        </w:rPr>
        <w:t>, Bahrain</w:t>
      </w:r>
    </w:p>
    <w:p w14:paraId="6824B0ED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62A450EF" w14:textId="592BE386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Nermin</w:t>
      </w:r>
      <w:proofErr w:type="spellEnd"/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Kamal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Saeed,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13CF5" w:rsidRPr="00C761E9">
        <w:rPr>
          <w:rFonts w:ascii="Book Antiqua" w:hAnsi="Book Antiqua" w:cs="Book Antiqua"/>
          <w:bCs/>
          <w:color w:val="000000" w:themeColor="text1"/>
          <w:lang w:eastAsia="zh-CN"/>
        </w:rPr>
        <w:t>The</w:t>
      </w:r>
      <w:r w:rsidR="00A766AB" w:rsidRPr="00C761E9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Medical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Microbiology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Section,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Pathology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Department,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Salmaniya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Medical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Complex,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Ministry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Health,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Kin</w:t>
      </w:r>
      <w:r w:rsidR="00913CF5" w:rsidRPr="00C761E9">
        <w:rPr>
          <w:rFonts w:ascii="Book Antiqua" w:eastAsia="Book Antiqua" w:hAnsi="Book Antiqua" w:cs="Book Antiqua"/>
          <w:color w:val="000000" w:themeColor="text1"/>
        </w:rPr>
        <w:t>gdom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13CF5"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13CF5" w:rsidRPr="00C761E9">
        <w:rPr>
          <w:rFonts w:ascii="Book Antiqua" w:eastAsia="Book Antiqua" w:hAnsi="Book Antiqua" w:cs="Book Antiqua"/>
          <w:color w:val="000000" w:themeColor="text1"/>
        </w:rPr>
        <w:t>Bahrain,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13CF5" w:rsidRPr="00C761E9">
        <w:rPr>
          <w:rFonts w:ascii="Book Antiqua" w:eastAsia="Book Antiqua" w:hAnsi="Book Antiqua" w:cs="Book Antiqua"/>
          <w:color w:val="000000" w:themeColor="text1"/>
        </w:rPr>
        <w:t>Manama</w:t>
      </w:r>
      <w:r w:rsidR="00AE7F13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B6545" w:rsidRPr="00C761E9">
        <w:rPr>
          <w:rFonts w:ascii="Book Antiqua" w:eastAsia="Book Antiqua" w:hAnsi="Book Antiqua" w:cs="Book Antiqua"/>
          <w:color w:val="000000" w:themeColor="text1"/>
        </w:rPr>
        <w:t>P.O. Box 12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Bahrain</w:t>
      </w:r>
    </w:p>
    <w:p w14:paraId="54C1CB12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998611C" w14:textId="73FA330D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Nermin</w:t>
      </w:r>
      <w:proofErr w:type="spellEnd"/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Kamal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Saeed,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13CF5" w:rsidRPr="00C761E9">
        <w:rPr>
          <w:rFonts w:ascii="Book Antiqua" w:hAnsi="Book Antiqua" w:cs="Book Antiqua"/>
          <w:bCs/>
          <w:color w:val="000000" w:themeColor="text1"/>
          <w:lang w:eastAsia="zh-CN"/>
        </w:rPr>
        <w:t>The</w:t>
      </w:r>
      <w:r w:rsidR="00A766AB" w:rsidRPr="00C761E9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Microbiology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Section,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Pathology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Department,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Irish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Royal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College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Surgeon,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Manama</w:t>
      </w:r>
      <w:r w:rsidR="00C761E9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6545" w:rsidRPr="00C761E9">
        <w:rPr>
          <w:rFonts w:ascii="Book Antiqua" w:eastAsia="Book Antiqua" w:hAnsi="Book Antiqua" w:cs="Book Antiqua"/>
          <w:color w:val="000000" w:themeColor="text1"/>
        </w:rPr>
        <w:t>P.O. Box 15503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Bahrain</w:t>
      </w:r>
    </w:p>
    <w:p w14:paraId="55D23468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C314D53" w14:textId="5661478A" w:rsidR="00A77B3E" w:rsidRPr="00C761E9" w:rsidRDefault="00D54E16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Sanaa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Al</w:t>
      </w:r>
      <w:r w:rsidR="001B6CAF" w:rsidRPr="00C761E9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proofErr w:type="spellStart"/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khawaja</w:t>
      </w:r>
      <w:proofErr w:type="spellEnd"/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13CF5" w:rsidRPr="00C761E9">
        <w:rPr>
          <w:rFonts w:ascii="Book Antiqua" w:hAnsi="Book Antiqua" w:cs="Book Antiqua"/>
          <w:bCs/>
          <w:color w:val="000000" w:themeColor="text1"/>
          <w:lang w:eastAsia="zh-CN"/>
        </w:rPr>
        <w:t>The</w:t>
      </w:r>
      <w:r w:rsidR="00A766AB" w:rsidRPr="00C761E9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Intensive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Salmaniya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Medical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Complex,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Ministry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Health,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Kingdom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Bahrain,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Manama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6545" w:rsidRPr="00C761E9">
        <w:rPr>
          <w:rFonts w:ascii="Book Antiqua" w:eastAsia="Book Antiqua" w:hAnsi="Book Antiqua" w:cs="Book Antiqua"/>
          <w:color w:val="000000" w:themeColor="text1"/>
        </w:rPr>
        <w:t>P.O. Box 12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Bahrain</w:t>
      </w:r>
    </w:p>
    <w:p w14:paraId="0A70574D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2D1D90D" w14:textId="55CFF42B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Nashwa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Azzam,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13CF5" w:rsidRPr="00C761E9">
        <w:rPr>
          <w:rFonts w:ascii="Book Antiqua" w:hAnsi="Book Antiqua" w:cs="Book Antiqua"/>
          <w:bCs/>
          <w:color w:val="000000" w:themeColor="text1"/>
          <w:lang w:eastAsia="zh-CN"/>
        </w:rPr>
        <w:t>The</w:t>
      </w:r>
      <w:r w:rsidR="00A766AB" w:rsidRPr="00C761E9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High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Institute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Public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Health,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Alexandria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University,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Alexandria,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Egypt</w:t>
      </w:r>
    </w:p>
    <w:p w14:paraId="1780846B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864B54B" w14:textId="5FD36DFE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Mohammed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Al-</w:t>
      </w:r>
      <w:proofErr w:type="spellStart"/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Biltagi</w:t>
      </w:r>
      <w:proofErr w:type="spellEnd"/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FF35FA" w:rsidRPr="00C761E9">
        <w:rPr>
          <w:rFonts w:ascii="Book Antiqua" w:hAnsi="Book Antiqua" w:cs="Book Antiqua"/>
          <w:bCs/>
          <w:color w:val="000000" w:themeColor="text1"/>
          <w:lang w:eastAsia="zh-CN"/>
        </w:rPr>
        <w:t>The</w:t>
      </w:r>
      <w:r w:rsidR="00A766AB" w:rsidRPr="00C761E9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Pediatrics,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University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Medical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5FA" w:rsidRPr="00C761E9">
        <w:rPr>
          <w:rFonts w:ascii="Book Antiqua" w:hAnsi="Book Antiqua" w:cs="Book Antiqua"/>
          <w:color w:val="000000" w:themeColor="text1"/>
          <w:lang w:eastAsia="zh-CN"/>
        </w:rPr>
        <w:t>C</w:t>
      </w:r>
      <w:r w:rsidRPr="00C761E9">
        <w:rPr>
          <w:rFonts w:ascii="Book Antiqua" w:eastAsia="Book Antiqua" w:hAnsi="Book Antiqua" w:cs="Book Antiqua"/>
          <w:color w:val="000000" w:themeColor="text1"/>
        </w:rPr>
        <w:t>enter,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Abdulla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Medical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City,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Arabian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Gulf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University,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Manama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6545" w:rsidRPr="00C761E9">
        <w:rPr>
          <w:rFonts w:ascii="Book Antiqua" w:eastAsia="Book Antiqua" w:hAnsi="Book Antiqua" w:cs="Book Antiqua"/>
          <w:color w:val="000000" w:themeColor="text1"/>
        </w:rPr>
        <w:t>P.O. Box 26671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Bahrain</w:t>
      </w:r>
    </w:p>
    <w:p w14:paraId="0A8BCF79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0A3048A" w14:textId="5F176BF6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Mohammed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Al-</w:t>
      </w:r>
      <w:proofErr w:type="spellStart"/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Biltagi</w:t>
      </w:r>
      <w:proofErr w:type="spellEnd"/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Pediatric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Department,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Faculty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Medicine,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Tanta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University,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Tanta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A10D6" w:rsidRPr="00C761E9">
        <w:rPr>
          <w:rFonts w:ascii="Book Antiqua" w:eastAsia="Book Antiqua" w:hAnsi="Book Antiqua" w:cs="Book Antiqua"/>
          <w:color w:val="000000" w:themeColor="text1"/>
        </w:rPr>
        <w:t xml:space="preserve">P.O. Box </w:t>
      </w:r>
      <w:r w:rsidR="00DA10D6" w:rsidRPr="00C761E9">
        <w:rPr>
          <w:rFonts w:ascii="Book Antiqua" w:hAnsi="Book Antiqua" w:cs="Arial"/>
          <w:color w:val="000000" w:themeColor="text1"/>
          <w:shd w:val="clear" w:color="auto" w:fill="FFFFFF"/>
        </w:rPr>
        <w:t>31512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Alghrabia</w:t>
      </w:r>
      <w:proofErr w:type="spellEnd"/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Egypt</w:t>
      </w:r>
    </w:p>
    <w:p w14:paraId="78F1E2B8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2939CB5" w14:textId="1E2AF7C2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Al-Khawaja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FF35FA" w:rsidRPr="00C761E9">
        <w:rPr>
          <w:rFonts w:ascii="Book Antiqua" w:hAnsi="Book Antiqua" w:cs="Book Antiqua"/>
          <w:color w:val="000000" w:themeColor="text1"/>
          <w:lang w:eastAsia="zh-CN"/>
        </w:rPr>
        <w:t>S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Saeed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FF35FA" w:rsidRPr="00C761E9">
        <w:rPr>
          <w:rFonts w:ascii="Book Antiqua" w:hAnsi="Book Antiqua" w:cs="Book Antiqua"/>
          <w:color w:val="000000" w:themeColor="text1"/>
          <w:lang w:eastAsia="zh-CN"/>
        </w:rPr>
        <w:t>NK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</w:t>
      </w:r>
      <w:r w:rsidR="001D0991" w:rsidRPr="00C761E9">
        <w:rPr>
          <w:rFonts w:ascii="Book Antiqua" w:eastAsia="Book Antiqua" w:hAnsi="Book Antiqua" w:cs="Book Antiqua"/>
          <w:color w:val="000000" w:themeColor="text1"/>
        </w:rPr>
        <w:t>-</w:t>
      </w:r>
      <w:r w:rsidRPr="00C761E9">
        <w:rPr>
          <w:rFonts w:ascii="Book Antiqua" w:eastAsia="Book Antiqua" w:hAnsi="Book Antiqua" w:cs="Book Antiqua"/>
          <w:color w:val="000000" w:themeColor="text1"/>
        </w:rPr>
        <w:t>Khawaja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FF35FA" w:rsidRPr="00C761E9">
        <w:rPr>
          <w:rFonts w:ascii="Book Antiqua" w:hAnsi="Book Antiqua" w:cs="Book Antiqua"/>
          <w:color w:val="000000" w:themeColor="text1"/>
          <w:lang w:eastAsia="zh-CN"/>
        </w:rPr>
        <w:t>S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Azzam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FF35FA" w:rsidRPr="00C761E9">
        <w:rPr>
          <w:rFonts w:ascii="Book Antiqua" w:hAnsi="Book Antiqua" w:cs="Book Antiqua"/>
          <w:color w:val="000000" w:themeColor="text1"/>
          <w:lang w:eastAsia="zh-CN"/>
        </w:rPr>
        <w:t>N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FF35FA" w:rsidRPr="00C761E9">
        <w:rPr>
          <w:rFonts w:ascii="Book Antiqua" w:hAnsi="Book Antiqua" w:cs="Book Antiqua"/>
          <w:color w:val="000000" w:themeColor="text1"/>
          <w:lang w:eastAsia="zh-CN"/>
        </w:rPr>
        <w:t>and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Al-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Biltagi</w:t>
      </w:r>
      <w:proofErr w:type="spellEnd"/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FF35FA" w:rsidRPr="00C761E9">
        <w:rPr>
          <w:rFonts w:ascii="Book Antiqua" w:hAnsi="Book Antiqua" w:cs="Book Antiqua"/>
          <w:color w:val="000000" w:themeColor="text1"/>
          <w:lang w:eastAsia="zh-CN"/>
        </w:rPr>
        <w:t>M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research,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collected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wrote,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revised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manuscript.</w:t>
      </w:r>
    </w:p>
    <w:p w14:paraId="23EFD34D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289FB14" w14:textId="55593BA1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Mohammed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Al-</w:t>
      </w:r>
      <w:proofErr w:type="spellStart"/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Biltagi</w:t>
      </w:r>
      <w:proofErr w:type="spellEnd"/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Chairman,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Pediatrics,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University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Medical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Center,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King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Abdulla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Medical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City,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Arabian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Gulf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University,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5FA" w:rsidRPr="00C761E9">
        <w:rPr>
          <w:rFonts w:ascii="Book Antiqua" w:hAnsi="Book Antiqua" w:cs="Book Antiqua"/>
          <w:color w:val="000000" w:themeColor="text1"/>
          <w:lang w:eastAsia="zh-CN"/>
        </w:rPr>
        <w:t>61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Building,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FF35FA" w:rsidRPr="00C761E9">
        <w:rPr>
          <w:rFonts w:ascii="Book Antiqua" w:eastAsia="Book Antiqua" w:hAnsi="Book Antiqua" w:cs="Book Antiqua"/>
          <w:color w:val="000000" w:themeColor="text1"/>
        </w:rPr>
        <w:t>Abdulaziz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Venue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5FA" w:rsidRPr="00C761E9">
        <w:rPr>
          <w:rFonts w:ascii="Book Antiqua" w:hAnsi="Book Antiqua" w:cs="Book Antiqua"/>
          <w:color w:val="000000" w:themeColor="text1"/>
          <w:lang w:eastAsia="zh-CN"/>
        </w:rPr>
        <w:t>328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Block,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Manama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991" w:rsidRPr="00C761E9">
        <w:rPr>
          <w:rFonts w:ascii="Book Antiqua" w:eastAsia="Book Antiqua" w:hAnsi="Book Antiqua" w:cs="Book Antiqua"/>
          <w:color w:val="000000" w:themeColor="text1"/>
        </w:rPr>
        <w:t>P.O. Box 26671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Bahrain.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mbelrem@hotmail.com</w:t>
      </w:r>
    </w:p>
    <w:p w14:paraId="4271FA65" w14:textId="21CC4EA4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99FBD26" w14:textId="6116A3D6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February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23,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2021</w:t>
      </w:r>
    </w:p>
    <w:p w14:paraId="70282714" w14:textId="224444EC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FF35FA" w:rsidRPr="00C761E9">
        <w:rPr>
          <w:rFonts w:ascii="Book Antiqua" w:hAnsi="Book Antiqua" w:cs="Book Antiqua"/>
          <w:bCs/>
          <w:color w:val="000000" w:themeColor="text1"/>
          <w:lang w:eastAsia="zh-CN"/>
        </w:rPr>
        <w:t>June</w:t>
      </w:r>
      <w:r w:rsidR="00A766AB" w:rsidRPr="00C761E9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FF35FA" w:rsidRPr="00C761E9">
        <w:rPr>
          <w:rFonts w:ascii="Book Antiqua" w:hAnsi="Book Antiqua" w:cs="Book Antiqua"/>
          <w:bCs/>
          <w:color w:val="000000" w:themeColor="text1"/>
          <w:lang w:eastAsia="zh-CN"/>
        </w:rPr>
        <w:t>17,</w:t>
      </w:r>
      <w:r w:rsidR="00A766AB" w:rsidRPr="00C761E9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FF35FA" w:rsidRPr="00C761E9">
        <w:rPr>
          <w:rFonts w:ascii="Book Antiqua" w:hAnsi="Book Antiqua" w:cs="Book Antiqua"/>
          <w:bCs/>
          <w:color w:val="000000" w:themeColor="text1"/>
          <w:lang w:eastAsia="zh-CN"/>
        </w:rPr>
        <w:t>2021</w:t>
      </w:r>
    </w:p>
    <w:p w14:paraId="4F702705" w14:textId="68686A6D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0" w:name="OLE_LINK15"/>
      <w:bookmarkStart w:id="1" w:name="OLE_LINK33"/>
      <w:bookmarkStart w:id="2" w:name="OLE_LINK48"/>
      <w:r w:rsidR="00C761E9">
        <w:rPr>
          <w:rFonts w:ascii="Book Antiqua" w:eastAsia="宋体" w:hAnsi="Book Antiqua"/>
          <w:color w:val="000000" w:themeColor="text1"/>
        </w:rPr>
        <w:t>J</w:t>
      </w:r>
      <w:r w:rsidR="00C761E9">
        <w:rPr>
          <w:rFonts w:ascii="Book Antiqua" w:eastAsia="宋体" w:hAnsi="Book Antiqua" w:hint="eastAsia"/>
          <w:color w:val="000000" w:themeColor="text1"/>
        </w:rPr>
        <w:t>u</w:t>
      </w:r>
      <w:r w:rsidR="00C761E9">
        <w:rPr>
          <w:rFonts w:ascii="Book Antiqua" w:eastAsia="宋体" w:hAnsi="Book Antiqua"/>
          <w:color w:val="000000" w:themeColor="text1"/>
        </w:rPr>
        <w:t>ly</w:t>
      </w:r>
      <w:r w:rsidR="00C761E9" w:rsidRPr="00F06907">
        <w:rPr>
          <w:rFonts w:ascii="Book Antiqua" w:eastAsia="宋体" w:hAnsi="Book Antiqua"/>
          <w:color w:val="000000" w:themeColor="text1"/>
        </w:rPr>
        <w:t xml:space="preserve"> </w:t>
      </w:r>
      <w:r w:rsidR="00C761E9">
        <w:rPr>
          <w:rFonts w:ascii="Book Antiqua" w:eastAsia="宋体" w:hAnsi="Book Antiqua"/>
          <w:color w:val="000000" w:themeColor="text1"/>
        </w:rPr>
        <w:t>20</w:t>
      </w:r>
      <w:r w:rsidR="00C761E9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05187082" w14:textId="77777777" w:rsidR="001A4CB2" w:rsidRPr="00586CC3" w:rsidRDefault="00D54E16" w:rsidP="001A4CB2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A4CB2" w:rsidRPr="00586CC3">
        <w:rPr>
          <w:rFonts w:ascii="Book Antiqua" w:eastAsia="宋体" w:hAnsi="Book Antiqua"/>
          <w:color w:val="000000" w:themeColor="text1"/>
        </w:rPr>
        <w:t>September 9</w:t>
      </w:r>
      <w:r w:rsidR="001A4CB2" w:rsidRPr="00F06907">
        <w:rPr>
          <w:rFonts w:ascii="Book Antiqua" w:eastAsia="宋体" w:hAnsi="Book Antiqua"/>
          <w:color w:val="000000" w:themeColor="text1"/>
        </w:rPr>
        <w:t>, 2021</w:t>
      </w:r>
    </w:p>
    <w:p w14:paraId="3B2455FE" w14:textId="15A0D2B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C761E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03D081" w14:textId="7777777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3962DFE5" w14:textId="7777777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213437EC" w14:textId="3FBE0E50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venous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essential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component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monitoring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managing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critically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However,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poses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increased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risks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severe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higher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probability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morbidity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mortality.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6B522981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A0F32B9" w14:textId="7777777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AIM</w:t>
      </w:r>
    </w:p>
    <w:p w14:paraId="4419BC99" w14:textId="0DA83AFE" w:rsidR="00A77B3E" w:rsidRPr="00C761E9" w:rsidRDefault="00A766AB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T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o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define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trends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rates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line-associated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bloodstream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infections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(CLABSI)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over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four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years,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its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predicted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risk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factors,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D54E16" w:rsidRPr="00C761E9">
        <w:rPr>
          <w:rFonts w:ascii="Book Antiqua" w:eastAsia="Book Antiqua" w:hAnsi="Book Antiqua" w:cs="Book Antiqua"/>
          <w:color w:val="000000" w:themeColor="text1"/>
        </w:rPr>
        <w:t>aetiology</w:t>
      </w:r>
      <w:proofErr w:type="spellEnd"/>
      <w:r w:rsidR="00D54E16" w:rsidRPr="00C761E9">
        <w:rPr>
          <w:rFonts w:ascii="Book Antiqua" w:eastAsia="Book Antiqua" w:hAnsi="Book Antiqua" w:cs="Book Antiqua"/>
          <w:color w:val="000000" w:themeColor="text1"/>
        </w:rPr>
        <w:t>,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antimicrobial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susceptibility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isolated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pathogens.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2A6507CF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0E95BF5" w14:textId="7777777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METHODS</w:t>
      </w:r>
    </w:p>
    <w:p w14:paraId="13796B9F" w14:textId="3C004A0A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prospective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case-control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performed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according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guidelines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Disease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surveillance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methodology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admitted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adult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intensive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(ICU)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auditing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implementation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bundle.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34226D48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7C7432E" w14:textId="7777777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RESULTS</w:t>
      </w:r>
    </w:p>
    <w:p w14:paraId="2268F9A4" w14:textId="02B04422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Thirty-four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identified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over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period,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giving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average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3.2/1000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infection's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time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trend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displayed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significant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reductions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over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time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concomitantly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bundle's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reinforcement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4.7/1000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beginning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2016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1.4/1000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2018.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frequently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identified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pathogens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causing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gram</w:t>
      </w:r>
      <w:r w:rsidRPr="00C761E9">
        <w:rPr>
          <w:rFonts w:ascii="Book Antiqua" w:eastAsia="Book Antiqua" w:hAnsi="Book Antiqua" w:cs="Book Antiqua"/>
          <w:color w:val="000000" w:themeColor="text1"/>
        </w:rPr>
        <w:t>-negative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organisms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(59%).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common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offending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organisms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Enterococcus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Staphylococcus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epidermidis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each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accounted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5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cases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(15%).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Multidrug-resistant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organisms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contributed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56%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higher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when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femoral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access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longer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hospitalisation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duration,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especially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non-ICU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setting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another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identified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risk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factor.</w:t>
      </w:r>
    </w:p>
    <w:p w14:paraId="303DD412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EFD7D4F" w14:textId="7777777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lastRenderedPageBreak/>
        <w:t>CONCLUSION</w:t>
      </w:r>
    </w:p>
    <w:p w14:paraId="6DBD1BD2" w14:textId="213C5954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Implementing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reduced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significantly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Implementing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crucial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maintain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substantial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reduction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setting.</w:t>
      </w:r>
    </w:p>
    <w:p w14:paraId="0AE140D4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E80AA1A" w14:textId="07631E3E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Bloodstream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D3608D" w:rsidRPr="00C761E9">
        <w:rPr>
          <w:rFonts w:ascii="Book Antiqua" w:hAnsi="Book Antiqua" w:cs="Book Antiqua"/>
          <w:color w:val="000000" w:themeColor="text1"/>
          <w:lang w:eastAsia="zh-CN"/>
        </w:rPr>
        <w:t>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D3608D" w:rsidRPr="00C761E9">
        <w:rPr>
          <w:rFonts w:ascii="Book Antiqua" w:hAnsi="Book Antiqua" w:cs="Book Antiqua"/>
          <w:color w:val="000000" w:themeColor="text1"/>
          <w:lang w:eastAsia="zh-CN"/>
        </w:rPr>
        <w:t>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Intensive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</w:t>
      </w:r>
      <w:r w:rsidR="00D3608D" w:rsidRPr="00C761E9">
        <w:rPr>
          <w:rFonts w:ascii="Book Antiqua" w:hAnsi="Book Antiqua" w:cs="Book Antiqua"/>
          <w:color w:val="000000" w:themeColor="text1"/>
          <w:lang w:eastAsia="zh-CN"/>
        </w:rPr>
        <w:t>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Microbiology</w:t>
      </w:r>
      <w:r w:rsidR="00D3608D" w:rsidRPr="00C761E9">
        <w:rPr>
          <w:rFonts w:ascii="Book Antiqua" w:hAnsi="Book Antiqua" w:cs="Book Antiqua"/>
          <w:color w:val="000000" w:themeColor="text1"/>
          <w:lang w:eastAsia="zh-CN"/>
        </w:rPr>
        <w:t>;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D3608D" w:rsidRPr="00C761E9">
        <w:rPr>
          <w:rFonts w:ascii="Book Antiqua" w:hAnsi="Book Antiqua" w:cs="Book Antiqua"/>
          <w:color w:val="000000" w:themeColor="text1"/>
          <w:lang w:eastAsia="zh-CN"/>
        </w:rPr>
        <w:t>P</w:t>
      </w:r>
      <w:r w:rsidRPr="00C761E9">
        <w:rPr>
          <w:rFonts w:ascii="Book Antiqua" w:eastAsia="Book Antiqua" w:hAnsi="Book Antiqua" w:cs="Book Antiqua"/>
          <w:color w:val="000000" w:themeColor="text1"/>
        </w:rPr>
        <w:t>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</w:t>
      </w:r>
      <w:r w:rsidR="00D3608D" w:rsidRPr="00C761E9">
        <w:rPr>
          <w:rFonts w:ascii="Book Antiqua" w:hAnsi="Book Antiqua" w:cs="Book Antiqua"/>
          <w:color w:val="000000" w:themeColor="text1"/>
          <w:lang w:eastAsia="zh-CN"/>
        </w:rPr>
        <w:t>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Kingdom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Bahrain</w:t>
      </w:r>
    </w:p>
    <w:p w14:paraId="51650F96" w14:textId="77777777" w:rsidR="0050292F" w:rsidRDefault="0050292F" w:rsidP="0050292F">
      <w:pPr>
        <w:rPr>
          <w:rFonts w:asciiTheme="minorEastAsia" w:hAnsiTheme="minorEastAsia"/>
          <w:b/>
        </w:rPr>
      </w:pPr>
    </w:p>
    <w:p w14:paraId="2D13BDF7" w14:textId="77777777" w:rsidR="0050292F" w:rsidRDefault="0050292F" w:rsidP="0050292F">
      <w:pPr>
        <w:spacing w:line="360" w:lineRule="auto"/>
        <w:rPr>
          <w:rFonts w:ascii="Book Antiqua" w:eastAsia="Book Antiqua" w:hAnsi="Book Antiqua" w:cs="Book Antiqua" w:hint="eastAsia"/>
          <w:color w:val="000000"/>
          <w:sz w:val="21"/>
          <w:szCs w:val="22"/>
        </w:rPr>
      </w:pPr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290AA447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B092E3A" w14:textId="77777777" w:rsidR="00A84BD9" w:rsidRDefault="003B4DEC" w:rsidP="00962229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lang w:val="pt-BR"/>
        </w:rPr>
      </w:pPr>
      <w:r>
        <w:rPr>
          <w:rFonts w:ascii="Book Antiqua" w:eastAsia="宋体" w:hAnsi="Book Antiqua" w:cs="Book Antiqua"/>
          <w:b/>
          <w:bCs/>
          <w:color w:val="000000"/>
        </w:rPr>
        <w:t xml:space="preserve">Citation: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Al-Khawaja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Saeed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NK,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D54E16" w:rsidRPr="00C761E9">
        <w:rPr>
          <w:rFonts w:ascii="Book Antiqua" w:eastAsia="Book Antiqua" w:hAnsi="Book Antiqua" w:cs="Book Antiqua"/>
          <w:color w:val="000000" w:themeColor="text1"/>
        </w:rPr>
        <w:t>Alkhawaja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Azzam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Al-</w:t>
      </w:r>
      <w:proofErr w:type="spellStart"/>
      <w:r w:rsidR="00D54E16" w:rsidRPr="00C761E9">
        <w:rPr>
          <w:rFonts w:ascii="Book Antiqua" w:eastAsia="Book Antiqua" w:hAnsi="Book Antiqua" w:cs="Book Antiqua"/>
          <w:color w:val="000000" w:themeColor="text1"/>
        </w:rPr>
        <w:t>Biltagi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M.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Trends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central line-associated bloodstream infections in the intensive care unit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Kingdom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Bahrain: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Four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years’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experience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i/>
          <w:iCs/>
          <w:color w:val="000000" w:themeColor="text1"/>
        </w:rPr>
        <w:t>Crit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3" w:name="_Hlk76254237"/>
      <w:r w:rsidR="00962229" w:rsidRPr="00021734">
        <w:rPr>
          <w:rFonts w:ascii="Book Antiqua" w:eastAsia="Book Antiqua" w:hAnsi="Book Antiqua" w:cs="Book Antiqua"/>
          <w:lang w:val="pt-BR"/>
        </w:rPr>
        <w:t>2021; 10(</w:t>
      </w:r>
      <w:r w:rsidR="00962229">
        <w:rPr>
          <w:rFonts w:ascii="Book Antiqua" w:eastAsia="Book Antiqua" w:hAnsi="Book Antiqua" w:cs="Book Antiqua"/>
          <w:lang w:val="pt-BR"/>
        </w:rPr>
        <w:t>5</w:t>
      </w:r>
      <w:r w:rsidR="00962229" w:rsidRPr="00021734">
        <w:rPr>
          <w:rFonts w:ascii="Book Antiqua" w:eastAsia="Book Antiqua" w:hAnsi="Book Antiqua" w:cs="Book Antiqua"/>
          <w:lang w:val="pt-BR"/>
        </w:rPr>
        <w:t xml:space="preserve">): </w:t>
      </w:r>
      <w:r w:rsidR="0020083D">
        <w:rPr>
          <w:rFonts w:ascii="Book Antiqua" w:eastAsia="等线" w:hAnsi="Book Antiqua"/>
          <w:color w:val="000000"/>
        </w:rPr>
        <w:t>220-231</w:t>
      </w:r>
      <w:r w:rsidR="00962229" w:rsidRPr="00021734">
        <w:rPr>
          <w:rFonts w:ascii="Book Antiqua" w:eastAsia="Book Antiqua" w:hAnsi="Book Antiqua" w:cs="Book Antiqua"/>
          <w:lang w:val="pt-BR"/>
        </w:rPr>
        <w:t xml:space="preserve">  </w:t>
      </w:r>
    </w:p>
    <w:p w14:paraId="755E0B52" w14:textId="33E53403" w:rsidR="00A84BD9" w:rsidRDefault="00962229" w:rsidP="00962229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lang w:val="pt-BR"/>
        </w:rPr>
      </w:pPr>
      <w:r w:rsidRPr="00A84BD9">
        <w:rPr>
          <w:rFonts w:ascii="Book Antiqua" w:eastAsia="Book Antiqua" w:hAnsi="Book Antiqua" w:cs="Book Antiqua"/>
          <w:b/>
          <w:bCs/>
          <w:lang w:val="pt-BR"/>
        </w:rPr>
        <w:t>URL:</w:t>
      </w:r>
      <w:r w:rsidRPr="00021734">
        <w:rPr>
          <w:rFonts w:ascii="Book Antiqua" w:eastAsia="Book Antiqua" w:hAnsi="Book Antiqua" w:cs="Book Antiqua"/>
          <w:lang w:val="pt-BR"/>
        </w:rPr>
        <w:t xml:space="preserve"> https://www.wjgnet.com/2220-3141/full/v10/i</w:t>
      </w:r>
      <w:r>
        <w:rPr>
          <w:rFonts w:ascii="Book Antiqua" w:eastAsia="Book Antiqua" w:hAnsi="Book Antiqua" w:cs="Book Antiqua"/>
          <w:lang w:val="pt-BR"/>
        </w:rPr>
        <w:t>5</w:t>
      </w:r>
      <w:r w:rsidRPr="00021734">
        <w:rPr>
          <w:rFonts w:ascii="Book Antiqua" w:eastAsia="Book Antiqua" w:hAnsi="Book Antiqua" w:cs="Book Antiqua"/>
          <w:lang w:val="pt-BR"/>
        </w:rPr>
        <w:t>/</w:t>
      </w:r>
      <w:r w:rsidR="0020083D">
        <w:rPr>
          <w:rFonts w:ascii="Book Antiqua" w:eastAsia="等线" w:hAnsi="Book Antiqua"/>
          <w:color w:val="000000"/>
        </w:rPr>
        <w:t>220</w:t>
      </w:r>
      <w:r w:rsidRPr="00021734">
        <w:rPr>
          <w:rFonts w:ascii="Book Antiqua" w:eastAsia="Book Antiqua" w:hAnsi="Book Antiqua" w:cs="Book Antiqua"/>
          <w:lang w:val="pt-BR"/>
        </w:rPr>
        <w:t xml:space="preserve">.htm  </w:t>
      </w:r>
    </w:p>
    <w:p w14:paraId="1C74C026" w14:textId="7610962C" w:rsidR="00962229" w:rsidRPr="00021734" w:rsidRDefault="00962229" w:rsidP="00962229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lang w:val="pt-BR"/>
        </w:rPr>
      </w:pPr>
      <w:r w:rsidRPr="00A84BD9">
        <w:rPr>
          <w:rFonts w:ascii="Book Antiqua" w:eastAsia="Book Antiqua" w:hAnsi="Book Antiqua" w:cs="Book Antiqua"/>
          <w:b/>
          <w:bCs/>
          <w:lang w:val="pt-BR"/>
        </w:rPr>
        <w:t>DOI:</w:t>
      </w:r>
      <w:r w:rsidRPr="00021734">
        <w:rPr>
          <w:rFonts w:ascii="Book Antiqua" w:eastAsia="Book Antiqua" w:hAnsi="Book Antiqua" w:cs="Book Antiqua"/>
          <w:lang w:val="pt-BR"/>
        </w:rPr>
        <w:t xml:space="preserve"> https://dx.doi.org/10.5492/wjccm.v10.i</w:t>
      </w:r>
      <w:r>
        <w:rPr>
          <w:rFonts w:ascii="Book Antiqua" w:eastAsia="Book Antiqua" w:hAnsi="Book Antiqua" w:cs="Book Antiqua"/>
          <w:lang w:val="pt-BR"/>
        </w:rPr>
        <w:t>5</w:t>
      </w:r>
      <w:r w:rsidRPr="00021734">
        <w:rPr>
          <w:rFonts w:ascii="Book Antiqua" w:eastAsia="Book Antiqua" w:hAnsi="Book Antiqua" w:cs="Book Antiqua"/>
          <w:lang w:val="pt-BR"/>
        </w:rPr>
        <w:t>.</w:t>
      </w:r>
      <w:r w:rsidR="0020083D">
        <w:rPr>
          <w:rFonts w:ascii="Book Antiqua" w:eastAsia="等线" w:hAnsi="Book Antiqua"/>
          <w:color w:val="000000"/>
        </w:rPr>
        <w:t>220</w:t>
      </w:r>
    </w:p>
    <w:bookmarkEnd w:id="3"/>
    <w:p w14:paraId="5D76DEDF" w14:textId="45FC28BA" w:rsidR="00A77B3E" w:rsidRPr="0096222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  <w:lang w:val="pt-BR"/>
        </w:rPr>
      </w:pPr>
    </w:p>
    <w:p w14:paraId="3450EC80" w14:textId="6716FA8B" w:rsidR="00D3608D" w:rsidRPr="00C761E9" w:rsidRDefault="00D54E16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aimed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define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trends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line-associated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bloodstream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(CLABSI)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over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years,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predicted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risk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factors,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aetiology</w:t>
      </w:r>
      <w:proofErr w:type="spellEnd"/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antimicrobial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susceptibility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isolated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pathogens.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found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implementing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reduced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significantly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intensive care unit (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>)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Therefore,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implementing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reinforcing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crucial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substantially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reducing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setting.</w:t>
      </w:r>
    </w:p>
    <w:p w14:paraId="1F8DBC06" w14:textId="77777777" w:rsidR="00A77B3E" w:rsidRPr="00C761E9" w:rsidRDefault="00D3608D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br w:type="page"/>
      </w:r>
      <w:r w:rsidR="00D54E16" w:rsidRPr="00C761E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1B72FDA3" w14:textId="4C0EA740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venous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essential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component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monitoring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managing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critically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However,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poses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increased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risks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severe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higher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probability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morbidity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mortality.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presence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bacteraemia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initiated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intravenous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catheter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hallmark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catheter-related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bloodstream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FD4793" w:rsidRPr="00C761E9">
        <w:rPr>
          <w:rFonts w:ascii="Book Antiqua" w:hAnsi="Book Antiqua" w:cs="Book Antiqua"/>
          <w:color w:val="000000" w:themeColor="text1"/>
          <w:lang w:eastAsia="zh-CN"/>
        </w:rPr>
        <w:t>(BSI)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line-associated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D4793" w:rsidRPr="00C761E9">
        <w:rPr>
          <w:rFonts w:ascii="Book Antiqua" w:hAnsi="Book Antiqua" w:cs="Book Antiqua"/>
          <w:color w:val="000000" w:themeColor="text1"/>
          <w:lang w:eastAsia="zh-CN"/>
        </w:rPr>
        <w:t>BSI</w:t>
      </w:r>
      <w:r w:rsidRPr="00C761E9">
        <w:rPr>
          <w:rFonts w:ascii="Book Antiqua" w:eastAsia="Book Antiqua" w:hAnsi="Book Antiqua" w:cs="Book Antiqua"/>
          <w:color w:val="000000" w:themeColor="text1"/>
        </w:rPr>
        <w:t>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(CLABSI</w:t>
      </w:r>
      <w:r w:rsidR="00FD4793" w:rsidRPr="00C761E9">
        <w:rPr>
          <w:rFonts w:ascii="Book Antiqua" w:hAnsi="Book Antiqua" w:cs="Book Antiqua"/>
          <w:color w:val="000000" w:themeColor="text1"/>
          <w:lang w:eastAsia="zh-CN"/>
        </w:rPr>
        <w:t>s</w:t>
      </w:r>
      <w:r w:rsidRPr="00C761E9">
        <w:rPr>
          <w:rFonts w:ascii="Book Antiqua" w:eastAsia="Book Antiqua" w:hAnsi="Book Antiqua" w:cs="Book Antiqua"/>
          <w:color w:val="000000" w:themeColor="text1"/>
        </w:rPr>
        <w:t>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D4793" w:rsidRPr="00C761E9">
        <w:rPr>
          <w:rFonts w:ascii="Book Antiqua" w:hAnsi="Book Antiqua" w:cs="Book Antiqua"/>
          <w:color w:val="000000" w:themeColor="text1"/>
          <w:lang w:eastAsia="zh-CN"/>
        </w:rPr>
        <w:t>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developed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venous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catheters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which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other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apparent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secondary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source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bacteraemia</w:t>
      </w:r>
      <w:proofErr w:type="spellEnd"/>
      <w:r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common,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fatal,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costly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side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effects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venous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catheterisation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frequent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causes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nosocomial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61E9">
        <w:rPr>
          <w:rFonts w:ascii="Book Antiqua" w:eastAsia="Book Antiqua" w:hAnsi="Book Antiqua" w:cs="Book Antiqua"/>
          <w:color w:val="000000" w:themeColor="text1"/>
        </w:rPr>
        <w:t>infections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</w:p>
    <w:p w14:paraId="25790652" w14:textId="273A542F" w:rsidR="00A77B3E" w:rsidRPr="00C761E9" w:rsidRDefault="00D54E16" w:rsidP="00CF2D8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wide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variable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different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parts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world,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even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other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institutes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same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61E9">
        <w:rPr>
          <w:rFonts w:ascii="Book Antiqua" w:eastAsia="Book Antiqua" w:hAnsi="Book Antiqua" w:cs="Book Antiqua"/>
          <w:color w:val="000000" w:themeColor="text1"/>
        </w:rPr>
        <w:t>country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2-5]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depends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many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factors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crowdedness,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scope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service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provided,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ratio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nursing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staff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staff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adherence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recommended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measures,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availability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resources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needed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implementing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61E9">
        <w:rPr>
          <w:rFonts w:ascii="Book Antiqua" w:eastAsia="Book Antiqua" w:hAnsi="Book Antiqua" w:cs="Book Antiqua"/>
          <w:color w:val="000000" w:themeColor="text1"/>
        </w:rPr>
        <w:t>measures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6]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EF442CB" w14:textId="170D2B17" w:rsidR="00A77B3E" w:rsidRPr="00C761E9" w:rsidRDefault="00D54E16" w:rsidP="00CF2D8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International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benchmark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National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Health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Safety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Network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(NHSN)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reported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pooled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1.25/1000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61E9">
        <w:rPr>
          <w:rFonts w:ascii="Book Antiqua" w:eastAsia="Book Antiqua" w:hAnsi="Book Antiqua" w:cs="Book Antiqua"/>
          <w:color w:val="000000" w:themeColor="text1"/>
        </w:rPr>
        <w:t>days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7]</w:t>
      </w:r>
      <w:r w:rsidRPr="00C761E9">
        <w:rPr>
          <w:rFonts w:ascii="Book Antiqua" w:eastAsia="Book Antiqua" w:hAnsi="Book Antiqua" w:cs="Book Antiqua"/>
          <w:color w:val="000000" w:themeColor="text1"/>
        </w:rPr>
        <w:t>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while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International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Nosocomial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Consortium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(INICC)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reported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pooled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developing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countries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4.1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line-days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[8]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Recently,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regional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studies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Arabian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Gulf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countries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reported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average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3.1/1000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2017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[9]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other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hand,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resource-limited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countries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like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India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reported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much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higher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range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10-40/1000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61E9">
        <w:rPr>
          <w:rFonts w:ascii="Book Antiqua" w:eastAsia="Book Antiqua" w:hAnsi="Book Antiqua" w:cs="Book Antiqua"/>
          <w:color w:val="000000" w:themeColor="text1"/>
        </w:rPr>
        <w:t>days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10]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</w:p>
    <w:p w14:paraId="6BB338C4" w14:textId="79422286" w:rsidR="00A77B3E" w:rsidRPr="00C761E9" w:rsidRDefault="00D54E16" w:rsidP="00CF2D8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Due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relatively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high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incidence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Arabian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Gulf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countries,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crucial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Many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previous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studies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proved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cases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preventable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through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implementing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evidence-based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consists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group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elements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during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maintenance.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Decreasing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catheter-related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achieved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intensive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(ICU</w:t>
      </w:r>
      <w:r w:rsidR="00D3608D" w:rsidRPr="00C761E9">
        <w:rPr>
          <w:rFonts w:ascii="Book Antiqua" w:hAnsi="Book Antiqua" w:cs="Book Antiqua"/>
          <w:color w:val="000000" w:themeColor="text1"/>
          <w:lang w:eastAsia="zh-CN"/>
        </w:rPr>
        <w:t>s</w:t>
      </w:r>
      <w:r w:rsidRPr="00C761E9">
        <w:rPr>
          <w:rFonts w:ascii="Book Antiqua" w:eastAsia="Book Antiqua" w:hAnsi="Book Antiqua" w:cs="Book Antiqua"/>
          <w:color w:val="000000" w:themeColor="text1"/>
        </w:rPr>
        <w:t>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through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periodic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education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programs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complemented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auditing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regular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surveillance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6]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</w:p>
    <w:p w14:paraId="55959AEF" w14:textId="6A007097" w:rsidR="00A77B3E" w:rsidRPr="00C761E9" w:rsidRDefault="00D54E16" w:rsidP="00CF2D8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lastRenderedPageBreak/>
        <w:t>According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knowledge,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previous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published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about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Bahrain.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Therefore,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current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aimed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determine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608D" w:rsidRPr="00C761E9">
        <w:rPr>
          <w:rFonts w:ascii="Book Antiqua" w:hAnsi="Book Antiqua" w:cs="Book Antiqua"/>
          <w:color w:val="000000" w:themeColor="text1"/>
          <w:lang w:eastAsia="zh-CN"/>
        </w:rPr>
        <w:t>ICUs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Salmaniya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Medical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Complex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(SMC),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tertiary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hospital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Bahrain.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also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sought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define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risk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factors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acquisition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define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microbiological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profile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line-related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bacteraemia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antimicrobial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susceptibility.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microbiologic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antimicrobial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susceptibility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mapping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help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select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appropriate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empirical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antibiotics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therapy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clinically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suspected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before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laboratory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identification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causative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organism,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especially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among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critically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early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administration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appropriate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antimicrobial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treatment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crucial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lifesaving.</w:t>
      </w:r>
    </w:p>
    <w:p w14:paraId="676593AB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EDF06F3" w14:textId="4AB1A7AD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MATERIALS</w:t>
      </w:r>
      <w:r w:rsidR="00A766AB" w:rsidRPr="00C761E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C761E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A766AB" w:rsidRPr="00C761E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C761E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0D1A6D79" w14:textId="63E836B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i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Design</w:t>
      </w:r>
      <w:r w:rsidR="00A766AB"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="00197C17"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s</w:t>
      </w:r>
      <w:r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etting</w:t>
      </w:r>
    </w:p>
    <w:p w14:paraId="49E68297" w14:textId="1FFB5F68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prospective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observational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2CF8" w:rsidRPr="00C761E9">
        <w:rPr>
          <w:rFonts w:ascii="Book Antiqua" w:eastAsia="Book Antiqua" w:hAnsi="Book Antiqua" w:cs="Book Antiqua"/>
          <w:color w:val="000000" w:themeColor="text1"/>
        </w:rPr>
        <w:t xml:space="preserve">case-control </w:t>
      </w:r>
      <w:r w:rsidRPr="00C761E9">
        <w:rPr>
          <w:rFonts w:ascii="Book Antiqua" w:eastAsia="Book Antiqua" w:hAnsi="Book Antiqua" w:cs="Book Antiqua"/>
          <w:color w:val="000000" w:themeColor="text1"/>
        </w:rPr>
        <w:t>study,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done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over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years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(from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January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2015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till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December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2018);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adult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Salmaniya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Medical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Complex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(SMC).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SMC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governmental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tertiary-care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hospital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Kingdom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Bahrain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1200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capacity.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22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fully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equipped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single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intensive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rooms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staffed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trained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nurses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1:1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nurse-patient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ratio.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B2CA736" w14:textId="3909B885" w:rsidR="00A77B3E" w:rsidRPr="00C761E9" w:rsidRDefault="00D54E16" w:rsidP="00CF2D81">
      <w:pPr>
        <w:spacing w:line="360" w:lineRule="auto"/>
        <w:ind w:firstLineChars="50" w:firstLine="120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implemented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comprehensive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program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2016;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reduce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level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comparable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States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NHSN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61E9">
        <w:rPr>
          <w:rFonts w:ascii="Book Antiqua" w:eastAsia="Book Antiqua" w:hAnsi="Book Antiqua" w:cs="Book Antiqua"/>
          <w:color w:val="000000" w:themeColor="text1"/>
        </w:rPr>
        <w:t>benchmark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program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included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intensive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education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staff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about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elements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both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608D" w:rsidRPr="00C761E9">
        <w:rPr>
          <w:rFonts w:ascii="Book Antiqua" w:hAnsi="Book Antiqua" w:cs="Book Antiqua"/>
          <w:color w:val="000000" w:themeColor="text1"/>
          <w:lang w:eastAsia="zh-CN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maintenance;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regular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auditing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practice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liaison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nurse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(dedicated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nurse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staff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received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intensive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training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reserved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hours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work);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close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monitoring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periodic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feedback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from/to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staff.</w:t>
      </w:r>
    </w:p>
    <w:p w14:paraId="6B17799D" w14:textId="1DF09EF1" w:rsidR="00A77B3E" w:rsidRPr="00C761E9" w:rsidRDefault="00D54E16" w:rsidP="00CF2D81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prevention bundle for insertion </w:t>
      </w:r>
      <w:r w:rsidRPr="00C761E9">
        <w:rPr>
          <w:rFonts w:ascii="Book Antiqua" w:eastAsia="Book Antiqua" w:hAnsi="Book Antiqua" w:cs="Book Antiqua"/>
          <w:color w:val="000000" w:themeColor="text1"/>
        </w:rPr>
        <w:t>included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optimizing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hygiene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before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maximizing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sterile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barrier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precaution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(full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sterile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body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precaution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including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cap,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mask,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sterile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gown,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gloves),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optimal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selection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lastRenderedPageBreak/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catheter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site,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full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body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draping,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proper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chlorhexidine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skin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preparation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site.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addition,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608D" w:rsidRPr="00C761E9">
        <w:rPr>
          <w:rFonts w:ascii="Book Antiqua" w:hAnsi="Book Antiqua" w:cs="Book Antiqua"/>
          <w:color w:val="000000" w:themeColor="text1"/>
          <w:lang w:eastAsia="zh-CN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maintenance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included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daily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reviewing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necessity,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optimizing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hygiene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requirements,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proper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scrubbing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hub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before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each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appropriate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antiseptic,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limiting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accessing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catheters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sterile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devices,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stressing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dressing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changes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under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complete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aseptic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technique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sterile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gloves,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proper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periodic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replacement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dressings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(dry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gauze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dressings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every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two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days/transparent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dressings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every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seven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days)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[12]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</w:p>
    <w:p w14:paraId="7EA1624F" w14:textId="77777777" w:rsidR="00D3608D" w:rsidRPr="00C761E9" w:rsidRDefault="00D3608D" w:rsidP="00CF2D8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</w:p>
    <w:p w14:paraId="10456EA8" w14:textId="1C3DE93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i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population</w:t>
      </w:r>
    </w:p>
    <w:p w14:paraId="52B2E38B" w14:textId="00804685" w:rsidR="00A77B3E" w:rsidRPr="00C761E9" w:rsidRDefault="00D54E16" w:rsidP="00CF2D81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included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(≥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14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years)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admitted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adult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SMC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needed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placement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during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years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between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January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2015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December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2018.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exclusion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criteria.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defined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cases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developed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CALBSI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after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48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their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admission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group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without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development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diagnosed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-according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NHSN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definition-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laboratory-confirmed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D4793" w:rsidRPr="00C761E9">
        <w:rPr>
          <w:rFonts w:ascii="Book Antiqua" w:hAnsi="Book Antiqua" w:cs="Book Antiqua"/>
          <w:color w:val="000000" w:themeColor="text1"/>
          <w:lang w:eastAsia="zh-CN"/>
        </w:rPr>
        <w:t>BSI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also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identified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eligible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primary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D4793" w:rsidRPr="00C761E9">
        <w:rPr>
          <w:rFonts w:ascii="Book Antiqua" w:eastAsia="Book Antiqua" w:hAnsi="Book Antiqua" w:cs="Book Antiqua"/>
          <w:color w:val="000000" w:themeColor="text1"/>
        </w:rPr>
        <w:t>BSI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causing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organism,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suitable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present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laboratory-confirmed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D4793" w:rsidRPr="00C761E9">
        <w:rPr>
          <w:rFonts w:ascii="Book Antiqua" w:eastAsia="Book Antiqua" w:hAnsi="Book Antiqua" w:cs="Book Antiqua"/>
          <w:color w:val="000000" w:themeColor="text1"/>
        </w:rPr>
        <w:t>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event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(LCBI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DOE)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61E9">
        <w:rPr>
          <w:rFonts w:ascii="Book Antiqua" w:eastAsia="Book Antiqua" w:hAnsi="Book Antiqua" w:cs="Book Antiqua"/>
          <w:color w:val="000000" w:themeColor="text1"/>
        </w:rPr>
        <w:t>before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defined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underlying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medical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surgical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conditions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proper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history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taking,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thorough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clinical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examination,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needed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investigations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appropriate.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3D03466" w14:textId="77777777" w:rsidR="00FD4793" w:rsidRPr="00C761E9" w:rsidRDefault="00FD4793" w:rsidP="00CF2D8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5576EBEB" w14:textId="1EF4E012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i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Data</w:t>
      </w:r>
      <w:r w:rsidR="00A766AB"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collection</w:t>
      </w:r>
    </w:p>
    <w:p w14:paraId="4E457F6C" w14:textId="5EB8402E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collected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prospectively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through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unit's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daily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round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liaison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nurse.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nurse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observed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catheterized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particular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surveillance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form.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recorded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specific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demographic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like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age,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gender,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underlying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diseases,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hospital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admission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admission,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clinical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diagnosis,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outcome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(death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discharge).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also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included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type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location,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number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lastRenderedPageBreak/>
        <w:t>lumens.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Cases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suspected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further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referred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evaluation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team.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team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included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clinical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microbiologist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diseases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physician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finalize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cases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fulfilled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required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clinical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microbiological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criteria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diagnose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CALBSI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NHSN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61E9">
        <w:rPr>
          <w:rFonts w:ascii="Book Antiqua" w:eastAsia="Book Antiqua" w:hAnsi="Book Antiqua" w:cs="Book Antiqua"/>
          <w:color w:val="000000" w:themeColor="text1"/>
        </w:rPr>
        <w:t>definition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</w:p>
    <w:p w14:paraId="5B361F09" w14:textId="45061D80" w:rsidR="00A77B3E" w:rsidRPr="00C761E9" w:rsidRDefault="00D54E16" w:rsidP="00CF2D8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liaison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nurse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collected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about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staff's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adherence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(doctors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D4793" w:rsidRPr="00C761E9">
        <w:rPr>
          <w:rFonts w:ascii="Book Antiqua" w:hAnsi="Book Antiqua" w:cs="Book Antiqua"/>
          <w:color w:val="000000" w:themeColor="text1"/>
          <w:lang w:eastAsia="zh-CN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nurses)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recommended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standardized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audit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checklist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maintenance.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checklist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included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elements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mentioned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above.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collected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during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observational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rounds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twice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week.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got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minimum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120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observations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maintenance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elements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month;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included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checklist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compared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prospective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collected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three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years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(from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January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2016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December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2018)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retrospective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collected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same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during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year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before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implementing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comprehensive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program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(during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2015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year).</w:t>
      </w:r>
    </w:p>
    <w:p w14:paraId="46517D14" w14:textId="77777777" w:rsidR="00FD4793" w:rsidRPr="00C761E9" w:rsidRDefault="00FD4793" w:rsidP="00CF2D81">
      <w:pPr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  <w:lang w:eastAsia="zh-CN"/>
        </w:rPr>
      </w:pPr>
    </w:p>
    <w:p w14:paraId="3F3835D1" w14:textId="2B339045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i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Bacterial</w:t>
      </w:r>
      <w:r w:rsidR="00A766AB"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identification</w:t>
      </w:r>
      <w:r w:rsidR="00A766AB"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antibacterial</w:t>
      </w:r>
      <w:r w:rsidR="00A766AB"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susceptibility</w:t>
      </w:r>
      <w:r w:rsidR="00A766AB"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testing</w:t>
      </w:r>
    </w:p>
    <w:p w14:paraId="6A756CB0" w14:textId="7CCB4A96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used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traditional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culture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biochemical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characteristics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isolates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proper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bacterial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identification.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addition,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standardized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antimicrobial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susceptibility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testing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according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Clinical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Laboratory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Standards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61E9">
        <w:rPr>
          <w:rFonts w:ascii="Book Antiqua" w:eastAsia="Book Antiqua" w:hAnsi="Book Antiqua" w:cs="Book Antiqua"/>
          <w:color w:val="000000" w:themeColor="text1"/>
        </w:rPr>
        <w:t>Institute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13]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According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multi-drug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resistance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(MDR)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classification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system,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MDR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strains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resistance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3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classes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antimicrobial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61E9">
        <w:rPr>
          <w:rFonts w:ascii="Book Antiqua" w:eastAsia="Book Antiqua" w:hAnsi="Book Antiqua" w:cs="Book Antiqua"/>
          <w:color w:val="000000" w:themeColor="text1"/>
        </w:rPr>
        <w:t>agents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</w:p>
    <w:p w14:paraId="35D78D01" w14:textId="77777777" w:rsidR="00FD4793" w:rsidRPr="00C761E9" w:rsidRDefault="00FD4793" w:rsidP="00CF2D81">
      <w:pPr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  <w:lang w:eastAsia="zh-CN"/>
        </w:rPr>
      </w:pPr>
    </w:p>
    <w:p w14:paraId="29493CE0" w14:textId="0291088D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i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Statistical</w:t>
      </w:r>
      <w:r w:rsidR="00A766AB"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analysis</w:t>
      </w:r>
    </w:p>
    <w:p w14:paraId="79B12B39" w14:textId="7C8519C0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collected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tabulated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electronic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health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system,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analysing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statistical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software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SPSS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version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24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(IBM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850D9" w:rsidRPr="00C761E9">
        <w:rPr>
          <w:rFonts w:ascii="Book Antiqua" w:eastAsia="Book Antiqua" w:hAnsi="Book Antiqua" w:cs="Book Antiqua"/>
          <w:color w:val="000000" w:themeColor="text1"/>
        </w:rPr>
        <w:t>Corp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Chicago,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5A99" w:rsidRPr="00C761E9">
        <w:rPr>
          <w:rFonts w:ascii="Book Antiqua" w:eastAsia="Book Antiqua" w:hAnsi="Book Antiqua" w:cs="Book Antiqua"/>
          <w:color w:val="000000" w:themeColor="text1"/>
        </w:rPr>
        <w:t>IL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United States</w:t>
      </w:r>
      <w:r w:rsidRPr="00C761E9">
        <w:rPr>
          <w:rFonts w:ascii="Book Antiqua" w:eastAsia="Book Antiqua" w:hAnsi="Book Antiqua" w:cs="Book Antiqua"/>
          <w:color w:val="000000" w:themeColor="text1"/>
        </w:rPr>
        <w:t>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calculated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descriptive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statistics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demographic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variables,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including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frequencies,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percentages,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means,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ranges.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calculate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incidence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events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catheter-day,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divided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total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D4793" w:rsidRPr="00C761E9">
        <w:rPr>
          <w:rFonts w:ascii="Book Antiqua" w:eastAsia="Book Antiqua" w:hAnsi="Book Antiqua" w:cs="Book Antiqua"/>
          <w:color w:val="000000" w:themeColor="text1"/>
        </w:rPr>
        <w:t>number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D4793"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D4793"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D4793"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D4793"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Pr="00C761E9">
        <w:rPr>
          <w:rFonts w:ascii="Book Antiqua" w:eastAsia="Book Antiqua" w:hAnsi="Book Antiqua" w:cs="Book Antiqua"/>
          <w:color w:val="000000" w:themeColor="text1"/>
        </w:rPr>
        <w:t>/total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number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catheter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during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year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multiply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1000.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compliance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lastRenderedPageBreak/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(average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overall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compliance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maintenance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elements)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calculated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dividing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number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compliant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elements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over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number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observed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elements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multiply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100.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Research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Ethics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Committee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Ministry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Health,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Kingdom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Bahrain,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approved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collect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consent,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observational.</w:t>
      </w:r>
    </w:p>
    <w:p w14:paraId="1CD41F59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0C353B4" w14:textId="7777777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RESULTS</w:t>
      </w:r>
    </w:p>
    <w:p w14:paraId="306EE6F9" w14:textId="620E3E09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included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admitted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during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period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between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2015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2018.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During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period,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3323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1634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documented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34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cases,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average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3.2/1000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4.7/1000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beginning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2015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dropped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1.4/1000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2018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(Figure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Table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showed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demographics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clinical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characteristics,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potential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risk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factors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cases,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addition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group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(catheterized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without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CLABSIs).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About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71%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developed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medical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while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29%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surgical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conditions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(71%),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age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63.6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years;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twenty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(59%).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addition,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relatively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older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group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(median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age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63.6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years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52.6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years,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respectively).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However,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significant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difference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between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cases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group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age,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gender,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type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admission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(medical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surgical).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admitted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needed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temporary,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non-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tunnelled</w:t>
      </w:r>
      <w:proofErr w:type="spellEnd"/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one-lumen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type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lines.</w:t>
      </w:r>
    </w:p>
    <w:p w14:paraId="299FBC58" w14:textId="7D1C1078" w:rsidR="00A77B3E" w:rsidRPr="00C761E9" w:rsidRDefault="00D54E16" w:rsidP="00A801E9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table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also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showed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developed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average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15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after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line's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triple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lumens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D4793" w:rsidRPr="00C761E9">
        <w:rPr>
          <w:rFonts w:ascii="Book Antiqua" w:hAnsi="Book Antiqua" w:cs="Book Antiqua"/>
          <w:color w:val="000000" w:themeColor="text1"/>
          <w:lang w:eastAsia="zh-CN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non-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tunnelled</w:t>
      </w:r>
      <w:proofErr w:type="spellEnd"/>
      <w:r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common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femoral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(59%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3%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femoral-inserted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lines),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followed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jugular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vein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(30%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2.1%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jugular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vein-inserted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lines).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inside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(59%),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while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remaining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emergency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room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&lt;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0.05).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developed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significantly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longer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median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duration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stay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before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placement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(7.6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2.8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4" w:name="_Hlk76978120"/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&lt;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0.05</w:t>
      </w:r>
      <w:bookmarkEnd w:id="4"/>
      <w:r w:rsidRPr="00C761E9">
        <w:rPr>
          <w:rFonts w:ascii="Book Antiqua" w:eastAsia="Book Antiqua" w:hAnsi="Book Antiqua" w:cs="Book Antiqua"/>
          <w:color w:val="000000" w:themeColor="text1"/>
        </w:rPr>
        <w:t>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addition,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lastRenderedPageBreak/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higher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proportion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catheter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placement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femoral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vein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(59%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40%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&lt;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0.05),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especially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outside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setting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(41%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24%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&lt;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0.05)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group.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developed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significantly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longer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duration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those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develop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</w:t>
      </w:r>
      <w:r w:rsidRPr="00C761E9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&lt;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0.001).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developed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substantially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higher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mortality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group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(44%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27%,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&lt;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0.01).</w:t>
      </w:r>
    </w:p>
    <w:p w14:paraId="7009464C" w14:textId="26D88CA5" w:rsidR="00A77B3E" w:rsidRPr="00C761E9" w:rsidRDefault="00D54E16" w:rsidP="00CF2D8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Table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showed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microbiological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causes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Gram-negative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bacteria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common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organisms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isolated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(56%),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followed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g</w:t>
      </w:r>
      <w:r w:rsidRPr="00C761E9">
        <w:rPr>
          <w:rFonts w:ascii="Book Antiqua" w:eastAsia="Book Antiqua" w:hAnsi="Book Antiqua" w:cs="Book Antiqua"/>
          <w:color w:val="000000" w:themeColor="text1"/>
        </w:rPr>
        <w:t>ram-positive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bacteria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(41%).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Candida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isolated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3%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isolates.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gram</w:t>
      </w:r>
      <w:r w:rsidRPr="00C761E9">
        <w:rPr>
          <w:rFonts w:ascii="Book Antiqua" w:eastAsia="Book Antiqua" w:hAnsi="Book Antiqua" w:cs="Book Antiqua"/>
          <w:color w:val="000000" w:themeColor="text1"/>
        </w:rPr>
        <w:t>-positive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coagulase-negative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>Staphylococcus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(18%)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common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organisms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isolated,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followed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gram-negative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(15%),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gram-positive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Enterococci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(15%),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Pseudomonas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(12%),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Escherichia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(12%),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(9%),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Staphylococcus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aureus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(6%).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observed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MDR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organisms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59%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(20/34)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cases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(gram-positive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gram-negative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organisms).</w:t>
      </w:r>
    </w:p>
    <w:p w14:paraId="2EDAB2A5" w14:textId="430C3877" w:rsidR="00A77B3E" w:rsidRPr="00C761E9" w:rsidRDefault="00D54E16" w:rsidP="00CF2D81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Table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3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showed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antibiotic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sensitivity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pattern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common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gram-positive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organisms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causing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current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Their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sensitivity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both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Linezolid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Daptomycin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100%.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Staphylococcus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aureus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Coagulase-negative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Staphylococci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100%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sensitive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vancomycin.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Table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3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also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showed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other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antibiotics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sensitivities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common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gram-positive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organisms.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showed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antibiotic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sensitivity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pattern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common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gram-negative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organisms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causing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current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Table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4.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Effective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Colistin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present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strains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isolates.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Pseudomonas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aeruginosa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100%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sensitivity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piperacillin</w:t>
      </w:r>
      <w:r w:rsidRPr="00C761E9">
        <w:rPr>
          <w:rFonts w:ascii="Book Antiqua" w:eastAsia="Book Antiqua" w:hAnsi="Book Antiqua" w:cs="Book Antiqua"/>
          <w:color w:val="000000" w:themeColor="text1"/>
        </w:rPr>
        <w:t>-tazobactam,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ceftazidime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cefepime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meropenem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ciprofloxacin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gentamicin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amikacin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baumannii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isolates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high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level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resistance.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Three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isolates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(60%)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MDR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resistant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tested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antibiotics.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However,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baumannii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isolates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sensitive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colistin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(100%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sensitivity).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Three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Escherichia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coli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(E.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coli)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isolates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(75%)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MDR;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ESBL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producers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(25%),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two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(50%).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isolates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also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high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resistance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level;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two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three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lastRenderedPageBreak/>
        <w:t>isolates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(66%)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CRE.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However,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isolates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(100%)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retain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their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sensitivity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colistin.</w:t>
      </w:r>
    </w:p>
    <w:p w14:paraId="1704201D" w14:textId="77777777" w:rsidR="00FD4793" w:rsidRPr="00C761E9" w:rsidRDefault="00FD4793" w:rsidP="00CF2D8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</w:p>
    <w:p w14:paraId="1450A68B" w14:textId="29B5267D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i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Compliance</w:t>
      </w:r>
      <w:r w:rsidR="00A766AB"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prevention bundle</w:t>
      </w:r>
    </w:p>
    <w:p w14:paraId="7511EA33" w14:textId="3BF23143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Figure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showed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overall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compliance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showed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significant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improvement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throughout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period.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improvement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related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enhancement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adherence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optimum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selection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anatomical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site.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Compliance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deficient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(45%)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beginning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2016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lack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experience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subclavian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internal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jugular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residents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covering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duty.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Therefore,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training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residents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optimize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improved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adherence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proper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selection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reach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83%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2018.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Figure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3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showed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overall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compliance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maintenance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showed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overall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improvement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during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period,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predominantly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appropriate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dressing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replacement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hub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scrub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practice,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which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accomplished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through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reinforcement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practice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observing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liaison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nurse.</w:t>
      </w:r>
    </w:p>
    <w:p w14:paraId="4B52A036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BD910DB" w14:textId="7777777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11688837" w14:textId="7F085FA6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CLABSIs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result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many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preventable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deaths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each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year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high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financial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load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healthcare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system.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Nevertheless,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preventable.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Therefore,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implementing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program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paramount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importance.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After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implemented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program,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decreased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4.7/1000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central-catheter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baseline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beginning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implementing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program)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1.4/1000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catheter-days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achieved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comparable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international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benchmark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NHSN,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reported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median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1.25/1000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central-catheter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61E9">
        <w:rPr>
          <w:rFonts w:ascii="Book Antiqua" w:eastAsia="Book Antiqua" w:hAnsi="Book Antiqua" w:cs="Book Antiqua"/>
          <w:color w:val="000000" w:themeColor="text1"/>
        </w:rPr>
        <w:t>days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7]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Many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previous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studies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showed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similar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reduction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reinforcing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61E9">
        <w:rPr>
          <w:rFonts w:ascii="Book Antiqua" w:eastAsia="Book Antiqua" w:hAnsi="Book Antiqua" w:cs="Book Antiqua"/>
          <w:color w:val="000000" w:themeColor="text1"/>
        </w:rPr>
        <w:t>program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15-18]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example,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promising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report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published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Abdulla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illustrated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significant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decline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6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lastRenderedPageBreak/>
        <w:t>during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2011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0.3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2016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among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major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teaching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hospitals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Saudi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61E9">
        <w:rPr>
          <w:rFonts w:ascii="Book Antiqua" w:eastAsia="Book Antiqua" w:hAnsi="Book Antiqua" w:cs="Book Antiqua"/>
          <w:color w:val="000000" w:themeColor="text1"/>
        </w:rPr>
        <w:t>Arabia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19]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</w:p>
    <w:p w14:paraId="723E539C" w14:textId="3EB5505B" w:rsidR="00A77B3E" w:rsidRPr="00C761E9" w:rsidRDefault="00D54E16" w:rsidP="00CF2D8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current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revealed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many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factors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increased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risk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increased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when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femoral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access.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also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increased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hospitalization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duration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before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admission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longer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admission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duration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before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line's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also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affects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risk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risk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increased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when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setting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outside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Emergency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Room,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which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commonly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happened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long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waiting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time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before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transferring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C1A7943" w14:textId="55515BD8" w:rsidR="00A77B3E" w:rsidRPr="00C761E9" w:rsidRDefault="00D54E16" w:rsidP="00CF2D8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significant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risk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factor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develop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Previously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published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showed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increased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risk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developing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complications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when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femoral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access,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consistent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61E9">
        <w:rPr>
          <w:rFonts w:ascii="Book Antiqua" w:eastAsia="Book Antiqua" w:hAnsi="Book Antiqua" w:cs="Book Antiqua"/>
          <w:color w:val="000000" w:themeColor="text1"/>
        </w:rPr>
        <w:t>finding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20-22]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Accordingly,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should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avoid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femoral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access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much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possible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avoid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increasing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thrombotic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events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compared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subclavian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internal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jugular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sites.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subclavian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associated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lowest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observed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current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other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studies.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Nevertheless,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occasionally,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difficult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subclavian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internal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jugular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coagulopathies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anatomical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difficulties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distorting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anatomical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61E9">
        <w:rPr>
          <w:rFonts w:ascii="Book Antiqua" w:eastAsia="Book Antiqua" w:hAnsi="Book Antiqua" w:cs="Book Antiqua"/>
          <w:color w:val="000000" w:themeColor="text1"/>
        </w:rPr>
        <w:t>features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23]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current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duration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longer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week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also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significant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risk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factor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develop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finding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agreed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Baier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FD4793"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FD4793"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24]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found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duration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eight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significant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risk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factor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develop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CLABSI.</w:t>
      </w:r>
    </w:p>
    <w:p w14:paraId="7EAAE743" w14:textId="2E6FD564" w:rsidR="00A77B3E" w:rsidRPr="00C761E9" w:rsidRDefault="00D54E16" w:rsidP="00CF2D81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current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microbial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profile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showed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predominance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gram-negative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bacteria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(56%),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high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percentage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MDR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strains.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Similar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obtained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previously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published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studies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worldwide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illustrated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change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gram-negative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carriage's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global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tendency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gram-positive.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observations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greatly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accentuated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setting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high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exposure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nosocomial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61E9">
        <w:rPr>
          <w:rFonts w:ascii="Book Antiqua" w:eastAsia="Book Antiqua" w:hAnsi="Book Antiqua" w:cs="Book Antiqua"/>
          <w:color w:val="000000" w:themeColor="text1"/>
        </w:rPr>
        <w:t>microorganisms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25-29]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Addressing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bacterial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profile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prevalence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MDR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bacteria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causing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admitted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their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antimicrobial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resistance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profile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help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physicians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make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rapid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management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decision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start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proper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antibiotics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until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result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bacterial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culture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antibiotic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sensitivity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pattern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becomes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available.</w:t>
      </w:r>
    </w:p>
    <w:p w14:paraId="7D76F311" w14:textId="77777777" w:rsidR="00FD4793" w:rsidRPr="00C761E9" w:rsidRDefault="00FD4793" w:rsidP="00CF2D8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5757CB96" w14:textId="7777777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i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Limitations</w:t>
      </w:r>
    </w:p>
    <w:p w14:paraId="5E2A0F6F" w14:textId="60B5F709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current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certain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limitations.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conducted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survey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single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centre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Bahrain.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Consequently,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results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cannot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generalized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other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public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private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hospital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settings.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address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patients'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clinical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details,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which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could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critical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risk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factor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develop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However,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despite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study's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limitations,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provide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clinicians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valuable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concerning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incidence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prevalence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Bahrain,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reflecting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Arabian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Gulf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region's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status.</w:t>
      </w:r>
    </w:p>
    <w:p w14:paraId="0E9EFC47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440F94D" w14:textId="7777777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4BA8B9B7" w14:textId="22595141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Given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promising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trend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reducing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through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reinforcement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unit's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program,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believe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possible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achieve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lower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attain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desired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outcomes,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need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reinforce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doctors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select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optimal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avoid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femoral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access,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reinforce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line's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inside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trained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physician.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microbial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profile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showed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predominance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gram-negative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bacteria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significant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proportion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MDR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organisms,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advise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broad-spectrum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gram-negative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coverage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addition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gram-positive)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part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empirical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antibiotics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therapy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suspected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CLABSI.</w:t>
      </w:r>
    </w:p>
    <w:p w14:paraId="22E98AE8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482AF8F" w14:textId="1F412626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A766AB" w:rsidRPr="00C761E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C761E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5495F383" w14:textId="2D5FF022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A766AB" w:rsidRPr="00C761E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17ABDE74" w14:textId="3A128D5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venous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essential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component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monitoring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managing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critically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850D9" w:rsidRPr="00C761E9">
        <w:rPr>
          <w:rFonts w:ascii="Book Antiqua" w:eastAsia="Book Antiqua" w:hAnsi="Book Antiqua" w:cs="Book Antiqua"/>
          <w:color w:val="000000" w:themeColor="text1"/>
        </w:rPr>
        <w:t>Central line-associated bloodstream infection</w:t>
      </w:r>
      <w:r w:rsidR="00E850D9" w:rsidRPr="00C761E9">
        <w:rPr>
          <w:rFonts w:ascii="Book Antiqua" w:hAnsi="Book Antiqua" w:cs="Book Antiqua"/>
          <w:color w:val="000000" w:themeColor="text1"/>
          <w:lang w:eastAsia="zh-CN"/>
        </w:rPr>
        <w:t xml:space="preserve"> (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E850D9" w:rsidRPr="00C761E9">
        <w:rPr>
          <w:rFonts w:ascii="Book Antiqua" w:hAnsi="Book Antiqua" w:cs="Book Antiqua"/>
          <w:color w:val="000000" w:themeColor="text1"/>
          <w:lang w:eastAsia="zh-CN"/>
        </w:rPr>
        <w:t>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850D9" w:rsidRPr="00C761E9">
        <w:rPr>
          <w:rFonts w:ascii="Book Antiqua" w:hAnsi="Book Antiqua" w:cs="Book Antiqua"/>
          <w:color w:val="000000" w:themeColor="text1"/>
          <w:lang w:eastAsia="zh-CN"/>
        </w:rPr>
        <w:t xml:space="preserve">BSIs </w:t>
      </w:r>
      <w:r w:rsidRPr="00C761E9">
        <w:rPr>
          <w:rFonts w:ascii="Book Antiqua" w:eastAsia="Book Antiqua" w:hAnsi="Book Antiqua" w:cs="Book Antiqua"/>
          <w:color w:val="000000" w:themeColor="text1"/>
        </w:rPr>
        <w:t>developed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venous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catheters.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presence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associated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higher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risk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morbidity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mortality.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</w:p>
    <w:p w14:paraId="3781D744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B2C1E5A" w14:textId="68EECE6E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i/>
          <w:color w:val="000000" w:themeColor="text1"/>
        </w:rPr>
        <w:lastRenderedPageBreak/>
        <w:t>Research</w:t>
      </w:r>
      <w:r w:rsidR="00A766AB" w:rsidRPr="00C761E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36952396" w14:textId="4CBB56BF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Because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do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not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have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enough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data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about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causative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organisms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Kingdom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Bahrain,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would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like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estimate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magnitude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problem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our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FD77D9" w:rsidRPr="00C761E9">
        <w:rPr>
          <w:rFonts w:ascii="Book Antiqua" w:hAnsi="Book Antiqua" w:cs="Book Antiqua"/>
          <w:color w:val="000000" w:themeColor="text1"/>
          <w:shd w:val="clear" w:color="auto" w:fill="FFFFFF"/>
          <w:lang w:eastAsia="zh-CN"/>
        </w:rPr>
        <w:t>i</w:t>
      </w:r>
      <w:r w:rsidR="00FD77D9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ntensive </w:t>
      </w:r>
      <w:r w:rsidR="00FD77D9" w:rsidRPr="00C761E9">
        <w:rPr>
          <w:rFonts w:ascii="Book Antiqua" w:hAnsi="Book Antiqua" w:cs="Book Antiqua"/>
          <w:color w:val="000000" w:themeColor="text1"/>
          <w:shd w:val="clear" w:color="auto" w:fill="FFFFFF"/>
          <w:lang w:eastAsia="zh-CN"/>
        </w:rPr>
        <w:t>c</w:t>
      </w:r>
      <w:r w:rsidR="00FD77D9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are </w:t>
      </w:r>
      <w:r w:rsidR="00FD77D9" w:rsidRPr="00C761E9">
        <w:rPr>
          <w:rFonts w:ascii="Book Antiqua" w:hAnsi="Book Antiqua" w:cs="Book Antiqua"/>
          <w:color w:val="000000" w:themeColor="text1"/>
          <w:shd w:val="clear" w:color="auto" w:fill="FFFFFF"/>
          <w:lang w:eastAsia="zh-CN"/>
        </w:rPr>
        <w:t>u</w:t>
      </w:r>
      <w:r w:rsidR="00FD77D9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nit</w:t>
      </w:r>
      <w:r w:rsidR="00FD77D9" w:rsidRPr="00C761E9">
        <w:rPr>
          <w:rFonts w:ascii="Book Antiqua" w:hAnsi="Book Antiqua" w:cs="Book Antiqua"/>
          <w:color w:val="000000" w:themeColor="text1"/>
          <w:shd w:val="clear" w:color="auto" w:fill="FFFFFF"/>
          <w:lang w:eastAsia="zh-CN"/>
        </w:rPr>
        <w:t>s (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ICUs</w:t>
      </w:r>
      <w:r w:rsidR="00FD77D9" w:rsidRPr="00C761E9">
        <w:rPr>
          <w:rFonts w:ascii="Book Antiqua" w:hAnsi="Book Antiqua" w:cs="Book Antiqua"/>
          <w:color w:val="000000" w:themeColor="text1"/>
          <w:shd w:val="clear" w:color="auto" w:fill="FFFFFF"/>
          <w:lang w:eastAsia="zh-CN"/>
        </w:rPr>
        <w:t>)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Knowing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microbial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profile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help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proper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empirical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antibiotics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therapy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suspected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CLABSI.</w:t>
      </w:r>
    </w:p>
    <w:p w14:paraId="1282F083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4517BD9" w14:textId="58C9190D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A766AB" w:rsidRPr="00C761E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05091EC2" w14:textId="6C9315DE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aimed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define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trends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rates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over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four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years,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its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predicted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risk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factors,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aetiology</w:t>
      </w:r>
      <w:proofErr w:type="spellEnd"/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antimicrobial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susceptibility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isolated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pathogens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</w:p>
    <w:p w14:paraId="49EDB3AB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F1293FE" w14:textId="5A7B0915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A766AB" w:rsidRPr="00C761E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46C44E31" w14:textId="48B9DFFA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prospective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case-control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study,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performed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according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guidelines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Center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Control</w:t>
      </w:r>
      <w:r w:rsidR="00A766AB" w:rsidRPr="00C761E9">
        <w:rPr>
          <w:rFonts w:ascii="Book Antiqua" w:hAnsi="Book Antiqua" w:cs="Book Antiqua"/>
          <w:color w:val="000000" w:themeColor="text1"/>
          <w:shd w:val="clear" w:color="auto" w:fill="FFFFFF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surveillance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methodology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admitted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adult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auditing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implementation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bundle.</w:t>
      </w:r>
    </w:p>
    <w:p w14:paraId="73F87C3F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EC383E9" w14:textId="2B13B2B8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A766AB" w:rsidRPr="00C761E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4DA84168" w14:textId="4B36E2D5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Thirty-four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identified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over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period,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giving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average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3.2/1000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infection's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time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trend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displayed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significant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reductions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over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time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concomitantly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bundle's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reinforcement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4.7/1000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beginning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2016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1.4/1000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2018.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frequently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identified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pathogens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causing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Gram-negative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organisms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(59%).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common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offending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organisms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Enterococcus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Staphylococcus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epidermidis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each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accounted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5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cases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(15%).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Multidrug-resistant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organisms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contributed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56%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higher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when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femoral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access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longer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hospitalisation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duration,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especially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non-ICU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setting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another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identified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risk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factor.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AE222B9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05AFB48" w14:textId="50CA560A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i/>
          <w:color w:val="000000" w:themeColor="text1"/>
        </w:rPr>
        <w:lastRenderedPageBreak/>
        <w:t>Research</w:t>
      </w:r>
      <w:r w:rsidR="00A766AB" w:rsidRPr="00C761E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1D66DE76" w14:textId="159E5F0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Implementing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reduced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significantly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Reinforcing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implementation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crucial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substantially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reducing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setting.</w:t>
      </w:r>
    </w:p>
    <w:p w14:paraId="0E711E86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4ACC35D" w14:textId="424F6E3C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A766AB" w:rsidRPr="00C761E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12CF819B" w14:textId="679B1AFF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need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mechanism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bacterial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resistance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among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also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need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viral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effects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morbidity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mortality.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should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other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countries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generalize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obtained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results.</w:t>
      </w:r>
    </w:p>
    <w:p w14:paraId="3DABE157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5F08BC5" w14:textId="7777777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ACKNOWLEDGEMENTS</w:t>
      </w:r>
    </w:p>
    <w:p w14:paraId="782EAAC7" w14:textId="6C5454E2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thank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anonymous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referees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their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useful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suggestions.</w:t>
      </w:r>
    </w:p>
    <w:p w14:paraId="315A868F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8E8F5EF" w14:textId="7777777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1C2FD7CC" w14:textId="1F05F2BF" w:rsidR="00A84E5C" w:rsidRPr="005D482D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bookmarkStart w:id="5" w:name="OLE_LINK4"/>
      <w:r w:rsidRPr="005D482D">
        <w:rPr>
          <w:rFonts w:ascii="Book Antiqua" w:eastAsia="Book Antiqua" w:hAnsi="Book Antiqua" w:cs="Book Antiqua"/>
          <w:color w:val="000000" w:themeColor="text1"/>
        </w:rPr>
        <w:t>1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Gahlot</w:t>
      </w:r>
      <w:proofErr w:type="spellEnd"/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R</w:t>
      </w:r>
      <w:r w:rsidRPr="005D482D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Nigam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Kumar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V,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Yadav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G,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Anupurba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Catheter-related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bloodstream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infections.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Crit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Illn</w:t>
      </w:r>
      <w:proofErr w:type="spellEnd"/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Inj</w:t>
      </w:r>
      <w:proofErr w:type="spellEnd"/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2014;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4</w:t>
      </w:r>
      <w:r w:rsidRPr="005D482D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162-167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25024944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10.4103/2229-5151.134184]</w:t>
      </w:r>
    </w:p>
    <w:p w14:paraId="72767E41" w14:textId="5B7BA953" w:rsidR="00A84E5C" w:rsidRPr="005D482D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D482D">
        <w:rPr>
          <w:rFonts w:ascii="Book Antiqua" w:eastAsia="Book Antiqua" w:hAnsi="Book Antiqua" w:cs="Book Antiqua"/>
          <w:color w:val="000000" w:themeColor="text1"/>
        </w:rPr>
        <w:t>2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Mehta</w:t>
      </w:r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5D482D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Rosenthal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VD,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Mehta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Y,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Chakravarthy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Todi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SK,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Sen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Sahu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Gopinath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Rodrigues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Kapoor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P,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Jawali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V,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Chakraborty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P,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Raj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JP,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Bindhani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Ravindra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Hegde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Pawar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Venkatachalam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Chatterjee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Trehan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Singhal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Damani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Device-associated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nosocomial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rates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intensive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units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seven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Indian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cities.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Findings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International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Nosocomial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Consortium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(INICC).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Hosp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Infect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2007;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67</w:t>
      </w:r>
      <w:r w:rsidRPr="005D482D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168-174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17905477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10.1016/j.jhin.2007.07.008]</w:t>
      </w:r>
    </w:p>
    <w:p w14:paraId="46D678F3" w14:textId="17F98597" w:rsidR="00A84E5C" w:rsidRPr="005D482D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D482D">
        <w:rPr>
          <w:rFonts w:ascii="Book Antiqua" w:eastAsia="Book Antiqua" w:hAnsi="Book Antiqua" w:cs="Book Antiqua"/>
          <w:color w:val="000000" w:themeColor="text1"/>
        </w:rPr>
        <w:t>3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Al-</w:t>
      </w:r>
      <w:proofErr w:type="spellStart"/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Tawfiq</w:t>
      </w:r>
      <w:proofErr w:type="spellEnd"/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JA</w:t>
      </w:r>
      <w:r w:rsidRPr="005D482D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Amalraj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Memish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ZA.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Reduction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surveillance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device-associated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infections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adult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intensive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units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at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Saudi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Arabian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hospital,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2004-2011.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Infect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2013;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17</w:t>
      </w:r>
      <w:r w:rsidRPr="005D482D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e1207-e1211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23932872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10.1016/j.ijid.2013.06.015]</w:t>
      </w:r>
    </w:p>
    <w:p w14:paraId="2CEAED80" w14:textId="5CB6C57B" w:rsidR="00A84E5C" w:rsidRPr="005D482D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D482D">
        <w:rPr>
          <w:rFonts w:ascii="Book Antiqua" w:eastAsia="Book Antiqua" w:hAnsi="Book Antiqua" w:cs="Book Antiqua"/>
          <w:color w:val="000000" w:themeColor="text1"/>
        </w:rPr>
        <w:t>4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Rosenthal</w:t>
      </w:r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VD</w:t>
      </w:r>
      <w:r w:rsidRPr="005D482D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Bijie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Maki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DG,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Mehta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Y,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Apisarnthanarak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Medeiros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EA,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Leblebicioglu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Fisher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Álvarez-Moreno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Khader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Del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Rocío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González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Martínez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lastRenderedPageBreak/>
        <w:t>M,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Cuellar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LE,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Navoa</w:t>
      </w:r>
      <w:proofErr w:type="spellEnd"/>
      <w:r w:rsidRPr="005D482D">
        <w:rPr>
          <w:rFonts w:ascii="Book Antiqua" w:eastAsia="Book Antiqua" w:hAnsi="Book Antiqua" w:cs="Book Antiqua"/>
          <w:color w:val="000000" w:themeColor="text1"/>
        </w:rPr>
        <w:t>-Ng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JA,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Abouqal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Guanche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Garcell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Mitrev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Z,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Pirez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García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MC,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Hamdi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Dueñas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L,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Cancel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E,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Gurskis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V,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Rasslan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Ahmed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Kanj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SS,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Ugalde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OC,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Mapp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Raka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L,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Yuet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Meng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Thu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le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Ghazal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Gikas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Narváez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LP,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Mejía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Hadjieva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Gamar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Elanbya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MO,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Guzmán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Siritt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ME,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Jayatilleke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K;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INICC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members.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International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Nosocomial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Consortium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(INICC)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report,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data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summary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36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countries,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2004-2009.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Infect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Control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2012;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40</w:t>
      </w:r>
      <w:r w:rsidRPr="005D482D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396-407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21908073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10.1016/j.ajic.2011.05.020]</w:t>
      </w:r>
    </w:p>
    <w:p w14:paraId="4BA61E91" w14:textId="00FA1915" w:rsidR="00A84E5C" w:rsidRPr="005D482D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D482D">
        <w:rPr>
          <w:rFonts w:ascii="Book Antiqua" w:eastAsia="Book Antiqua" w:hAnsi="Book Antiqua" w:cs="Book Antiqua"/>
          <w:color w:val="000000" w:themeColor="text1"/>
        </w:rPr>
        <w:t>5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Al-Mousa</w:t>
      </w:r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HH</w:t>
      </w:r>
      <w:r w:rsidRPr="005D482D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Omar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Rosenthal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VD,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Salama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MF,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Aly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NY,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El-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Dossoky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Noweir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Rebello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FM,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Narciso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DM,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Sayed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AF,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Kurian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George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SM,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Mohamed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AM,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Ramapurath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RJ,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Varghese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ST.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Device-associated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rates,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bacterial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resistance,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length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stay,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mortality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Kuwait: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International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Nosocomial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Consortium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findings.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Infect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Control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2016;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44</w:t>
      </w:r>
      <w:r w:rsidRPr="005D482D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444-449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26775929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10.1016/j.ajic.2015.10.031]</w:t>
      </w:r>
    </w:p>
    <w:p w14:paraId="3EEF7D10" w14:textId="59602566" w:rsidR="00A84E5C" w:rsidRPr="005D482D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D482D">
        <w:rPr>
          <w:rFonts w:ascii="Book Antiqua" w:eastAsia="Book Antiqua" w:hAnsi="Book Antiqua" w:cs="Book Antiqua"/>
          <w:color w:val="000000" w:themeColor="text1"/>
        </w:rPr>
        <w:t>6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Patil</w:t>
      </w:r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HV</w:t>
      </w:r>
      <w:r w:rsidRPr="005D482D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Patil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VC,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Ramteerthkar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MN,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Kulkarni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RD.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venous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catheter-related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bloodstream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infections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intensive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unit.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Indian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Crit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2011;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15</w:t>
      </w:r>
      <w:r w:rsidRPr="005D482D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213-223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22346032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10.4103/0972-5229.92074]</w:t>
      </w:r>
    </w:p>
    <w:p w14:paraId="049DA73B" w14:textId="5B39856B" w:rsidR="00A84E5C" w:rsidRPr="005D482D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D482D">
        <w:rPr>
          <w:rFonts w:ascii="Book Antiqua" w:eastAsia="Book Antiqua" w:hAnsi="Book Antiqua" w:cs="Book Antiqua"/>
          <w:color w:val="000000" w:themeColor="text1"/>
        </w:rPr>
        <w:t>7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Chitnis</w:t>
      </w:r>
      <w:proofErr w:type="spellEnd"/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AS</w:t>
      </w:r>
      <w:r w:rsidRPr="005D482D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Edwards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JR,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Ricks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PM,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Sievert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DM,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Fridkin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SK,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Gould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CV.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Device-associated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rates,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device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utilization,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antimicrobial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resistance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long-term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acute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hospitals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reporting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National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Healthcare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Safety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Network,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2010.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Infect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Control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Hosp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Epidemiol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2012;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33</w:t>
      </w:r>
      <w:r w:rsidRPr="005D482D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993-1000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22961018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10.1086/667745]</w:t>
      </w:r>
    </w:p>
    <w:p w14:paraId="2F2542CC" w14:textId="5AEBEC01" w:rsidR="00A84E5C" w:rsidRPr="005D482D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D482D">
        <w:rPr>
          <w:rFonts w:ascii="Book Antiqua" w:eastAsia="Book Antiqua" w:hAnsi="Book Antiqua" w:cs="Book Antiqua"/>
          <w:color w:val="000000" w:themeColor="text1"/>
        </w:rPr>
        <w:t>8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Rosenthal</w:t>
      </w:r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VD</w:t>
      </w:r>
      <w:r w:rsidRPr="005D482D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Al-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Abdely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HM,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El-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Kholy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AlKhawaja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SAA,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Leblebicioglu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Mehta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Y,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Rai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V,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Hung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NV,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Kanj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SS,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Salama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MF,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Salgado-Yepez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E,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Elahi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Morfin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Otero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Apisarnthanarak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Carvalho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BM,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Ider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BE,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Fisher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Buenaflor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MCSG,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Petrov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MM,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Quesada-Mora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AM,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Zand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F,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Gurskis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V,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Anguseva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Ikram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Aguilar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Moros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Duszynska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W,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Mejia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Horhat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FG,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Belskiy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V,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Mioljevic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V,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Di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Silvestre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G,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Furova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K,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Ramos-Ortiz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GY,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Gamar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Elanbya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MO,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Satari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HI,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Gupta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U,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Dendane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Raka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L,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Guanche-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Garcell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Hu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B,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Padgett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Jayatilleke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K,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Ben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Jaballah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Apostolopoulou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E,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Prudencio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Leon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WE,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Sepulveda-Chavez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Telechea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HM,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Trotter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Alvarez-Moreno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Kushner-Davalos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L;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Remaining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authors.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International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Nosocomial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Consortium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report,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data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summary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50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countries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2010-2015: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Device-associated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lastRenderedPageBreak/>
        <w:t>module.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Infect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Control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2016;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44</w:t>
      </w:r>
      <w:r w:rsidRPr="005D482D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1495-1504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27742143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10.1016/j.ajic.2016.08.007]</w:t>
      </w:r>
    </w:p>
    <w:p w14:paraId="43806713" w14:textId="7FAF6198" w:rsidR="00A84E5C" w:rsidRPr="005D482D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D482D">
        <w:rPr>
          <w:rFonts w:ascii="Book Antiqua" w:eastAsia="Book Antiqua" w:hAnsi="Book Antiqua" w:cs="Book Antiqua"/>
          <w:color w:val="000000" w:themeColor="text1"/>
        </w:rPr>
        <w:t>9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Balkhy</w:t>
      </w:r>
      <w:proofErr w:type="spellEnd"/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HH</w:t>
      </w:r>
      <w:r w:rsidRPr="005D482D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El-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Saed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Al-Abri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SS,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Alsalman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J,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Alansari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Maskari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Z,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El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Gammal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Nasser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W,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AlJardani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Althaqafi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Rates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line-associated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bloodstream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tertiary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hospitals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3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Arabian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gulf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countries: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6-year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surveillance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study.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Infect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Control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2017;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45</w:t>
      </w:r>
      <w:r w:rsidRPr="005D482D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e49-e51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28318648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10.1016/j.ajic.2017.01.027]</w:t>
      </w:r>
    </w:p>
    <w:p w14:paraId="2FFF0B03" w14:textId="5C847839" w:rsidR="00A84E5C" w:rsidRPr="005D482D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D482D">
        <w:rPr>
          <w:rFonts w:ascii="Book Antiqua" w:eastAsia="Book Antiqua" w:hAnsi="Book Antiqua" w:cs="Book Antiqua"/>
          <w:color w:val="000000" w:themeColor="text1"/>
        </w:rPr>
        <w:t>10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Kaur</w:t>
      </w:r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5D482D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Gupta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V,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Gombar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Chander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J,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Sahoo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Incidence,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risk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factors,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microbiology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venous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catheter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associated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bloodstream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infections--a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prospective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from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tertiary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hospital.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Indian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Microbiol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2015;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33</w:t>
      </w:r>
      <w:r w:rsidRPr="005D482D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248-254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25865976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10.4103/0255-0857.153572]</w:t>
      </w:r>
    </w:p>
    <w:p w14:paraId="66563406" w14:textId="4F6308E4" w:rsidR="00A84E5C" w:rsidRPr="005D482D" w:rsidRDefault="00A84E5C" w:rsidP="00CF2D81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5D482D">
        <w:rPr>
          <w:rFonts w:ascii="Book Antiqua" w:eastAsia="Book Antiqua" w:hAnsi="Book Antiqua" w:cs="Book Antiqua"/>
          <w:color w:val="000000" w:themeColor="text1"/>
        </w:rPr>
        <w:t>11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National</w:t>
      </w:r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Healthcare</w:t>
      </w:r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Safety</w:t>
      </w:r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Network</w:t>
      </w:r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Patient</w:t>
      </w:r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Safety</w:t>
      </w:r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Component</w:t>
      </w:r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Manual,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CDC</w:t>
      </w:r>
      <w:r w:rsidRPr="005D482D">
        <w:rPr>
          <w:rFonts w:ascii="Book Antiqua" w:hAnsi="Book Antiqua" w:cs="Book Antiqua"/>
          <w:color w:val="000000" w:themeColor="text1"/>
          <w:lang w:eastAsia="zh-CN"/>
        </w:rPr>
        <w:t>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5A99" w:rsidRPr="005D482D">
        <w:rPr>
          <w:rFonts w:ascii="Book Antiqua" w:eastAsia="Book Antiqua" w:hAnsi="Book Antiqua" w:cs="Book Antiqua"/>
          <w:color w:val="000000" w:themeColor="text1"/>
        </w:rPr>
        <w:t>[cited 2</w:t>
      </w:r>
      <w:r w:rsidR="003A1DEE" w:rsidRPr="005D482D">
        <w:rPr>
          <w:rFonts w:ascii="Book Antiqua" w:hAnsi="Book Antiqua" w:cs="Book Antiqua"/>
          <w:color w:val="000000" w:themeColor="text1"/>
          <w:lang w:eastAsia="zh-CN"/>
        </w:rPr>
        <w:t>2</w:t>
      </w:r>
      <w:r w:rsidR="007A5A99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1DEE" w:rsidRPr="005D482D">
        <w:rPr>
          <w:rFonts w:ascii="Book Antiqua" w:eastAsia="Book Antiqua" w:hAnsi="Book Antiqua" w:cs="Book Antiqua"/>
          <w:color w:val="000000" w:themeColor="text1"/>
        </w:rPr>
        <w:t>April</w:t>
      </w:r>
      <w:r w:rsidR="007A5A99" w:rsidRPr="005D482D">
        <w:rPr>
          <w:rFonts w:ascii="Book Antiqua" w:eastAsia="Book Antiqua" w:hAnsi="Book Antiqua" w:cs="Book Antiqua"/>
          <w:color w:val="000000" w:themeColor="text1"/>
        </w:rPr>
        <w:t xml:space="preserve"> 2021]. </w:t>
      </w:r>
      <w:r w:rsidRPr="005D482D">
        <w:rPr>
          <w:rFonts w:ascii="Book Antiqua" w:hAnsi="Book Antiqua" w:cs="Book Antiqua"/>
          <w:color w:val="000000" w:themeColor="text1"/>
          <w:lang w:eastAsia="zh-CN"/>
        </w:rPr>
        <w:t>A</w:t>
      </w:r>
      <w:r w:rsidRPr="005D482D">
        <w:rPr>
          <w:rFonts w:ascii="Book Antiqua" w:eastAsia="Book Antiqua" w:hAnsi="Book Antiqua" w:cs="Book Antiqua"/>
          <w:color w:val="000000" w:themeColor="text1"/>
        </w:rPr>
        <w:t>vailable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hAnsi="Book Antiqua" w:cs="Book Antiqua"/>
          <w:color w:val="000000" w:themeColor="text1"/>
          <w:lang w:eastAsia="zh-CN"/>
        </w:rPr>
        <w:t>from:</w:t>
      </w:r>
      <w:r w:rsidR="00A766AB" w:rsidRPr="005D482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hyperlink r:id="rId7" w:history="1">
        <w:r w:rsidR="0061094F" w:rsidRPr="005D482D">
          <w:rPr>
            <w:rStyle w:val="aa"/>
            <w:rFonts w:ascii="Book Antiqua" w:eastAsia="Book Antiqua" w:hAnsi="Book Antiqua" w:cs="Book Antiqua"/>
            <w:color w:val="000000" w:themeColor="text1"/>
          </w:rPr>
          <w:t>https://www.cdc.gov/nhsn/pdfs/pscmanual/pcsmanual_current.pdf</w:t>
        </w:r>
      </w:hyperlink>
    </w:p>
    <w:p w14:paraId="1416C464" w14:textId="0F131E4D" w:rsidR="00A84E5C" w:rsidRPr="005D482D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D482D">
        <w:rPr>
          <w:rFonts w:ascii="Book Antiqua" w:eastAsia="Book Antiqua" w:hAnsi="Book Antiqua" w:cs="Book Antiqua"/>
          <w:color w:val="000000" w:themeColor="text1"/>
        </w:rPr>
        <w:t>12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O'Neil</w:t>
      </w:r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5D482D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Ball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K,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Wood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McMullen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K,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Kremer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P,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Jafarzadeh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SR,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Fraser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V,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Warren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Maintenance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Bundle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Line-Associated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Bloodstream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Non-Intensive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Unit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Settings.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Infect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Control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Hosp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Epidemiol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2016;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37</w:t>
      </w:r>
      <w:r w:rsidRPr="005D482D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692-698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26999746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10.1017/ice.2016.32]</w:t>
      </w:r>
    </w:p>
    <w:p w14:paraId="4878ED9F" w14:textId="79A56254" w:rsidR="00A84E5C" w:rsidRPr="005D482D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D482D">
        <w:rPr>
          <w:rFonts w:ascii="Book Antiqua" w:eastAsia="Book Antiqua" w:hAnsi="Book Antiqua" w:cs="Book Antiqua"/>
          <w:color w:val="000000" w:themeColor="text1"/>
        </w:rPr>
        <w:t>13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Clinical</w:t>
      </w:r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Laboratory</w:t>
      </w:r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Standards</w:t>
      </w:r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Institute.</w:t>
      </w:r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Performance</w:t>
      </w:r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Standards</w:t>
      </w:r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for</w:t>
      </w:r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Antimicrobial</w:t>
      </w:r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Susceptibility</w:t>
      </w:r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Testing:</w:t>
      </w:r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gramStart"/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26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  <w:vertAlign w:val="superscript"/>
        </w:rPr>
        <w:t>nd</w:t>
      </w:r>
      <w:proofErr w:type="gramEnd"/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Informational</w:t>
      </w:r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Supplement</w:t>
      </w:r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M100-S26.</w:t>
      </w:r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Wayne,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PA: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Clinical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Laboratory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Standards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Institute;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2016.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5A99" w:rsidRPr="005D482D">
        <w:rPr>
          <w:rFonts w:ascii="Book Antiqua" w:eastAsia="Book Antiqua" w:hAnsi="Book Antiqua" w:cs="Book Antiqua"/>
          <w:color w:val="000000" w:themeColor="text1"/>
        </w:rPr>
        <w:t>[cited 2</w:t>
      </w:r>
      <w:r w:rsidR="003A1DEE" w:rsidRPr="005D482D">
        <w:rPr>
          <w:rFonts w:ascii="Book Antiqua" w:hAnsi="Book Antiqua" w:cs="Book Antiqua"/>
          <w:color w:val="000000" w:themeColor="text1"/>
          <w:lang w:eastAsia="zh-CN"/>
        </w:rPr>
        <w:t>2</w:t>
      </w:r>
      <w:r w:rsidR="007A5A99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1DEE" w:rsidRPr="005D482D">
        <w:rPr>
          <w:rFonts w:ascii="Book Antiqua" w:eastAsia="Book Antiqua" w:hAnsi="Book Antiqua" w:cs="Book Antiqua"/>
          <w:color w:val="000000" w:themeColor="text1"/>
        </w:rPr>
        <w:t>April</w:t>
      </w:r>
      <w:r w:rsidR="007A5A99" w:rsidRPr="005D482D">
        <w:rPr>
          <w:rFonts w:ascii="Book Antiqua" w:eastAsia="Book Antiqua" w:hAnsi="Book Antiqua" w:cs="Book Antiqua"/>
          <w:color w:val="000000" w:themeColor="text1"/>
        </w:rPr>
        <w:t xml:space="preserve"> 2021]. </w:t>
      </w:r>
      <w:r w:rsidRPr="005D482D">
        <w:rPr>
          <w:rFonts w:ascii="Book Antiqua" w:eastAsia="Book Antiqua" w:hAnsi="Book Antiqua" w:cs="Book Antiqua"/>
          <w:color w:val="000000" w:themeColor="text1"/>
        </w:rPr>
        <w:t>Available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from: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hyperlink r:id="rId8" w:history="1">
        <w:r w:rsidR="0061094F" w:rsidRPr="005D482D">
          <w:rPr>
            <w:rStyle w:val="aa"/>
            <w:rFonts w:ascii="Book Antiqua" w:eastAsia="Book Antiqua" w:hAnsi="Book Antiqua" w:cs="Book Antiqua"/>
            <w:color w:val="000000" w:themeColor="text1"/>
          </w:rPr>
          <w:t>http://www.facm.ucl.ac.be/intranet/CLSI/CLSI-2017-M100-S27.pdf</w:t>
        </w:r>
      </w:hyperlink>
    </w:p>
    <w:p w14:paraId="6240B690" w14:textId="4460E00A" w:rsidR="00A84E5C" w:rsidRPr="005D482D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D482D">
        <w:rPr>
          <w:rFonts w:ascii="Book Antiqua" w:eastAsia="Book Antiqua" w:hAnsi="Book Antiqua" w:cs="Book Antiqua"/>
          <w:color w:val="000000" w:themeColor="text1"/>
        </w:rPr>
        <w:t>14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Falagas</w:t>
      </w:r>
      <w:proofErr w:type="spellEnd"/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ME</w:t>
      </w:r>
      <w:r w:rsidRPr="005D482D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Koletsi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PK,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Bliziotis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IA.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diversity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definitions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multidrug-resistant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(MDR)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pandrug</w:t>
      </w:r>
      <w:proofErr w:type="spellEnd"/>
      <w:r w:rsidRPr="005D482D">
        <w:rPr>
          <w:rFonts w:ascii="Book Antiqua" w:eastAsia="Book Antiqua" w:hAnsi="Book Antiqua" w:cs="Book Antiqua"/>
          <w:color w:val="000000" w:themeColor="text1"/>
        </w:rPr>
        <w:t>-resistant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(PDR)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Acinetobacter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baumannii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Pseudomonas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aeruginosa.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Microbiol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2006;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55</w:t>
      </w:r>
      <w:r w:rsidRPr="005D482D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1619-1629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17108263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10.1099/jmm.0.46747-0]</w:t>
      </w:r>
    </w:p>
    <w:p w14:paraId="67A8AF4A" w14:textId="49F1D5A3" w:rsidR="00A84E5C" w:rsidRPr="005D482D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D482D">
        <w:rPr>
          <w:rFonts w:ascii="Book Antiqua" w:eastAsia="Book Antiqua" w:hAnsi="Book Antiqua" w:cs="Book Antiqua"/>
          <w:color w:val="000000" w:themeColor="text1"/>
        </w:rPr>
        <w:t>15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Khalid</w:t>
      </w:r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I</w:t>
      </w:r>
      <w:r w:rsidRPr="005D482D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Salmi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Qushmaq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Hroub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Kadri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Qabajah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MR.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Itemizing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bundle: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achieving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maintaining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"zero"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line-associated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bloodstream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over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year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tertiary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hospital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Saudi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Arabia.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Infect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Control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2013;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41</w:t>
      </w:r>
      <w:r w:rsidRPr="005D482D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1209-1213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24035656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10.1016/j.ajic.2013.05.028]</w:t>
      </w:r>
    </w:p>
    <w:p w14:paraId="4D59A92F" w14:textId="69D65747" w:rsidR="00A84E5C" w:rsidRPr="005D482D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D482D">
        <w:rPr>
          <w:rFonts w:ascii="Book Antiqua" w:eastAsia="Book Antiqua" w:hAnsi="Book Antiqua" w:cs="Book Antiqua"/>
          <w:color w:val="000000" w:themeColor="text1"/>
        </w:rPr>
        <w:lastRenderedPageBreak/>
        <w:t>16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Leblebicioglu</w:t>
      </w:r>
      <w:proofErr w:type="spellEnd"/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5D482D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Öztürk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Rosenthal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VD,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Akan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ÖA,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Sirmatel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F,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Ozdemir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Uzun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Turgut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Ersoz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G,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Koksal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Özgültekin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Esen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Ulger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F,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Dilek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Yilmaz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Dikmen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Y,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Aygún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G,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Tulunay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Oral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Ünal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Cengiz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Yilmaz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L,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Geyik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MF,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Şahin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Erdogan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Sacar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Sungurtekin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Uğurcan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Kaya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Kuyucu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Yýlmaz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G,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Kaya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Ulusoy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İnan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Impact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multidimensional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approach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line-associated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bloodstream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infections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rates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adult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intensive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units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8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cities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Turkey: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findings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International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Nosocomial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Consortium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(INICC).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Ann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Microbiol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Antimicrob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2013;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5D482D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10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23641950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10.1186/1476-0711-12-10]</w:t>
      </w:r>
    </w:p>
    <w:p w14:paraId="03BC6138" w14:textId="4C699BAA" w:rsidR="00A84E5C" w:rsidRPr="005D482D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D482D">
        <w:rPr>
          <w:rFonts w:ascii="Book Antiqua" w:eastAsia="Book Antiqua" w:hAnsi="Book Antiqua" w:cs="Book Antiqua"/>
          <w:color w:val="000000" w:themeColor="text1"/>
        </w:rPr>
        <w:t>17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Marschall</w:t>
      </w:r>
      <w:proofErr w:type="spellEnd"/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5D482D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Mermel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LA,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Fakih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Hadaway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L,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Kallen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O'Grady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NP,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Pettis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AM,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Rupp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ME,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Sandora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Maragakis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LL,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Yokoe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DS;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Society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Healthcare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Epidemiology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America.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Strategies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prevent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line-associated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bloodstream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infections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acute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hospitals: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2014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update.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Infect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Control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Hosp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Epidemiol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2014;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35</w:t>
      </w:r>
      <w:r w:rsidRPr="005D482D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753-771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24915204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10.1086/676533]</w:t>
      </w:r>
    </w:p>
    <w:p w14:paraId="6CEA5F75" w14:textId="090E9A12" w:rsidR="00A84E5C" w:rsidRPr="005D482D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D482D">
        <w:rPr>
          <w:rFonts w:ascii="Book Antiqua" w:eastAsia="Book Antiqua" w:hAnsi="Book Antiqua" w:cs="Book Antiqua"/>
          <w:color w:val="000000" w:themeColor="text1"/>
        </w:rPr>
        <w:t>18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Mazi</w:t>
      </w:r>
      <w:proofErr w:type="spellEnd"/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W</w:t>
      </w:r>
      <w:r w:rsidRPr="005D482D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Begum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Z,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Abdulla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Hesham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Maghari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Assiri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Senok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line-associated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bloodstream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trauma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intensive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unit: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impact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implementation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Society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Healthcare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Epidemiology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America/Infectious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Diseases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Society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America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practice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guidelines.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Infect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Control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2014;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42</w:t>
      </w:r>
      <w:r w:rsidRPr="005D482D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865-867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25087138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10.1016/j.ajic.2014.05.005]</w:t>
      </w:r>
    </w:p>
    <w:p w14:paraId="765CFB98" w14:textId="264EA4CD" w:rsidR="00A84E5C" w:rsidRPr="005D482D" w:rsidRDefault="00A84E5C" w:rsidP="00CF2D81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5D482D">
        <w:rPr>
          <w:rFonts w:ascii="Book Antiqua" w:eastAsia="Book Antiqua" w:hAnsi="Book Antiqua" w:cs="Book Antiqua"/>
          <w:color w:val="000000" w:themeColor="text1"/>
        </w:rPr>
        <w:t>19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Al-Abdullah</w:t>
      </w:r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N</w:t>
      </w:r>
      <w:r w:rsidRPr="005D482D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Epidemiology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Line-Associated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Bloodstream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(CLABSI)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Among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Intensive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Units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(ICUs)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at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Teaching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Hospital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Saudi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Arabia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from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Year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2011-2016.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color w:val="000000" w:themeColor="text1"/>
        </w:rPr>
        <w:t>J</w:t>
      </w:r>
      <w:r w:rsidR="00A766AB" w:rsidRPr="005D482D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color w:val="000000" w:themeColor="text1"/>
        </w:rPr>
        <w:t>Intensive</w:t>
      </w:r>
      <w:r w:rsidR="00A766AB" w:rsidRPr="005D482D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color w:val="000000" w:themeColor="text1"/>
        </w:rPr>
        <w:t>Crit</w:t>
      </w:r>
      <w:r w:rsidR="00A766AB" w:rsidRPr="005D482D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color w:val="000000" w:themeColor="text1"/>
        </w:rPr>
        <w:t>Care</w:t>
      </w:r>
      <w:r w:rsidR="00A766AB" w:rsidRPr="005D482D">
        <w:rPr>
          <w:rFonts w:ascii="Book Antiqua" w:hAnsi="Book Antiqua" w:cs="Book Antiqua"/>
          <w:i/>
          <w:color w:val="000000" w:themeColor="text1"/>
          <w:lang w:eastAsia="zh-CN"/>
        </w:rPr>
        <w:t xml:space="preserve"> </w:t>
      </w:r>
      <w:r w:rsidRPr="005D482D">
        <w:rPr>
          <w:rFonts w:ascii="Book Antiqua" w:hAnsi="Book Antiqua" w:cs="Book Antiqua"/>
          <w:color w:val="000000" w:themeColor="text1"/>
          <w:lang w:eastAsia="zh-CN"/>
        </w:rPr>
        <w:t>2018;</w:t>
      </w:r>
      <w:r w:rsidR="00A766AB" w:rsidRPr="005D482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D482D">
        <w:rPr>
          <w:rFonts w:ascii="Book Antiqua" w:eastAsia="Book Antiqua" w:hAnsi="Book Antiqua" w:cs="Book Antiqua"/>
          <w:b/>
          <w:color w:val="000000" w:themeColor="text1"/>
        </w:rPr>
        <w:t>4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hAnsi="Book Antiqua" w:cs="Book Antiqua"/>
          <w:color w:val="000000" w:themeColor="text1"/>
          <w:lang w:eastAsia="zh-CN"/>
        </w:rPr>
        <w:t>[DOI:</w:t>
      </w:r>
      <w:r w:rsidR="00A766AB" w:rsidRPr="005D482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bookmarkStart w:id="6" w:name="OLE_LINK5"/>
      <w:r w:rsidRPr="005D482D">
        <w:rPr>
          <w:rFonts w:ascii="Book Antiqua" w:hAnsi="Book Antiqua" w:cs="Book Antiqua"/>
          <w:color w:val="000000" w:themeColor="text1"/>
          <w:lang w:eastAsia="zh-CN"/>
        </w:rPr>
        <w:t>10.21767/2471-8505.100105</w:t>
      </w:r>
      <w:bookmarkEnd w:id="6"/>
      <w:r w:rsidRPr="005D482D">
        <w:rPr>
          <w:rFonts w:ascii="Book Antiqua" w:hAnsi="Book Antiqua" w:cs="Book Antiqua"/>
          <w:color w:val="000000" w:themeColor="text1"/>
          <w:lang w:eastAsia="zh-CN"/>
        </w:rPr>
        <w:t>]</w:t>
      </w:r>
    </w:p>
    <w:p w14:paraId="682CEC3B" w14:textId="1862D9DA" w:rsidR="00A84E5C" w:rsidRPr="005D482D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D482D">
        <w:rPr>
          <w:rFonts w:ascii="Book Antiqua" w:eastAsia="Book Antiqua" w:hAnsi="Book Antiqua" w:cs="Book Antiqua"/>
          <w:color w:val="000000" w:themeColor="text1"/>
        </w:rPr>
        <w:t>20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Lorente</w:t>
      </w:r>
      <w:proofErr w:type="spellEnd"/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L</w:t>
      </w:r>
      <w:r w:rsidRPr="005D482D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Henry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Martín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MM,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Jiménez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Mora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ML.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venous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catheter-related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prospective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observational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2,595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catheters.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Crit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2005;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 w:rsidRPr="005D482D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R631-R635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16280064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10.1186/cc3824]</w:t>
      </w:r>
    </w:p>
    <w:p w14:paraId="1E6F7092" w14:textId="2CBAF523" w:rsidR="00A84E5C" w:rsidRPr="005D482D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D482D">
        <w:rPr>
          <w:rFonts w:ascii="Book Antiqua" w:eastAsia="Book Antiqua" w:hAnsi="Book Antiqua" w:cs="Book Antiqua"/>
          <w:color w:val="000000" w:themeColor="text1"/>
        </w:rPr>
        <w:t>21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Frasca</w:t>
      </w:r>
      <w:proofErr w:type="spellEnd"/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5D482D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Dahyot-Fizelier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Mimoz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venous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catheter-related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intensive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unit.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Crit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2010;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14</w:t>
      </w:r>
      <w:r w:rsidRPr="005D482D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212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20236456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10.1186/cc8853]</w:t>
      </w:r>
    </w:p>
    <w:p w14:paraId="343E626A" w14:textId="40B10BBD" w:rsidR="00A84E5C" w:rsidRPr="005D482D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D482D">
        <w:rPr>
          <w:rFonts w:ascii="Book Antiqua" w:eastAsia="Book Antiqua" w:hAnsi="Book Antiqua" w:cs="Book Antiqua"/>
          <w:color w:val="000000" w:themeColor="text1"/>
        </w:rPr>
        <w:lastRenderedPageBreak/>
        <w:t>22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Atilla</w:t>
      </w:r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5D482D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Doğanay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Z,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Çelik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HK,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Tomak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L,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Günal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Ö,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Kılıç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SS.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line-associated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bloodstream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infections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intensive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unit: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importance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bundle.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Korean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Anesthesiol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2016;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69</w:t>
      </w:r>
      <w:r w:rsidRPr="005D482D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599-603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27924201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10.4097/kjae.2016.69.6.599]</w:t>
      </w:r>
    </w:p>
    <w:p w14:paraId="58523A06" w14:textId="769D4EB0" w:rsidR="00A84E5C" w:rsidRPr="005D482D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D482D">
        <w:rPr>
          <w:rFonts w:ascii="Book Antiqua" w:eastAsia="Book Antiqua" w:hAnsi="Book Antiqua" w:cs="Book Antiqua"/>
          <w:color w:val="000000" w:themeColor="text1"/>
        </w:rPr>
        <w:t>23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Bell</w:t>
      </w:r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T</w:t>
      </w:r>
      <w:r w:rsidRPr="005D482D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O'Grady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NP.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Line-Associated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Bloodstream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Infections.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Infect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North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2017;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31</w:t>
      </w:r>
      <w:r w:rsidRPr="005D482D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551-559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28687213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10.1016/j.idc.2017.05.007]</w:t>
      </w:r>
    </w:p>
    <w:p w14:paraId="6588D6E3" w14:textId="70330BA2" w:rsidR="00A84E5C" w:rsidRPr="005D482D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D482D">
        <w:rPr>
          <w:rFonts w:ascii="Book Antiqua" w:eastAsia="Book Antiqua" w:hAnsi="Book Antiqua" w:cs="Book Antiqua"/>
          <w:color w:val="000000" w:themeColor="text1"/>
        </w:rPr>
        <w:t>24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Baier</w:t>
      </w:r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5D482D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Linke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L,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Eder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Schwab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F,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Chaberny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IF,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Vonberg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RP,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Ebadi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E.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Incidence,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risk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factors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healthcare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costs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line-associated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nosocomial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bloodstream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infections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hematologic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oncologic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patients.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PLoS</w:t>
      </w:r>
      <w:proofErr w:type="spellEnd"/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One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2020;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15</w:t>
      </w:r>
      <w:r w:rsidRPr="005D482D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e0227772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31978169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10.1371/journal.pone.0227772]</w:t>
      </w:r>
    </w:p>
    <w:p w14:paraId="4DA8B315" w14:textId="1B3DD20D" w:rsidR="00A84E5C" w:rsidRPr="005D482D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D482D">
        <w:rPr>
          <w:rFonts w:ascii="Book Antiqua" w:eastAsia="Book Antiqua" w:hAnsi="Book Antiqua" w:cs="Book Antiqua"/>
          <w:color w:val="000000" w:themeColor="text1"/>
        </w:rPr>
        <w:t>25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Zorgani</w:t>
      </w:r>
      <w:proofErr w:type="spellEnd"/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5D482D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Abofayed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Glia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Albarbar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Hanish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Prevalence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Device-associated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Nosocomial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Infections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Caused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D482D">
        <w:rPr>
          <w:rFonts w:ascii="Book Antiqua" w:eastAsia="Book Antiqua" w:hAnsi="Book Antiqua" w:cs="Book Antiqua"/>
          <w:color w:val="000000" w:themeColor="text1"/>
        </w:rPr>
        <w:t>By</w:t>
      </w:r>
      <w:proofErr w:type="gram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Gram-negative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Bacteria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Trauma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Intensive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Unit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Libya.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Oman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2015;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30</w:t>
      </w:r>
      <w:r w:rsidRPr="005D482D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270-275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26366261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10.5001/omj.2015.54]</w:t>
      </w:r>
    </w:p>
    <w:p w14:paraId="5BEB06B1" w14:textId="6D59B7CB" w:rsidR="00A84E5C" w:rsidRPr="005D482D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D482D">
        <w:rPr>
          <w:rFonts w:ascii="Book Antiqua" w:eastAsia="Book Antiqua" w:hAnsi="Book Antiqua" w:cs="Book Antiqua"/>
          <w:color w:val="000000" w:themeColor="text1"/>
        </w:rPr>
        <w:t>26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Hidron</w:t>
      </w:r>
      <w:proofErr w:type="spellEnd"/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AI</w:t>
      </w:r>
      <w:r w:rsidRPr="005D482D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Edwards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JR,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Patel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J,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Horan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TC,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Sievert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DM,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Pollock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Fridkin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SK;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National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Healthcare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Safety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Network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Team;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Participating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National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Healthcare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Safety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Network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Facilities.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NHSN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annual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update: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antimicrobial-resistant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pathogens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associated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healthcare-associated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infections: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annual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summary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data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reported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National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Healthcare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Safety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Network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at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Centers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Disease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Prevention,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2006-2007.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Infect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Control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Hosp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Epidemiol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2008;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29</w:t>
      </w:r>
      <w:r w:rsidRPr="005D482D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996-1011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18947320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10.1086/591861]</w:t>
      </w:r>
    </w:p>
    <w:p w14:paraId="626C9AE0" w14:textId="07D5FA50" w:rsidR="00A84E5C" w:rsidRPr="005D482D" w:rsidRDefault="00A84E5C" w:rsidP="00CF2D81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5D482D">
        <w:rPr>
          <w:rFonts w:ascii="Book Antiqua" w:eastAsia="Book Antiqua" w:hAnsi="Book Antiqua" w:cs="Book Antiqua"/>
          <w:color w:val="000000" w:themeColor="text1"/>
        </w:rPr>
        <w:t>27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color w:val="000000" w:themeColor="text1"/>
        </w:rPr>
        <w:t>ECDC</w:t>
      </w:r>
      <w:r w:rsidR="00A766AB" w:rsidRPr="005D482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color w:val="000000" w:themeColor="text1"/>
        </w:rPr>
        <w:t>surveillance</w:t>
      </w:r>
      <w:r w:rsidR="00A766AB" w:rsidRPr="005D482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color w:val="000000" w:themeColor="text1"/>
        </w:rPr>
        <w:t>report:</w:t>
      </w:r>
      <w:r w:rsidR="00A766AB" w:rsidRPr="005D482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color w:val="000000" w:themeColor="text1"/>
        </w:rPr>
        <w:t>Surveillance</w:t>
      </w:r>
      <w:r w:rsidR="00A766AB" w:rsidRPr="005D482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A766AB" w:rsidRPr="005D482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color w:val="000000" w:themeColor="text1"/>
        </w:rPr>
        <w:t>healthcare-associated</w:t>
      </w:r>
      <w:r w:rsidR="00A766AB" w:rsidRPr="005D482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color w:val="000000" w:themeColor="text1"/>
        </w:rPr>
        <w:t>infections</w:t>
      </w:r>
      <w:r w:rsidR="00A766AB" w:rsidRPr="005D482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A766AB" w:rsidRPr="005D482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color w:val="000000" w:themeColor="text1"/>
        </w:rPr>
        <w:t>Europe</w:t>
      </w:r>
      <w:r w:rsidR="00B80C8A" w:rsidRPr="005D482D">
        <w:rPr>
          <w:rFonts w:ascii="Book Antiqua" w:hAnsi="Book Antiqua" w:cs="Book Antiqua"/>
          <w:b/>
          <w:bCs/>
          <w:color w:val="000000" w:themeColor="text1"/>
          <w:lang w:eastAsia="zh-CN"/>
        </w:rPr>
        <w:t>.</w:t>
      </w:r>
      <w:r w:rsidR="00A766AB" w:rsidRPr="005D482D">
        <w:rPr>
          <w:rFonts w:ascii="Book Antiqua" w:hAnsi="Book Antiqua" w:cs="Book Antiqua"/>
          <w:b/>
          <w:bCs/>
          <w:color w:val="000000" w:themeColor="text1"/>
          <w:lang w:eastAsia="zh-CN"/>
        </w:rPr>
        <w:t xml:space="preserve"> </w:t>
      </w:r>
      <w:r w:rsidR="007A5A99" w:rsidRPr="005D482D">
        <w:rPr>
          <w:rFonts w:ascii="Book Antiqua" w:eastAsia="Book Antiqua" w:hAnsi="Book Antiqua" w:cs="Book Antiqua"/>
          <w:color w:val="000000" w:themeColor="text1"/>
        </w:rPr>
        <w:t>[cited 2</w:t>
      </w:r>
      <w:r w:rsidR="003A1DEE" w:rsidRPr="005D482D">
        <w:rPr>
          <w:rFonts w:ascii="Book Antiqua" w:hAnsi="Book Antiqua" w:cs="Book Antiqua"/>
          <w:color w:val="000000" w:themeColor="text1"/>
          <w:lang w:eastAsia="zh-CN"/>
        </w:rPr>
        <w:t>2</w:t>
      </w:r>
      <w:r w:rsidR="007A5A99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1DEE" w:rsidRPr="005D482D">
        <w:rPr>
          <w:rFonts w:ascii="Book Antiqua" w:eastAsia="Book Antiqua" w:hAnsi="Book Antiqua" w:cs="Book Antiqua"/>
          <w:color w:val="000000" w:themeColor="text1"/>
        </w:rPr>
        <w:t>April</w:t>
      </w:r>
      <w:r w:rsidR="007A5A99" w:rsidRPr="005D482D">
        <w:rPr>
          <w:rFonts w:ascii="Book Antiqua" w:eastAsia="Book Antiqua" w:hAnsi="Book Antiqua" w:cs="Book Antiqua"/>
          <w:color w:val="000000" w:themeColor="text1"/>
        </w:rPr>
        <w:t xml:space="preserve"> 2021]. </w:t>
      </w:r>
      <w:r w:rsidR="00B80C8A" w:rsidRPr="005D482D">
        <w:rPr>
          <w:rFonts w:ascii="Book Antiqua" w:hAnsi="Book Antiqua" w:cs="Book Antiqua"/>
          <w:bCs/>
          <w:color w:val="000000" w:themeColor="text1"/>
          <w:lang w:eastAsia="zh-CN"/>
        </w:rPr>
        <w:t>Available</w:t>
      </w:r>
      <w:r w:rsidR="00A766AB" w:rsidRPr="005D482D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B80C8A" w:rsidRPr="005D482D">
        <w:rPr>
          <w:rFonts w:ascii="Book Antiqua" w:hAnsi="Book Antiqua" w:cs="Book Antiqua"/>
          <w:bCs/>
          <w:color w:val="000000" w:themeColor="text1"/>
          <w:lang w:eastAsia="zh-CN"/>
        </w:rPr>
        <w:t>from:</w:t>
      </w:r>
      <w:r w:rsidR="00A766AB" w:rsidRPr="005D482D">
        <w:rPr>
          <w:rFonts w:ascii="Book Antiqua" w:hAnsi="Book Antiqua" w:cs="Book Antiqua"/>
          <w:b/>
          <w:bCs/>
          <w:color w:val="000000" w:themeColor="text1"/>
          <w:lang w:eastAsia="zh-CN"/>
        </w:rPr>
        <w:t xml:space="preserve"> </w:t>
      </w:r>
      <w:hyperlink r:id="rId9" w:history="1">
        <w:r w:rsidR="0061094F" w:rsidRPr="005D482D">
          <w:rPr>
            <w:rStyle w:val="aa"/>
            <w:rFonts w:ascii="Book Antiqua" w:eastAsia="Book Antiqua" w:hAnsi="Book Antiqua" w:cs="Book Antiqua"/>
            <w:color w:val="000000" w:themeColor="text1"/>
          </w:rPr>
          <w:t>http://www.ecdc.europa.eu/en/publications/Publications/120215_SUR_HAI_2007.pdf</w:t>
        </w:r>
      </w:hyperlink>
    </w:p>
    <w:p w14:paraId="7B7E76C3" w14:textId="078BE4C7" w:rsidR="00A84E5C" w:rsidRPr="005D482D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D482D">
        <w:rPr>
          <w:rFonts w:ascii="Book Antiqua" w:eastAsia="Book Antiqua" w:hAnsi="Book Antiqua" w:cs="Book Antiqua"/>
          <w:color w:val="000000" w:themeColor="text1"/>
        </w:rPr>
        <w:t>28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All-Union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Exhibition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NTTM-89: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problems,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pursuits,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solutions.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Voen</w:t>
      </w:r>
      <w:proofErr w:type="spellEnd"/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Zh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1989</w:t>
      </w:r>
      <w:r w:rsidR="00B80C8A" w:rsidRPr="005D482D">
        <w:rPr>
          <w:rFonts w:ascii="Book Antiqua" w:hAnsi="Book Antiqua" w:cs="Book Antiqua"/>
          <w:color w:val="000000" w:themeColor="text1"/>
          <w:lang w:eastAsia="zh-CN"/>
        </w:rPr>
        <w:t>;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61-62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2617901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10.1093/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cid</w:t>
      </w:r>
      <w:proofErr w:type="spellEnd"/>
      <w:r w:rsidRPr="005D482D">
        <w:rPr>
          <w:rFonts w:ascii="Book Antiqua" w:eastAsia="Book Antiqua" w:hAnsi="Book Antiqua" w:cs="Book Antiqua"/>
          <w:color w:val="000000" w:themeColor="text1"/>
        </w:rPr>
        <w:t>/civ560]</w:t>
      </w:r>
    </w:p>
    <w:p w14:paraId="3D9F0C8D" w14:textId="65EFE70B" w:rsidR="00A84E5C" w:rsidRPr="00C761E9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D482D">
        <w:rPr>
          <w:rFonts w:ascii="Book Antiqua" w:eastAsia="Book Antiqua" w:hAnsi="Book Antiqua" w:cs="Book Antiqua"/>
          <w:color w:val="000000" w:themeColor="text1"/>
        </w:rPr>
        <w:t>29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Al-</w:t>
      </w:r>
      <w:proofErr w:type="spellStart"/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Abdely</w:t>
      </w:r>
      <w:proofErr w:type="spellEnd"/>
      <w:r w:rsidR="00A766AB" w:rsidRPr="005D482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HM</w:t>
      </w:r>
      <w:r w:rsidRPr="005D482D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Alshehri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AD,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Rosenthal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VD,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Mohammed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YK,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Banjar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W,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Orellano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PW,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Assiri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AM,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Kader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NMA,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Enizy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HAA,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Mohammed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Al-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Awadi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DK,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Cabato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AF,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lastRenderedPageBreak/>
        <w:t>Wasbourne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Saliya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Aromin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RG,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Ubalde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EB,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Diab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HH,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Alkamaly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Alanazi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NM,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Hassan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Assiry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IY,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Molano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AM,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Flores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Baldonado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Al-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Azhary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Atawi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Molano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AM,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Adwani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FM,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Casuyon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Pahilanga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AM,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Nakhla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Adwani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FM,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Nair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DS,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Sindayen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G,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Malificio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Helali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NJ,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Dossari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HB,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Kelany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Algethami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AG,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Yanne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L,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Tan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Babu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Abduljabbar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SM,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Bukhari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SZ,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Basri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RH,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Mushtaq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JJ,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Rushdi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H,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Turkistani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Gonzales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Celiz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JM,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Raey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Al-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Zaydani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Asiri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Aldarani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Laungayan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Cortez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E,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Demaisip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NL,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Aziz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MR,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Omer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Abdul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Aziz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Manea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B,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Samy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E,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Al-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Dalaton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M,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Alaliany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MJ.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Prospective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color w:val="000000" w:themeColor="text1"/>
        </w:rPr>
        <w:t>multicentre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intensive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units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five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cities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from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Kingdom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Saudi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Arabia: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Impact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International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Nosocomial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Consortium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(INICC)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multidimensional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approach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on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rates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line-associated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bloodstream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infection.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Infect</w:t>
      </w:r>
      <w:r w:rsidR="00A766AB" w:rsidRPr="005D482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D482D">
        <w:rPr>
          <w:rFonts w:ascii="Book Antiqua" w:eastAsia="Book Antiqua" w:hAnsi="Book Antiqua" w:cs="Book Antiqua"/>
          <w:i/>
          <w:iCs/>
          <w:color w:val="000000" w:themeColor="text1"/>
        </w:rPr>
        <w:t>Prev</w:t>
      </w:r>
      <w:proofErr w:type="spellEnd"/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2017;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b/>
          <w:bCs/>
          <w:color w:val="000000" w:themeColor="text1"/>
        </w:rPr>
        <w:t>18</w:t>
      </w:r>
      <w:r w:rsidRPr="005D482D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25-34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28989500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5D482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482D">
        <w:rPr>
          <w:rFonts w:ascii="Book Antiqua" w:eastAsia="Book Antiqua" w:hAnsi="Book Antiqua" w:cs="Book Antiqua"/>
          <w:color w:val="000000" w:themeColor="text1"/>
        </w:rPr>
        <w:t>10.1177/1757177416669424]</w:t>
      </w:r>
    </w:p>
    <w:bookmarkEnd w:id="5"/>
    <w:p w14:paraId="76E4D451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C761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B21439" w14:textId="7777777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21BE9EA8" w14:textId="6F47AB16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Institutional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review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board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performed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according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latest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version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Helsinki's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Declaration.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Research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Ethics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Committee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Ministry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Health,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Kingdom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Bahrain,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approved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8D9659B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71BA53B" w14:textId="433C8CC1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Informed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consent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collect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consent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observational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one.</w:t>
      </w:r>
    </w:p>
    <w:p w14:paraId="3A9E8B92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F5D3049" w14:textId="4BEB4EE1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authors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potential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conflicts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interest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disclosed.</w:t>
      </w:r>
    </w:p>
    <w:p w14:paraId="65124EF6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A6C29AF" w14:textId="430C2A43" w:rsidR="00A77B3E" w:rsidRPr="00C761E9" w:rsidRDefault="00D54E16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hd w:val="clear" w:color="auto" w:fill="FFFFFF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Data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sharing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Data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available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upon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reasonable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request.</w:t>
      </w:r>
    </w:p>
    <w:p w14:paraId="44BE1AF1" w14:textId="4C1C57C8" w:rsidR="00A766AB" w:rsidRPr="00C761E9" w:rsidRDefault="00A766AB" w:rsidP="00CF2D8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  <w:shd w:val="clear" w:color="auto" w:fill="FFFFFF"/>
        </w:rPr>
      </w:pPr>
    </w:p>
    <w:p w14:paraId="2EE9B60F" w14:textId="77777777" w:rsidR="00FD77D9" w:rsidRPr="00C761E9" w:rsidRDefault="00FD77D9" w:rsidP="00FD77D9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STROBE statement</w:t>
      </w:r>
      <w:r w:rsidRPr="00C761E9">
        <w:rPr>
          <w:rFonts w:ascii="Book Antiqua" w:hAnsi="Book Antiqua" w:cs="Book Antiqua"/>
          <w:b/>
          <w:bCs/>
          <w:color w:val="000000" w:themeColor="text1"/>
          <w:lang w:eastAsia="zh-CN"/>
        </w:rPr>
        <w:t>: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7" w:name="OLE_LINK120"/>
      <w:r w:rsidRPr="00C761E9">
        <w:rPr>
          <w:rFonts w:ascii="Book Antiqua" w:eastAsia="Book Antiqua" w:hAnsi="Book Antiqua" w:cs="Book Antiqua"/>
          <w:color w:val="000000" w:themeColor="text1"/>
        </w:rPr>
        <w:t>The authors have read the STROBE statement, and the manuscript was prepared and revised according to the STROBE statement</w:t>
      </w:r>
      <w:r w:rsidRPr="00C761E9">
        <w:rPr>
          <w:rFonts w:ascii="Book Antiqua" w:hAnsi="Book Antiqua" w:cs="Book Antiqua"/>
          <w:color w:val="000000" w:themeColor="text1"/>
          <w:lang w:eastAsia="zh-CN"/>
        </w:rPr>
        <w:t>.</w:t>
      </w:r>
    </w:p>
    <w:bookmarkEnd w:id="7"/>
    <w:p w14:paraId="7287CAC7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E7B3AF0" w14:textId="79BD3A13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article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open-access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article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selected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in-house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editor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fully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peer-reviewed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external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reviewers.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distributed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accordance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Creative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Commons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Attribution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(CC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BY-NC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4.0)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license,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which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permits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others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distribute,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remix,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adapt,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build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upon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work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non-commercially,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license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their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derivative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works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different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terms,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provided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original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work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properly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cited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non-commercial.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See: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3890F2C3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BBDFA0F" w14:textId="7A14209F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source: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Invited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0C8A" w:rsidRPr="00C761E9">
        <w:rPr>
          <w:rFonts w:ascii="Book Antiqua" w:hAnsi="Book Antiqua" w:cs="Book Antiqua"/>
          <w:color w:val="000000" w:themeColor="text1"/>
          <w:lang w:eastAsia="zh-CN"/>
        </w:rPr>
        <w:t>m</w:t>
      </w:r>
      <w:r w:rsidRPr="00C761E9">
        <w:rPr>
          <w:rFonts w:ascii="Book Antiqua" w:eastAsia="Book Antiqua" w:hAnsi="Book Antiqua" w:cs="Book Antiqua"/>
          <w:color w:val="000000" w:themeColor="text1"/>
        </w:rPr>
        <w:t>anuscript</w:t>
      </w:r>
    </w:p>
    <w:p w14:paraId="322ED569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9BDED51" w14:textId="6AEC072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February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23,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2021</w:t>
      </w:r>
    </w:p>
    <w:p w14:paraId="164623E8" w14:textId="5A74848E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June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17,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2021</w:t>
      </w:r>
    </w:p>
    <w:p w14:paraId="1BDC28D7" w14:textId="4B0444C0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6C5B08">
        <w:rPr>
          <w:rFonts w:ascii="Book Antiqua" w:eastAsia="宋体" w:hAnsi="Book Antiqua"/>
          <w:color w:val="000000" w:themeColor="text1"/>
        </w:rPr>
        <w:t>J</w:t>
      </w:r>
      <w:r w:rsidR="006C5B08">
        <w:rPr>
          <w:rFonts w:ascii="Book Antiqua" w:eastAsia="宋体" w:hAnsi="Book Antiqua" w:hint="eastAsia"/>
          <w:color w:val="000000" w:themeColor="text1"/>
        </w:rPr>
        <w:t>u</w:t>
      </w:r>
      <w:r w:rsidR="006C5B08">
        <w:rPr>
          <w:rFonts w:ascii="Book Antiqua" w:eastAsia="宋体" w:hAnsi="Book Antiqua"/>
          <w:color w:val="000000" w:themeColor="text1"/>
        </w:rPr>
        <w:t>ly</w:t>
      </w:r>
      <w:r w:rsidR="006C5B08" w:rsidRPr="00F06907">
        <w:rPr>
          <w:rFonts w:ascii="Book Antiqua" w:eastAsia="宋体" w:hAnsi="Book Antiqua"/>
          <w:color w:val="000000" w:themeColor="text1"/>
        </w:rPr>
        <w:t xml:space="preserve"> </w:t>
      </w:r>
      <w:r w:rsidR="006C5B08">
        <w:rPr>
          <w:rFonts w:ascii="Book Antiqua" w:eastAsia="宋体" w:hAnsi="Book Antiqua"/>
          <w:color w:val="000000" w:themeColor="text1"/>
        </w:rPr>
        <w:t>20</w:t>
      </w:r>
      <w:r w:rsidR="006C5B08" w:rsidRPr="00F06907">
        <w:rPr>
          <w:rFonts w:ascii="Book Antiqua" w:eastAsia="宋体" w:hAnsi="Book Antiqua"/>
          <w:color w:val="000000" w:themeColor="text1"/>
        </w:rPr>
        <w:t>, 2021</w:t>
      </w:r>
    </w:p>
    <w:p w14:paraId="6817845D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93DCFD4" w14:textId="78E0EC21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B80C8A" w:rsidRPr="00C761E9">
        <w:rPr>
          <w:rFonts w:ascii="Book Antiqua" w:eastAsia="微软雅黑" w:hAnsi="Book Antiqua" w:cs="宋体"/>
          <w:color w:val="000000" w:themeColor="text1"/>
        </w:rPr>
        <w:t>Critical</w:t>
      </w:r>
      <w:r w:rsidR="00A766AB" w:rsidRPr="00C761E9">
        <w:rPr>
          <w:rFonts w:ascii="Book Antiqua" w:eastAsia="微软雅黑" w:hAnsi="Book Antiqua" w:cs="宋体"/>
          <w:color w:val="000000" w:themeColor="text1"/>
        </w:rPr>
        <w:t xml:space="preserve"> </w:t>
      </w:r>
      <w:r w:rsidR="00B80C8A" w:rsidRPr="00C761E9">
        <w:rPr>
          <w:rFonts w:ascii="Book Antiqua" w:eastAsia="微软雅黑" w:hAnsi="Book Antiqua" w:cs="宋体"/>
          <w:color w:val="000000" w:themeColor="text1"/>
        </w:rPr>
        <w:t>care</w:t>
      </w:r>
      <w:r w:rsidR="00A766AB" w:rsidRPr="00C761E9">
        <w:rPr>
          <w:rFonts w:ascii="Book Antiqua" w:eastAsia="微软雅黑" w:hAnsi="Book Antiqua" w:cs="宋体"/>
          <w:color w:val="000000" w:themeColor="text1"/>
        </w:rPr>
        <w:t xml:space="preserve"> </w:t>
      </w:r>
      <w:r w:rsidR="00B80C8A" w:rsidRPr="00C761E9">
        <w:rPr>
          <w:rFonts w:ascii="Book Antiqua" w:eastAsia="微软雅黑" w:hAnsi="Book Antiqua" w:cs="宋体"/>
          <w:color w:val="000000" w:themeColor="text1"/>
        </w:rPr>
        <w:t>medicine</w:t>
      </w:r>
    </w:p>
    <w:p w14:paraId="035AF560" w14:textId="49CE3DD8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Bahrain</w:t>
      </w:r>
    </w:p>
    <w:p w14:paraId="538412EE" w14:textId="0D96D6F2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0CD71100" w14:textId="581A7141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Grade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(Excellent):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</w:p>
    <w:p w14:paraId="31B3ECFD" w14:textId="6B46DA29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Grade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(Very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good):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</w:t>
      </w:r>
      <w:r w:rsidR="00B80C8A" w:rsidRPr="00C761E9">
        <w:rPr>
          <w:rFonts w:ascii="Book Antiqua" w:hAnsi="Book Antiqua" w:cs="Book Antiqua"/>
          <w:color w:val="000000" w:themeColor="text1"/>
          <w:lang w:eastAsia="zh-CN"/>
        </w:rPr>
        <w:t>,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B80C8A" w:rsidRPr="00C761E9">
        <w:rPr>
          <w:rFonts w:ascii="Book Antiqua" w:hAnsi="Book Antiqua" w:cs="Book Antiqua"/>
          <w:color w:val="000000" w:themeColor="text1"/>
          <w:lang w:eastAsia="zh-CN"/>
        </w:rPr>
        <w:t>B</w:t>
      </w:r>
    </w:p>
    <w:p w14:paraId="5E978465" w14:textId="05A91EE3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Grade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(Good):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</w:t>
      </w:r>
    </w:p>
    <w:p w14:paraId="75BEF267" w14:textId="56ECF473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Grade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(Fair):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0</w:t>
      </w:r>
    </w:p>
    <w:p w14:paraId="39663FD8" w14:textId="4042305A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Grade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(Poor):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0</w:t>
      </w:r>
    </w:p>
    <w:p w14:paraId="22AC2700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160E332" w14:textId="61140848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C761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761E9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Ahmad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Ewers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Jiang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B80C8A" w:rsidRPr="00C761E9">
        <w:rPr>
          <w:rFonts w:ascii="Book Antiqua" w:hAnsi="Book Antiqua" w:cs="Book Antiqua"/>
          <w:color w:val="000000" w:themeColor="text1"/>
          <w:lang w:eastAsia="zh-CN"/>
        </w:rPr>
        <w:t>Wang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B80C8A" w:rsidRPr="00C761E9">
        <w:rPr>
          <w:rFonts w:ascii="Book Antiqua" w:hAnsi="Book Antiqua" w:cs="Book Antiqua"/>
          <w:color w:val="000000" w:themeColor="text1"/>
          <w:lang w:eastAsia="zh-CN"/>
        </w:rPr>
        <w:t>LL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A945DE" w:rsidRPr="00C62D8D">
        <w:rPr>
          <w:rFonts w:ascii="Book Antiqua" w:eastAsia="Book Antiqua" w:hAnsi="Book Antiqua" w:cs="Book Antiqua"/>
          <w:bCs/>
          <w:color w:val="000000"/>
        </w:rPr>
        <w:t>A</w:t>
      </w:r>
      <w:r w:rsidR="00A945D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945DE" w:rsidRPr="00F23292">
        <w:rPr>
          <w:rFonts w:ascii="Book Antiqua" w:eastAsia="Book Antiqua" w:hAnsi="Book Antiqua" w:cs="Book Antiqua"/>
          <w:b/>
          <w:color w:val="000000"/>
        </w:rPr>
        <w:t>P-Editor:</w:t>
      </w:r>
      <w:r w:rsidR="00A945D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945DE" w:rsidRPr="00C62D8D">
        <w:rPr>
          <w:rFonts w:ascii="Book Antiqua" w:eastAsia="Book Antiqua" w:hAnsi="Book Antiqua" w:cs="Book Antiqua"/>
          <w:bCs/>
          <w:color w:val="000000"/>
        </w:rPr>
        <w:t>Wang LYT</w:t>
      </w:r>
    </w:p>
    <w:p w14:paraId="3CF8D7D8" w14:textId="62C4ACEF" w:rsidR="00A77B3E" w:rsidRPr="00C761E9" w:rsidRDefault="00D54E16" w:rsidP="00CF2D81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C761E9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317D5BC7" w14:textId="77777777" w:rsidR="00913CF5" w:rsidRPr="00C761E9" w:rsidRDefault="00913CF5" w:rsidP="00CF2D8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761E9"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2F989959" wp14:editId="0C3FBB49">
            <wp:extent cx="5943600" cy="369379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0C2E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6A0C2" w14:textId="6256167B" w:rsidR="00913CF5" w:rsidRPr="00C761E9" w:rsidRDefault="00D54E16" w:rsidP="00FD77D9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C761E9">
        <w:rPr>
          <w:rFonts w:ascii="Book Antiqua" w:eastAsia="Book Antiqua" w:hAnsi="Book Antiqua" w:cs="Book Antiqua"/>
          <w:b/>
          <w:color w:val="000000" w:themeColor="text1"/>
        </w:rPr>
        <w:t>Figure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1</w:t>
      </w:r>
      <w:r w:rsidR="00A766AB" w:rsidRPr="00C761E9">
        <w:rPr>
          <w:rFonts w:ascii="Book Antiqua" w:hAnsi="Book Antiqua" w:cs="Book Antiqua"/>
          <w:b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Rates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FD77D9" w:rsidRPr="00C761E9">
        <w:rPr>
          <w:rFonts w:ascii="Book Antiqua" w:hAnsi="Book Antiqua" w:cs="Book Antiqua"/>
          <w:b/>
          <w:color w:val="000000" w:themeColor="text1"/>
          <w:lang w:eastAsia="zh-CN"/>
        </w:rPr>
        <w:t>c</w:t>
      </w:r>
      <w:r w:rsidR="00FD77D9" w:rsidRPr="00C761E9">
        <w:rPr>
          <w:rFonts w:ascii="Book Antiqua" w:eastAsia="Book Antiqua" w:hAnsi="Book Antiqua" w:cs="Book Antiqua"/>
          <w:b/>
          <w:color w:val="000000" w:themeColor="text1"/>
        </w:rPr>
        <w:t>entral line-associated</w:t>
      </w:r>
      <w:r w:rsidR="00FD77D9" w:rsidRPr="00C761E9">
        <w:rPr>
          <w:rFonts w:ascii="Book Antiqua" w:hAnsi="Book Antiqua" w:cs="Book Antiqua"/>
          <w:b/>
          <w:color w:val="000000" w:themeColor="text1"/>
          <w:lang w:eastAsia="zh-CN"/>
        </w:rPr>
        <w:t xml:space="preserve"> </w:t>
      </w:r>
      <w:r w:rsidR="00FD77D9" w:rsidRPr="00C761E9">
        <w:rPr>
          <w:rFonts w:ascii="Book Antiqua" w:eastAsia="Book Antiqua" w:hAnsi="Book Antiqua" w:cs="Book Antiqua"/>
          <w:b/>
          <w:color w:val="000000" w:themeColor="text1"/>
        </w:rPr>
        <w:t>bloodstream infection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FD77D9" w:rsidRPr="00C761E9">
        <w:rPr>
          <w:rFonts w:ascii="Book Antiqua" w:hAnsi="Book Antiqua" w:cs="Book Antiqua"/>
          <w:b/>
          <w:color w:val="000000" w:themeColor="text1"/>
          <w:lang w:eastAsia="zh-CN"/>
        </w:rPr>
        <w:t>i</w:t>
      </w:r>
      <w:r w:rsidR="00FD77D9" w:rsidRPr="00C761E9">
        <w:rPr>
          <w:rFonts w:ascii="Book Antiqua" w:eastAsia="Book Antiqua" w:hAnsi="Book Antiqua" w:cs="Book Antiqua"/>
          <w:b/>
          <w:color w:val="000000" w:themeColor="text1"/>
        </w:rPr>
        <w:t xml:space="preserve">ntensive </w:t>
      </w:r>
      <w:r w:rsidR="00FD77D9" w:rsidRPr="00C761E9">
        <w:rPr>
          <w:rFonts w:ascii="Book Antiqua" w:hAnsi="Book Antiqua" w:cs="Book Antiqua"/>
          <w:b/>
          <w:color w:val="000000" w:themeColor="text1"/>
          <w:lang w:eastAsia="zh-CN"/>
        </w:rPr>
        <w:t>c</w:t>
      </w:r>
      <w:r w:rsidR="00FD77D9" w:rsidRPr="00C761E9">
        <w:rPr>
          <w:rFonts w:ascii="Book Antiqua" w:eastAsia="Book Antiqua" w:hAnsi="Book Antiqua" w:cs="Book Antiqua"/>
          <w:b/>
          <w:color w:val="000000" w:themeColor="text1"/>
        </w:rPr>
        <w:t xml:space="preserve">are </w:t>
      </w:r>
      <w:r w:rsidR="00FD77D9" w:rsidRPr="00C761E9">
        <w:rPr>
          <w:rFonts w:ascii="Book Antiqua" w:hAnsi="Book Antiqua" w:cs="Book Antiqua"/>
          <w:b/>
          <w:color w:val="000000" w:themeColor="text1"/>
          <w:lang w:eastAsia="zh-CN"/>
        </w:rPr>
        <w:t>u</w:t>
      </w:r>
      <w:r w:rsidR="00FD77D9" w:rsidRPr="00C761E9">
        <w:rPr>
          <w:rFonts w:ascii="Book Antiqua" w:eastAsia="Book Antiqua" w:hAnsi="Book Antiqua" w:cs="Book Antiqua"/>
          <w:b/>
          <w:color w:val="000000" w:themeColor="text1"/>
        </w:rPr>
        <w:t>nit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(2015</w:t>
      </w:r>
      <w:r w:rsidR="00FD77D9" w:rsidRPr="00C761E9">
        <w:rPr>
          <w:rFonts w:ascii="Book Antiqua" w:hAnsi="Book Antiqua" w:cs="Book Antiqua"/>
          <w:b/>
          <w:color w:val="000000" w:themeColor="text1"/>
          <w:lang w:eastAsia="zh-CN"/>
        </w:rPr>
        <w:t>-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2018)</w:t>
      </w:r>
      <w:r w:rsidR="00B80C8A" w:rsidRPr="00C761E9">
        <w:rPr>
          <w:rFonts w:ascii="Book Antiqua" w:hAnsi="Book Antiqua" w:cs="Book Antiqua"/>
          <w:b/>
          <w:color w:val="000000" w:themeColor="text1"/>
          <w:lang w:eastAsia="zh-CN"/>
        </w:rPr>
        <w:t>.</w:t>
      </w:r>
    </w:p>
    <w:p w14:paraId="17C2068D" w14:textId="77777777" w:rsidR="00A77B3E" w:rsidRPr="00C761E9" w:rsidRDefault="00913CF5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br w:type="page"/>
      </w:r>
      <w:r w:rsidRPr="00C761E9"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04008BBB" wp14:editId="23FD3EDB">
            <wp:extent cx="5943600" cy="357378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081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1FB0F" w14:textId="5FFFAD1F" w:rsidR="00913CF5" w:rsidRPr="00C761E9" w:rsidRDefault="00D54E16" w:rsidP="00CF2D81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olor w:val="000000" w:themeColor="text1"/>
        </w:rPr>
        <w:t>Figure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2</w:t>
      </w:r>
      <w:r w:rsidR="00A766AB" w:rsidRPr="00C761E9">
        <w:rPr>
          <w:rFonts w:ascii="Book Antiqua" w:hAnsi="Book Antiqua" w:cs="Book Antiqua"/>
          <w:b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Compliance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FD77D9" w:rsidRPr="00C761E9">
        <w:rPr>
          <w:rFonts w:ascii="Book Antiqua" w:hAnsi="Book Antiqua" w:cs="Book Antiqua"/>
          <w:b/>
          <w:color w:val="000000" w:themeColor="text1"/>
          <w:lang w:eastAsia="zh-CN"/>
        </w:rPr>
        <w:t>c</w:t>
      </w:r>
      <w:r w:rsidR="00FD77D9" w:rsidRPr="00C761E9">
        <w:rPr>
          <w:rFonts w:ascii="Book Antiqua" w:eastAsia="Book Antiqua" w:hAnsi="Book Antiqua" w:cs="Book Antiqua"/>
          <w:b/>
          <w:color w:val="000000" w:themeColor="text1"/>
        </w:rPr>
        <w:t>entral line-associated</w:t>
      </w:r>
      <w:r w:rsidR="00FD77D9" w:rsidRPr="00C761E9">
        <w:rPr>
          <w:rFonts w:ascii="Book Antiqua" w:hAnsi="Book Antiqua" w:cs="Book Antiqua"/>
          <w:b/>
          <w:color w:val="000000" w:themeColor="text1"/>
          <w:lang w:eastAsia="zh-CN"/>
        </w:rPr>
        <w:t xml:space="preserve"> </w:t>
      </w:r>
      <w:r w:rsidR="00FD77D9" w:rsidRPr="00C761E9">
        <w:rPr>
          <w:rFonts w:ascii="Book Antiqua" w:eastAsia="Book Antiqua" w:hAnsi="Book Antiqua" w:cs="Book Antiqua"/>
          <w:b/>
          <w:color w:val="000000" w:themeColor="text1"/>
        </w:rPr>
        <w:t>bloodstream infection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bundle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insertion</w:t>
      </w:r>
      <w:r w:rsidR="00B80C8A" w:rsidRPr="00C761E9">
        <w:rPr>
          <w:rFonts w:ascii="Book Antiqua" w:hAnsi="Book Antiqua" w:cs="Book Antiqua"/>
          <w:b/>
          <w:color w:val="000000" w:themeColor="text1"/>
          <w:lang w:eastAsia="zh-CN"/>
        </w:rPr>
        <w:t>.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5A892BE4" w14:textId="77777777" w:rsidR="00A77B3E" w:rsidRPr="00C761E9" w:rsidRDefault="00913CF5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br w:type="page"/>
      </w:r>
      <w:r w:rsidRPr="00C761E9"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45611AB2" wp14:editId="3949EEEA">
            <wp:extent cx="5943600" cy="312610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051F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5A191" w14:textId="6914A97D" w:rsidR="00913CF5" w:rsidRPr="00C761E9" w:rsidRDefault="00D54E16" w:rsidP="00CF2D81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C761E9">
        <w:rPr>
          <w:rFonts w:ascii="Book Antiqua" w:eastAsia="Book Antiqua" w:hAnsi="Book Antiqua" w:cs="Book Antiqua"/>
          <w:b/>
          <w:color w:val="000000" w:themeColor="text1"/>
        </w:rPr>
        <w:t>Figure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3</w:t>
      </w:r>
      <w:r w:rsidR="00A766AB" w:rsidRPr="00C761E9">
        <w:rPr>
          <w:rFonts w:ascii="Book Antiqua" w:hAnsi="Book Antiqua" w:cs="Book Antiqua"/>
          <w:b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Compliance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FD77D9" w:rsidRPr="00C761E9">
        <w:rPr>
          <w:rFonts w:ascii="Book Antiqua" w:hAnsi="Book Antiqua" w:cs="Book Antiqua"/>
          <w:b/>
          <w:color w:val="000000" w:themeColor="text1"/>
          <w:lang w:eastAsia="zh-CN"/>
        </w:rPr>
        <w:t>c</w:t>
      </w:r>
      <w:r w:rsidR="00FD77D9" w:rsidRPr="00C761E9">
        <w:rPr>
          <w:rFonts w:ascii="Book Antiqua" w:eastAsia="Book Antiqua" w:hAnsi="Book Antiqua" w:cs="Book Antiqua"/>
          <w:b/>
          <w:color w:val="000000" w:themeColor="text1"/>
        </w:rPr>
        <w:t>entral line-associated</w:t>
      </w:r>
      <w:r w:rsidR="00FD77D9" w:rsidRPr="00C761E9">
        <w:rPr>
          <w:rFonts w:ascii="Book Antiqua" w:hAnsi="Book Antiqua" w:cs="Book Antiqua"/>
          <w:b/>
          <w:color w:val="000000" w:themeColor="text1"/>
          <w:lang w:eastAsia="zh-CN"/>
        </w:rPr>
        <w:t xml:space="preserve"> </w:t>
      </w:r>
      <w:r w:rsidR="00FD77D9" w:rsidRPr="00C761E9">
        <w:rPr>
          <w:rFonts w:ascii="Book Antiqua" w:eastAsia="Book Antiqua" w:hAnsi="Book Antiqua" w:cs="Book Antiqua"/>
          <w:b/>
          <w:color w:val="000000" w:themeColor="text1"/>
        </w:rPr>
        <w:t>bloodstream infection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bundle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maintenance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(2015</w:t>
      </w:r>
      <w:r w:rsidR="00FD77D9" w:rsidRPr="00C761E9">
        <w:rPr>
          <w:rFonts w:ascii="Book Antiqua" w:hAnsi="Book Antiqua" w:cs="Book Antiqua"/>
          <w:b/>
          <w:color w:val="000000" w:themeColor="text1"/>
          <w:lang w:eastAsia="zh-CN"/>
        </w:rPr>
        <w:t>-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2018)</w:t>
      </w:r>
      <w:r w:rsidR="00B80C8A" w:rsidRPr="00C761E9">
        <w:rPr>
          <w:rFonts w:ascii="Book Antiqua" w:hAnsi="Book Antiqua" w:cs="Book Antiqua"/>
          <w:b/>
          <w:color w:val="000000" w:themeColor="text1"/>
          <w:lang w:eastAsia="zh-CN"/>
        </w:rPr>
        <w:t>.</w:t>
      </w:r>
    </w:p>
    <w:p w14:paraId="64F42C6A" w14:textId="013E805F" w:rsidR="00913CF5" w:rsidRPr="00C761E9" w:rsidRDefault="00913CF5" w:rsidP="00CF2D81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br w:type="page"/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lastRenderedPageBreak/>
        <w:t>Table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1</w:t>
      </w:r>
      <w:bookmarkStart w:id="8" w:name="_Hlk39474202"/>
      <w:r w:rsidR="00A766AB" w:rsidRPr="00C761E9">
        <w:rPr>
          <w:rFonts w:ascii="Book Antiqua" w:hAnsi="Book Antiqua" w:cs="Book Antiqua"/>
          <w:b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Univariate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analysis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risk factors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B80C8A" w:rsidRPr="00C761E9">
        <w:rPr>
          <w:rFonts w:ascii="Book Antiqua" w:eastAsia="Book Antiqua" w:hAnsi="Book Antiqua" w:cs="Book Antiqua"/>
          <w:b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B80C8A" w:rsidRPr="00C761E9">
        <w:rPr>
          <w:rFonts w:ascii="Book Antiqua" w:eastAsia="Book Antiqua" w:hAnsi="Book Antiqua" w:cs="Book Antiqua"/>
          <w:b/>
          <w:color w:val="000000" w:themeColor="text1"/>
        </w:rPr>
        <w:t>line-associated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B80C8A" w:rsidRPr="00C761E9">
        <w:rPr>
          <w:rFonts w:ascii="Book Antiqua" w:eastAsia="Book Antiqua" w:hAnsi="Book Antiqua" w:cs="Book Antiqua"/>
          <w:b/>
          <w:color w:val="000000" w:themeColor="text1"/>
        </w:rPr>
        <w:t>bloodstream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B80C8A" w:rsidRPr="00C761E9">
        <w:rPr>
          <w:rFonts w:ascii="Book Antiqua" w:eastAsia="Book Antiqua" w:hAnsi="Book Antiqua" w:cs="Book Antiqua"/>
          <w:b/>
          <w:color w:val="000000" w:themeColor="text1"/>
        </w:rPr>
        <w:t>infections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bookmarkEnd w:id="8"/>
    </w:p>
    <w:tbl>
      <w:tblPr>
        <w:tblStyle w:val="a3"/>
        <w:tblW w:w="49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282"/>
        <w:gridCol w:w="1441"/>
        <w:gridCol w:w="1634"/>
        <w:gridCol w:w="2266"/>
        <w:gridCol w:w="1842"/>
      </w:tblGrid>
      <w:tr w:rsidR="00C761E9" w:rsidRPr="00C761E9" w14:paraId="1C58D8A2" w14:textId="77777777" w:rsidTr="00E53455"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14:paraId="0658B833" w14:textId="1E0D5FB6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  <w:t>Potential</w:t>
            </w:r>
            <w:r w:rsidR="00A766AB" w:rsidRPr="00C761E9"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  <w:t>risk</w:t>
            </w:r>
            <w:r w:rsidR="00A766AB" w:rsidRPr="00C761E9"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  <w:t>factor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14:paraId="149F4044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14:paraId="3C712BF9" w14:textId="32947310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  <w:t>CLABSI</w:t>
            </w:r>
            <w:r w:rsidR="00A766AB" w:rsidRPr="00C761E9"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  <w:t>cases</w:t>
            </w:r>
            <w:r w:rsidR="00B80C8A" w:rsidRPr="00C761E9">
              <w:rPr>
                <w:rFonts w:ascii="Book Antiqua" w:hAnsi="Book Antiqua" w:cs="Book Antiqua"/>
                <w:b/>
                <w:bCs/>
                <w:color w:val="000000" w:themeColor="text1"/>
                <w:lang w:val="en-GB" w:eastAsia="zh-CN"/>
              </w:rPr>
              <w:t>,</w:t>
            </w:r>
            <w:r w:rsidR="00A766AB" w:rsidRPr="00C761E9">
              <w:rPr>
                <w:rFonts w:ascii="Book Antiqua" w:hAnsi="Book Antiqua" w:cs="Book Antiqua"/>
                <w:b/>
                <w:bCs/>
                <w:color w:val="000000" w:themeColor="text1"/>
                <w:lang w:val="en-GB" w:eastAsia="zh-CN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b/>
                <w:bCs/>
                <w:i/>
                <w:color w:val="000000" w:themeColor="text1"/>
                <w:lang w:val="en-GB"/>
              </w:rPr>
              <w:t>n</w:t>
            </w:r>
            <w:r w:rsidR="00A766AB" w:rsidRPr="00C761E9">
              <w:rPr>
                <w:rFonts w:ascii="Book Antiqua" w:hAnsi="Book Antiqua" w:cs="Book Antiqua"/>
                <w:b/>
                <w:bCs/>
                <w:color w:val="000000" w:themeColor="text1"/>
                <w:lang w:val="en-GB" w:eastAsia="zh-CN"/>
              </w:rPr>
              <w:t xml:space="preserve"> </w:t>
            </w:r>
            <w:r w:rsidR="00B80C8A" w:rsidRPr="00C761E9">
              <w:rPr>
                <w:rFonts w:ascii="Book Antiqua" w:hAnsi="Book Antiqua" w:cs="Book Antiqua"/>
                <w:b/>
                <w:bCs/>
                <w:color w:val="000000" w:themeColor="text1"/>
                <w:lang w:val="en-GB" w:eastAsia="zh-CN"/>
              </w:rPr>
              <w:t>=</w:t>
            </w:r>
            <w:r w:rsidR="00A766AB" w:rsidRPr="00C761E9">
              <w:rPr>
                <w:rFonts w:ascii="Book Antiqua" w:hAnsi="Book Antiqua" w:cs="Book Antiqua"/>
                <w:b/>
                <w:bCs/>
                <w:color w:val="000000" w:themeColor="text1"/>
                <w:lang w:val="en-GB" w:eastAsia="zh-CN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  <w:t>34</w:t>
            </w:r>
            <w:r w:rsidR="00B80C8A" w:rsidRPr="00C761E9">
              <w:rPr>
                <w:rFonts w:ascii="Book Antiqua" w:hAnsi="Book Antiqua" w:cs="Book Antiqua"/>
                <w:b/>
                <w:bCs/>
                <w:color w:val="000000" w:themeColor="text1"/>
                <w:lang w:val="en-GB" w:eastAsia="zh-CN"/>
              </w:rPr>
              <w:t>,</w:t>
            </w:r>
            <w:r w:rsidR="00A766AB" w:rsidRPr="00C761E9"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  <w:t xml:space="preserve"> </w:t>
            </w:r>
            <w:r w:rsidR="00B80C8A" w:rsidRPr="00C761E9">
              <w:rPr>
                <w:rFonts w:ascii="Book Antiqua" w:eastAsia="Book Antiqua" w:hAnsi="Book Antiqua" w:cs="Book Antiqua"/>
                <w:b/>
                <w:bCs/>
                <w:i/>
                <w:color w:val="000000" w:themeColor="text1"/>
                <w:lang w:val="en-GB"/>
              </w:rPr>
              <w:t>n</w:t>
            </w:r>
            <w:r w:rsidR="00A766AB" w:rsidRPr="00C761E9">
              <w:rPr>
                <w:rFonts w:ascii="Book Antiqua" w:hAnsi="Book Antiqua" w:cs="Book Antiqua"/>
                <w:b/>
                <w:bCs/>
                <w:color w:val="000000" w:themeColor="text1"/>
                <w:lang w:val="en-GB" w:eastAsia="zh-CN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  <w:t>(%)</w:t>
            </w:r>
          </w:p>
        </w:tc>
        <w:tc>
          <w:tcPr>
            <w:tcW w:w="1197" w:type="pct"/>
            <w:tcBorders>
              <w:top w:val="single" w:sz="4" w:space="0" w:color="auto"/>
              <w:bottom w:val="single" w:sz="4" w:space="0" w:color="auto"/>
            </w:tcBorders>
          </w:tcPr>
          <w:p w14:paraId="034CEFA0" w14:textId="28CBA5DA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  <w:t>Control</w:t>
            </w:r>
            <w:r w:rsidR="00B80C8A" w:rsidRPr="00C761E9">
              <w:rPr>
                <w:rFonts w:ascii="Book Antiqua" w:hAnsi="Book Antiqua" w:cs="Book Antiqua"/>
                <w:b/>
                <w:bCs/>
                <w:color w:val="000000" w:themeColor="text1"/>
                <w:lang w:val="en-GB" w:eastAsia="zh-CN"/>
              </w:rPr>
              <w:t>,</w:t>
            </w:r>
            <w:r w:rsidR="00A766AB" w:rsidRPr="00C761E9">
              <w:rPr>
                <w:rFonts w:ascii="Book Antiqua" w:hAnsi="Book Antiqua" w:cs="Book Antiqua"/>
                <w:b/>
                <w:bCs/>
                <w:color w:val="000000" w:themeColor="text1"/>
                <w:lang w:val="en-GB" w:eastAsia="zh-CN"/>
              </w:rPr>
              <w:t xml:space="preserve"> </w:t>
            </w:r>
            <w:r w:rsidR="00B80C8A" w:rsidRPr="00C761E9">
              <w:rPr>
                <w:rFonts w:ascii="Book Antiqua" w:eastAsia="Book Antiqua" w:hAnsi="Book Antiqua" w:cs="Book Antiqua"/>
                <w:b/>
                <w:bCs/>
                <w:i/>
                <w:color w:val="000000" w:themeColor="text1"/>
                <w:lang w:val="en-GB"/>
              </w:rPr>
              <w:t>n</w:t>
            </w:r>
            <w:r w:rsidR="00A766AB" w:rsidRPr="00C761E9">
              <w:rPr>
                <w:rFonts w:ascii="Book Antiqua" w:hAnsi="Book Antiqua" w:cs="Book Antiqua"/>
                <w:b/>
                <w:bCs/>
                <w:color w:val="000000" w:themeColor="text1"/>
                <w:lang w:val="en-GB" w:eastAsia="zh-CN"/>
              </w:rPr>
              <w:t xml:space="preserve"> </w:t>
            </w:r>
            <w:r w:rsidR="00B80C8A" w:rsidRPr="00C761E9">
              <w:rPr>
                <w:rFonts w:ascii="Book Antiqua" w:hAnsi="Book Antiqua" w:cs="Book Antiqua"/>
                <w:b/>
                <w:bCs/>
                <w:color w:val="000000" w:themeColor="text1"/>
                <w:lang w:val="en-GB" w:eastAsia="zh-CN"/>
              </w:rPr>
              <w:t>=</w:t>
            </w:r>
            <w:r w:rsidR="00A766AB" w:rsidRPr="00C761E9">
              <w:rPr>
                <w:rFonts w:ascii="Book Antiqua" w:hAnsi="Book Antiqua" w:cs="Book Antiqua"/>
                <w:b/>
                <w:bCs/>
                <w:color w:val="000000" w:themeColor="text1"/>
                <w:lang w:val="en-GB" w:eastAsia="zh-CN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  <w:t>1600</w:t>
            </w:r>
            <w:r w:rsidR="00B80C8A" w:rsidRPr="00C761E9">
              <w:rPr>
                <w:rFonts w:ascii="Book Antiqua" w:hAnsi="Book Antiqua" w:cs="Book Antiqua"/>
                <w:b/>
                <w:bCs/>
                <w:color w:val="000000" w:themeColor="text1"/>
                <w:lang w:val="en-GB" w:eastAsia="zh-CN"/>
              </w:rPr>
              <w:t>,</w:t>
            </w:r>
            <w:r w:rsidR="00A766AB" w:rsidRPr="00C761E9"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  <w:t xml:space="preserve"> </w:t>
            </w:r>
            <w:r w:rsidR="00B80C8A" w:rsidRPr="00C761E9">
              <w:rPr>
                <w:rFonts w:ascii="Book Antiqua" w:eastAsia="Book Antiqua" w:hAnsi="Book Antiqua" w:cs="Book Antiqua"/>
                <w:b/>
                <w:bCs/>
                <w:i/>
                <w:color w:val="000000" w:themeColor="text1"/>
                <w:lang w:val="en-GB"/>
              </w:rPr>
              <w:t>n</w:t>
            </w:r>
            <w:r w:rsidR="00A766AB" w:rsidRPr="00C761E9">
              <w:rPr>
                <w:rFonts w:ascii="Book Antiqua" w:hAnsi="Book Antiqua" w:cs="Book Antiqua"/>
                <w:b/>
                <w:bCs/>
                <w:color w:val="000000" w:themeColor="text1"/>
                <w:lang w:val="en-GB" w:eastAsia="zh-CN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  <w:t>(%)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14:paraId="39917596" w14:textId="08DA389E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/>
                <w:bCs/>
                <w:i/>
                <w:color w:val="000000" w:themeColor="text1"/>
                <w:lang w:val="en-GB"/>
              </w:rPr>
              <w:t>P</w:t>
            </w:r>
            <w:r w:rsidR="00A766AB" w:rsidRPr="00C761E9"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  <w:t>value</w:t>
            </w:r>
            <w:r w:rsidR="00B80C8A" w:rsidRPr="00C761E9">
              <w:rPr>
                <w:rFonts w:ascii="Book Antiqua" w:hAnsi="Book Antiqua" w:cs="Book Antiqua"/>
                <w:b/>
                <w:bCs/>
                <w:color w:val="000000" w:themeColor="text1"/>
                <w:vertAlign w:val="superscript"/>
                <w:lang w:val="en-GB" w:eastAsia="zh-CN"/>
              </w:rPr>
              <w:t>1</w:t>
            </w:r>
          </w:p>
        </w:tc>
      </w:tr>
      <w:tr w:rsidR="00C761E9" w:rsidRPr="00C761E9" w14:paraId="0BC5CA4F" w14:textId="77777777" w:rsidTr="00A63791">
        <w:trPr>
          <w:trHeight w:val="498"/>
        </w:trPr>
        <w:tc>
          <w:tcPr>
            <w:tcW w:w="1205" w:type="pct"/>
            <w:vMerge w:val="restart"/>
            <w:tcBorders>
              <w:top w:val="single" w:sz="4" w:space="0" w:color="auto"/>
            </w:tcBorders>
          </w:tcPr>
          <w:p w14:paraId="177B80DE" w14:textId="77777777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Age</w:t>
            </w:r>
          </w:p>
        </w:tc>
        <w:tc>
          <w:tcPr>
            <w:tcW w:w="761" w:type="pct"/>
            <w:tcBorders>
              <w:top w:val="single" w:sz="4" w:space="0" w:color="auto"/>
            </w:tcBorders>
          </w:tcPr>
          <w:p w14:paraId="6B31939D" w14:textId="4A5DA390" w:rsidR="00A63791" w:rsidRPr="00C761E9" w:rsidRDefault="00A63791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 xml:space="preserve">&lt; 50 </w:t>
            </w:r>
            <w:proofErr w:type="spellStart"/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yr</w:t>
            </w:r>
            <w:proofErr w:type="spellEnd"/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863" w:type="pct"/>
            <w:tcBorders>
              <w:top w:val="single" w:sz="4" w:space="0" w:color="auto"/>
            </w:tcBorders>
          </w:tcPr>
          <w:p w14:paraId="518286CE" w14:textId="0558A3CF" w:rsidR="00A63791" w:rsidRPr="00C761E9" w:rsidRDefault="00A63791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11</w:t>
            </w:r>
            <w:r w:rsidRPr="00C761E9">
              <w:rPr>
                <w:rFonts w:ascii="Book Antiqua" w:hAnsi="Book Antiqua" w:cs="Book Antiqua"/>
                <w:color w:val="000000" w:themeColor="text1"/>
                <w:lang w:val="en-GB" w:eastAsia="zh-CN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(32)</w:t>
            </w:r>
          </w:p>
        </w:tc>
        <w:tc>
          <w:tcPr>
            <w:tcW w:w="1197" w:type="pct"/>
            <w:tcBorders>
              <w:top w:val="single" w:sz="4" w:space="0" w:color="auto"/>
            </w:tcBorders>
          </w:tcPr>
          <w:p w14:paraId="50B5CA82" w14:textId="3490DD2B" w:rsidR="00A63791" w:rsidRPr="00C761E9" w:rsidRDefault="00A63791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672 (42)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</w:tcBorders>
          </w:tcPr>
          <w:p w14:paraId="6926ACF3" w14:textId="77777777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0.13</w:t>
            </w:r>
          </w:p>
        </w:tc>
      </w:tr>
      <w:tr w:rsidR="00C761E9" w:rsidRPr="00C761E9" w14:paraId="3DC22148" w14:textId="77777777" w:rsidTr="00E53455">
        <w:trPr>
          <w:trHeight w:val="498"/>
        </w:trPr>
        <w:tc>
          <w:tcPr>
            <w:tcW w:w="1205" w:type="pct"/>
            <w:vMerge/>
          </w:tcPr>
          <w:p w14:paraId="6DC744C0" w14:textId="77777777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</w:p>
        </w:tc>
        <w:tc>
          <w:tcPr>
            <w:tcW w:w="761" w:type="pct"/>
          </w:tcPr>
          <w:p w14:paraId="10A5681F" w14:textId="67367C70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 xml:space="preserve">&gt; 50 </w:t>
            </w:r>
            <w:proofErr w:type="spellStart"/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yr</w:t>
            </w:r>
            <w:proofErr w:type="spellEnd"/>
          </w:p>
        </w:tc>
        <w:tc>
          <w:tcPr>
            <w:tcW w:w="863" w:type="pct"/>
          </w:tcPr>
          <w:p w14:paraId="3498362B" w14:textId="4FA4B146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23</w:t>
            </w:r>
            <w:r w:rsidRPr="00C761E9">
              <w:rPr>
                <w:rFonts w:ascii="Book Antiqua" w:hAnsi="Book Antiqua" w:cs="Book Antiqua"/>
                <w:color w:val="000000" w:themeColor="text1"/>
                <w:lang w:val="en-GB" w:eastAsia="zh-CN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(68)</w:t>
            </w:r>
          </w:p>
        </w:tc>
        <w:tc>
          <w:tcPr>
            <w:tcW w:w="1197" w:type="pct"/>
          </w:tcPr>
          <w:p w14:paraId="4E62DF58" w14:textId="6ED97BB7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928 (58)</w:t>
            </w:r>
          </w:p>
        </w:tc>
        <w:tc>
          <w:tcPr>
            <w:tcW w:w="973" w:type="pct"/>
            <w:vMerge/>
          </w:tcPr>
          <w:p w14:paraId="421F1700" w14:textId="77777777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</w:p>
        </w:tc>
      </w:tr>
      <w:tr w:rsidR="00C761E9" w:rsidRPr="00C761E9" w14:paraId="6A4D93FA" w14:textId="77777777" w:rsidTr="00A63791">
        <w:trPr>
          <w:trHeight w:val="285"/>
        </w:trPr>
        <w:tc>
          <w:tcPr>
            <w:tcW w:w="1205" w:type="pct"/>
            <w:vMerge w:val="restart"/>
          </w:tcPr>
          <w:p w14:paraId="3DEEFEFB" w14:textId="4C7C79D4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 xml:space="preserve">Gender </w:t>
            </w:r>
          </w:p>
        </w:tc>
        <w:tc>
          <w:tcPr>
            <w:tcW w:w="761" w:type="pct"/>
          </w:tcPr>
          <w:p w14:paraId="106607C4" w14:textId="511953D4" w:rsidR="00A63791" w:rsidRPr="00C761E9" w:rsidRDefault="00A63791" w:rsidP="00A6379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Male</w:t>
            </w:r>
            <w:r w:rsidRPr="00C761E9">
              <w:rPr>
                <w:rFonts w:ascii="Book Antiqua" w:hAnsi="Book Antiqua" w:cs="Book Antiqua"/>
                <w:color w:val="000000" w:themeColor="text1"/>
                <w:lang w:val="en-GB" w:eastAsia="zh-CN"/>
              </w:rPr>
              <w:t xml:space="preserve"> </w:t>
            </w:r>
          </w:p>
        </w:tc>
        <w:tc>
          <w:tcPr>
            <w:tcW w:w="863" w:type="pct"/>
          </w:tcPr>
          <w:p w14:paraId="253C640E" w14:textId="367CC834" w:rsidR="00A63791" w:rsidRPr="00C761E9" w:rsidRDefault="00A63791" w:rsidP="00A6379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20 (59)</w:t>
            </w:r>
          </w:p>
        </w:tc>
        <w:tc>
          <w:tcPr>
            <w:tcW w:w="1197" w:type="pct"/>
          </w:tcPr>
          <w:p w14:paraId="14C60F69" w14:textId="3F591D11" w:rsidR="00A63791" w:rsidRPr="00C761E9" w:rsidRDefault="00A63791" w:rsidP="00A6379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880 (55)</w:t>
            </w:r>
          </w:p>
        </w:tc>
        <w:tc>
          <w:tcPr>
            <w:tcW w:w="973" w:type="pct"/>
            <w:vMerge w:val="restart"/>
          </w:tcPr>
          <w:p w14:paraId="0D49FBCD" w14:textId="77777777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0.32</w:t>
            </w:r>
          </w:p>
        </w:tc>
      </w:tr>
      <w:tr w:rsidR="00C761E9" w:rsidRPr="00C761E9" w14:paraId="4812A68D" w14:textId="77777777" w:rsidTr="00A63791">
        <w:trPr>
          <w:trHeight w:val="285"/>
        </w:trPr>
        <w:tc>
          <w:tcPr>
            <w:tcW w:w="1205" w:type="pct"/>
            <w:vMerge/>
          </w:tcPr>
          <w:p w14:paraId="3180DD2B" w14:textId="77777777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</w:p>
        </w:tc>
        <w:tc>
          <w:tcPr>
            <w:tcW w:w="761" w:type="pct"/>
          </w:tcPr>
          <w:p w14:paraId="37B17E6F" w14:textId="0467483C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Female</w:t>
            </w:r>
          </w:p>
        </w:tc>
        <w:tc>
          <w:tcPr>
            <w:tcW w:w="863" w:type="pct"/>
          </w:tcPr>
          <w:p w14:paraId="2F4C2A90" w14:textId="29BBEDE9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14 (41)</w:t>
            </w:r>
          </w:p>
        </w:tc>
        <w:tc>
          <w:tcPr>
            <w:tcW w:w="1197" w:type="pct"/>
          </w:tcPr>
          <w:p w14:paraId="18099FAC" w14:textId="0AE4E59D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720 (45)</w:t>
            </w:r>
          </w:p>
        </w:tc>
        <w:tc>
          <w:tcPr>
            <w:tcW w:w="973" w:type="pct"/>
            <w:vMerge/>
          </w:tcPr>
          <w:p w14:paraId="443F364B" w14:textId="77777777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</w:p>
        </w:tc>
      </w:tr>
      <w:tr w:rsidR="00C761E9" w:rsidRPr="00C761E9" w14:paraId="06A97FA4" w14:textId="77777777" w:rsidTr="00A63791">
        <w:tc>
          <w:tcPr>
            <w:tcW w:w="1205" w:type="pct"/>
            <w:vMerge w:val="restart"/>
          </w:tcPr>
          <w:p w14:paraId="3D32D9FA" w14:textId="44657B03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Primary clinical diagnosis</w:t>
            </w:r>
          </w:p>
        </w:tc>
        <w:tc>
          <w:tcPr>
            <w:tcW w:w="761" w:type="pct"/>
          </w:tcPr>
          <w:p w14:paraId="724EF77C" w14:textId="34819177" w:rsidR="00A63791" w:rsidRPr="00C761E9" w:rsidRDefault="00A63791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Medical</w:t>
            </w:r>
            <w:r w:rsidRPr="00C761E9">
              <w:rPr>
                <w:rFonts w:ascii="Book Antiqua" w:hAnsi="Book Antiqua" w:cs="Book Antiqua"/>
                <w:color w:val="000000" w:themeColor="text1"/>
                <w:lang w:val="en-GB" w:eastAsia="zh-CN"/>
              </w:rPr>
              <w:t xml:space="preserve"> </w:t>
            </w:r>
          </w:p>
        </w:tc>
        <w:tc>
          <w:tcPr>
            <w:tcW w:w="863" w:type="pct"/>
          </w:tcPr>
          <w:p w14:paraId="7C028DD1" w14:textId="69B649B6" w:rsidR="00A63791" w:rsidRPr="00C761E9" w:rsidRDefault="00A63791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24 (71)</w:t>
            </w:r>
          </w:p>
        </w:tc>
        <w:tc>
          <w:tcPr>
            <w:tcW w:w="1197" w:type="pct"/>
          </w:tcPr>
          <w:p w14:paraId="0179E26D" w14:textId="1136AFE6" w:rsidR="00A63791" w:rsidRPr="00C761E9" w:rsidRDefault="00A63791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1056 (66)</w:t>
            </w:r>
          </w:p>
        </w:tc>
        <w:tc>
          <w:tcPr>
            <w:tcW w:w="973" w:type="pct"/>
            <w:vMerge w:val="restart"/>
          </w:tcPr>
          <w:p w14:paraId="3BF02433" w14:textId="77777777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2.88</w:t>
            </w:r>
          </w:p>
        </w:tc>
      </w:tr>
      <w:tr w:rsidR="00C761E9" w:rsidRPr="00C761E9" w14:paraId="7DBA93D7" w14:textId="77777777" w:rsidTr="00A63791">
        <w:tc>
          <w:tcPr>
            <w:tcW w:w="1205" w:type="pct"/>
            <w:vMerge/>
          </w:tcPr>
          <w:p w14:paraId="5C165795" w14:textId="77777777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</w:p>
        </w:tc>
        <w:tc>
          <w:tcPr>
            <w:tcW w:w="761" w:type="pct"/>
          </w:tcPr>
          <w:p w14:paraId="602ADC99" w14:textId="5F1542B2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Surgical</w:t>
            </w:r>
          </w:p>
        </w:tc>
        <w:tc>
          <w:tcPr>
            <w:tcW w:w="863" w:type="pct"/>
          </w:tcPr>
          <w:p w14:paraId="675DC1E1" w14:textId="17E71ABC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10 (29)</w:t>
            </w:r>
          </w:p>
        </w:tc>
        <w:tc>
          <w:tcPr>
            <w:tcW w:w="1197" w:type="pct"/>
          </w:tcPr>
          <w:p w14:paraId="12E3CEF3" w14:textId="022644FC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544 (34)</w:t>
            </w:r>
          </w:p>
        </w:tc>
        <w:tc>
          <w:tcPr>
            <w:tcW w:w="973" w:type="pct"/>
            <w:vMerge/>
          </w:tcPr>
          <w:p w14:paraId="4886FD92" w14:textId="77777777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</w:p>
        </w:tc>
      </w:tr>
      <w:tr w:rsidR="00C761E9" w:rsidRPr="00C761E9" w14:paraId="525DFCD6" w14:textId="77777777" w:rsidTr="00A63791">
        <w:tc>
          <w:tcPr>
            <w:tcW w:w="1205" w:type="pct"/>
            <w:vMerge w:val="restart"/>
          </w:tcPr>
          <w:p w14:paraId="1D1E423A" w14:textId="1838DB91" w:rsidR="00E53455" w:rsidRPr="00C761E9" w:rsidRDefault="00E53455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Catheter insertion site</w:t>
            </w:r>
          </w:p>
        </w:tc>
        <w:tc>
          <w:tcPr>
            <w:tcW w:w="761" w:type="pct"/>
          </w:tcPr>
          <w:p w14:paraId="2BFCDEE0" w14:textId="30B12DDA" w:rsidR="00E53455" w:rsidRPr="00C761E9" w:rsidRDefault="00E53455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Subclavian</w:t>
            </w:r>
          </w:p>
        </w:tc>
        <w:tc>
          <w:tcPr>
            <w:tcW w:w="863" w:type="pct"/>
          </w:tcPr>
          <w:p w14:paraId="08831153" w14:textId="30929A11" w:rsidR="00E53455" w:rsidRPr="00C761E9" w:rsidRDefault="00E53455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 xml:space="preserve">4 (11) </w:t>
            </w:r>
          </w:p>
        </w:tc>
        <w:tc>
          <w:tcPr>
            <w:tcW w:w="1197" w:type="pct"/>
          </w:tcPr>
          <w:p w14:paraId="69605D8F" w14:textId="7A06C9CA" w:rsidR="00E53455" w:rsidRPr="00C761E9" w:rsidRDefault="00E53455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496 (31)</w:t>
            </w:r>
          </w:p>
        </w:tc>
        <w:tc>
          <w:tcPr>
            <w:tcW w:w="973" w:type="pct"/>
          </w:tcPr>
          <w:p w14:paraId="30F216B5" w14:textId="5A9457F2" w:rsidR="00E53455" w:rsidRPr="00C761E9" w:rsidRDefault="00E5345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&lt;</w:t>
            </w:r>
            <w:r w:rsidRPr="00C761E9">
              <w:rPr>
                <w:rFonts w:ascii="Book Antiqua" w:hAnsi="Book Antiqua" w:cs="Book Antiqua"/>
                <w:bCs/>
                <w:color w:val="000000" w:themeColor="text1"/>
                <w:lang w:val="en-GB" w:eastAsia="zh-CN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0.05</w:t>
            </w:r>
          </w:p>
        </w:tc>
      </w:tr>
      <w:tr w:rsidR="00C761E9" w:rsidRPr="00C761E9" w14:paraId="066A1D98" w14:textId="77777777" w:rsidTr="00A63791">
        <w:tc>
          <w:tcPr>
            <w:tcW w:w="1205" w:type="pct"/>
            <w:vMerge/>
          </w:tcPr>
          <w:p w14:paraId="748ACCBD" w14:textId="77777777" w:rsidR="00E53455" w:rsidRPr="00C761E9" w:rsidRDefault="00E5345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</w:p>
        </w:tc>
        <w:tc>
          <w:tcPr>
            <w:tcW w:w="761" w:type="pct"/>
          </w:tcPr>
          <w:p w14:paraId="0BDD6DBE" w14:textId="7EF03B61" w:rsidR="00E53455" w:rsidRPr="00C761E9" w:rsidRDefault="00E5345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Jugular</w:t>
            </w:r>
          </w:p>
        </w:tc>
        <w:tc>
          <w:tcPr>
            <w:tcW w:w="863" w:type="pct"/>
          </w:tcPr>
          <w:p w14:paraId="48C7C7E6" w14:textId="51B915E3" w:rsidR="00E53455" w:rsidRPr="00C761E9" w:rsidRDefault="00E5345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10 (30)</w:t>
            </w:r>
          </w:p>
        </w:tc>
        <w:tc>
          <w:tcPr>
            <w:tcW w:w="1197" w:type="pct"/>
          </w:tcPr>
          <w:p w14:paraId="2FA92F7D" w14:textId="77777777" w:rsidR="00E53455" w:rsidRPr="00C761E9" w:rsidRDefault="00E53455" w:rsidP="00A6379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464 (29)</w:t>
            </w:r>
          </w:p>
          <w:p w14:paraId="334C8D09" w14:textId="77777777" w:rsidR="00E53455" w:rsidRPr="00C761E9" w:rsidRDefault="00E5345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</w:p>
        </w:tc>
        <w:tc>
          <w:tcPr>
            <w:tcW w:w="973" w:type="pct"/>
          </w:tcPr>
          <w:p w14:paraId="1ACB5AE1" w14:textId="77777777" w:rsidR="00E53455" w:rsidRPr="00C761E9" w:rsidRDefault="00E5345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</w:p>
        </w:tc>
      </w:tr>
      <w:tr w:rsidR="00C761E9" w:rsidRPr="00C761E9" w14:paraId="107B0EBE" w14:textId="77777777" w:rsidTr="00A63791">
        <w:tc>
          <w:tcPr>
            <w:tcW w:w="1205" w:type="pct"/>
            <w:vMerge/>
          </w:tcPr>
          <w:p w14:paraId="2FF50234" w14:textId="77777777" w:rsidR="00E53455" w:rsidRPr="00C761E9" w:rsidRDefault="00E5345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</w:p>
        </w:tc>
        <w:tc>
          <w:tcPr>
            <w:tcW w:w="761" w:type="pct"/>
          </w:tcPr>
          <w:p w14:paraId="65625882" w14:textId="324EBA52" w:rsidR="00E53455" w:rsidRPr="00C761E9" w:rsidRDefault="00E5345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hAnsi="Book Antiqua" w:cs="Book Antiqua"/>
                <w:color w:val="000000" w:themeColor="text1"/>
                <w:lang w:val="en-GB" w:eastAsia="zh-CN"/>
              </w:rPr>
              <w:t>F</w:t>
            </w: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emoral</w:t>
            </w:r>
          </w:p>
        </w:tc>
        <w:tc>
          <w:tcPr>
            <w:tcW w:w="863" w:type="pct"/>
          </w:tcPr>
          <w:p w14:paraId="08EA6858" w14:textId="2FDACAB9" w:rsidR="00E53455" w:rsidRPr="00C761E9" w:rsidRDefault="00E5345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20 (59)</w:t>
            </w:r>
          </w:p>
        </w:tc>
        <w:tc>
          <w:tcPr>
            <w:tcW w:w="1197" w:type="pct"/>
          </w:tcPr>
          <w:p w14:paraId="23B1A7C6" w14:textId="2E028D69" w:rsidR="00E53455" w:rsidRPr="00C761E9" w:rsidRDefault="00E5345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640 (40)</w:t>
            </w:r>
          </w:p>
        </w:tc>
        <w:tc>
          <w:tcPr>
            <w:tcW w:w="973" w:type="pct"/>
          </w:tcPr>
          <w:p w14:paraId="717E2C6C" w14:textId="77777777" w:rsidR="00E53455" w:rsidRPr="00C761E9" w:rsidRDefault="00E5345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</w:p>
        </w:tc>
      </w:tr>
      <w:tr w:rsidR="00C761E9" w:rsidRPr="00C761E9" w14:paraId="384CE203" w14:textId="77777777" w:rsidTr="00A63791">
        <w:trPr>
          <w:trHeight w:val="540"/>
        </w:trPr>
        <w:tc>
          <w:tcPr>
            <w:tcW w:w="1205" w:type="pct"/>
            <w:vMerge w:val="restart"/>
          </w:tcPr>
          <w:p w14:paraId="7AB98AD6" w14:textId="7904FA42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 xml:space="preserve">ICU time interval from ICU admission till line insertion </w:t>
            </w:r>
          </w:p>
        </w:tc>
        <w:tc>
          <w:tcPr>
            <w:tcW w:w="761" w:type="pct"/>
          </w:tcPr>
          <w:p w14:paraId="7497BFD6" w14:textId="550EABEB" w:rsidR="00A63791" w:rsidRPr="00C761E9" w:rsidRDefault="00A63791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&lt; 5 d</w:t>
            </w:r>
          </w:p>
        </w:tc>
        <w:tc>
          <w:tcPr>
            <w:tcW w:w="863" w:type="pct"/>
          </w:tcPr>
          <w:p w14:paraId="3BBA8237" w14:textId="2EE630F6" w:rsidR="00A63791" w:rsidRPr="00C761E9" w:rsidRDefault="00A63791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19</w:t>
            </w:r>
            <w:r w:rsidRPr="00C761E9">
              <w:rPr>
                <w:rFonts w:ascii="Book Antiqua" w:hAnsi="Book Antiqua" w:cs="Book Antiqua"/>
                <w:color w:val="000000" w:themeColor="text1"/>
                <w:lang w:val="en-GB" w:eastAsia="zh-CN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(56)</w:t>
            </w:r>
          </w:p>
        </w:tc>
        <w:tc>
          <w:tcPr>
            <w:tcW w:w="1197" w:type="pct"/>
          </w:tcPr>
          <w:p w14:paraId="28873884" w14:textId="4FF117FF" w:rsidR="00A63791" w:rsidRPr="00C761E9" w:rsidRDefault="00A63791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1408 (88)</w:t>
            </w:r>
          </w:p>
        </w:tc>
        <w:tc>
          <w:tcPr>
            <w:tcW w:w="973" w:type="pct"/>
            <w:vMerge w:val="restart"/>
          </w:tcPr>
          <w:p w14:paraId="668FDE37" w14:textId="595D2D7C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&lt;</w:t>
            </w:r>
            <w:r w:rsidRPr="00C761E9">
              <w:rPr>
                <w:rFonts w:ascii="Book Antiqua" w:hAnsi="Book Antiqua" w:cs="Book Antiqua"/>
                <w:bCs/>
                <w:color w:val="000000" w:themeColor="text1"/>
                <w:lang w:val="en-GB" w:eastAsia="zh-CN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0.05</w:t>
            </w:r>
          </w:p>
        </w:tc>
      </w:tr>
      <w:tr w:rsidR="00C761E9" w:rsidRPr="00C761E9" w14:paraId="5464622C" w14:textId="77777777" w:rsidTr="00A63791">
        <w:trPr>
          <w:trHeight w:val="540"/>
        </w:trPr>
        <w:tc>
          <w:tcPr>
            <w:tcW w:w="1205" w:type="pct"/>
            <w:vMerge/>
          </w:tcPr>
          <w:p w14:paraId="50BB673D" w14:textId="77777777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</w:p>
        </w:tc>
        <w:tc>
          <w:tcPr>
            <w:tcW w:w="761" w:type="pct"/>
          </w:tcPr>
          <w:p w14:paraId="40747D9B" w14:textId="2D9CCB9D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&gt; 5 d</w:t>
            </w:r>
          </w:p>
        </w:tc>
        <w:tc>
          <w:tcPr>
            <w:tcW w:w="863" w:type="pct"/>
          </w:tcPr>
          <w:p w14:paraId="5003731B" w14:textId="23C8E03D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15</w:t>
            </w:r>
            <w:r w:rsidRPr="00C761E9">
              <w:rPr>
                <w:rFonts w:ascii="Book Antiqua" w:hAnsi="Book Antiqua" w:cs="Book Antiqua"/>
                <w:color w:val="000000" w:themeColor="text1"/>
                <w:lang w:val="en-GB" w:eastAsia="zh-CN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(44)</w:t>
            </w:r>
          </w:p>
        </w:tc>
        <w:tc>
          <w:tcPr>
            <w:tcW w:w="1197" w:type="pct"/>
          </w:tcPr>
          <w:p w14:paraId="2F63BDCF" w14:textId="24FBED8C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192 (12)</w:t>
            </w:r>
          </w:p>
        </w:tc>
        <w:tc>
          <w:tcPr>
            <w:tcW w:w="973" w:type="pct"/>
            <w:vMerge/>
          </w:tcPr>
          <w:p w14:paraId="2075705D" w14:textId="77777777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</w:p>
        </w:tc>
      </w:tr>
      <w:tr w:rsidR="00C761E9" w:rsidRPr="00C761E9" w14:paraId="73EAC0BE" w14:textId="77777777" w:rsidTr="00A63791">
        <w:trPr>
          <w:trHeight w:val="255"/>
        </w:trPr>
        <w:tc>
          <w:tcPr>
            <w:tcW w:w="1205" w:type="pct"/>
            <w:vMerge w:val="restart"/>
          </w:tcPr>
          <w:p w14:paraId="7887547E" w14:textId="1C94E76D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Location of central line insertion</w:t>
            </w:r>
          </w:p>
        </w:tc>
        <w:tc>
          <w:tcPr>
            <w:tcW w:w="761" w:type="pct"/>
          </w:tcPr>
          <w:p w14:paraId="690A52A3" w14:textId="6F32682D" w:rsidR="00A63791" w:rsidRPr="00C761E9" w:rsidRDefault="00A63791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ICU</w:t>
            </w:r>
          </w:p>
        </w:tc>
        <w:tc>
          <w:tcPr>
            <w:tcW w:w="863" w:type="pct"/>
          </w:tcPr>
          <w:p w14:paraId="477D041A" w14:textId="7BD37EAE" w:rsidR="00A63791" w:rsidRPr="00C761E9" w:rsidRDefault="00A63791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20 (59)</w:t>
            </w:r>
          </w:p>
        </w:tc>
        <w:tc>
          <w:tcPr>
            <w:tcW w:w="1197" w:type="pct"/>
          </w:tcPr>
          <w:p w14:paraId="53AF1FB1" w14:textId="7BAFCE78" w:rsidR="00A63791" w:rsidRPr="00C761E9" w:rsidRDefault="00A63791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1216 (76)</w:t>
            </w:r>
          </w:p>
        </w:tc>
        <w:tc>
          <w:tcPr>
            <w:tcW w:w="973" w:type="pct"/>
            <w:vMerge w:val="restart"/>
          </w:tcPr>
          <w:p w14:paraId="005FBD38" w14:textId="1155B696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&lt;</w:t>
            </w:r>
            <w:r w:rsidRPr="00C761E9">
              <w:rPr>
                <w:rFonts w:ascii="Book Antiqua" w:hAnsi="Book Antiqua" w:cs="Book Antiqua"/>
                <w:bCs/>
                <w:color w:val="000000" w:themeColor="text1"/>
                <w:lang w:val="en-GB" w:eastAsia="zh-CN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0.05</w:t>
            </w:r>
          </w:p>
        </w:tc>
      </w:tr>
      <w:tr w:rsidR="00C761E9" w:rsidRPr="00C761E9" w14:paraId="64A1C6BB" w14:textId="77777777" w:rsidTr="00A63791">
        <w:trPr>
          <w:trHeight w:val="255"/>
        </w:trPr>
        <w:tc>
          <w:tcPr>
            <w:tcW w:w="1205" w:type="pct"/>
            <w:vMerge/>
          </w:tcPr>
          <w:p w14:paraId="08783887" w14:textId="77777777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</w:p>
        </w:tc>
        <w:tc>
          <w:tcPr>
            <w:tcW w:w="761" w:type="pct"/>
          </w:tcPr>
          <w:p w14:paraId="071D5848" w14:textId="19A35184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Non-ICU</w:t>
            </w:r>
          </w:p>
        </w:tc>
        <w:tc>
          <w:tcPr>
            <w:tcW w:w="863" w:type="pct"/>
          </w:tcPr>
          <w:p w14:paraId="0BD06F57" w14:textId="28493DDC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14 (41)</w:t>
            </w:r>
          </w:p>
        </w:tc>
        <w:tc>
          <w:tcPr>
            <w:tcW w:w="1197" w:type="pct"/>
          </w:tcPr>
          <w:p w14:paraId="564C2463" w14:textId="1080B9DD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384 (24)</w:t>
            </w:r>
          </w:p>
        </w:tc>
        <w:tc>
          <w:tcPr>
            <w:tcW w:w="973" w:type="pct"/>
            <w:vMerge/>
          </w:tcPr>
          <w:p w14:paraId="421CC441" w14:textId="77777777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</w:p>
        </w:tc>
      </w:tr>
      <w:tr w:rsidR="00C761E9" w:rsidRPr="00C761E9" w14:paraId="45B6BCE6" w14:textId="77777777" w:rsidTr="00A63791">
        <w:trPr>
          <w:trHeight w:val="255"/>
        </w:trPr>
        <w:tc>
          <w:tcPr>
            <w:tcW w:w="1205" w:type="pct"/>
            <w:vMerge w:val="restart"/>
          </w:tcPr>
          <w:p w14:paraId="0FF12A18" w14:textId="40929CF3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 xml:space="preserve">Length of duration central line </w:t>
            </w:r>
          </w:p>
        </w:tc>
        <w:tc>
          <w:tcPr>
            <w:tcW w:w="761" w:type="pct"/>
          </w:tcPr>
          <w:p w14:paraId="445B868A" w14:textId="2290DC23" w:rsidR="00A63791" w:rsidRPr="00C761E9" w:rsidRDefault="00A63791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 xml:space="preserve">&lt; 1 </w:t>
            </w:r>
            <w:proofErr w:type="spellStart"/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wk</w:t>
            </w:r>
            <w:proofErr w:type="spellEnd"/>
            <w:r w:rsidRPr="00C761E9">
              <w:rPr>
                <w:rFonts w:ascii="Book Antiqua" w:hAnsi="Book Antiqua" w:cs="Book Antiqua"/>
                <w:bCs/>
                <w:color w:val="000000" w:themeColor="text1"/>
                <w:lang w:val="en-GB" w:eastAsia="zh-CN"/>
              </w:rPr>
              <w:t xml:space="preserve"> </w:t>
            </w:r>
          </w:p>
        </w:tc>
        <w:tc>
          <w:tcPr>
            <w:tcW w:w="863" w:type="pct"/>
          </w:tcPr>
          <w:p w14:paraId="2828E3A6" w14:textId="2A59FF03" w:rsidR="00A63791" w:rsidRPr="00C761E9" w:rsidRDefault="00A63791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11 (32)</w:t>
            </w:r>
          </w:p>
        </w:tc>
        <w:tc>
          <w:tcPr>
            <w:tcW w:w="1197" w:type="pct"/>
          </w:tcPr>
          <w:p w14:paraId="22BB90A8" w14:textId="5998D6D4" w:rsidR="00A63791" w:rsidRPr="00C761E9" w:rsidRDefault="00A63791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1438 (90)</w:t>
            </w:r>
          </w:p>
        </w:tc>
        <w:tc>
          <w:tcPr>
            <w:tcW w:w="973" w:type="pct"/>
            <w:vMerge w:val="restart"/>
          </w:tcPr>
          <w:p w14:paraId="10A93083" w14:textId="645C3535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&lt; 0.001</w:t>
            </w:r>
          </w:p>
        </w:tc>
      </w:tr>
      <w:tr w:rsidR="00C761E9" w:rsidRPr="00C761E9" w14:paraId="4E0124FC" w14:textId="77777777" w:rsidTr="00A63791">
        <w:trPr>
          <w:trHeight w:val="255"/>
        </w:trPr>
        <w:tc>
          <w:tcPr>
            <w:tcW w:w="1205" w:type="pct"/>
            <w:vMerge/>
          </w:tcPr>
          <w:p w14:paraId="78C15756" w14:textId="77777777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</w:p>
        </w:tc>
        <w:tc>
          <w:tcPr>
            <w:tcW w:w="761" w:type="pct"/>
          </w:tcPr>
          <w:p w14:paraId="2C406F9C" w14:textId="628394B5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 xml:space="preserve">&gt; </w:t>
            </w: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 xml:space="preserve">1 </w:t>
            </w:r>
            <w:proofErr w:type="spellStart"/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wk</w:t>
            </w:r>
            <w:proofErr w:type="spellEnd"/>
          </w:p>
        </w:tc>
        <w:tc>
          <w:tcPr>
            <w:tcW w:w="863" w:type="pct"/>
          </w:tcPr>
          <w:p w14:paraId="3F0686C5" w14:textId="7A7E269C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23 (68)</w:t>
            </w:r>
          </w:p>
        </w:tc>
        <w:tc>
          <w:tcPr>
            <w:tcW w:w="1197" w:type="pct"/>
          </w:tcPr>
          <w:p w14:paraId="786CF7E6" w14:textId="766BA360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162 (10)</w:t>
            </w:r>
          </w:p>
        </w:tc>
        <w:tc>
          <w:tcPr>
            <w:tcW w:w="973" w:type="pct"/>
            <w:vMerge/>
          </w:tcPr>
          <w:p w14:paraId="076F2593" w14:textId="77777777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</w:p>
        </w:tc>
      </w:tr>
      <w:tr w:rsidR="00C761E9" w:rsidRPr="00C761E9" w14:paraId="00C94613" w14:textId="77777777" w:rsidTr="00A63791">
        <w:trPr>
          <w:trHeight w:val="305"/>
        </w:trPr>
        <w:tc>
          <w:tcPr>
            <w:tcW w:w="1205" w:type="pct"/>
          </w:tcPr>
          <w:p w14:paraId="0E799CF3" w14:textId="2E4F2FAC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Death</w:t>
            </w:r>
            <w:r w:rsidR="00A766AB"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761" w:type="pct"/>
          </w:tcPr>
          <w:p w14:paraId="6A86BE23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</w:p>
        </w:tc>
        <w:tc>
          <w:tcPr>
            <w:tcW w:w="863" w:type="pct"/>
          </w:tcPr>
          <w:p w14:paraId="4E3936D5" w14:textId="32EBB499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15</w:t>
            </w:r>
            <w:r w:rsidR="00A766AB"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(44)</w:t>
            </w:r>
          </w:p>
        </w:tc>
        <w:tc>
          <w:tcPr>
            <w:tcW w:w="1197" w:type="pct"/>
          </w:tcPr>
          <w:p w14:paraId="03F9555C" w14:textId="0D14340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432</w:t>
            </w:r>
            <w:r w:rsidR="00A766AB"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(27)</w:t>
            </w:r>
          </w:p>
        </w:tc>
        <w:tc>
          <w:tcPr>
            <w:tcW w:w="973" w:type="pct"/>
          </w:tcPr>
          <w:p w14:paraId="0F4C64F2" w14:textId="766832FE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&lt;</w:t>
            </w:r>
            <w:r w:rsidR="00A766AB"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0.01</w:t>
            </w:r>
          </w:p>
        </w:tc>
      </w:tr>
      <w:tr w:rsidR="00C761E9" w:rsidRPr="00C761E9" w14:paraId="7D8B4911" w14:textId="77777777" w:rsidTr="00A63791">
        <w:tc>
          <w:tcPr>
            <w:tcW w:w="1205" w:type="pct"/>
            <w:tcBorders>
              <w:bottom w:val="single" w:sz="4" w:space="0" w:color="auto"/>
            </w:tcBorders>
          </w:tcPr>
          <w:p w14:paraId="4491F62F" w14:textId="6728C4D1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A</w:t>
            </w:r>
            <w:r w:rsidR="00A766AB"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live</w:t>
            </w:r>
            <w:r w:rsidR="00A766AB"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discharge</w:t>
            </w:r>
            <w:r w:rsidR="00A766AB"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14:paraId="2E9E3428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14:paraId="0643A1A0" w14:textId="613B9B19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19</w:t>
            </w:r>
            <w:r w:rsidR="00A766AB"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(54)</w:t>
            </w:r>
          </w:p>
        </w:tc>
        <w:tc>
          <w:tcPr>
            <w:tcW w:w="1197" w:type="pct"/>
            <w:tcBorders>
              <w:bottom w:val="single" w:sz="4" w:space="0" w:color="auto"/>
            </w:tcBorders>
          </w:tcPr>
          <w:p w14:paraId="6B9C285A" w14:textId="69C8C371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1168</w:t>
            </w:r>
            <w:r w:rsidR="00A766AB"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(73)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14:paraId="60C4EB7F" w14:textId="26344963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&lt;</w:t>
            </w:r>
            <w:r w:rsidR="00A766AB"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0.01</w:t>
            </w:r>
          </w:p>
        </w:tc>
      </w:tr>
    </w:tbl>
    <w:p w14:paraId="1AA819C4" w14:textId="77777777" w:rsidR="007E6834" w:rsidRDefault="00B80C8A" w:rsidP="00CF2D81">
      <w:pPr>
        <w:spacing w:line="360" w:lineRule="auto"/>
        <w:jc w:val="both"/>
        <w:rPr>
          <w:rFonts w:ascii="Book Antiqua" w:hAnsi="Book Antiqua" w:cs="Book Antiqua"/>
          <w:color w:val="000000" w:themeColor="text1"/>
          <w:lang w:val="en-GB" w:eastAsia="zh-CN"/>
        </w:rPr>
      </w:pPr>
      <w:r w:rsidRPr="00C761E9">
        <w:rPr>
          <w:rFonts w:ascii="Book Antiqua" w:hAnsi="Book Antiqua" w:cs="Book Antiqua"/>
          <w:color w:val="000000" w:themeColor="text1"/>
          <w:vertAlign w:val="superscript"/>
          <w:lang w:val="en-GB" w:eastAsia="zh-CN"/>
        </w:rPr>
        <w:t>1</w:t>
      </w:r>
      <w:r w:rsidR="00913CF5" w:rsidRPr="00C761E9">
        <w:rPr>
          <w:rFonts w:ascii="Book Antiqua" w:eastAsia="Book Antiqua" w:hAnsi="Book Antiqua" w:cs="Book Antiqua"/>
          <w:color w:val="000000" w:themeColor="text1"/>
          <w:lang w:val="en-GB"/>
        </w:rPr>
        <w:t>Using</w:t>
      </w:r>
      <w:r w:rsidR="00A766AB" w:rsidRPr="00C761E9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="00913CF5" w:rsidRPr="00C761E9">
        <w:rPr>
          <w:rFonts w:ascii="Book Antiqua" w:eastAsia="Book Antiqua" w:hAnsi="Book Antiqua" w:cs="Book Antiqua"/>
          <w:color w:val="000000" w:themeColor="text1"/>
          <w:lang w:val="en-GB"/>
        </w:rPr>
        <w:t>Chi-squared</w:t>
      </w:r>
      <w:r w:rsidR="00A766AB" w:rsidRPr="00C761E9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="00913CF5" w:rsidRPr="00C761E9">
        <w:rPr>
          <w:rFonts w:ascii="Book Antiqua" w:eastAsia="Book Antiqua" w:hAnsi="Book Antiqua" w:cs="Book Antiqua"/>
          <w:color w:val="000000" w:themeColor="text1"/>
          <w:lang w:val="en-GB"/>
        </w:rPr>
        <w:t>test</w:t>
      </w:r>
      <w:r w:rsidRPr="00C761E9">
        <w:rPr>
          <w:rFonts w:ascii="Book Antiqua" w:hAnsi="Book Antiqua" w:cs="Book Antiqua"/>
          <w:color w:val="000000" w:themeColor="text1"/>
          <w:lang w:val="en-GB" w:eastAsia="zh-CN"/>
        </w:rPr>
        <w:t>.</w:t>
      </w:r>
      <w:r w:rsidR="00A766AB" w:rsidRPr="00C761E9">
        <w:rPr>
          <w:rFonts w:ascii="Book Antiqua" w:hAnsi="Book Antiqua" w:cs="Book Antiqua"/>
          <w:color w:val="000000" w:themeColor="text1"/>
          <w:lang w:val="en-GB" w:eastAsia="zh-CN"/>
        </w:rPr>
        <w:t xml:space="preserve"> </w:t>
      </w:r>
    </w:p>
    <w:p w14:paraId="637EFA86" w14:textId="0A708B99" w:rsidR="00913CF5" w:rsidRPr="00C761E9" w:rsidRDefault="003632F6" w:rsidP="00CF2D81">
      <w:pPr>
        <w:spacing w:line="360" w:lineRule="auto"/>
        <w:jc w:val="both"/>
        <w:rPr>
          <w:rFonts w:ascii="Book Antiqua" w:hAnsi="Book Antiqua" w:cs="Tahoma"/>
          <w:color w:val="000000" w:themeColor="text1"/>
        </w:rPr>
      </w:pPr>
      <w:r w:rsidRPr="00C761E9">
        <w:rPr>
          <w:rFonts w:ascii="Book Antiqua" w:hAnsi="Book Antiqua" w:cs="Book Antiqua"/>
          <w:color w:val="000000" w:themeColor="text1"/>
          <w:lang w:val="en-GB" w:eastAsia="zh-CN"/>
        </w:rPr>
        <w:t>ICU:</w:t>
      </w:r>
      <w:r w:rsidR="00A766AB" w:rsidRPr="00C761E9">
        <w:rPr>
          <w:rFonts w:ascii="Book Antiqua" w:hAnsi="Book Antiqua" w:cs="Book Antiqua"/>
          <w:color w:val="000000" w:themeColor="text1"/>
          <w:lang w:val="en-GB" w:eastAsia="zh-CN"/>
        </w:rPr>
        <w:t xml:space="preserve"> </w:t>
      </w:r>
      <w:r w:rsidRPr="00C761E9">
        <w:rPr>
          <w:rFonts w:ascii="Book Antiqua" w:hAnsi="Book Antiqua" w:cs="Book Antiqua"/>
          <w:color w:val="000000" w:themeColor="text1"/>
          <w:lang w:eastAsia="zh-CN"/>
        </w:rPr>
        <w:t>I</w:t>
      </w:r>
      <w:r w:rsidRPr="00C761E9">
        <w:rPr>
          <w:rFonts w:ascii="Book Antiqua" w:eastAsia="Book Antiqua" w:hAnsi="Book Antiqua" w:cs="Book Antiqua"/>
          <w:color w:val="000000" w:themeColor="text1"/>
        </w:rPr>
        <w:t>ntensive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; </w:t>
      </w:r>
      <w:r w:rsidR="00A766AB" w:rsidRPr="00C761E9">
        <w:rPr>
          <w:rFonts w:ascii="Book Antiqua" w:eastAsia="Book Antiqua" w:hAnsi="Book Antiqua" w:cs="Book Antiqua"/>
          <w:color w:val="000000" w:themeColor="text1"/>
          <w:lang w:val="en-GB"/>
        </w:rPr>
        <w:t>CLABSI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: 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>Central line-associated bloodstream infections</w:t>
      </w:r>
      <w:r w:rsidR="00A766AB" w:rsidRPr="00C761E9">
        <w:rPr>
          <w:rFonts w:ascii="Book Antiqua" w:hAnsi="Book Antiqua" w:cs="Tahoma"/>
          <w:color w:val="000000" w:themeColor="text1"/>
        </w:rPr>
        <w:t>.</w:t>
      </w:r>
    </w:p>
    <w:p w14:paraId="195DCF82" w14:textId="6434635D" w:rsidR="00913CF5" w:rsidRPr="00C761E9" w:rsidRDefault="00913CF5" w:rsidP="00CF2D81">
      <w:pPr>
        <w:pStyle w:val="Default"/>
        <w:spacing w:line="360" w:lineRule="auto"/>
        <w:jc w:val="both"/>
        <w:rPr>
          <w:rFonts w:ascii="Book Antiqua" w:hAnsi="Book Antiqua" w:cstheme="majorBidi"/>
          <w:color w:val="000000" w:themeColor="text1"/>
        </w:rPr>
      </w:pPr>
      <w:r w:rsidRPr="00C761E9">
        <w:rPr>
          <w:rFonts w:ascii="Book Antiqua" w:hAnsi="Book Antiqua"/>
          <w:color w:val="000000" w:themeColor="text1"/>
        </w:rPr>
        <w:br w:type="page"/>
      </w:r>
      <w:r w:rsidRPr="00C761E9">
        <w:rPr>
          <w:rFonts w:ascii="Book Antiqua" w:hAnsi="Book Antiqua" w:cstheme="majorBidi"/>
          <w:b/>
          <w:color w:val="000000" w:themeColor="text1"/>
        </w:rPr>
        <w:lastRenderedPageBreak/>
        <w:t>Table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2</w:t>
      </w:r>
      <w:r w:rsidR="00A766AB" w:rsidRPr="00C761E9">
        <w:rPr>
          <w:rFonts w:ascii="Book Antiqua" w:hAnsi="Book Antiqua" w:cstheme="majorBidi"/>
          <w:b/>
          <w:color w:val="000000" w:themeColor="text1"/>
          <w:lang w:eastAsia="zh-CN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The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microbiological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causes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of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="003632F6" w:rsidRPr="00C761E9">
        <w:rPr>
          <w:rFonts w:ascii="Book Antiqua" w:eastAsia="Book Antiqua" w:hAnsi="Book Antiqua" w:cs="Book Antiqua"/>
          <w:b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632F6" w:rsidRPr="00C761E9">
        <w:rPr>
          <w:rFonts w:ascii="Book Antiqua" w:eastAsia="Book Antiqua" w:hAnsi="Book Antiqua" w:cs="Book Antiqua"/>
          <w:b/>
          <w:color w:val="000000" w:themeColor="text1"/>
        </w:rPr>
        <w:t>line-associated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632F6" w:rsidRPr="00C761E9">
        <w:rPr>
          <w:rFonts w:ascii="Book Antiqua" w:eastAsia="Book Antiqua" w:hAnsi="Book Antiqua" w:cs="Book Antiqua"/>
          <w:b/>
          <w:color w:val="000000" w:themeColor="text1"/>
        </w:rPr>
        <w:t>bloodstream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632F6" w:rsidRPr="00C761E9">
        <w:rPr>
          <w:rFonts w:ascii="Book Antiqua" w:eastAsia="Book Antiqua" w:hAnsi="Book Antiqua" w:cs="Book Antiqua"/>
          <w:b/>
          <w:color w:val="000000" w:themeColor="text1"/>
        </w:rPr>
        <w:t>infections</w:t>
      </w:r>
    </w:p>
    <w:tbl>
      <w:tblPr>
        <w:tblW w:w="889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29"/>
        <w:gridCol w:w="2091"/>
        <w:gridCol w:w="2977"/>
      </w:tblGrid>
      <w:tr w:rsidR="00C761E9" w:rsidRPr="00C761E9" w14:paraId="7BB6041F" w14:textId="77777777" w:rsidTr="00E53455"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E6620" w14:textId="27C2EB35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>Organism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0A06E" w14:textId="0625AA05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color w:val="000000" w:themeColor="text1"/>
                <w:lang w:eastAsia="zh-CN"/>
              </w:rPr>
            </w:pPr>
            <w:r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>Number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>(percentage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>out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>of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>total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>34)</w:t>
            </w:r>
            <w:r w:rsidR="00656E8B" w:rsidRPr="00C761E9">
              <w:rPr>
                <w:rFonts w:ascii="Book Antiqua" w:hAnsi="Book Antiqua" w:cstheme="majorBidi"/>
                <w:b/>
                <w:bCs/>
                <w:color w:val="000000" w:themeColor="text1"/>
                <w:lang w:eastAsia="zh-CN"/>
              </w:rPr>
              <w:t>,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  <w:lang w:eastAsia="zh-CN"/>
              </w:rPr>
              <w:t xml:space="preserve"> </w:t>
            </w:r>
            <w:r w:rsidR="00656E8B" w:rsidRPr="00C761E9">
              <w:rPr>
                <w:rFonts w:ascii="Book Antiqua" w:hAnsi="Book Antiqua" w:cstheme="majorBidi"/>
                <w:b/>
                <w:bCs/>
                <w:i/>
                <w:color w:val="000000" w:themeColor="text1"/>
                <w:lang w:eastAsia="zh-CN"/>
              </w:rPr>
              <w:t>n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 xml:space="preserve"> </w:t>
            </w:r>
            <w:r w:rsidR="00656E8B"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>(%)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3216C" w14:textId="0BEEF6D8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>MDR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>organism</w:t>
            </w:r>
            <w:r w:rsidR="00656E8B" w:rsidRPr="00C761E9">
              <w:rPr>
                <w:rFonts w:ascii="Book Antiqua" w:hAnsi="Book Antiqua" w:cstheme="majorBidi"/>
                <w:b/>
                <w:bCs/>
                <w:color w:val="000000" w:themeColor="text1"/>
                <w:lang w:eastAsia="zh-CN"/>
              </w:rPr>
              <w:t>,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 xml:space="preserve"> </w:t>
            </w:r>
            <w:r w:rsidR="00656E8B" w:rsidRPr="00C761E9">
              <w:rPr>
                <w:rFonts w:ascii="Book Antiqua" w:hAnsi="Book Antiqua" w:cstheme="majorBidi"/>
                <w:b/>
                <w:bCs/>
                <w:i/>
                <w:color w:val="000000" w:themeColor="text1"/>
                <w:lang w:eastAsia="zh-CN"/>
              </w:rPr>
              <w:t>n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>(%)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 xml:space="preserve"> </w:t>
            </w:r>
          </w:p>
        </w:tc>
      </w:tr>
      <w:tr w:rsidR="00C761E9" w:rsidRPr="00C761E9" w14:paraId="0E4197A3" w14:textId="77777777" w:rsidTr="00E53455">
        <w:tc>
          <w:tcPr>
            <w:tcW w:w="889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91BF1" w14:textId="00FA4DAB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b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bCs/>
                <w:color w:val="000000" w:themeColor="text1"/>
              </w:rPr>
              <w:t>Gram</w:t>
            </w:r>
            <w:r w:rsidR="00A766AB" w:rsidRPr="00C761E9">
              <w:rPr>
                <w:rFonts w:ascii="Book Antiqua" w:hAnsi="Book Antiqua" w:cstheme="majorBidi"/>
                <w:bCs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bCs/>
                <w:color w:val="000000" w:themeColor="text1"/>
              </w:rPr>
              <w:t>negative</w:t>
            </w:r>
            <w:r w:rsidR="00A766AB" w:rsidRPr="00C761E9">
              <w:rPr>
                <w:rFonts w:ascii="Book Antiqua" w:hAnsi="Book Antiqua" w:cstheme="majorBidi"/>
                <w:bCs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bCs/>
                <w:color w:val="000000" w:themeColor="text1"/>
              </w:rPr>
              <w:t>bacteria</w:t>
            </w:r>
          </w:p>
        </w:tc>
      </w:tr>
      <w:tr w:rsidR="00C761E9" w:rsidRPr="00C761E9" w14:paraId="714C8C15" w14:textId="77777777" w:rsidTr="00E53455">
        <w:tc>
          <w:tcPr>
            <w:tcW w:w="38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0CB4" w14:textId="2906AF2C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i/>
                <w:i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>Acinetobacter</w:t>
            </w:r>
            <w:r w:rsidR="00A766AB"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B099E" w14:textId="097C3F84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5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(15)</w:t>
            </w:r>
          </w:p>
        </w:tc>
        <w:tc>
          <w:tcPr>
            <w:tcW w:w="2977" w:type="dxa"/>
            <w:shd w:val="clear" w:color="auto" w:fill="auto"/>
          </w:tcPr>
          <w:p w14:paraId="2ADCBD07" w14:textId="29E2231A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MDR</w:t>
            </w:r>
            <w:r w:rsidR="00656E8B" w:rsidRPr="00C761E9">
              <w:rPr>
                <w:rFonts w:ascii="Book Antiqua" w:hAnsi="Book Antiqua" w:cstheme="majorBidi"/>
                <w:bCs/>
                <w:color w:val="000000" w:themeColor="text1"/>
                <w:vertAlign w:val="superscript"/>
                <w:lang w:eastAsia="zh-CN"/>
              </w:rPr>
              <w:t>1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(60)</w:t>
            </w:r>
          </w:p>
        </w:tc>
      </w:tr>
      <w:tr w:rsidR="00C761E9" w:rsidRPr="00C761E9" w14:paraId="6C6750C1" w14:textId="77777777" w:rsidTr="00E53455">
        <w:tc>
          <w:tcPr>
            <w:tcW w:w="38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6F9F7" w14:textId="5D3C9F19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i/>
                <w:i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>Escherichia</w:t>
            </w:r>
            <w:r w:rsidR="00A766AB"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>coli</w:t>
            </w:r>
          </w:p>
        </w:tc>
        <w:tc>
          <w:tcPr>
            <w:tcW w:w="2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047C8" w14:textId="30047BD2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4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(12)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115E8F56" w14:textId="4C30C5AF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1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ESBL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(25)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  <w:p w14:paraId="73AD9B40" w14:textId="78B82745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2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CRE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(50)</w:t>
            </w:r>
          </w:p>
          <w:p w14:paraId="6629CB40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</w:tr>
      <w:tr w:rsidR="00C761E9" w:rsidRPr="00C761E9" w14:paraId="5B98F1E9" w14:textId="77777777" w:rsidTr="00E53455">
        <w:tc>
          <w:tcPr>
            <w:tcW w:w="38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FBA4" w14:textId="400B60BF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i/>
                <w:i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>Pseudomonas</w:t>
            </w:r>
            <w:r w:rsidR="00A766AB"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FA269" w14:textId="6CC31C15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4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(12)</w:t>
            </w:r>
          </w:p>
        </w:tc>
        <w:tc>
          <w:tcPr>
            <w:tcW w:w="2977" w:type="dxa"/>
            <w:shd w:val="clear" w:color="auto" w:fill="auto"/>
          </w:tcPr>
          <w:p w14:paraId="66B67C32" w14:textId="7E10B6FD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2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CRP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(50)</w:t>
            </w:r>
          </w:p>
          <w:p w14:paraId="01C77325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</w:tr>
      <w:tr w:rsidR="00C761E9" w:rsidRPr="00C761E9" w14:paraId="09340D78" w14:textId="77777777" w:rsidTr="00E53455">
        <w:tc>
          <w:tcPr>
            <w:tcW w:w="38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55C94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i/>
                <w:i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>Klebsiella</w:t>
            </w:r>
          </w:p>
        </w:tc>
        <w:tc>
          <w:tcPr>
            <w:tcW w:w="2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D5795" w14:textId="23B295C6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(8)</w:t>
            </w:r>
          </w:p>
        </w:tc>
        <w:tc>
          <w:tcPr>
            <w:tcW w:w="2977" w:type="dxa"/>
            <w:shd w:val="clear" w:color="auto" w:fill="auto"/>
          </w:tcPr>
          <w:p w14:paraId="2455C35A" w14:textId="17C9E495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2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CRE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(66)</w:t>
            </w:r>
          </w:p>
        </w:tc>
      </w:tr>
      <w:tr w:rsidR="00C761E9" w:rsidRPr="00C761E9" w14:paraId="5AF7889D" w14:textId="77777777" w:rsidTr="00E53455">
        <w:tc>
          <w:tcPr>
            <w:tcW w:w="38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569CB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i/>
                <w:iCs/>
                <w:color w:val="000000" w:themeColor="text1"/>
              </w:rPr>
            </w:pPr>
            <w:proofErr w:type="spellStart"/>
            <w:r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>Morganella</w:t>
            </w:r>
            <w:proofErr w:type="spellEnd"/>
          </w:p>
        </w:tc>
        <w:tc>
          <w:tcPr>
            <w:tcW w:w="2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8693C" w14:textId="051AE8CE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1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(3)</w:t>
            </w:r>
          </w:p>
        </w:tc>
        <w:tc>
          <w:tcPr>
            <w:tcW w:w="2977" w:type="dxa"/>
            <w:shd w:val="clear" w:color="auto" w:fill="auto"/>
          </w:tcPr>
          <w:p w14:paraId="381A107E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</w:tr>
      <w:tr w:rsidR="00C761E9" w:rsidRPr="00C761E9" w14:paraId="6E97CE1C" w14:textId="77777777" w:rsidTr="00E53455">
        <w:tc>
          <w:tcPr>
            <w:tcW w:w="38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0DCE1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i/>
                <w:i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>Serratia</w:t>
            </w:r>
          </w:p>
        </w:tc>
        <w:tc>
          <w:tcPr>
            <w:tcW w:w="2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68885" w14:textId="6AC72C4C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1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(3)</w:t>
            </w:r>
          </w:p>
        </w:tc>
        <w:tc>
          <w:tcPr>
            <w:tcW w:w="2977" w:type="dxa"/>
            <w:shd w:val="clear" w:color="auto" w:fill="auto"/>
          </w:tcPr>
          <w:p w14:paraId="6C90158E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</w:tr>
      <w:tr w:rsidR="00C761E9" w:rsidRPr="00C761E9" w14:paraId="3129DC58" w14:textId="77777777" w:rsidTr="00E53455">
        <w:tc>
          <w:tcPr>
            <w:tcW w:w="38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B0D2B" w14:textId="47AE7F46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i/>
                <w:i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>Stenotrophomonas</w:t>
            </w:r>
            <w:r w:rsidR="00A766AB"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>maltophilia</w:t>
            </w:r>
            <w:proofErr w:type="spellEnd"/>
          </w:p>
        </w:tc>
        <w:tc>
          <w:tcPr>
            <w:tcW w:w="2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51459" w14:textId="480C660C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1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(3)</w:t>
            </w:r>
          </w:p>
        </w:tc>
        <w:tc>
          <w:tcPr>
            <w:tcW w:w="2977" w:type="dxa"/>
            <w:shd w:val="clear" w:color="auto" w:fill="auto"/>
          </w:tcPr>
          <w:p w14:paraId="5BAA591F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</w:tr>
      <w:tr w:rsidR="00C761E9" w:rsidRPr="00C761E9" w14:paraId="712D78A9" w14:textId="77777777" w:rsidTr="00E53455">
        <w:tc>
          <w:tcPr>
            <w:tcW w:w="38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6ECE5" w14:textId="4540FDCE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b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bCs/>
                <w:color w:val="000000" w:themeColor="text1"/>
              </w:rPr>
              <w:t>Total</w:t>
            </w:r>
            <w:r w:rsidR="00A766AB" w:rsidRPr="00C761E9">
              <w:rPr>
                <w:rFonts w:ascii="Book Antiqua" w:hAnsi="Book Antiqua" w:cstheme="majorBidi"/>
                <w:bCs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bCs/>
                <w:color w:val="000000" w:themeColor="text1"/>
              </w:rPr>
              <w:t>gram</w:t>
            </w:r>
            <w:r w:rsidR="00A766AB" w:rsidRPr="00C761E9">
              <w:rPr>
                <w:rFonts w:ascii="Book Antiqua" w:hAnsi="Book Antiqua" w:cstheme="majorBidi"/>
                <w:bCs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bCs/>
                <w:color w:val="000000" w:themeColor="text1"/>
              </w:rPr>
              <w:t>negative</w:t>
            </w:r>
            <w:r w:rsidR="00A766AB" w:rsidRPr="00C761E9">
              <w:rPr>
                <w:rFonts w:ascii="Book Antiqua" w:hAnsi="Book Antiqua" w:cstheme="majorBidi"/>
                <w:bCs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AC742" w14:textId="5D0F8FFA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19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(56)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6DEB2669" w14:textId="3644F778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10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(53)</w:t>
            </w:r>
          </w:p>
        </w:tc>
      </w:tr>
      <w:tr w:rsidR="00C761E9" w:rsidRPr="00C761E9" w14:paraId="1E3A2381" w14:textId="77777777" w:rsidTr="00E53455">
        <w:tc>
          <w:tcPr>
            <w:tcW w:w="8897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E899" w14:textId="48CBAAFC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bCs/>
                <w:color w:val="000000" w:themeColor="text1"/>
              </w:rPr>
              <w:t>Gram</w:t>
            </w:r>
            <w:r w:rsidR="00A766AB" w:rsidRPr="00C761E9">
              <w:rPr>
                <w:rFonts w:ascii="Book Antiqua" w:hAnsi="Book Antiqua" w:cstheme="majorBidi"/>
                <w:bCs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bCs/>
                <w:color w:val="000000" w:themeColor="text1"/>
              </w:rPr>
              <w:t>positive</w:t>
            </w:r>
            <w:r w:rsidR="00A766AB" w:rsidRPr="00C761E9">
              <w:rPr>
                <w:rFonts w:ascii="Book Antiqua" w:hAnsi="Book Antiqua" w:cstheme="majorBidi"/>
                <w:bCs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bCs/>
                <w:color w:val="000000" w:themeColor="text1"/>
              </w:rPr>
              <w:t>bacteria</w:t>
            </w:r>
          </w:p>
        </w:tc>
      </w:tr>
      <w:tr w:rsidR="00C761E9" w:rsidRPr="00C761E9" w14:paraId="611D2109" w14:textId="77777777" w:rsidTr="00E53455">
        <w:tc>
          <w:tcPr>
            <w:tcW w:w="38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D153" w14:textId="5A3CEA60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i/>
                <w:i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>Enterococcus</w:t>
            </w:r>
            <w:r w:rsidR="00A766AB"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B1F3C" w14:textId="041E07DE" w:rsidR="00913CF5" w:rsidRPr="00C761E9" w:rsidRDefault="00913CF5" w:rsidP="00A6379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5</w:t>
            </w:r>
            <w:r w:rsidR="00A63791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(15)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718A48F0" w14:textId="58D4A626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VRE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(60)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</w:tr>
      <w:tr w:rsidR="00C761E9" w:rsidRPr="00C761E9" w14:paraId="345AFDBC" w14:textId="77777777" w:rsidTr="00E53455">
        <w:tc>
          <w:tcPr>
            <w:tcW w:w="38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4E3B" w14:textId="4F08DE1F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i/>
                <w:i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Coagulase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764A7" w:rsidRPr="00C761E9">
              <w:rPr>
                <w:rFonts w:ascii="Book Antiqua" w:hAnsi="Book Antiqua" w:cstheme="majorBidi"/>
                <w:color w:val="000000" w:themeColor="text1"/>
              </w:rPr>
              <w:t>negative</w:t>
            </w:r>
            <w:r w:rsidR="001764A7"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 xml:space="preserve"> Staphylococcus </w:t>
            </w:r>
          </w:p>
        </w:tc>
        <w:tc>
          <w:tcPr>
            <w:tcW w:w="2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FFDA" w14:textId="0DCC4234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6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(18)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428646E8" w14:textId="70148C12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6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MRCONS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(100)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</w:tr>
      <w:tr w:rsidR="00C761E9" w:rsidRPr="00C761E9" w14:paraId="0348262A" w14:textId="77777777" w:rsidTr="00E53455">
        <w:tc>
          <w:tcPr>
            <w:tcW w:w="38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4EBC4" w14:textId="4B2EFAA6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i/>
                <w:i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>Staphylococcus</w:t>
            </w:r>
            <w:r w:rsidR="00A766AB"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>aureus</w:t>
            </w:r>
          </w:p>
        </w:tc>
        <w:tc>
          <w:tcPr>
            <w:tcW w:w="2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58935" w14:textId="51079462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2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(5)</w:t>
            </w:r>
          </w:p>
        </w:tc>
        <w:tc>
          <w:tcPr>
            <w:tcW w:w="2977" w:type="dxa"/>
            <w:shd w:val="clear" w:color="auto" w:fill="auto"/>
          </w:tcPr>
          <w:p w14:paraId="75BD8946" w14:textId="544B18B0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1MRSA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(50)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</w:tr>
      <w:tr w:rsidR="00C761E9" w:rsidRPr="00C761E9" w14:paraId="6660CD61" w14:textId="77777777" w:rsidTr="00E53455">
        <w:tc>
          <w:tcPr>
            <w:tcW w:w="38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CC3BF" w14:textId="2C94B9CE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i/>
                <w:i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>Streptococcus</w:t>
            </w:r>
            <w:r w:rsidR="00A766AB"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>viridans</w:t>
            </w:r>
            <w:proofErr w:type="spellEnd"/>
            <w:r w:rsidR="00A766AB"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 xml:space="preserve">  </w:t>
            </w:r>
          </w:p>
        </w:tc>
        <w:tc>
          <w:tcPr>
            <w:tcW w:w="2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E297D" w14:textId="488DFBBB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1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(3)</w:t>
            </w:r>
          </w:p>
        </w:tc>
        <w:tc>
          <w:tcPr>
            <w:tcW w:w="2977" w:type="dxa"/>
            <w:shd w:val="clear" w:color="auto" w:fill="auto"/>
          </w:tcPr>
          <w:p w14:paraId="672A8C9A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</w:tr>
      <w:tr w:rsidR="00C761E9" w:rsidRPr="00C761E9" w14:paraId="5A514C82" w14:textId="77777777" w:rsidTr="00E53455">
        <w:tc>
          <w:tcPr>
            <w:tcW w:w="38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EF7C" w14:textId="3107DC5D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Total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gram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positive</w:t>
            </w:r>
          </w:p>
        </w:tc>
        <w:tc>
          <w:tcPr>
            <w:tcW w:w="2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73B71" w14:textId="5B7EED21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14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(41)</w:t>
            </w:r>
          </w:p>
        </w:tc>
        <w:tc>
          <w:tcPr>
            <w:tcW w:w="2977" w:type="dxa"/>
            <w:shd w:val="clear" w:color="auto" w:fill="auto"/>
          </w:tcPr>
          <w:p w14:paraId="4EB03E42" w14:textId="72807508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10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(71)</w:t>
            </w:r>
          </w:p>
        </w:tc>
      </w:tr>
      <w:tr w:rsidR="00C761E9" w:rsidRPr="00C761E9" w14:paraId="0A7A3A01" w14:textId="77777777" w:rsidTr="00E53455">
        <w:tc>
          <w:tcPr>
            <w:tcW w:w="38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0EB98" w14:textId="10A14399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Candida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species</w:t>
            </w:r>
          </w:p>
        </w:tc>
        <w:tc>
          <w:tcPr>
            <w:tcW w:w="2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B1449" w14:textId="5BE3FEA5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1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(3)</w:t>
            </w:r>
          </w:p>
        </w:tc>
        <w:tc>
          <w:tcPr>
            <w:tcW w:w="2977" w:type="dxa"/>
            <w:shd w:val="clear" w:color="auto" w:fill="auto"/>
          </w:tcPr>
          <w:p w14:paraId="46962E47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</w:tr>
      <w:tr w:rsidR="00C761E9" w:rsidRPr="00C761E9" w14:paraId="01862653" w14:textId="77777777" w:rsidTr="00E53455"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F489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Total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4D9C7" w14:textId="4C5BCA50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34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(100)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1C36F00" w14:textId="11F8DE69" w:rsidR="00913CF5" w:rsidRPr="00C761E9" w:rsidRDefault="00656E8B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20/34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</w:t>
            </w:r>
            <w:r w:rsidR="00913CF5" w:rsidRPr="00C761E9">
              <w:rPr>
                <w:rFonts w:ascii="Book Antiqua" w:hAnsi="Book Antiqua" w:cstheme="majorBidi"/>
                <w:color w:val="000000" w:themeColor="text1"/>
              </w:rPr>
              <w:t>59)</w:t>
            </w:r>
          </w:p>
        </w:tc>
      </w:tr>
    </w:tbl>
    <w:p w14:paraId="3FA77D82" w14:textId="77777777" w:rsidR="00121CEE" w:rsidRDefault="00656E8B" w:rsidP="00CF2D81">
      <w:pPr>
        <w:pStyle w:val="Default"/>
        <w:spacing w:line="360" w:lineRule="auto"/>
        <w:jc w:val="both"/>
        <w:rPr>
          <w:rFonts w:ascii="Book Antiqua" w:hAnsi="Book Antiqua" w:cstheme="majorBidi"/>
          <w:iCs/>
          <w:color w:val="000000" w:themeColor="text1"/>
          <w:lang w:eastAsia="zh-CN"/>
        </w:rPr>
      </w:pPr>
      <w:r w:rsidRPr="00C761E9">
        <w:rPr>
          <w:rFonts w:ascii="Book Antiqua" w:hAnsi="Book Antiqua" w:cstheme="majorBidi"/>
          <w:iCs/>
          <w:color w:val="000000" w:themeColor="text1"/>
          <w:vertAlign w:val="superscript"/>
          <w:lang w:eastAsia="zh-CN"/>
        </w:rPr>
        <w:t>1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>Multi-drug resistance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:</w:t>
      </w:r>
      <w:r w:rsidR="00A766AB" w:rsidRPr="00C761E9">
        <w:rPr>
          <w:rFonts w:ascii="Book Antiqua" w:hAnsi="Book Antiqua" w:cstheme="majorBidi"/>
          <w:iCs/>
          <w:color w:val="000000" w:themeColor="text1"/>
          <w:lang w:eastAsia="zh-CN"/>
        </w:rPr>
        <w:t xml:space="preserve"> 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Resistant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to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&gt;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3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classes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of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antimicrobial</w:t>
      </w:r>
      <w:r w:rsidRPr="00C761E9">
        <w:rPr>
          <w:rFonts w:ascii="Book Antiqua" w:hAnsi="Book Antiqua" w:cstheme="majorBidi"/>
          <w:iCs/>
          <w:color w:val="000000" w:themeColor="text1"/>
          <w:lang w:eastAsia="zh-CN"/>
        </w:rPr>
        <w:t>.</w:t>
      </w:r>
      <w:r w:rsidR="00A766AB" w:rsidRPr="00C761E9">
        <w:rPr>
          <w:rFonts w:ascii="Book Antiqua" w:hAnsi="Book Antiqua" w:cstheme="majorBidi"/>
          <w:iCs/>
          <w:color w:val="000000" w:themeColor="text1"/>
          <w:lang w:eastAsia="zh-CN"/>
        </w:rPr>
        <w:t xml:space="preserve"> </w:t>
      </w:r>
    </w:p>
    <w:p w14:paraId="1278F108" w14:textId="058E5034" w:rsidR="00913CF5" w:rsidRPr="00C761E9" w:rsidRDefault="00913CF5" w:rsidP="00CF2D81">
      <w:pPr>
        <w:pStyle w:val="Default"/>
        <w:spacing w:line="360" w:lineRule="auto"/>
        <w:jc w:val="both"/>
        <w:rPr>
          <w:rFonts w:ascii="Book Antiqua" w:hAnsi="Book Antiqua" w:cstheme="majorBidi"/>
          <w:iCs/>
          <w:color w:val="000000" w:themeColor="text1"/>
        </w:rPr>
      </w:pPr>
      <w:r w:rsidRPr="00C761E9">
        <w:rPr>
          <w:rFonts w:ascii="Book Antiqua" w:hAnsi="Book Antiqua" w:cstheme="majorBidi"/>
          <w:iCs/>
          <w:color w:val="000000" w:themeColor="text1"/>
        </w:rPr>
        <w:t>CRE:</w:t>
      </w:r>
      <w:r w:rsidR="00A766AB" w:rsidRPr="00C761E9">
        <w:rPr>
          <w:rFonts w:ascii="Book Antiqua" w:hAnsi="Book Antiqua" w:cstheme="majorBidi"/>
          <w:iCs/>
          <w:color w:val="000000" w:themeColor="text1"/>
          <w:lang w:eastAsia="zh-CN"/>
        </w:rPr>
        <w:t xml:space="preserve"> </w:t>
      </w:r>
      <w:r w:rsidR="00656E8B" w:rsidRPr="00C761E9">
        <w:rPr>
          <w:rFonts w:ascii="Book Antiqua" w:hAnsi="Book Antiqua" w:cstheme="majorBidi"/>
          <w:iCs/>
          <w:color w:val="000000" w:themeColor="text1"/>
          <w:lang w:eastAsia="zh-CN"/>
        </w:rPr>
        <w:t>C</w:t>
      </w:r>
      <w:r w:rsidRPr="00C761E9">
        <w:rPr>
          <w:rFonts w:ascii="Book Antiqua" w:hAnsi="Book Antiqua" w:cstheme="majorBidi"/>
          <w:iCs/>
          <w:color w:val="000000" w:themeColor="text1"/>
        </w:rPr>
        <w:t>arbapenem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iCs/>
          <w:color w:val="000000" w:themeColor="text1"/>
        </w:rPr>
        <w:t>resistant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proofErr w:type="spellStart"/>
      <w:r w:rsidRPr="00C761E9">
        <w:rPr>
          <w:rFonts w:ascii="Book Antiqua" w:hAnsi="Book Antiqua" w:cstheme="majorBidi"/>
          <w:iCs/>
          <w:color w:val="000000" w:themeColor="text1"/>
        </w:rPr>
        <w:t>enterobacteriasae</w:t>
      </w:r>
      <w:proofErr w:type="spellEnd"/>
      <w:r w:rsidR="00656E8B" w:rsidRPr="00C761E9">
        <w:rPr>
          <w:rFonts w:ascii="Book Antiqua" w:hAnsi="Book Antiqua" w:cstheme="majorBidi"/>
          <w:iCs/>
          <w:color w:val="000000" w:themeColor="text1"/>
          <w:lang w:eastAsia="zh-CN"/>
        </w:rPr>
        <w:t>;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iCs/>
          <w:color w:val="000000" w:themeColor="text1"/>
        </w:rPr>
        <w:t>ESBL: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="00656E8B" w:rsidRPr="00C761E9">
        <w:rPr>
          <w:rFonts w:ascii="Book Antiqua" w:hAnsi="Book Antiqua" w:cstheme="majorBidi"/>
          <w:iCs/>
          <w:color w:val="000000" w:themeColor="text1"/>
          <w:lang w:eastAsia="zh-CN"/>
        </w:rPr>
        <w:t>E</w:t>
      </w:r>
      <w:r w:rsidRPr="00C761E9">
        <w:rPr>
          <w:rFonts w:ascii="Book Antiqua" w:hAnsi="Book Antiqua" w:cstheme="majorBidi"/>
          <w:iCs/>
          <w:color w:val="000000" w:themeColor="text1"/>
        </w:rPr>
        <w:t>xtended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iCs/>
          <w:color w:val="000000" w:themeColor="text1"/>
        </w:rPr>
        <w:t>spectrum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iCs/>
          <w:color w:val="000000" w:themeColor="text1"/>
        </w:rPr>
        <w:t>B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iCs/>
          <w:color w:val="000000" w:themeColor="text1"/>
        </w:rPr>
        <w:t>lactamase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iCs/>
          <w:color w:val="000000" w:themeColor="text1"/>
        </w:rPr>
        <w:t>producer</w:t>
      </w:r>
      <w:r w:rsidR="00656E8B" w:rsidRPr="00C761E9">
        <w:rPr>
          <w:rFonts w:ascii="Book Antiqua" w:hAnsi="Book Antiqua" w:cstheme="majorBidi"/>
          <w:iCs/>
          <w:color w:val="000000" w:themeColor="text1"/>
          <w:lang w:eastAsia="zh-CN"/>
        </w:rPr>
        <w:t>;</w:t>
      </w:r>
      <w:r w:rsidR="00A766AB" w:rsidRPr="00C761E9">
        <w:rPr>
          <w:rFonts w:ascii="Book Antiqua" w:hAnsi="Book Antiqua" w:cstheme="majorBidi"/>
          <w:iCs/>
          <w:color w:val="000000" w:themeColor="text1"/>
          <w:lang w:eastAsia="zh-CN"/>
        </w:rPr>
        <w:t xml:space="preserve"> </w:t>
      </w:r>
      <w:r w:rsidRPr="00C761E9">
        <w:rPr>
          <w:rFonts w:ascii="Book Antiqua" w:hAnsi="Book Antiqua" w:cstheme="majorBidi"/>
          <w:iCs/>
          <w:color w:val="000000" w:themeColor="text1"/>
        </w:rPr>
        <w:t>CRP: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="00656E8B" w:rsidRPr="00C761E9">
        <w:rPr>
          <w:rFonts w:ascii="Book Antiqua" w:hAnsi="Book Antiqua" w:cstheme="majorBidi"/>
          <w:iCs/>
          <w:color w:val="000000" w:themeColor="text1"/>
          <w:lang w:eastAsia="zh-CN"/>
        </w:rPr>
        <w:t>C</w:t>
      </w:r>
      <w:r w:rsidRPr="00C761E9">
        <w:rPr>
          <w:rFonts w:ascii="Book Antiqua" w:hAnsi="Book Antiqua" w:cstheme="majorBidi"/>
          <w:iCs/>
          <w:color w:val="000000" w:themeColor="text1"/>
        </w:rPr>
        <w:t>arbapenem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iCs/>
          <w:color w:val="000000" w:themeColor="text1"/>
        </w:rPr>
        <w:t>resistant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iCs/>
          <w:color w:val="000000" w:themeColor="text1"/>
        </w:rPr>
        <w:t>pseudomonas</w:t>
      </w:r>
      <w:r w:rsidR="00656E8B" w:rsidRPr="00C761E9">
        <w:rPr>
          <w:rFonts w:ascii="Book Antiqua" w:hAnsi="Book Antiqua" w:cstheme="majorBidi"/>
          <w:iCs/>
          <w:color w:val="000000" w:themeColor="text1"/>
          <w:lang w:eastAsia="zh-CN"/>
        </w:rPr>
        <w:t>;</w:t>
      </w:r>
      <w:r w:rsidR="00A766AB" w:rsidRPr="00C761E9">
        <w:rPr>
          <w:rFonts w:ascii="Book Antiqua" w:hAnsi="Book Antiqua" w:cstheme="majorBidi"/>
          <w:iCs/>
          <w:color w:val="000000" w:themeColor="text1"/>
          <w:lang w:eastAsia="zh-CN"/>
        </w:rPr>
        <w:t xml:space="preserve"> </w:t>
      </w:r>
      <w:r w:rsidRPr="00C761E9">
        <w:rPr>
          <w:rFonts w:ascii="Book Antiqua" w:hAnsi="Book Antiqua" w:cstheme="majorBidi"/>
          <w:iCs/>
          <w:color w:val="000000" w:themeColor="text1"/>
        </w:rPr>
        <w:t>VRE: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="00656E8B" w:rsidRPr="00C761E9">
        <w:rPr>
          <w:rFonts w:ascii="Book Antiqua" w:hAnsi="Book Antiqua" w:cstheme="majorBidi"/>
          <w:iCs/>
          <w:color w:val="000000" w:themeColor="text1"/>
          <w:lang w:eastAsia="zh-CN"/>
        </w:rPr>
        <w:t>V</w:t>
      </w:r>
      <w:r w:rsidRPr="00C761E9">
        <w:rPr>
          <w:rFonts w:ascii="Book Antiqua" w:hAnsi="Book Antiqua" w:cstheme="majorBidi"/>
          <w:iCs/>
          <w:color w:val="000000" w:themeColor="text1"/>
        </w:rPr>
        <w:t>ancomycin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iCs/>
          <w:color w:val="000000" w:themeColor="text1"/>
        </w:rPr>
        <w:t>resistant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iCs/>
          <w:color w:val="000000" w:themeColor="text1"/>
        </w:rPr>
        <w:t>enterococcus</w:t>
      </w:r>
      <w:r w:rsidR="00656E8B" w:rsidRPr="00C761E9">
        <w:rPr>
          <w:rFonts w:ascii="Book Antiqua" w:hAnsi="Book Antiqua" w:cstheme="majorBidi"/>
          <w:iCs/>
          <w:color w:val="000000" w:themeColor="text1"/>
          <w:lang w:eastAsia="zh-CN"/>
        </w:rPr>
        <w:t>;</w:t>
      </w:r>
      <w:r w:rsidR="00A766AB" w:rsidRPr="00C761E9">
        <w:rPr>
          <w:rFonts w:ascii="Book Antiqua" w:hAnsi="Book Antiqua" w:cstheme="majorBidi"/>
          <w:iCs/>
          <w:color w:val="000000" w:themeColor="text1"/>
          <w:lang w:eastAsia="zh-CN"/>
        </w:rPr>
        <w:t xml:space="preserve"> </w:t>
      </w:r>
      <w:r w:rsidRPr="00C761E9">
        <w:rPr>
          <w:rFonts w:ascii="Book Antiqua" w:hAnsi="Book Antiqua" w:cstheme="majorBidi"/>
          <w:iCs/>
          <w:color w:val="000000" w:themeColor="text1"/>
        </w:rPr>
        <w:t>MRCONS: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iCs/>
          <w:color w:val="000000" w:themeColor="text1"/>
        </w:rPr>
        <w:t>Methicillin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iCs/>
          <w:color w:val="000000" w:themeColor="text1"/>
        </w:rPr>
        <w:t>resistant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iCs/>
          <w:color w:val="000000" w:themeColor="text1"/>
        </w:rPr>
        <w:t>coagulase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iCs/>
          <w:color w:val="000000" w:themeColor="text1"/>
        </w:rPr>
        <w:t>negative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iCs/>
          <w:color w:val="000000" w:themeColor="text1"/>
        </w:rPr>
        <w:t>staphylococcus</w:t>
      </w:r>
      <w:r w:rsidR="00656E8B" w:rsidRPr="00C761E9">
        <w:rPr>
          <w:rFonts w:ascii="Book Antiqua" w:hAnsi="Book Antiqua" w:cstheme="majorBidi"/>
          <w:iCs/>
          <w:color w:val="000000" w:themeColor="text1"/>
          <w:lang w:eastAsia="zh-CN"/>
        </w:rPr>
        <w:t>;</w:t>
      </w:r>
      <w:r w:rsidR="00A766AB" w:rsidRPr="00C761E9">
        <w:rPr>
          <w:rFonts w:ascii="Book Antiqua" w:hAnsi="Book Antiqua" w:cstheme="majorBidi"/>
          <w:iCs/>
          <w:color w:val="000000" w:themeColor="text1"/>
          <w:lang w:eastAsia="zh-CN"/>
        </w:rPr>
        <w:t xml:space="preserve"> </w:t>
      </w:r>
      <w:r w:rsidRPr="00C761E9">
        <w:rPr>
          <w:rFonts w:ascii="Book Antiqua" w:hAnsi="Book Antiqua" w:cstheme="majorBidi"/>
          <w:iCs/>
          <w:color w:val="000000" w:themeColor="text1"/>
        </w:rPr>
        <w:t>MRSA: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="00656E8B" w:rsidRPr="00C761E9">
        <w:rPr>
          <w:rFonts w:ascii="Book Antiqua" w:hAnsi="Book Antiqua" w:cstheme="majorBidi"/>
          <w:iCs/>
          <w:color w:val="000000" w:themeColor="text1"/>
          <w:lang w:eastAsia="zh-CN"/>
        </w:rPr>
        <w:t>M</w:t>
      </w:r>
      <w:r w:rsidRPr="00C761E9">
        <w:rPr>
          <w:rFonts w:ascii="Book Antiqua" w:hAnsi="Book Antiqua" w:cstheme="majorBidi"/>
          <w:iCs/>
          <w:color w:val="000000" w:themeColor="text1"/>
        </w:rPr>
        <w:t>ethicillin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iCs/>
          <w:color w:val="000000" w:themeColor="text1"/>
        </w:rPr>
        <w:t>resistant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iCs/>
          <w:color w:val="000000" w:themeColor="text1"/>
        </w:rPr>
        <w:t>staphylococcus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iCs/>
          <w:color w:val="000000" w:themeColor="text1"/>
        </w:rPr>
        <w:t>aureus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; MDR: 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>Multi-drug resistance.</w:t>
      </w:r>
    </w:p>
    <w:p w14:paraId="44C38032" w14:textId="79716563" w:rsidR="00913CF5" w:rsidRPr="00C761E9" w:rsidRDefault="00913CF5" w:rsidP="00CF2D81">
      <w:pPr>
        <w:pStyle w:val="Default"/>
        <w:spacing w:line="360" w:lineRule="auto"/>
        <w:jc w:val="both"/>
        <w:rPr>
          <w:rFonts w:ascii="Book Antiqua" w:hAnsi="Book Antiqua" w:cstheme="majorBidi"/>
          <w:color w:val="000000" w:themeColor="text1"/>
          <w:highlight w:val="green"/>
        </w:rPr>
      </w:pPr>
      <w:r w:rsidRPr="00C761E9">
        <w:rPr>
          <w:rFonts w:ascii="Book Antiqua" w:hAnsi="Book Antiqua"/>
          <w:color w:val="000000" w:themeColor="text1"/>
        </w:rPr>
        <w:br w:type="page"/>
      </w:r>
      <w:r w:rsidRPr="00C761E9">
        <w:rPr>
          <w:rFonts w:ascii="Book Antiqua" w:hAnsi="Book Antiqua" w:cstheme="majorBidi"/>
          <w:b/>
          <w:color w:val="000000" w:themeColor="text1"/>
        </w:rPr>
        <w:lastRenderedPageBreak/>
        <w:t>Table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3</w:t>
      </w:r>
      <w:r w:rsidR="00A766AB" w:rsidRPr="00C761E9">
        <w:rPr>
          <w:rFonts w:ascii="Book Antiqua" w:hAnsi="Book Antiqua" w:cstheme="majorBidi"/>
          <w:b/>
          <w:color w:val="000000" w:themeColor="text1"/>
          <w:lang w:eastAsia="zh-CN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Antibiotics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sensitivity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percentage </w:t>
      </w:r>
      <w:r w:rsidRPr="00C761E9">
        <w:rPr>
          <w:rFonts w:ascii="Book Antiqua" w:hAnsi="Book Antiqua" w:cstheme="majorBidi"/>
          <w:b/>
          <w:color w:val="000000" w:themeColor="text1"/>
        </w:rPr>
        <w:t>of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the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common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gram-positive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causative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organisms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for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="003632F6" w:rsidRPr="00C761E9">
        <w:rPr>
          <w:rFonts w:ascii="Book Antiqua" w:eastAsia="Book Antiqua" w:hAnsi="Book Antiqua" w:cs="Book Antiqua"/>
          <w:b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632F6" w:rsidRPr="00C761E9">
        <w:rPr>
          <w:rFonts w:ascii="Book Antiqua" w:eastAsia="Book Antiqua" w:hAnsi="Book Antiqua" w:cs="Book Antiqua"/>
          <w:b/>
          <w:color w:val="000000" w:themeColor="text1"/>
        </w:rPr>
        <w:t>line-associated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632F6" w:rsidRPr="00C761E9">
        <w:rPr>
          <w:rFonts w:ascii="Book Antiqua" w:eastAsia="Book Antiqua" w:hAnsi="Book Antiqua" w:cs="Book Antiqua"/>
          <w:b/>
          <w:color w:val="000000" w:themeColor="text1"/>
        </w:rPr>
        <w:t>bloodstream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632F6" w:rsidRPr="00C761E9">
        <w:rPr>
          <w:rFonts w:ascii="Book Antiqua" w:eastAsia="Book Antiqua" w:hAnsi="Book Antiqua" w:cs="Book Antiqua"/>
          <w:b/>
          <w:color w:val="000000" w:themeColor="text1"/>
        </w:rPr>
        <w:t>infections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in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our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study</w:t>
      </w:r>
    </w:p>
    <w:tbl>
      <w:tblPr>
        <w:tblW w:w="9322" w:type="dxa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2901"/>
        <w:gridCol w:w="1884"/>
        <w:gridCol w:w="2520"/>
        <w:gridCol w:w="2017"/>
      </w:tblGrid>
      <w:tr w:rsidR="00C761E9" w:rsidRPr="00C761E9" w14:paraId="2349A5F5" w14:textId="77777777" w:rsidTr="00E53455">
        <w:trPr>
          <w:trHeight w:val="1329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B19DDAA" w14:textId="77777777" w:rsidR="00656E8B" w:rsidRPr="00C761E9" w:rsidRDefault="00656E8B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b/>
                <w:color w:val="000000" w:themeColor="text1"/>
              </w:rPr>
              <w:t>Antibiotic</w:t>
            </w:r>
          </w:p>
          <w:p w14:paraId="4A59764F" w14:textId="74F0734C" w:rsidR="00656E8B" w:rsidRPr="00C761E9" w:rsidRDefault="00A766AB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b/>
                <w:color w:val="000000" w:themeColor="text1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36717E0" w14:textId="061E1BA6" w:rsidR="00656E8B" w:rsidRPr="00C761E9" w:rsidRDefault="00656E8B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b/>
                <w:i/>
                <w:iCs/>
                <w:color w:val="000000" w:themeColor="text1"/>
              </w:rPr>
              <w:t>Staphylococcus</w:t>
            </w:r>
            <w:r w:rsidR="00A766AB" w:rsidRPr="00C761E9">
              <w:rPr>
                <w:rFonts w:ascii="Book Antiqua" w:hAnsi="Book Antiqua" w:cstheme="majorBidi"/>
                <w:b/>
                <w:i/>
                <w:iCs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b/>
                <w:i/>
                <w:iCs/>
                <w:color w:val="000000" w:themeColor="text1"/>
              </w:rPr>
              <w:t>aureus</w:t>
            </w:r>
            <w:r w:rsidRPr="00C761E9">
              <w:rPr>
                <w:rFonts w:ascii="Book Antiqua" w:hAnsi="Book Antiqua" w:cstheme="majorBidi"/>
                <w:b/>
                <w:i/>
                <w:iCs/>
                <w:color w:val="000000" w:themeColor="text1"/>
                <w:lang w:eastAsia="zh-CN"/>
              </w:rPr>
              <w:t>,</w:t>
            </w:r>
            <w:r w:rsidR="00A766AB" w:rsidRPr="00C761E9">
              <w:rPr>
                <w:rFonts w:ascii="Book Antiqua" w:hAnsi="Book Antiqua" w:cstheme="majorBidi"/>
                <w:b/>
                <w:i/>
                <w:iCs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b/>
                <w:i/>
                <w:color w:val="000000" w:themeColor="text1"/>
                <w:lang w:eastAsia="zh-CN"/>
              </w:rPr>
              <w:t>n</w:t>
            </w:r>
            <w:r w:rsidR="00A766AB" w:rsidRPr="00C761E9">
              <w:rPr>
                <w:rFonts w:ascii="Book Antiqua" w:hAnsi="Book Antiqua" w:cstheme="majorBidi"/>
                <w:b/>
                <w:color w:val="000000" w:themeColor="text1"/>
                <w:lang w:eastAsia="zh-CN"/>
              </w:rPr>
              <w:t xml:space="preserve"> </w:t>
            </w:r>
            <w:r w:rsidR="00ED68CC" w:rsidRPr="00C761E9">
              <w:rPr>
                <w:rFonts w:ascii="Book Antiqua" w:hAnsi="Book Antiqua" w:cstheme="majorBidi"/>
                <w:b/>
                <w:color w:val="000000" w:themeColor="text1"/>
                <w:lang w:eastAsia="zh-CN"/>
              </w:rPr>
              <w:t xml:space="preserve">(%) </w:t>
            </w:r>
            <w:r w:rsidRPr="00C761E9">
              <w:rPr>
                <w:rFonts w:ascii="Book Antiqua" w:eastAsia="Times New Roman" w:hAnsi="Book Antiqua" w:cstheme="majorBidi"/>
                <w:b/>
                <w:color w:val="000000" w:themeColor="text1"/>
              </w:rPr>
              <w:t>=</w:t>
            </w:r>
            <w:r w:rsidR="00A766AB" w:rsidRPr="00C761E9">
              <w:rPr>
                <w:rFonts w:ascii="Book Antiqua" w:hAnsi="Book Antiqua" w:cstheme="majorBidi"/>
                <w:b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eastAsia="Times New Roman" w:hAnsi="Book Antiqua" w:cstheme="majorBidi"/>
                <w:b/>
                <w:color w:val="000000" w:themeColor="text1"/>
              </w:rPr>
              <w:t>2</w:t>
            </w:r>
            <w:r w:rsidR="00A766AB" w:rsidRPr="00C761E9">
              <w:rPr>
                <w:rFonts w:ascii="Book Antiqua" w:eastAsia="Times New Roman" w:hAnsi="Book Antiqua" w:cstheme="majorBidi"/>
                <w:b/>
                <w:color w:val="000000" w:themeColor="text1"/>
              </w:rPr>
              <w:t xml:space="preserve"> </w:t>
            </w:r>
            <w:r w:rsidR="00E53455" w:rsidRPr="00C761E9">
              <w:rPr>
                <w:rFonts w:ascii="Book Antiqua" w:eastAsia="Times New Roman" w:hAnsi="Book Antiqua" w:cstheme="majorBidi"/>
                <w:b/>
                <w:color w:val="000000" w:themeColor="text1"/>
              </w:rPr>
              <w:t>(5</w:t>
            </w:r>
            <w:r w:rsidRPr="00C761E9">
              <w:rPr>
                <w:rFonts w:ascii="Book Antiqua" w:eastAsia="Times New Roman" w:hAnsi="Book Antiqua" w:cstheme="majorBidi"/>
                <w:b/>
                <w:color w:val="000000" w:themeColor="text1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E10D10D" w14:textId="32B4326B" w:rsidR="00656E8B" w:rsidRPr="00C761E9" w:rsidRDefault="00656E8B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b/>
                <w:color w:val="000000" w:themeColor="text1"/>
              </w:rPr>
              <w:t>Coagulase</w:t>
            </w:r>
            <w:r w:rsidR="00A766AB" w:rsidRPr="00C761E9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="007F2B70" w:rsidRPr="00C761E9">
              <w:rPr>
                <w:rFonts w:ascii="Book Antiqua" w:hAnsi="Book Antiqua" w:cstheme="majorBidi"/>
                <w:b/>
                <w:color w:val="000000" w:themeColor="text1"/>
              </w:rPr>
              <w:t>negative</w:t>
            </w:r>
            <w:r w:rsidR="007F2B70" w:rsidRPr="00C761E9">
              <w:rPr>
                <w:rFonts w:ascii="Book Antiqua" w:hAnsi="Book Antiqua" w:cstheme="majorBidi"/>
                <w:b/>
                <w:i/>
                <w:iCs/>
                <w:color w:val="000000" w:themeColor="text1"/>
              </w:rPr>
              <w:t xml:space="preserve"> </w:t>
            </w:r>
            <w:r w:rsidR="00E53455" w:rsidRPr="00C761E9">
              <w:rPr>
                <w:rFonts w:ascii="Book Antiqua" w:hAnsi="Book Antiqua" w:cstheme="majorBidi"/>
                <w:b/>
                <w:i/>
                <w:iCs/>
                <w:color w:val="000000" w:themeColor="text1"/>
                <w:lang w:eastAsia="zh-CN"/>
              </w:rPr>
              <w:t>S</w:t>
            </w:r>
            <w:r w:rsidRPr="00C761E9">
              <w:rPr>
                <w:rFonts w:ascii="Book Antiqua" w:hAnsi="Book Antiqua" w:cstheme="majorBidi"/>
                <w:b/>
                <w:i/>
                <w:iCs/>
                <w:color w:val="000000" w:themeColor="text1"/>
              </w:rPr>
              <w:t>taphylococcus</w:t>
            </w:r>
            <w:r w:rsidRPr="00C761E9">
              <w:rPr>
                <w:rFonts w:ascii="Book Antiqua" w:hAnsi="Book Antiqua" w:cstheme="majorBidi"/>
                <w:b/>
                <w:i/>
                <w:iCs/>
                <w:color w:val="000000" w:themeColor="text1"/>
                <w:lang w:eastAsia="zh-CN"/>
              </w:rPr>
              <w:t>,</w:t>
            </w:r>
            <w:r w:rsidR="00A766AB" w:rsidRPr="00C761E9">
              <w:rPr>
                <w:rFonts w:ascii="Book Antiqua" w:hAnsi="Book Antiqua" w:cstheme="majorBidi"/>
                <w:b/>
                <w:i/>
                <w:iCs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b/>
                <w:i/>
                <w:color w:val="000000" w:themeColor="text1"/>
                <w:lang w:eastAsia="zh-CN"/>
              </w:rPr>
              <w:t>n</w:t>
            </w:r>
            <w:r w:rsidR="00A766AB" w:rsidRPr="00C761E9">
              <w:rPr>
                <w:rFonts w:ascii="Book Antiqua" w:hAnsi="Book Antiqua" w:cstheme="majorBidi"/>
                <w:b/>
                <w:color w:val="000000" w:themeColor="text1"/>
                <w:lang w:eastAsia="zh-CN"/>
              </w:rPr>
              <w:t xml:space="preserve"> </w:t>
            </w:r>
            <w:r w:rsidR="00ED68CC" w:rsidRPr="00C761E9">
              <w:rPr>
                <w:rFonts w:ascii="Book Antiqua" w:hAnsi="Book Antiqua" w:cstheme="majorBidi"/>
                <w:b/>
                <w:color w:val="000000" w:themeColor="text1"/>
                <w:lang w:eastAsia="zh-CN"/>
              </w:rPr>
              <w:t xml:space="preserve">(%) </w:t>
            </w:r>
            <w:r w:rsidRPr="00C761E9">
              <w:rPr>
                <w:rFonts w:ascii="Book Antiqua" w:eastAsia="Times New Roman" w:hAnsi="Book Antiqua" w:cstheme="majorBidi"/>
                <w:b/>
                <w:color w:val="000000" w:themeColor="text1"/>
              </w:rPr>
              <w:t>=</w:t>
            </w:r>
            <w:r w:rsidR="00A766AB" w:rsidRPr="00C761E9">
              <w:rPr>
                <w:rFonts w:ascii="Book Antiqua" w:hAnsi="Book Antiqua" w:cstheme="majorBidi"/>
                <w:b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eastAsia="Times New Roman" w:hAnsi="Book Antiqua" w:cstheme="majorBidi"/>
                <w:b/>
                <w:color w:val="000000" w:themeColor="text1"/>
              </w:rPr>
              <w:t>6</w:t>
            </w:r>
            <w:r w:rsidR="00A766AB" w:rsidRPr="00C761E9">
              <w:rPr>
                <w:rFonts w:ascii="Book Antiqua" w:hAnsi="Book Antiqua" w:cstheme="majorBidi"/>
                <w:b/>
                <w:color w:val="000000" w:themeColor="text1"/>
                <w:lang w:eastAsia="zh-CN"/>
              </w:rPr>
              <w:t xml:space="preserve"> </w:t>
            </w:r>
            <w:r w:rsidR="00E53455" w:rsidRPr="00C761E9">
              <w:rPr>
                <w:rFonts w:ascii="Book Antiqua" w:eastAsia="Times New Roman" w:hAnsi="Book Antiqua" w:cstheme="majorBidi"/>
                <w:b/>
                <w:color w:val="000000" w:themeColor="text1"/>
              </w:rPr>
              <w:t>(18</w:t>
            </w:r>
            <w:r w:rsidRPr="00C761E9">
              <w:rPr>
                <w:rFonts w:ascii="Book Antiqua" w:eastAsia="Times New Roman" w:hAnsi="Book Antiqua" w:cstheme="majorBidi"/>
                <w:b/>
                <w:color w:val="000000" w:themeColor="text1"/>
              </w:rPr>
              <w:t>)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6E11442" w14:textId="7EDC8438" w:rsidR="00656E8B" w:rsidRPr="00C761E9" w:rsidRDefault="00656E8B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b/>
                <w:i/>
                <w:iCs/>
                <w:color w:val="000000" w:themeColor="text1"/>
              </w:rPr>
              <w:t>Enterococcus</w:t>
            </w:r>
            <w:r w:rsidRPr="00C761E9">
              <w:rPr>
                <w:rFonts w:ascii="Book Antiqua" w:hAnsi="Book Antiqua" w:cstheme="majorBidi"/>
                <w:b/>
                <w:i/>
                <w:iCs/>
                <w:color w:val="000000" w:themeColor="text1"/>
                <w:lang w:eastAsia="zh-CN"/>
              </w:rPr>
              <w:t>,</w:t>
            </w:r>
            <w:r w:rsidR="00A766AB" w:rsidRPr="00C761E9">
              <w:rPr>
                <w:rFonts w:ascii="Book Antiqua" w:hAnsi="Book Antiqua" w:cstheme="majorBidi"/>
                <w:b/>
                <w:i/>
                <w:iCs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b/>
                <w:i/>
                <w:color w:val="000000" w:themeColor="text1"/>
                <w:lang w:eastAsia="zh-CN"/>
              </w:rPr>
              <w:t>n</w:t>
            </w:r>
            <w:r w:rsidR="00A766AB" w:rsidRPr="00C761E9">
              <w:rPr>
                <w:rFonts w:ascii="Book Antiqua" w:hAnsi="Book Antiqua" w:cstheme="majorBidi"/>
                <w:b/>
                <w:color w:val="000000" w:themeColor="text1"/>
                <w:lang w:eastAsia="zh-CN"/>
              </w:rPr>
              <w:t xml:space="preserve"> </w:t>
            </w:r>
            <w:r w:rsidR="00ED68CC" w:rsidRPr="00C761E9">
              <w:rPr>
                <w:rFonts w:ascii="Book Antiqua" w:hAnsi="Book Antiqua" w:cstheme="majorBidi"/>
                <w:b/>
                <w:color w:val="000000" w:themeColor="text1"/>
                <w:lang w:eastAsia="zh-CN"/>
              </w:rPr>
              <w:t xml:space="preserve">(%) </w:t>
            </w:r>
            <w:r w:rsidRPr="00C761E9">
              <w:rPr>
                <w:rFonts w:ascii="Book Antiqua" w:eastAsia="Times New Roman" w:hAnsi="Book Antiqua" w:cstheme="majorBidi"/>
                <w:b/>
                <w:color w:val="000000" w:themeColor="text1"/>
              </w:rPr>
              <w:t>=</w:t>
            </w:r>
            <w:r w:rsidR="00A766AB" w:rsidRPr="00C761E9">
              <w:rPr>
                <w:rFonts w:ascii="Book Antiqua" w:hAnsi="Book Antiqua" w:cstheme="majorBidi"/>
                <w:b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eastAsia="Times New Roman" w:hAnsi="Book Antiqua" w:cstheme="majorBidi"/>
                <w:b/>
                <w:color w:val="000000" w:themeColor="text1"/>
              </w:rPr>
              <w:t>5</w:t>
            </w:r>
            <w:r w:rsidR="00A766AB" w:rsidRPr="00C761E9">
              <w:rPr>
                <w:rFonts w:ascii="Book Antiqua" w:hAnsi="Book Antiqua" w:cstheme="majorBidi"/>
                <w:b/>
                <w:color w:val="000000" w:themeColor="text1"/>
                <w:lang w:eastAsia="zh-CN"/>
              </w:rPr>
              <w:t xml:space="preserve"> </w:t>
            </w:r>
            <w:r w:rsidR="00E53455" w:rsidRPr="00C761E9">
              <w:rPr>
                <w:rFonts w:ascii="Book Antiqua" w:eastAsia="Times New Roman" w:hAnsi="Book Antiqua" w:cstheme="majorBidi"/>
                <w:b/>
                <w:color w:val="000000" w:themeColor="text1"/>
              </w:rPr>
              <w:t>(15</w:t>
            </w:r>
            <w:r w:rsidRPr="00C761E9">
              <w:rPr>
                <w:rFonts w:ascii="Book Antiqua" w:eastAsia="Times New Roman" w:hAnsi="Book Antiqua" w:cstheme="majorBidi"/>
                <w:b/>
                <w:color w:val="000000" w:themeColor="text1"/>
              </w:rPr>
              <w:t>)</w:t>
            </w:r>
          </w:p>
          <w:p w14:paraId="13D31141" w14:textId="77777777" w:rsidR="00656E8B" w:rsidRPr="00C761E9" w:rsidRDefault="00656E8B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color w:val="000000" w:themeColor="text1"/>
              </w:rPr>
            </w:pPr>
          </w:p>
        </w:tc>
      </w:tr>
      <w:tr w:rsidR="00C761E9" w:rsidRPr="00C761E9" w14:paraId="152FA57A" w14:textId="77777777" w:rsidTr="00E53455">
        <w:trPr>
          <w:trHeight w:val="300"/>
        </w:trPr>
        <w:tc>
          <w:tcPr>
            <w:tcW w:w="29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B707C72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Penicillin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5631675" w14:textId="6A21E4E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0/2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="007F2B70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>(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0</w:t>
            </w:r>
            <w:r w:rsidR="007F2B70"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612F57" w14:textId="4D3B419B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0/6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="007F2B70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>(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0</w:t>
            </w:r>
            <w:r w:rsidR="007F2B70"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C61F638" w14:textId="567907F4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1/5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(20)</w:t>
            </w:r>
          </w:p>
        </w:tc>
      </w:tr>
      <w:tr w:rsidR="00C761E9" w:rsidRPr="00C761E9" w14:paraId="199C78FE" w14:textId="77777777" w:rsidTr="00E53455">
        <w:trPr>
          <w:trHeight w:val="300"/>
        </w:trPr>
        <w:tc>
          <w:tcPr>
            <w:tcW w:w="2901" w:type="dxa"/>
            <w:shd w:val="clear" w:color="auto" w:fill="auto"/>
            <w:noWrap/>
            <w:hideMark/>
          </w:tcPr>
          <w:p w14:paraId="5FEBF8B5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Ampicillin</w:t>
            </w:r>
          </w:p>
        </w:tc>
        <w:tc>
          <w:tcPr>
            <w:tcW w:w="1884" w:type="dxa"/>
            <w:shd w:val="clear" w:color="auto" w:fill="auto"/>
            <w:noWrap/>
            <w:hideMark/>
          </w:tcPr>
          <w:p w14:paraId="7AB12B37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</w:p>
        </w:tc>
        <w:tc>
          <w:tcPr>
            <w:tcW w:w="2520" w:type="dxa"/>
            <w:shd w:val="clear" w:color="auto" w:fill="auto"/>
            <w:noWrap/>
            <w:hideMark/>
          </w:tcPr>
          <w:p w14:paraId="79D3D9A8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</w:p>
        </w:tc>
        <w:tc>
          <w:tcPr>
            <w:tcW w:w="2017" w:type="dxa"/>
            <w:shd w:val="clear" w:color="auto" w:fill="auto"/>
            <w:noWrap/>
            <w:hideMark/>
          </w:tcPr>
          <w:p w14:paraId="4F520BD3" w14:textId="03C32ABC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1/5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(20)</w:t>
            </w:r>
          </w:p>
        </w:tc>
      </w:tr>
      <w:tr w:rsidR="00C761E9" w:rsidRPr="00C761E9" w14:paraId="589856C8" w14:textId="77777777" w:rsidTr="00E53455">
        <w:trPr>
          <w:trHeight w:val="300"/>
        </w:trPr>
        <w:tc>
          <w:tcPr>
            <w:tcW w:w="2901" w:type="dxa"/>
            <w:shd w:val="clear" w:color="auto" w:fill="auto"/>
            <w:noWrap/>
            <w:hideMark/>
          </w:tcPr>
          <w:p w14:paraId="22DA6BDC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Erythromycin</w:t>
            </w:r>
          </w:p>
        </w:tc>
        <w:tc>
          <w:tcPr>
            <w:tcW w:w="1884" w:type="dxa"/>
            <w:shd w:val="clear" w:color="auto" w:fill="auto"/>
            <w:noWrap/>
            <w:hideMark/>
          </w:tcPr>
          <w:p w14:paraId="3068AA9E" w14:textId="71F5E84E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1/2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(50)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3A66451E" w14:textId="35DB8040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0/6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="001764A7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>(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0</w:t>
            </w:r>
            <w:r w:rsidR="001764A7"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017" w:type="dxa"/>
            <w:shd w:val="clear" w:color="auto" w:fill="auto"/>
            <w:noWrap/>
            <w:hideMark/>
          </w:tcPr>
          <w:p w14:paraId="007661F3" w14:textId="069C8313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0/5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="001764A7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>(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0</w:t>
            </w:r>
            <w:r w:rsidR="001764A7"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</w:tr>
      <w:tr w:rsidR="00C761E9" w:rsidRPr="00C761E9" w14:paraId="70ABCAA9" w14:textId="77777777" w:rsidTr="00E53455">
        <w:trPr>
          <w:trHeight w:val="300"/>
        </w:trPr>
        <w:tc>
          <w:tcPr>
            <w:tcW w:w="2901" w:type="dxa"/>
            <w:shd w:val="clear" w:color="auto" w:fill="auto"/>
            <w:noWrap/>
            <w:hideMark/>
          </w:tcPr>
          <w:p w14:paraId="674616A3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proofErr w:type="spellStart"/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Clinamycin</w:t>
            </w:r>
            <w:proofErr w:type="spellEnd"/>
          </w:p>
        </w:tc>
        <w:tc>
          <w:tcPr>
            <w:tcW w:w="1884" w:type="dxa"/>
            <w:shd w:val="clear" w:color="auto" w:fill="auto"/>
            <w:noWrap/>
            <w:hideMark/>
          </w:tcPr>
          <w:p w14:paraId="06DF6AAC" w14:textId="46A9257C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1/2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53455" w:rsidRPr="00C761E9">
              <w:rPr>
                <w:rFonts w:ascii="Book Antiqua" w:eastAsia="Times New Roman" w:hAnsi="Book Antiqua" w:cstheme="majorBidi"/>
                <w:color w:val="000000" w:themeColor="text1"/>
              </w:rPr>
              <w:t>(50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440BFAD6" w14:textId="1C340CC6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3/6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53455" w:rsidRPr="00C761E9">
              <w:rPr>
                <w:rFonts w:ascii="Book Antiqua" w:eastAsia="Times New Roman" w:hAnsi="Book Antiqua" w:cstheme="majorBidi"/>
                <w:color w:val="000000" w:themeColor="text1"/>
              </w:rPr>
              <w:t>(50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017" w:type="dxa"/>
            <w:shd w:val="clear" w:color="auto" w:fill="auto"/>
            <w:noWrap/>
            <w:hideMark/>
          </w:tcPr>
          <w:p w14:paraId="1AA2BFFB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</w:p>
        </w:tc>
      </w:tr>
      <w:tr w:rsidR="00C761E9" w:rsidRPr="00C761E9" w14:paraId="200DF0F2" w14:textId="77777777" w:rsidTr="00E53455">
        <w:trPr>
          <w:trHeight w:val="300"/>
        </w:trPr>
        <w:tc>
          <w:tcPr>
            <w:tcW w:w="2901" w:type="dxa"/>
            <w:shd w:val="clear" w:color="auto" w:fill="auto"/>
            <w:noWrap/>
            <w:hideMark/>
          </w:tcPr>
          <w:p w14:paraId="098AA45E" w14:textId="7619A773" w:rsidR="00913CF5" w:rsidRPr="00C761E9" w:rsidRDefault="00913CF5" w:rsidP="00E53455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Trimethoprim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proofErr w:type="spellStart"/>
            <w:r w:rsidR="00E53455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>s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ulphamethoxazole</w:t>
            </w:r>
            <w:proofErr w:type="spellEnd"/>
          </w:p>
        </w:tc>
        <w:tc>
          <w:tcPr>
            <w:tcW w:w="1884" w:type="dxa"/>
            <w:shd w:val="clear" w:color="auto" w:fill="auto"/>
            <w:noWrap/>
            <w:hideMark/>
          </w:tcPr>
          <w:p w14:paraId="26D05E13" w14:textId="002D0FCC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1/2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53455" w:rsidRPr="00C761E9">
              <w:rPr>
                <w:rFonts w:ascii="Book Antiqua" w:eastAsia="Times New Roman" w:hAnsi="Book Antiqua" w:cstheme="majorBidi"/>
                <w:color w:val="000000" w:themeColor="text1"/>
              </w:rPr>
              <w:t>(50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22B5D406" w14:textId="22837966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1/6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53455" w:rsidRPr="00C761E9">
              <w:rPr>
                <w:rFonts w:ascii="Book Antiqua" w:eastAsia="Times New Roman" w:hAnsi="Book Antiqua" w:cstheme="majorBidi"/>
                <w:color w:val="000000" w:themeColor="text1"/>
              </w:rPr>
              <w:t>(16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017" w:type="dxa"/>
            <w:shd w:val="clear" w:color="auto" w:fill="auto"/>
            <w:noWrap/>
            <w:hideMark/>
          </w:tcPr>
          <w:p w14:paraId="3493AAD8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</w:p>
        </w:tc>
      </w:tr>
      <w:tr w:rsidR="00C761E9" w:rsidRPr="00C761E9" w14:paraId="24E208D7" w14:textId="77777777" w:rsidTr="00E53455">
        <w:trPr>
          <w:trHeight w:val="300"/>
        </w:trPr>
        <w:tc>
          <w:tcPr>
            <w:tcW w:w="2901" w:type="dxa"/>
            <w:shd w:val="clear" w:color="auto" w:fill="auto"/>
            <w:noWrap/>
            <w:hideMark/>
          </w:tcPr>
          <w:p w14:paraId="51E12A89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Vancomycin</w:t>
            </w:r>
          </w:p>
        </w:tc>
        <w:tc>
          <w:tcPr>
            <w:tcW w:w="1884" w:type="dxa"/>
            <w:shd w:val="clear" w:color="auto" w:fill="auto"/>
            <w:noWrap/>
            <w:hideMark/>
          </w:tcPr>
          <w:p w14:paraId="4629B391" w14:textId="3FDF5644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2/2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53455" w:rsidRPr="00C761E9">
              <w:rPr>
                <w:rFonts w:ascii="Book Antiqua" w:eastAsia="Times New Roman" w:hAnsi="Book Antiqua" w:cstheme="majorBidi"/>
                <w:color w:val="000000" w:themeColor="text1"/>
              </w:rPr>
              <w:t>(100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48DAADCC" w14:textId="1E083529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6/6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="00E53455" w:rsidRPr="00C761E9">
              <w:rPr>
                <w:rFonts w:ascii="Book Antiqua" w:eastAsia="Times New Roman" w:hAnsi="Book Antiqua" w:cstheme="majorBidi"/>
                <w:color w:val="000000" w:themeColor="text1"/>
              </w:rPr>
              <w:t>(100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017" w:type="dxa"/>
            <w:shd w:val="clear" w:color="auto" w:fill="auto"/>
            <w:noWrap/>
            <w:hideMark/>
          </w:tcPr>
          <w:p w14:paraId="084A4913" w14:textId="2714E0F6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2/5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="00E53455" w:rsidRPr="00C761E9">
              <w:rPr>
                <w:rFonts w:ascii="Book Antiqua" w:eastAsia="Times New Roman" w:hAnsi="Book Antiqua" w:cstheme="majorBidi"/>
                <w:color w:val="000000" w:themeColor="text1"/>
              </w:rPr>
              <w:t>(40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</w:tr>
      <w:tr w:rsidR="00C761E9" w:rsidRPr="00C761E9" w14:paraId="3AD33C37" w14:textId="77777777" w:rsidTr="00E53455">
        <w:trPr>
          <w:trHeight w:val="300"/>
        </w:trPr>
        <w:tc>
          <w:tcPr>
            <w:tcW w:w="2901" w:type="dxa"/>
            <w:shd w:val="clear" w:color="auto" w:fill="auto"/>
            <w:noWrap/>
            <w:hideMark/>
          </w:tcPr>
          <w:p w14:paraId="0E79D6A8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Cloxacillin</w:t>
            </w:r>
          </w:p>
        </w:tc>
        <w:tc>
          <w:tcPr>
            <w:tcW w:w="1884" w:type="dxa"/>
            <w:shd w:val="clear" w:color="auto" w:fill="auto"/>
            <w:noWrap/>
            <w:hideMark/>
          </w:tcPr>
          <w:p w14:paraId="732CA77F" w14:textId="7CC5E5CB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1/2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53455" w:rsidRPr="00C761E9">
              <w:rPr>
                <w:rFonts w:ascii="Book Antiqua" w:eastAsia="Times New Roman" w:hAnsi="Book Antiqua" w:cstheme="majorBidi"/>
                <w:color w:val="000000" w:themeColor="text1"/>
              </w:rPr>
              <w:t>(50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1322A362" w14:textId="0A47D7C5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0/6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="001764A7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>(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0</w:t>
            </w:r>
            <w:r w:rsidR="001764A7"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017" w:type="dxa"/>
            <w:shd w:val="clear" w:color="auto" w:fill="auto"/>
            <w:noWrap/>
            <w:hideMark/>
          </w:tcPr>
          <w:p w14:paraId="32E29DFA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</w:p>
        </w:tc>
      </w:tr>
      <w:tr w:rsidR="00C761E9" w:rsidRPr="00C761E9" w14:paraId="3DC23C1A" w14:textId="77777777" w:rsidTr="00E53455">
        <w:trPr>
          <w:trHeight w:val="300"/>
        </w:trPr>
        <w:tc>
          <w:tcPr>
            <w:tcW w:w="2901" w:type="dxa"/>
            <w:shd w:val="clear" w:color="auto" w:fill="auto"/>
            <w:noWrap/>
            <w:hideMark/>
          </w:tcPr>
          <w:p w14:paraId="54B9CCE4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Tetracycline</w:t>
            </w:r>
          </w:p>
        </w:tc>
        <w:tc>
          <w:tcPr>
            <w:tcW w:w="1884" w:type="dxa"/>
            <w:shd w:val="clear" w:color="auto" w:fill="auto"/>
            <w:noWrap/>
            <w:hideMark/>
          </w:tcPr>
          <w:p w14:paraId="76F62888" w14:textId="717D3D1B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1/2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53455" w:rsidRPr="00C761E9">
              <w:rPr>
                <w:rFonts w:ascii="Book Antiqua" w:eastAsia="Times New Roman" w:hAnsi="Book Antiqua" w:cstheme="majorBidi"/>
                <w:color w:val="000000" w:themeColor="text1"/>
              </w:rPr>
              <w:t>(50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5C7DE436" w14:textId="16243AE9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3/6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53455" w:rsidRPr="00C761E9">
              <w:rPr>
                <w:rFonts w:ascii="Book Antiqua" w:eastAsia="Times New Roman" w:hAnsi="Book Antiqua" w:cstheme="majorBidi"/>
                <w:color w:val="000000" w:themeColor="text1"/>
              </w:rPr>
              <w:t>(50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017" w:type="dxa"/>
            <w:shd w:val="clear" w:color="auto" w:fill="auto"/>
            <w:noWrap/>
            <w:hideMark/>
          </w:tcPr>
          <w:p w14:paraId="64A8E0BA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</w:p>
        </w:tc>
      </w:tr>
      <w:tr w:rsidR="00C761E9" w:rsidRPr="00C761E9" w14:paraId="740798E4" w14:textId="77777777" w:rsidTr="00E53455">
        <w:trPr>
          <w:trHeight w:val="300"/>
        </w:trPr>
        <w:tc>
          <w:tcPr>
            <w:tcW w:w="2901" w:type="dxa"/>
            <w:shd w:val="clear" w:color="auto" w:fill="auto"/>
            <w:noWrap/>
            <w:hideMark/>
          </w:tcPr>
          <w:p w14:paraId="5F8886F0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proofErr w:type="spellStart"/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Linazolid</w:t>
            </w:r>
            <w:proofErr w:type="spellEnd"/>
          </w:p>
        </w:tc>
        <w:tc>
          <w:tcPr>
            <w:tcW w:w="1884" w:type="dxa"/>
            <w:shd w:val="clear" w:color="auto" w:fill="auto"/>
            <w:noWrap/>
            <w:hideMark/>
          </w:tcPr>
          <w:p w14:paraId="13AD88B2" w14:textId="52FB3EA4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2/2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53455" w:rsidRPr="00C761E9">
              <w:rPr>
                <w:rFonts w:ascii="Book Antiqua" w:eastAsia="Times New Roman" w:hAnsi="Book Antiqua" w:cstheme="majorBidi"/>
                <w:color w:val="000000" w:themeColor="text1"/>
              </w:rPr>
              <w:t>(100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0361D089" w14:textId="22FB926A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6/6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="00E53455" w:rsidRPr="00C761E9">
              <w:rPr>
                <w:rFonts w:ascii="Book Antiqua" w:eastAsia="Times New Roman" w:hAnsi="Book Antiqua" w:cstheme="majorBidi"/>
                <w:color w:val="000000" w:themeColor="text1"/>
              </w:rPr>
              <w:t>(100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017" w:type="dxa"/>
            <w:shd w:val="clear" w:color="auto" w:fill="auto"/>
            <w:noWrap/>
            <w:hideMark/>
          </w:tcPr>
          <w:p w14:paraId="5A89D044" w14:textId="2103B6C5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5/5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="00E53455" w:rsidRPr="00C761E9">
              <w:rPr>
                <w:rFonts w:ascii="Book Antiqua" w:eastAsia="Times New Roman" w:hAnsi="Book Antiqua" w:cstheme="majorBidi"/>
                <w:color w:val="000000" w:themeColor="text1"/>
              </w:rPr>
              <w:t>(100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</w:tr>
      <w:tr w:rsidR="00C761E9" w:rsidRPr="00C761E9" w14:paraId="7A945BBE" w14:textId="77777777" w:rsidTr="00E53455">
        <w:trPr>
          <w:trHeight w:val="300"/>
        </w:trPr>
        <w:tc>
          <w:tcPr>
            <w:tcW w:w="2901" w:type="dxa"/>
            <w:shd w:val="clear" w:color="auto" w:fill="auto"/>
            <w:noWrap/>
            <w:hideMark/>
          </w:tcPr>
          <w:p w14:paraId="62815B03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Daptomycin</w:t>
            </w:r>
          </w:p>
        </w:tc>
        <w:tc>
          <w:tcPr>
            <w:tcW w:w="1884" w:type="dxa"/>
            <w:shd w:val="clear" w:color="auto" w:fill="auto"/>
            <w:noWrap/>
            <w:hideMark/>
          </w:tcPr>
          <w:p w14:paraId="178D696B" w14:textId="120B1749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2/2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(10</w:t>
            </w:r>
            <w:r w:rsidR="00E53455" w:rsidRPr="00C761E9">
              <w:rPr>
                <w:rFonts w:ascii="Book Antiqua" w:eastAsia="Times New Roman" w:hAnsi="Book Antiqua" w:cstheme="majorBidi"/>
                <w:color w:val="000000" w:themeColor="text1"/>
              </w:rPr>
              <w:t>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2711F3DB" w14:textId="79B20FF6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6/6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="00E53455" w:rsidRPr="00C761E9">
              <w:rPr>
                <w:rFonts w:ascii="Book Antiqua" w:eastAsia="Times New Roman" w:hAnsi="Book Antiqua" w:cstheme="majorBidi"/>
                <w:color w:val="000000" w:themeColor="text1"/>
              </w:rPr>
              <w:t>(100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017" w:type="dxa"/>
            <w:shd w:val="clear" w:color="auto" w:fill="auto"/>
            <w:noWrap/>
            <w:hideMark/>
          </w:tcPr>
          <w:p w14:paraId="76C4E50F" w14:textId="4BF343AD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5/5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="00E53455" w:rsidRPr="00C761E9">
              <w:rPr>
                <w:rFonts w:ascii="Book Antiqua" w:eastAsia="Times New Roman" w:hAnsi="Book Antiqua" w:cstheme="majorBidi"/>
                <w:color w:val="000000" w:themeColor="text1"/>
              </w:rPr>
              <w:t>(100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</w:tr>
    </w:tbl>
    <w:p w14:paraId="4C67E393" w14:textId="77777777" w:rsidR="00913CF5" w:rsidRPr="00C761E9" w:rsidRDefault="00913CF5" w:rsidP="00CF2D81">
      <w:pPr>
        <w:pStyle w:val="Default"/>
        <w:spacing w:line="360" w:lineRule="auto"/>
        <w:jc w:val="both"/>
        <w:rPr>
          <w:rFonts w:ascii="Book Antiqua" w:hAnsi="Book Antiqua" w:cstheme="majorBidi"/>
          <w:color w:val="000000" w:themeColor="text1"/>
        </w:rPr>
      </w:pPr>
    </w:p>
    <w:p w14:paraId="48925E29" w14:textId="51ECF6EC" w:rsidR="00913CF5" w:rsidRPr="00C761E9" w:rsidRDefault="00913CF5" w:rsidP="00CF2D81">
      <w:pPr>
        <w:pStyle w:val="Default"/>
        <w:spacing w:line="360" w:lineRule="auto"/>
        <w:jc w:val="both"/>
        <w:rPr>
          <w:rFonts w:ascii="Book Antiqua" w:hAnsi="Book Antiqua" w:cstheme="majorBidi"/>
          <w:color w:val="000000" w:themeColor="text1"/>
          <w:highlight w:val="green"/>
        </w:rPr>
      </w:pPr>
      <w:r w:rsidRPr="00C761E9">
        <w:rPr>
          <w:rFonts w:ascii="Book Antiqua" w:hAnsi="Book Antiqua"/>
          <w:color w:val="000000" w:themeColor="text1"/>
        </w:rPr>
        <w:br w:type="page"/>
      </w:r>
      <w:r w:rsidRPr="00C761E9">
        <w:rPr>
          <w:rFonts w:ascii="Book Antiqua" w:hAnsi="Book Antiqua" w:cstheme="majorBidi"/>
          <w:b/>
          <w:color w:val="000000" w:themeColor="text1"/>
        </w:rPr>
        <w:lastRenderedPageBreak/>
        <w:t>Table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4</w:t>
      </w:r>
      <w:r w:rsidR="00A766AB" w:rsidRPr="00C761E9">
        <w:rPr>
          <w:rFonts w:ascii="Book Antiqua" w:hAnsi="Book Antiqua" w:cstheme="majorBidi"/>
          <w:b/>
          <w:color w:val="000000" w:themeColor="text1"/>
          <w:lang w:eastAsia="zh-CN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Antibiotics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sensitivity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="007F2B70" w:rsidRPr="00C761E9">
        <w:rPr>
          <w:rFonts w:ascii="Book Antiqua" w:hAnsi="Book Antiqua" w:cstheme="majorBidi"/>
          <w:b/>
          <w:color w:val="000000" w:themeColor="text1"/>
        </w:rPr>
        <w:t xml:space="preserve">percentage </w:t>
      </w:r>
      <w:r w:rsidRPr="00C761E9">
        <w:rPr>
          <w:rFonts w:ascii="Book Antiqua" w:hAnsi="Book Antiqua" w:cstheme="majorBidi"/>
          <w:b/>
          <w:color w:val="000000" w:themeColor="text1"/>
        </w:rPr>
        <w:t>of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the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common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gram-negative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causative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organisms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for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="003632F6" w:rsidRPr="00C761E9">
        <w:rPr>
          <w:rFonts w:ascii="Book Antiqua" w:eastAsia="Book Antiqua" w:hAnsi="Book Antiqua" w:cs="Book Antiqua"/>
          <w:b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632F6" w:rsidRPr="00C761E9">
        <w:rPr>
          <w:rFonts w:ascii="Book Antiqua" w:eastAsia="Book Antiqua" w:hAnsi="Book Antiqua" w:cs="Book Antiqua"/>
          <w:b/>
          <w:color w:val="000000" w:themeColor="text1"/>
        </w:rPr>
        <w:t>line-associated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632F6" w:rsidRPr="00C761E9">
        <w:rPr>
          <w:rFonts w:ascii="Book Antiqua" w:eastAsia="Book Antiqua" w:hAnsi="Book Antiqua" w:cs="Book Antiqua"/>
          <w:b/>
          <w:color w:val="000000" w:themeColor="text1"/>
        </w:rPr>
        <w:t>bloodstream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632F6" w:rsidRPr="00C761E9">
        <w:rPr>
          <w:rFonts w:ascii="Book Antiqua" w:eastAsia="Book Antiqua" w:hAnsi="Book Antiqua" w:cs="Book Antiqua"/>
          <w:b/>
          <w:color w:val="000000" w:themeColor="text1"/>
        </w:rPr>
        <w:t>infections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in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our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study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2480"/>
        <w:gridCol w:w="1705"/>
        <w:gridCol w:w="1697"/>
        <w:gridCol w:w="1607"/>
        <w:gridCol w:w="2520"/>
      </w:tblGrid>
      <w:tr w:rsidR="00C761E9" w:rsidRPr="00C761E9" w14:paraId="476254D0" w14:textId="77777777" w:rsidTr="00E53455">
        <w:trPr>
          <w:trHeight w:val="300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23329FB" w14:textId="4C024CB4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b/>
                <w:color w:val="000000" w:themeColor="text1"/>
              </w:rPr>
              <w:t>Antimicrobial</w:t>
            </w:r>
            <w:r w:rsidR="00A766AB" w:rsidRPr="00C761E9">
              <w:rPr>
                <w:rFonts w:ascii="Book Antiqua" w:eastAsia="Times New Roman" w:hAnsi="Book Antiqua" w:cstheme="majorBidi"/>
                <w:b/>
                <w:color w:val="000000" w:themeColor="text1"/>
              </w:rPr>
              <w:t xml:space="preserve"> </w:t>
            </w:r>
            <w:r w:rsidRPr="00C761E9">
              <w:rPr>
                <w:rFonts w:ascii="Book Antiqua" w:eastAsia="Times New Roman" w:hAnsi="Book Antiqua" w:cstheme="majorBidi"/>
                <w:b/>
                <w:color w:val="000000" w:themeColor="text1"/>
              </w:rPr>
              <w:t>agent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FDE48EA" w14:textId="78ABBADE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i/>
                <w:iCs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b/>
                <w:i/>
                <w:iCs/>
                <w:color w:val="000000" w:themeColor="text1"/>
              </w:rPr>
              <w:t>Acinetobacter</w:t>
            </w:r>
            <w:r w:rsidR="00A766AB" w:rsidRPr="00C761E9">
              <w:rPr>
                <w:rFonts w:ascii="Book Antiqua" w:eastAsia="Times New Roman" w:hAnsi="Book Antiqua" w:cstheme="majorBidi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C761E9">
              <w:rPr>
                <w:rFonts w:ascii="Book Antiqua" w:eastAsia="Times New Roman" w:hAnsi="Book Antiqua" w:cstheme="majorBidi"/>
                <w:b/>
                <w:i/>
                <w:iCs/>
                <w:color w:val="000000" w:themeColor="text1"/>
              </w:rPr>
              <w:t>baumanii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DA024D5" w14:textId="22AC0404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i/>
                <w:iCs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b/>
                <w:i/>
                <w:iCs/>
                <w:color w:val="000000" w:themeColor="text1"/>
              </w:rPr>
              <w:t>Pseudomonas</w:t>
            </w:r>
            <w:r w:rsidR="00A766AB" w:rsidRPr="00C761E9">
              <w:rPr>
                <w:rFonts w:ascii="Book Antiqua" w:eastAsia="Times New Roman" w:hAnsi="Book Antiqua" w:cstheme="majorBidi"/>
                <w:b/>
                <w:i/>
                <w:iCs/>
                <w:color w:val="000000" w:themeColor="text1"/>
              </w:rPr>
              <w:t xml:space="preserve"> </w:t>
            </w:r>
            <w:r w:rsidRPr="00C761E9">
              <w:rPr>
                <w:rFonts w:ascii="Book Antiqua" w:eastAsia="Times New Roman" w:hAnsi="Book Antiqua" w:cstheme="majorBidi"/>
                <w:b/>
                <w:i/>
                <w:iCs/>
                <w:color w:val="000000" w:themeColor="text1"/>
              </w:rPr>
              <w:t>aeruginosa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3B1C18A" w14:textId="1EA6213C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b/>
                <w:i/>
                <w:i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b/>
                <w:i/>
                <w:iCs/>
                <w:color w:val="000000" w:themeColor="text1"/>
              </w:rPr>
              <w:t>Escherichia</w:t>
            </w:r>
            <w:r w:rsidR="00A766AB" w:rsidRPr="00C761E9">
              <w:rPr>
                <w:rFonts w:ascii="Book Antiqua" w:hAnsi="Book Antiqua" w:cstheme="majorBidi"/>
                <w:b/>
                <w:i/>
                <w:iCs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b/>
                <w:i/>
                <w:iCs/>
                <w:color w:val="000000" w:themeColor="text1"/>
              </w:rPr>
              <w:t>coli</w:t>
            </w:r>
          </w:p>
          <w:p w14:paraId="155AB3E3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i/>
                <w:iCs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3B3BC64" w14:textId="03C01A6E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i/>
                <w:iCs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b/>
                <w:i/>
                <w:iCs/>
                <w:color w:val="000000" w:themeColor="text1"/>
              </w:rPr>
              <w:t>Klebsiella</w:t>
            </w:r>
            <w:r w:rsidR="00A766AB" w:rsidRPr="00C761E9">
              <w:rPr>
                <w:rFonts w:ascii="Book Antiqua" w:eastAsia="Times New Roman" w:hAnsi="Book Antiqua" w:cstheme="majorBidi"/>
                <w:b/>
                <w:i/>
                <w:iCs/>
                <w:color w:val="000000" w:themeColor="text1"/>
              </w:rPr>
              <w:t xml:space="preserve"> </w:t>
            </w:r>
          </w:p>
          <w:p w14:paraId="314F399F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i/>
                <w:iCs/>
                <w:color w:val="000000" w:themeColor="text1"/>
              </w:rPr>
            </w:pPr>
          </w:p>
        </w:tc>
      </w:tr>
      <w:tr w:rsidR="00C761E9" w:rsidRPr="00C761E9" w14:paraId="0FA3ACDE" w14:textId="77777777" w:rsidTr="00E53455">
        <w:trPr>
          <w:trHeight w:val="300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25C976A" w14:textId="7211B5E1" w:rsidR="00913CF5" w:rsidRPr="00C761E9" w:rsidRDefault="00A766AB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5298DE8" w14:textId="4757B3CC" w:rsidR="00913CF5" w:rsidRPr="00C761E9" w:rsidRDefault="001269FC" w:rsidP="00ED68CC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b/>
                <w:bCs/>
                <w:i/>
                <w:color w:val="000000" w:themeColor="text1"/>
                <w:lang w:eastAsia="zh-CN"/>
              </w:rPr>
              <w:t>n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  <w:lang w:eastAsia="zh-CN"/>
              </w:rPr>
              <w:t xml:space="preserve"> </w:t>
            </w:r>
            <w:r w:rsidR="00ED68CC" w:rsidRPr="00C761E9">
              <w:rPr>
                <w:rFonts w:ascii="Book Antiqua" w:hAnsi="Book Antiqua" w:cstheme="majorBidi"/>
                <w:b/>
                <w:color w:val="000000" w:themeColor="text1"/>
                <w:lang w:eastAsia="zh-CN"/>
              </w:rPr>
              <w:t xml:space="preserve">(%) </w:t>
            </w:r>
            <w:r w:rsidR="00913CF5" w:rsidRPr="00C761E9"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  <w:t>=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  <w:lang w:eastAsia="zh-CN"/>
              </w:rPr>
              <w:t xml:space="preserve"> </w:t>
            </w:r>
            <w:r w:rsidR="00913CF5" w:rsidRPr="00C761E9"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  <w:t>5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  <w:lang w:eastAsia="zh-CN"/>
              </w:rPr>
              <w:t xml:space="preserve"> </w:t>
            </w:r>
            <w:r w:rsidR="00913CF5" w:rsidRPr="00C761E9"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  <w:t>(15)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635D34D" w14:textId="009E3BB2" w:rsidR="00913CF5" w:rsidRPr="00C761E9" w:rsidRDefault="001269FC" w:rsidP="00ED68CC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b/>
                <w:bCs/>
                <w:i/>
                <w:color w:val="000000" w:themeColor="text1"/>
                <w:lang w:eastAsia="zh-CN"/>
              </w:rPr>
              <w:t>n</w:t>
            </w:r>
            <w:r w:rsidR="00A766AB" w:rsidRPr="00C761E9"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hAnsi="Book Antiqua" w:cstheme="majorBidi"/>
                <w:b/>
                <w:color w:val="000000" w:themeColor="text1"/>
                <w:lang w:eastAsia="zh-CN"/>
              </w:rPr>
              <w:t xml:space="preserve">(%) </w:t>
            </w:r>
            <w:r w:rsidR="00913CF5" w:rsidRPr="00C761E9"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  <w:t>=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  <w:lang w:eastAsia="zh-CN"/>
              </w:rPr>
              <w:t xml:space="preserve"> </w:t>
            </w:r>
            <w:r w:rsidR="00913CF5" w:rsidRPr="00C761E9"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  <w:t>4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  <w:lang w:eastAsia="zh-CN"/>
              </w:rPr>
              <w:t xml:space="preserve"> </w:t>
            </w:r>
            <w:r w:rsidR="00913CF5" w:rsidRPr="00C761E9"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  <w:t>(12)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9F7F887" w14:textId="7C7E65B6" w:rsidR="00913CF5" w:rsidRPr="00C761E9" w:rsidRDefault="001269FC" w:rsidP="00ED68CC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b/>
                <w:bCs/>
                <w:i/>
                <w:color w:val="000000" w:themeColor="text1"/>
                <w:lang w:eastAsia="zh-CN"/>
              </w:rPr>
              <w:t>n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  <w:lang w:eastAsia="zh-CN"/>
              </w:rPr>
              <w:t xml:space="preserve"> </w:t>
            </w:r>
            <w:r w:rsidR="00ED68CC" w:rsidRPr="00C761E9">
              <w:rPr>
                <w:rFonts w:ascii="Book Antiqua" w:hAnsi="Book Antiqua" w:cstheme="majorBidi"/>
                <w:b/>
                <w:color w:val="000000" w:themeColor="text1"/>
                <w:lang w:eastAsia="zh-CN"/>
              </w:rPr>
              <w:t xml:space="preserve">(%) </w:t>
            </w:r>
            <w:r w:rsidR="00913CF5" w:rsidRPr="00C761E9"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  <w:t>=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  <w:lang w:eastAsia="zh-CN"/>
              </w:rPr>
              <w:t xml:space="preserve"> </w:t>
            </w:r>
            <w:r w:rsidR="00913CF5" w:rsidRPr="00C761E9"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  <w:t>4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  <w:lang w:eastAsia="zh-CN"/>
              </w:rPr>
              <w:t xml:space="preserve"> </w:t>
            </w:r>
            <w:r w:rsidR="00913CF5" w:rsidRPr="00C761E9"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  <w:t>(12)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9063ECA" w14:textId="5E7BD573" w:rsidR="00913CF5" w:rsidRPr="00C761E9" w:rsidRDefault="001269FC" w:rsidP="00ED68CC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b/>
                <w:bCs/>
                <w:i/>
                <w:color w:val="000000" w:themeColor="text1"/>
                <w:lang w:eastAsia="zh-CN"/>
              </w:rPr>
              <w:t>n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  <w:lang w:eastAsia="zh-CN"/>
              </w:rPr>
              <w:t xml:space="preserve"> </w:t>
            </w:r>
            <w:r w:rsidR="00ED68CC" w:rsidRPr="00C761E9">
              <w:rPr>
                <w:rFonts w:ascii="Book Antiqua" w:hAnsi="Book Antiqua" w:cstheme="majorBidi"/>
                <w:b/>
                <w:color w:val="000000" w:themeColor="text1"/>
                <w:lang w:eastAsia="zh-CN"/>
              </w:rPr>
              <w:t xml:space="preserve">(%) </w:t>
            </w:r>
            <w:r w:rsidR="00913CF5" w:rsidRPr="00C761E9"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  <w:t>=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  <w:lang w:eastAsia="zh-CN"/>
              </w:rPr>
              <w:t xml:space="preserve"> </w:t>
            </w:r>
            <w:r w:rsidR="00913CF5" w:rsidRPr="00C761E9"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  <w:t>3</w:t>
            </w:r>
            <w:r w:rsidR="00A766AB" w:rsidRPr="00C761E9"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  <w:t xml:space="preserve"> </w:t>
            </w:r>
            <w:r w:rsidR="00913CF5" w:rsidRPr="00C761E9"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  <w:t>(9)</w:t>
            </w:r>
          </w:p>
        </w:tc>
      </w:tr>
      <w:tr w:rsidR="00C761E9" w:rsidRPr="00C761E9" w14:paraId="75EE0A90" w14:textId="77777777" w:rsidTr="00E53455">
        <w:trPr>
          <w:trHeight w:val="300"/>
        </w:trPr>
        <w:tc>
          <w:tcPr>
            <w:tcW w:w="24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52B8031" w14:textId="530B557B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Piperacillin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tazobactam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0E18C7A" w14:textId="26B2734C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2/5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(40)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7D6F266" w14:textId="1F19190A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4/4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(100)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C1DF0DE" w14:textId="26674466" w:rsidR="00913CF5" w:rsidRPr="00C761E9" w:rsidRDefault="00A766AB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3AE6F3C" w14:textId="3CB13AEE" w:rsidR="00913CF5" w:rsidRPr="00C761E9" w:rsidRDefault="00A766AB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</w:p>
        </w:tc>
      </w:tr>
      <w:tr w:rsidR="00C761E9" w:rsidRPr="00C761E9" w14:paraId="03FBEEBE" w14:textId="77777777" w:rsidTr="001269FC">
        <w:trPr>
          <w:trHeight w:val="300"/>
        </w:trPr>
        <w:tc>
          <w:tcPr>
            <w:tcW w:w="2480" w:type="dxa"/>
            <w:shd w:val="clear" w:color="auto" w:fill="auto"/>
            <w:noWrap/>
            <w:hideMark/>
          </w:tcPr>
          <w:p w14:paraId="4818383D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Ceftriaxone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14:paraId="643254CC" w14:textId="758DAB07" w:rsidR="00913CF5" w:rsidRPr="00C761E9" w:rsidRDefault="00A766AB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14:paraId="79EC11BD" w14:textId="7CAB99F5" w:rsidR="00913CF5" w:rsidRPr="00C761E9" w:rsidRDefault="00A766AB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14:paraId="7071749F" w14:textId="5A6193B9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1/4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(25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4B93E66E" w14:textId="53DCA3FD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1/3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(33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</w:tr>
      <w:tr w:rsidR="00C761E9" w:rsidRPr="00C761E9" w14:paraId="232B7DC3" w14:textId="77777777" w:rsidTr="001269FC">
        <w:trPr>
          <w:trHeight w:val="300"/>
        </w:trPr>
        <w:tc>
          <w:tcPr>
            <w:tcW w:w="2480" w:type="dxa"/>
            <w:shd w:val="clear" w:color="auto" w:fill="auto"/>
            <w:noWrap/>
            <w:hideMark/>
          </w:tcPr>
          <w:p w14:paraId="7302AE43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Ceftazidime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14:paraId="48E425DE" w14:textId="4FB87A10" w:rsidR="00913CF5" w:rsidRPr="00C761E9" w:rsidRDefault="00913CF5" w:rsidP="00ED68CC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2/5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(40)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14:paraId="738D9448" w14:textId="08233A02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4/4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(100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14:paraId="197E77CF" w14:textId="2C7967C2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1/4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(25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23C6F82C" w14:textId="552F2BBB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1/3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(33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</w:tr>
      <w:tr w:rsidR="00C761E9" w:rsidRPr="00C761E9" w14:paraId="51A6D4B9" w14:textId="77777777" w:rsidTr="001269FC">
        <w:trPr>
          <w:trHeight w:val="300"/>
        </w:trPr>
        <w:tc>
          <w:tcPr>
            <w:tcW w:w="2480" w:type="dxa"/>
            <w:shd w:val="clear" w:color="auto" w:fill="auto"/>
            <w:noWrap/>
            <w:hideMark/>
          </w:tcPr>
          <w:p w14:paraId="56846A25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proofErr w:type="spellStart"/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Cefipime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hideMark/>
          </w:tcPr>
          <w:p w14:paraId="30E8F225" w14:textId="732F971E" w:rsidR="00913CF5" w:rsidRPr="00C761E9" w:rsidRDefault="00913CF5" w:rsidP="00ED68CC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2/5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(40)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14:paraId="739E5413" w14:textId="092B3C59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4/4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(100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14:paraId="1C0C468E" w14:textId="129F8AD1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1/4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(25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1DFB6D8F" w14:textId="16A0F7B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1/3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(33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</w:tr>
      <w:tr w:rsidR="00C761E9" w:rsidRPr="00C761E9" w14:paraId="02F18CDF" w14:textId="77777777" w:rsidTr="001269FC">
        <w:trPr>
          <w:trHeight w:val="300"/>
        </w:trPr>
        <w:tc>
          <w:tcPr>
            <w:tcW w:w="2480" w:type="dxa"/>
            <w:shd w:val="clear" w:color="auto" w:fill="auto"/>
            <w:noWrap/>
            <w:hideMark/>
          </w:tcPr>
          <w:p w14:paraId="083BABE1" w14:textId="43FCA265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proofErr w:type="spellStart"/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Merpenem</w:t>
            </w:r>
            <w:proofErr w:type="spellEnd"/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14:paraId="743D9513" w14:textId="03C55BE7" w:rsidR="00913CF5" w:rsidRPr="00C761E9" w:rsidRDefault="00913CF5" w:rsidP="00ED68CC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2/5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(40)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14:paraId="798CFEE6" w14:textId="3617F6A3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4/4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(100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14:paraId="311BA748" w14:textId="5F98FC20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2/4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(50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0CED3406" w14:textId="20480465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1/3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(33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</w:tr>
      <w:tr w:rsidR="00C761E9" w:rsidRPr="00C761E9" w14:paraId="67FD6985" w14:textId="77777777" w:rsidTr="001269FC">
        <w:trPr>
          <w:trHeight w:val="300"/>
        </w:trPr>
        <w:tc>
          <w:tcPr>
            <w:tcW w:w="2480" w:type="dxa"/>
            <w:shd w:val="clear" w:color="auto" w:fill="auto"/>
            <w:noWrap/>
            <w:hideMark/>
          </w:tcPr>
          <w:p w14:paraId="07B5ED74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Imipenem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14:paraId="69633596" w14:textId="45636617" w:rsidR="00913CF5" w:rsidRPr="00C761E9" w:rsidRDefault="00913CF5" w:rsidP="00ED68CC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2/5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(40)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14:paraId="1E0BA00A" w14:textId="3002A4C1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2/4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(50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14:paraId="3F07610C" w14:textId="15F59F79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2/4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(50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1922D2CB" w14:textId="2744D97A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1/3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(33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</w:tr>
      <w:tr w:rsidR="00C761E9" w:rsidRPr="00C761E9" w14:paraId="3F4CEFA2" w14:textId="77777777" w:rsidTr="001269FC">
        <w:trPr>
          <w:trHeight w:val="300"/>
        </w:trPr>
        <w:tc>
          <w:tcPr>
            <w:tcW w:w="2480" w:type="dxa"/>
            <w:shd w:val="clear" w:color="auto" w:fill="auto"/>
            <w:noWrap/>
            <w:hideMark/>
          </w:tcPr>
          <w:p w14:paraId="7FC600DC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Ciprofloxacin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14:paraId="6A1BE730" w14:textId="50483CDD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2/5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(40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14:paraId="4B811299" w14:textId="2DFF1499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4/4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(100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14:paraId="31B36295" w14:textId="3E42AAF6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1/4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(25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49D9B04A" w14:textId="55C8A8DD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1/3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(33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</w:tr>
      <w:tr w:rsidR="00C761E9" w:rsidRPr="00C761E9" w14:paraId="2A29A90D" w14:textId="77777777" w:rsidTr="001269FC">
        <w:trPr>
          <w:trHeight w:val="300"/>
        </w:trPr>
        <w:tc>
          <w:tcPr>
            <w:tcW w:w="2480" w:type="dxa"/>
            <w:shd w:val="clear" w:color="auto" w:fill="auto"/>
            <w:noWrap/>
            <w:hideMark/>
          </w:tcPr>
          <w:p w14:paraId="0591F126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Gentamicin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14:paraId="4ADCE35F" w14:textId="711E9432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2/5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(40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14:paraId="170B7F91" w14:textId="202A117F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4/4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(100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14:paraId="2F299F2A" w14:textId="4DE56F64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1/4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(25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6ACBDEA7" w14:textId="2EDF2E1B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1/3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(33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</w:tr>
      <w:tr w:rsidR="00C761E9" w:rsidRPr="00C761E9" w14:paraId="2512D239" w14:textId="77777777" w:rsidTr="001269FC">
        <w:trPr>
          <w:trHeight w:val="300"/>
        </w:trPr>
        <w:tc>
          <w:tcPr>
            <w:tcW w:w="2480" w:type="dxa"/>
            <w:shd w:val="clear" w:color="auto" w:fill="auto"/>
            <w:noWrap/>
            <w:hideMark/>
          </w:tcPr>
          <w:p w14:paraId="1B471F48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Amikacin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14:paraId="1287D28B" w14:textId="4B7E6DCB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2/5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(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40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14:paraId="7FA4D99C" w14:textId="2D713922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4/4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(100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14:paraId="723D41EF" w14:textId="7275AF04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1/4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(25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33176F3A" w14:textId="14348A4E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1/3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(33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</w:tr>
      <w:tr w:rsidR="00913CF5" w:rsidRPr="00C761E9" w14:paraId="145FEC0F" w14:textId="77777777" w:rsidTr="001269FC">
        <w:trPr>
          <w:trHeight w:val="300"/>
        </w:trPr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17997D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Colistin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6846DF" w14:textId="56238EAC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5/5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(100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D73B986" w14:textId="672C4CB6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4/4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(100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A0FB5B" w14:textId="42F356F9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4/4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(100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9D7BC4E" w14:textId="4DBB7892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3/3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(100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</w:tr>
    </w:tbl>
    <w:p w14:paraId="286338AF" w14:textId="77777777" w:rsidR="003E0879" w:rsidRDefault="003E0879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3E0879" w:rsidSect="00E534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7270E2" w14:textId="77777777" w:rsidR="003E0879" w:rsidRDefault="003E0879" w:rsidP="003E0879">
      <w:pPr>
        <w:jc w:val="center"/>
        <w:rPr>
          <w:rFonts w:ascii="Book Antiqua" w:hAnsi="Book Antiqua"/>
          <w:sz w:val="21"/>
          <w:szCs w:val="22"/>
        </w:rPr>
      </w:pPr>
    </w:p>
    <w:p w14:paraId="3C615BCE" w14:textId="729A7E80" w:rsidR="003E0879" w:rsidRDefault="003E0879" w:rsidP="003E0879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D4DBEB6" wp14:editId="00FC8582">
            <wp:extent cx="2493645" cy="1437005"/>
            <wp:effectExtent l="0" t="0" r="0" b="0"/>
            <wp:docPr id="2" name="图片 2" descr="徽标, 公司名称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徽标, 公司名称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BAF2C" w14:textId="77777777" w:rsidR="003E0879" w:rsidRDefault="003E0879" w:rsidP="003E0879">
      <w:pPr>
        <w:jc w:val="center"/>
        <w:rPr>
          <w:rFonts w:ascii="Book Antiqua" w:hAnsi="Book Antiqua"/>
        </w:rPr>
      </w:pPr>
    </w:p>
    <w:p w14:paraId="214C13D0" w14:textId="77777777" w:rsidR="003E0879" w:rsidRDefault="003E0879" w:rsidP="003E0879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7EA0CA88" w14:textId="77777777" w:rsidR="003E0879" w:rsidRDefault="003E0879" w:rsidP="003E087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986B78B" w14:textId="77777777" w:rsidR="003E0879" w:rsidRDefault="003E0879" w:rsidP="003E087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03C3E51" w14:textId="77777777" w:rsidR="003E0879" w:rsidRDefault="003E0879" w:rsidP="003E087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22F75C7" w14:textId="77777777" w:rsidR="003E0879" w:rsidRDefault="003E0879" w:rsidP="003E087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1C630A7" w14:textId="77777777" w:rsidR="003E0879" w:rsidRDefault="003E0879" w:rsidP="003E0879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B455CF2" w14:textId="77777777" w:rsidR="003E0879" w:rsidRDefault="003E0879" w:rsidP="003E0879">
      <w:pPr>
        <w:jc w:val="center"/>
        <w:rPr>
          <w:rFonts w:ascii="Book Antiqua" w:hAnsi="Book Antiqua"/>
        </w:rPr>
      </w:pPr>
    </w:p>
    <w:p w14:paraId="6F0B876E" w14:textId="77777777" w:rsidR="003E0879" w:rsidRDefault="003E0879" w:rsidP="003E0879">
      <w:pPr>
        <w:jc w:val="center"/>
        <w:rPr>
          <w:rFonts w:ascii="Book Antiqua" w:hAnsi="Book Antiqua"/>
        </w:rPr>
      </w:pPr>
    </w:p>
    <w:p w14:paraId="285766CC" w14:textId="77777777" w:rsidR="003E0879" w:rsidRDefault="003E0879" w:rsidP="003E0879">
      <w:pPr>
        <w:jc w:val="center"/>
        <w:rPr>
          <w:rFonts w:ascii="Book Antiqua" w:hAnsi="Book Antiqua"/>
        </w:rPr>
      </w:pPr>
    </w:p>
    <w:p w14:paraId="3C0F5FE0" w14:textId="4CC943BA" w:rsidR="003E0879" w:rsidRDefault="003E0879" w:rsidP="003E0879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A9A2B0D" wp14:editId="4DC2FF4E">
            <wp:extent cx="1449070" cy="1437005"/>
            <wp:effectExtent l="0" t="0" r="0" b="0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DDDF5" w14:textId="77777777" w:rsidR="003E0879" w:rsidRDefault="003E0879" w:rsidP="003E0879">
      <w:pPr>
        <w:jc w:val="center"/>
        <w:rPr>
          <w:rFonts w:ascii="Book Antiqua" w:hAnsi="Book Antiqua"/>
        </w:rPr>
      </w:pPr>
    </w:p>
    <w:p w14:paraId="3E98C1B7" w14:textId="77777777" w:rsidR="003E0879" w:rsidRDefault="003E0879" w:rsidP="003E0879">
      <w:pPr>
        <w:jc w:val="center"/>
        <w:rPr>
          <w:rFonts w:ascii="Book Antiqua" w:hAnsi="Book Antiqua"/>
        </w:rPr>
      </w:pPr>
    </w:p>
    <w:p w14:paraId="054C6ECA" w14:textId="77777777" w:rsidR="003E0879" w:rsidRDefault="003E0879" w:rsidP="003E0879">
      <w:pPr>
        <w:jc w:val="center"/>
        <w:rPr>
          <w:rFonts w:ascii="Book Antiqua" w:hAnsi="Book Antiqua"/>
        </w:rPr>
      </w:pPr>
    </w:p>
    <w:p w14:paraId="6042DEAC" w14:textId="77777777" w:rsidR="003E0879" w:rsidRDefault="003E0879" w:rsidP="003E0879">
      <w:pPr>
        <w:jc w:val="center"/>
        <w:rPr>
          <w:rFonts w:ascii="Book Antiqua" w:hAnsi="Book Antiqua"/>
        </w:rPr>
      </w:pPr>
    </w:p>
    <w:p w14:paraId="00655B88" w14:textId="77777777" w:rsidR="003E0879" w:rsidRDefault="003E0879" w:rsidP="003E0879">
      <w:pPr>
        <w:jc w:val="center"/>
        <w:rPr>
          <w:rFonts w:ascii="Book Antiqua" w:hAnsi="Book Antiqua"/>
        </w:rPr>
      </w:pPr>
    </w:p>
    <w:p w14:paraId="4B752B39" w14:textId="77777777" w:rsidR="003E0879" w:rsidRDefault="003E0879" w:rsidP="003E0879">
      <w:pPr>
        <w:jc w:val="center"/>
        <w:rPr>
          <w:rFonts w:ascii="Book Antiqua" w:hAnsi="Book Antiqua"/>
        </w:rPr>
      </w:pPr>
    </w:p>
    <w:p w14:paraId="69081A19" w14:textId="77777777" w:rsidR="003E0879" w:rsidRDefault="003E0879" w:rsidP="003E0879">
      <w:pPr>
        <w:jc w:val="center"/>
        <w:rPr>
          <w:rFonts w:ascii="Book Antiqua" w:hAnsi="Book Antiqua"/>
        </w:rPr>
      </w:pPr>
    </w:p>
    <w:p w14:paraId="76DE2AFD" w14:textId="77777777" w:rsidR="003E0879" w:rsidRDefault="003E0879" w:rsidP="003E0879">
      <w:pPr>
        <w:jc w:val="center"/>
        <w:rPr>
          <w:rFonts w:ascii="Book Antiqua" w:hAnsi="Book Antiqua"/>
        </w:rPr>
      </w:pPr>
    </w:p>
    <w:p w14:paraId="44241A0E" w14:textId="77777777" w:rsidR="003E0879" w:rsidRDefault="003E0879" w:rsidP="003E0879">
      <w:pPr>
        <w:jc w:val="center"/>
        <w:rPr>
          <w:rFonts w:ascii="Book Antiqua" w:hAnsi="Book Antiqua"/>
        </w:rPr>
      </w:pPr>
    </w:p>
    <w:p w14:paraId="38086586" w14:textId="77777777" w:rsidR="003E0879" w:rsidRDefault="003E0879" w:rsidP="003E0879">
      <w:pPr>
        <w:jc w:val="right"/>
        <w:rPr>
          <w:rFonts w:ascii="Book Antiqua" w:hAnsi="Book Antiqua"/>
          <w:color w:val="000000" w:themeColor="text1"/>
        </w:rPr>
      </w:pPr>
    </w:p>
    <w:p w14:paraId="352BA8BC" w14:textId="77777777" w:rsidR="003E0879" w:rsidRDefault="003E0879" w:rsidP="003E0879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7553EC2E" w14:textId="5EF998AE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sectPr w:rsidR="00A77B3E" w:rsidRPr="00C761E9" w:rsidSect="00E53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C6B51" w14:textId="77777777" w:rsidR="003F7C43" w:rsidRDefault="003F7C43" w:rsidP="00913CF5">
      <w:r>
        <w:separator/>
      </w:r>
    </w:p>
  </w:endnote>
  <w:endnote w:type="continuationSeparator" w:id="0">
    <w:p w14:paraId="40A6DAA9" w14:textId="77777777" w:rsidR="003F7C43" w:rsidRDefault="003F7C43" w:rsidP="0091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DE2E" w14:textId="77777777" w:rsidR="00A801E9" w:rsidRPr="00913CF5" w:rsidRDefault="00A801E9" w:rsidP="00913CF5">
    <w:pPr>
      <w:pStyle w:val="a6"/>
      <w:jc w:val="right"/>
      <w:rPr>
        <w:rFonts w:ascii="Book Antiqua" w:hAnsi="Book Antiqua"/>
        <w:sz w:val="24"/>
        <w:szCs w:val="24"/>
      </w:rPr>
    </w:pPr>
    <w:r w:rsidRPr="00913CF5">
      <w:rPr>
        <w:rFonts w:ascii="Book Antiqua" w:hAnsi="Book Antiqua"/>
        <w:sz w:val="24"/>
        <w:szCs w:val="24"/>
      </w:rPr>
      <w:fldChar w:fldCharType="begin"/>
    </w:r>
    <w:r w:rsidRPr="00913CF5">
      <w:rPr>
        <w:rFonts w:ascii="Book Antiqua" w:hAnsi="Book Antiqua"/>
        <w:sz w:val="24"/>
        <w:szCs w:val="24"/>
      </w:rPr>
      <w:instrText xml:space="preserve"> PAGE  \* Arabic  \* MERGEFORMAT </w:instrText>
    </w:r>
    <w:r w:rsidRPr="00913CF5">
      <w:rPr>
        <w:rFonts w:ascii="Book Antiqua" w:hAnsi="Book Antiqua"/>
        <w:sz w:val="24"/>
        <w:szCs w:val="24"/>
      </w:rPr>
      <w:fldChar w:fldCharType="separate"/>
    </w:r>
    <w:r w:rsidR="009B492D">
      <w:rPr>
        <w:rFonts w:ascii="Book Antiqua" w:hAnsi="Book Antiqua"/>
        <w:noProof/>
        <w:sz w:val="24"/>
        <w:szCs w:val="24"/>
      </w:rPr>
      <w:t>1</w:t>
    </w:r>
    <w:r w:rsidRPr="00913CF5">
      <w:rPr>
        <w:rFonts w:ascii="Book Antiqua" w:hAnsi="Book Antiqua"/>
        <w:sz w:val="24"/>
        <w:szCs w:val="24"/>
      </w:rPr>
      <w:fldChar w:fldCharType="end"/>
    </w:r>
    <w:r w:rsidRPr="00913CF5">
      <w:rPr>
        <w:rFonts w:ascii="Book Antiqua" w:hAnsi="Book Antiqua"/>
        <w:sz w:val="24"/>
        <w:szCs w:val="24"/>
      </w:rPr>
      <w:t>/</w:t>
    </w:r>
    <w:r w:rsidRPr="00913CF5">
      <w:rPr>
        <w:rFonts w:ascii="Book Antiqua" w:hAnsi="Book Antiqua"/>
        <w:sz w:val="24"/>
        <w:szCs w:val="24"/>
      </w:rPr>
      <w:fldChar w:fldCharType="begin"/>
    </w:r>
    <w:r w:rsidRPr="00913CF5">
      <w:rPr>
        <w:rFonts w:ascii="Book Antiqua" w:hAnsi="Book Antiqua"/>
        <w:sz w:val="24"/>
        <w:szCs w:val="24"/>
      </w:rPr>
      <w:instrText xml:space="preserve"> NUMPAGES   \* MERGEFORMAT </w:instrText>
    </w:r>
    <w:r w:rsidRPr="00913CF5">
      <w:rPr>
        <w:rFonts w:ascii="Book Antiqua" w:hAnsi="Book Antiqua"/>
        <w:sz w:val="24"/>
        <w:szCs w:val="24"/>
      </w:rPr>
      <w:fldChar w:fldCharType="separate"/>
    </w:r>
    <w:r w:rsidR="009B492D">
      <w:rPr>
        <w:rFonts w:ascii="Book Antiqua" w:hAnsi="Book Antiqua"/>
        <w:noProof/>
        <w:sz w:val="24"/>
        <w:szCs w:val="24"/>
      </w:rPr>
      <w:t>29</w:t>
    </w:r>
    <w:r w:rsidRPr="00913CF5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1C94" w14:textId="77777777" w:rsidR="003F7C43" w:rsidRDefault="003F7C43" w:rsidP="00913CF5">
      <w:r>
        <w:separator/>
      </w:r>
    </w:p>
  </w:footnote>
  <w:footnote w:type="continuationSeparator" w:id="0">
    <w:p w14:paraId="4687771F" w14:textId="77777777" w:rsidR="003F7C43" w:rsidRDefault="003F7C43" w:rsidP="00913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334BB"/>
    <w:rsid w:val="000D41DD"/>
    <w:rsid w:val="000F13A9"/>
    <w:rsid w:val="00121CEE"/>
    <w:rsid w:val="001269FC"/>
    <w:rsid w:val="001764A7"/>
    <w:rsid w:val="00197C17"/>
    <w:rsid w:val="001A4CB2"/>
    <w:rsid w:val="001B6CAF"/>
    <w:rsid w:val="001C6449"/>
    <w:rsid w:val="001D0991"/>
    <w:rsid w:val="0020083D"/>
    <w:rsid w:val="00277C89"/>
    <w:rsid w:val="00330DD5"/>
    <w:rsid w:val="003632F6"/>
    <w:rsid w:val="00392CF8"/>
    <w:rsid w:val="003A1DEE"/>
    <w:rsid w:val="003B4DEC"/>
    <w:rsid w:val="003E0879"/>
    <w:rsid w:val="003F7C43"/>
    <w:rsid w:val="004C41D2"/>
    <w:rsid w:val="0050292F"/>
    <w:rsid w:val="00512F8A"/>
    <w:rsid w:val="005D482D"/>
    <w:rsid w:val="005E57FE"/>
    <w:rsid w:val="0061094F"/>
    <w:rsid w:val="00643B1B"/>
    <w:rsid w:val="00656E8B"/>
    <w:rsid w:val="006B6545"/>
    <w:rsid w:val="006C5B08"/>
    <w:rsid w:val="007072F3"/>
    <w:rsid w:val="007A5A99"/>
    <w:rsid w:val="007B6490"/>
    <w:rsid w:val="007E20D8"/>
    <w:rsid w:val="007E6834"/>
    <w:rsid w:val="007F2B70"/>
    <w:rsid w:val="008313C5"/>
    <w:rsid w:val="00834AC7"/>
    <w:rsid w:val="00913CF5"/>
    <w:rsid w:val="009156A3"/>
    <w:rsid w:val="00946C74"/>
    <w:rsid w:val="00962229"/>
    <w:rsid w:val="00984138"/>
    <w:rsid w:val="009B492D"/>
    <w:rsid w:val="00A07DFB"/>
    <w:rsid w:val="00A63791"/>
    <w:rsid w:val="00A766AB"/>
    <w:rsid w:val="00A77B3E"/>
    <w:rsid w:val="00A801E9"/>
    <w:rsid w:val="00A84BD9"/>
    <w:rsid w:val="00A84E5C"/>
    <w:rsid w:val="00A945DE"/>
    <w:rsid w:val="00AE1547"/>
    <w:rsid w:val="00AE7F13"/>
    <w:rsid w:val="00B26D12"/>
    <w:rsid w:val="00B63758"/>
    <w:rsid w:val="00B80C8A"/>
    <w:rsid w:val="00BE5D76"/>
    <w:rsid w:val="00C761E9"/>
    <w:rsid w:val="00CA2A55"/>
    <w:rsid w:val="00CA767C"/>
    <w:rsid w:val="00CC68DB"/>
    <w:rsid w:val="00CD5677"/>
    <w:rsid w:val="00CD568C"/>
    <w:rsid w:val="00CF2D81"/>
    <w:rsid w:val="00D22C06"/>
    <w:rsid w:val="00D3608D"/>
    <w:rsid w:val="00D54E16"/>
    <w:rsid w:val="00DA10D6"/>
    <w:rsid w:val="00DA6982"/>
    <w:rsid w:val="00E44C40"/>
    <w:rsid w:val="00E53455"/>
    <w:rsid w:val="00E62C4A"/>
    <w:rsid w:val="00E850D9"/>
    <w:rsid w:val="00ED68CC"/>
    <w:rsid w:val="00F034EF"/>
    <w:rsid w:val="00FD4793"/>
    <w:rsid w:val="00FD77D9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DF4A4"/>
  <w15:docId w15:val="{27918FD3-D049-46D1-95A2-2633BAC4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3CF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4">
    <w:name w:val="header"/>
    <w:basedOn w:val="a"/>
    <w:link w:val="a5"/>
    <w:rsid w:val="00913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13CF5"/>
    <w:rPr>
      <w:sz w:val="18"/>
      <w:szCs w:val="18"/>
    </w:rPr>
  </w:style>
  <w:style w:type="paragraph" w:styleId="a6">
    <w:name w:val="footer"/>
    <w:basedOn w:val="a"/>
    <w:link w:val="a7"/>
    <w:uiPriority w:val="99"/>
    <w:rsid w:val="00913CF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13CF5"/>
    <w:rPr>
      <w:sz w:val="18"/>
      <w:szCs w:val="18"/>
    </w:rPr>
  </w:style>
  <w:style w:type="paragraph" w:styleId="a8">
    <w:name w:val="Balloon Text"/>
    <w:basedOn w:val="a"/>
    <w:link w:val="a9"/>
    <w:rsid w:val="00913CF5"/>
    <w:rPr>
      <w:sz w:val="18"/>
      <w:szCs w:val="18"/>
    </w:rPr>
  </w:style>
  <w:style w:type="character" w:customStyle="1" w:styleId="a9">
    <w:name w:val="批注框文本 字符"/>
    <w:basedOn w:val="a0"/>
    <w:link w:val="a8"/>
    <w:rsid w:val="00913CF5"/>
    <w:rPr>
      <w:sz w:val="18"/>
      <w:szCs w:val="18"/>
    </w:rPr>
  </w:style>
  <w:style w:type="character" w:styleId="aa">
    <w:name w:val="Hyperlink"/>
    <w:basedOn w:val="a0"/>
    <w:rsid w:val="00A84E5C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A767C"/>
    <w:rPr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610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9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m.ucl.ac.be/intranet/CLSI/CLSI-2017-M100-S27.pdf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cdc.gov/nhsn/pdfs/pscmanual/pcsmanual_current.pdf" TargetMode="External"/><Relationship Id="rId12" Type="http://schemas.openxmlformats.org/officeDocument/2006/relationships/image" Target="media/image3.tm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2.tmp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tmp"/><Relationship Id="rId4" Type="http://schemas.openxmlformats.org/officeDocument/2006/relationships/footnotes" Target="footnotes.xml"/><Relationship Id="rId9" Type="http://schemas.openxmlformats.org/officeDocument/2006/relationships/hyperlink" Target="http://www.ecdc.europa.eu/en/publications/Publications/120215_SUR_HAI_2007.pd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30</Pages>
  <Words>6439</Words>
  <Characters>36706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Wang, Linyutong</cp:lastModifiedBy>
  <cp:revision>44</cp:revision>
  <dcterms:created xsi:type="dcterms:W3CDTF">2021-07-11T12:38:00Z</dcterms:created>
  <dcterms:modified xsi:type="dcterms:W3CDTF">2021-09-08T03:35:00Z</dcterms:modified>
</cp:coreProperties>
</file>