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E3DE0"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color w:val="000000"/>
        </w:rPr>
        <w:t xml:space="preserve">Name of Journal: </w:t>
      </w:r>
      <w:bookmarkStart w:id="0" w:name="_Hlk77854105"/>
      <w:r>
        <w:rPr>
          <w:rFonts w:ascii="Book Antiqua" w:eastAsia="Book Antiqua" w:hAnsi="Book Antiqua" w:cs="Book Antiqua"/>
          <w:i/>
          <w:color w:val="000000"/>
        </w:rPr>
        <w:t>World Journal of Clinical Cases</w:t>
      </w:r>
      <w:bookmarkEnd w:id="0"/>
    </w:p>
    <w:p w14:paraId="6908B149" w14:textId="0BBE5DB3" w:rsidR="00B7304C" w:rsidRDefault="00F37F09">
      <w:pPr>
        <w:spacing w:after="0" w:line="360" w:lineRule="auto"/>
        <w:contextualSpacing/>
        <w:jc w:val="both"/>
        <w:rPr>
          <w:rFonts w:ascii="Book Antiqua" w:hAnsi="Book Antiqua"/>
        </w:rPr>
      </w:pPr>
      <w:r>
        <w:rPr>
          <w:rFonts w:ascii="Book Antiqua" w:eastAsia="Book Antiqua" w:hAnsi="Book Antiqua" w:cs="Book Antiqua"/>
          <w:b/>
          <w:color w:val="000000"/>
        </w:rPr>
        <w:t>Manuscript N</w:t>
      </w:r>
      <w:r w:rsidR="006257B0">
        <w:rPr>
          <w:rFonts w:ascii="Book Antiqua" w:eastAsia="Book Antiqua" w:hAnsi="Book Antiqua" w:cs="Book Antiqua"/>
          <w:b/>
          <w:color w:val="000000"/>
        </w:rPr>
        <w:t>O</w:t>
      </w:r>
      <w:r>
        <w:rPr>
          <w:rFonts w:ascii="Book Antiqua" w:eastAsia="Book Antiqua" w:hAnsi="Book Antiqua" w:cs="Book Antiqua"/>
          <w:b/>
          <w:color w:val="000000"/>
        </w:rPr>
        <w:t xml:space="preserve">: </w:t>
      </w:r>
      <w:r>
        <w:rPr>
          <w:rFonts w:ascii="Book Antiqua" w:eastAsia="Book Antiqua" w:hAnsi="Book Antiqua" w:cs="Book Antiqua"/>
          <w:color w:val="000000"/>
        </w:rPr>
        <w:t>64803</w:t>
      </w:r>
    </w:p>
    <w:p w14:paraId="0D86217A" w14:textId="77777777" w:rsidR="00B7304C" w:rsidRDefault="00F37F09">
      <w:pPr>
        <w:spacing w:after="0" w:line="360" w:lineRule="auto"/>
        <w:contextualSpacing/>
        <w:jc w:val="both"/>
        <w:rPr>
          <w:rFonts w:ascii="Book Antiqua" w:eastAsia="宋体" w:hAnsi="Book Antiqua"/>
          <w:lang w:eastAsia="zh-CN"/>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r>
        <w:rPr>
          <w:rFonts w:ascii="Book Antiqua" w:eastAsia="宋体" w:hAnsi="Book Antiqua" w:cs="Book Antiqua"/>
          <w:color w:val="000000"/>
          <w:lang w:eastAsia="zh-CN"/>
        </w:rPr>
        <w:t xml:space="preserve"> </w:t>
      </w:r>
    </w:p>
    <w:p w14:paraId="6DBF04A2" w14:textId="77777777" w:rsidR="00B7304C" w:rsidRDefault="00B7304C">
      <w:pPr>
        <w:spacing w:after="0" w:line="360" w:lineRule="auto"/>
        <w:contextualSpacing/>
        <w:jc w:val="both"/>
        <w:rPr>
          <w:rFonts w:ascii="Book Antiqua" w:hAnsi="Book Antiqua"/>
        </w:rPr>
      </w:pPr>
    </w:p>
    <w:p w14:paraId="5421A759"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bCs/>
          <w:color w:val="000000"/>
        </w:rPr>
        <w:t>Treatment for CD57-negative γδ T-cell large granular lymphocytic leukemia with pure red cell aplasia: A case report</w:t>
      </w:r>
    </w:p>
    <w:p w14:paraId="2A1DDBC6" w14:textId="77777777" w:rsidR="00B7304C" w:rsidRDefault="00B7304C">
      <w:pPr>
        <w:spacing w:after="0" w:line="360" w:lineRule="auto"/>
        <w:contextualSpacing/>
        <w:jc w:val="both"/>
        <w:rPr>
          <w:rFonts w:ascii="Book Antiqua" w:eastAsia="Book Antiqua" w:hAnsi="Book Antiqua" w:cs="Book Antiqua"/>
          <w:color w:val="000000"/>
        </w:rPr>
      </w:pPr>
    </w:p>
    <w:p w14:paraId="5684F79F" w14:textId="77777777" w:rsidR="00B7304C" w:rsidRDefault="00F37F09">
      <w:pPr>
        <w:spacing w:after="0" w:line="360" w:lineRule="auto"/>
        <w:contextualSpacing/>
        <w:jc w:val="both"/>
        <w:rPr>
          <w:rFonts w:ascii="Book Antiqua" w:eastAsia="Book Antiqua" w:hAnsi="Book Antiqua" w:cs="Book Antiqua"/>
          <w:color w:val="000000"/>
        </w:rPr>
      </w:pPr>
      <w:r>
        <w:rPr>
          <w:rFonts w:ascii="Book Antiqua" w:eastAsia="Book Antiqua" w:hAnsi="Book Antiqua" w:cs="Book Antiqua"/>
          <w:color w:val="000000"/>
        </w:rPr>
        <w:t>Xiao P</w:t>
      </w:r>
      <w:r>
        <w:rPr>
          <w:rFonts w:ascii="Book Antiqua" w:eastAsiaTheme="minorEastAsia" w:hAnsi="Book Antiqua" w:cs="Book Antiqua" w:hint="eastAsia"/>
          <w:color w:val="000000"/>
          <w:lang w:eastAsia="zh-CN"/>
        </w:rPr>
        <w:t>P</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CD57-negative γδT-LGLL treatment</w:t>
      </w:r>
    </w:p>
    <w:p w14:paraId="461C6D8C" w14:textId="77777777" w:rsidR="00B7304C" w:rsidRDefault="00B7304C">
      <w:pPr>
        <w:spacing w:after="0" w:line="360" w:lineRule="auto"/>
        <w:jc w:val="both"/>
        <w:rPr>
          <w:rFonts w:ascii="Book Antiqua" w:hAnsi="Book Antiqua"/>
        </w:rPr>
      </w:pPr>
    </w:p>
    <w:p w14:paraId="4BA36515"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Ping-Ping Xiao, Xu-Yan Chen, Zhi-Gao Dong, Jin-Mei Huang, Qing-Qing Wang, Yong-Quan Chen, Yi Zhang</w:t>
      </w:r>
    </w:p>
    <w:p w14:paraId="5669AC92" w14:textId="77777777" w:rsidR="00B7304C" w:rsidRDefault="00B7304C">
      <w:pPr>
        <w:spacing w:after="0" w:line="360" w:lineRule="auto"/>
        <w:contextualSpacing/>
        <w:jc w:val="both"/>
        <w:rPr>
          <w:rFonts w:ascii="Book Antiqua" w:hAnsi="Book Antiqua"/>
        </w:rPr>
      </w:pPr>
    </w:p>
    <w:p w14:paraId="2F0E43FE" w14:textId="77777777" w:rsidR="00B7304C" w:rsidRDefault="00F37F09">
      <w:pPr>
        <w:spacing w:after="0" w:line="360" w:lineRule="auto"/>
        <w:jc w:val="both"/>
        <w:rPr>
          <w:rFonts w:ascii="Book Antiqua" w:hAnsi="Book Antiqua"/>
        </w:rPr>
      </w:pPr>
      <w:r>
        <w:rPr>
          <w:rFonts w:ascii="Book Antiqua" w:eastAsia="Book Antiqua" w:hAnsi="Book Antiqua" w:cs="Book Antiqua"/>
          <w:b/>
          <w:bCs/>
          <w:color w:val="000000"/>
        </w:rPr>
        <w:t xml:space="preserve">Ping-Ping Xiao, Xu-Yan Chen, Zhi-Gao Dong, Jin-Mei Huang, Qing-Qing Wang, Yong-Quan Chen, Yi Zhang, </w:t>
      </w:r>
      <w:r>
        <w:rPr>
          <w:rFonts w:ascii="Book Antiqua" w:eastAsia="Book Antiqua" w:hAnsi="Book Antiqua" w:cs="Book Antiqua"/>
          <w:color w:val="000000"/>
        </w:rPr>
        <w:t xml:space="preserve">Department of Hematology and Rheumatology, The Second Affiliated Hospital of Xiamen Medical College, </w:t>
      </w:r>
      <w:r>
        <w:rPr>
          <w:rFonts w:ascii="Book Antiqua" w:eastAsia="宋体" w:hAnsi="Book Antiqua" w:cs="Book Antiqua"/>
          <w:color w:val="000000"/>
          <w:lang w:eastAsia="zh-CN"/>
        </w:rPr>
        <w:t>X</w:t>
      </w:r>
      <w:r>
        <w:rPr>
          <w:rFonts w:ascii="Book Antiqua" w:eastAsia="Book Antiqua" w:hAnsi="Book Antiqua" w:cs="Book Antiqua"/>
          <w:color w:val="000000"/>
        </w:rPr>
        <w:t xml:space="preserve">iamen 361021, </w:t>
      </w:r>
      <w:r>
        <w:rPr>
          <w:rFonts w:ascii="Book Antiqua" w:eastAsiaTheme="minorEastAsia" w:hAnsi="Book Antiqua" w:cs="Book Antiqua" w:hint="eastAsia"/>
          <w:color w:val="000000"/>
          <w:lang w:eastAsia="zh-CN"/>
        </w:rPr>
        <w:t xml:space="preserve">Fujian Province, </w:t>
      </w:r>
      <w:r>
        <w:rPr>
          <w:rFonts w:ascii="Book Antiqua" w:eastAsia="Book Antiqua" w:hAnsi="Book Antiqua" w:cs="Book Antiqua"/>
          <w:color w:val="000000"/>
        </w:rPr>
        <w:t>China</w:t>
      </w:r>
    </w:p>
    <w:p w14:paraId="515330C7" w14:textId="77777777" w:rsidR="00B7304C" w:rsidRDefault="00B7304C">
      <w:pPr>
        <w:spacing w:after="0" w:line="360" w:lineRule="auto"/>
        <w:jc w:val="both"/>
        <w:rPr>
          <w:rFonts w:ascii="Book Antiqua" w:hAnsi="Book Antiqua"/>
        </w:rPr>
      </w:pPr>
    </w:p>
    <w:p w14:paraId="7F832365" w14:textId="77777777" w:rsidR="00B7304C" w:rsidRDefault="00F37F09">
      <w:pPr>
        <w:spacing w:after="0" w:line="360" w:lineRule="auto"/>
        <w:jc w:val="both"/>
        <w:rPr>
          <w:rFonts w:ascii="Book Antiqua" w:hAnsi="Book Antiqua"/>
        </w:rPr>
      </w:pPr>
      <w:r>
        <w:rPr>
          <w:rFonts w:ascii="Book Antiqua" w:eastAsia="Book Antiqua" w:hAnsi="Book Antiqua" w:cs="Book Antiqua"/>
          <w:b/>
          <w:bCs/>
          <w:color w:val="000000"/>
        </w:rPr>
        <w:t>Author contributions:</w:t>
      </w:r>
      <w:r>
        <w:rPr>
          <w:rFonts w:ascii="Book Antiqua" w:eastAsia="Book Antiqua" w:hAnsi="Book Antiqua" w:cs="Book Antiqua"/>
          <w:color w:val="000000"/>
        </w:rPr>
        <w:t xml:space="preserve"> Xiao </w:t>
      </w:r>
      <w:r>
        <w:rPr>
          <w:rFonts w:ascii="Book Antiqua" w:eastAsiaTheme="minorEastAsia" w:hAnsi="Book Antiqua" w:cs="Book Antiqua" w:hint="eastAsia"/>
          <w:color w:val="000000"/>
          <w:lang w:eastAsia="zh-CN"/>
        </w:rPr>
        <w:t xml:space="preserve">PP </w:t>
      </w:r>
      <w:r>
        <w:rPr>
          <w:rFonts w:ascii="Book Antiqua" w:eastAsia="Book Antiqua" w:hAnsi="Book Antiqua" w:cs="Book Antiqua"/>
          <w:color w:val="000000"/>
        </w:rPr>
        <w:t>collected the patient’s clinical data and drafted and revised the manuscript; Chen</w:t>
      </w:r>
      <w:r>
        <w:rPr>
          <w:rFonts w:ascii="Book Antiqua" w:eastAsiaTheme="minorEastAsia" w:hAnsi="Book Antiqua" w:cs="Book Antiqua" w:hint="eastAsia"/>
          <w:color w:val="000000"/>
          <w:lang w:eastAsia="zh-CN"/>
        </w:rPr>
        <w:t xml:space="preserve"> XY</w:t>
      </w:r>
      <w:r>
        <w:rPr>
          <w:rFonts w:ascii="Book Antiqua" w:eastAsia="Book Antiqua" w:hAnsi="Book Antiqua" w:cs="Book Antiqua"/>
          <w:color w:val="000000"/>
        </w:rPr>
        <w:t>, Dong</w:t>
      </w:r>
      <w:r>
        <w:rPr>
          <w:rFonts w:ascii="Book Antiqua" w:eastAsiaTheme="minorEastAsia" w:hAnsi="Book Antiqua" w:cs="Book Antiqua" w:hint="eastAsia"/>
          <w:color w:val="000000"/>
          <w:lang w:eastAsia="zh-CN"/>
        </w:rPr>
        <w:t xml:space="preserve"> ZG</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and Huang</w:t>
      </w:r>
      <w:r>
        <w:rPr>
          <w:rFonts w:ascii="Book Antiqua" w:eastAsiaTheme="minorEastAsia" w:hAnsi="Book Antiqua" w:cs="Book Antiqua" w:hint="eastAsia"/>
          <w:color w:val="000000"/>
          <w:lang w:eastAsia="zh-CN"/>
        </w:rPr>
        <w:t xml:space="preserve"> JM</w:t>
      </w:r>
      <w:r>
        <w:rPr>
          <w:rFonts w:ascii="Book Antiqua" w:eastAsia="Book Antiqua" w:hAnsi="Book Antiqua" w:cs="Book Antiqua"/>
          <w:color w:val="000000"/>
        </w:rPr>
        <w:t xml:space="preserve"> managed the patient in the hospital; Wang</w:t>
      </w:r>
      <w:r>
        <w:rPr>
          <w:rFonts w:ascii="Book Antiqua" w:eastAsiaTheme="minorEastAsia" w:hAnsi="Book Antiqua" w:cs="Book Antiqua" w:hint="eastAsia"/>
          <w:color w:val="000000"/>
          <w:lang w:eastAsia="zh-CN"/>
        </w:rPr>
        <w:t xml:space="preserve"> QQ</w:t>
      </w:r>
      <w:r>
        <w:rPr>
          <w:rFonts w:ascii="Book Antiqua" w:eastAsia="Book Antiqua" w:hAnsi="Book Antiqua" w:cs="Book Antiqua"/>
          <w:color w:val="000000"/>
        </w:rPr>
        <w:t>, Chen</w:t>
      </w:r>
      <w:r>
        <w:rPr>
          <w:rFonts w:ascii="Book Antiqua" w:eastAsiaTheme="minorEastAsia" w:hAnsi="Book Antiqua" w:cs="Book Antiqua" w:hint="eastAsia"/>
          <w:color w:val="000000"/>
          <w:lang w:eastAsia="zh-CN"/>
        </w:rPr>
        <w:t xml:space="preserve"> YQ</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and Zhang</w:t>
      </w:r>
      <w:r>
        <w:rPr>
          <w:rFonts w:ascii="Book Antiqua" w:eastAsiaTheme="minorEastAsia" w:hAnsi="Book Antiqua" w:cs="Book Antiqua" w:hint="eastAsia"/>
          <w:color w:val="000000"/>
          <w:lang w:eastAsia="zh-CN"/>
        </w:rPr>
        <w:t xml:space="preserve"> Y</w:t>
      </w:r>
      <w:r>
        <w:rPr>
          <w:rFonts w:ascii="Book Antiqua" w:eastAsia="Book Antiqua" w:hAnsi="Book Antiqua" w:cs="Book Antiqua"/>
          <w:color w:val="000000"/>
        </w:rPr>
        <w:t xml:space="preserve"> collected the laboratory data; all authors approved the final manuscript.</w:t>
      </w:r>
    </w:p>
    <w:p w14:paraId="64F1E97A" w14:textId="77777777" w:rsidR="00B7304C" w:rsidRDefault="00B7304C">
      <w:pPr>
        <w:spacing w:after="0" w:line="360" w:lineRule="auto"/>
        <w:jc w:val="both"/>
        <w:rPr>
          <w:rFonts w:ascii="Book Antiqua" w:hAnsi="Book Antiqua"/>
        </w:rPr>
      </w:pPr>
    </w:p>
    <w:p w14:paraId="2F96DD0A" w14:textId="77777777" w:rsidR="00B7304C" w:rsidRDefault="00F37F09">
      <w:pPr>
        <w:spacing w:after="0" w:line="360" w:lineRule="auto"/>
        <w:jc w:val="both"/>
        <w:rPr>
          <w:rFonts w:ascii="Book Antiqua" w:eastAsiaTheme="minorEastAsia" w:hAnsi="Book Antiqua"/>
          <w:lang w:eastAsia="zh-CN"/>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Xiamen Medical and Health Guidance Project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No. 3502Z20199137</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w:t>
      </w:r>
      <w:bookmarkStart w:id="1" w:name="OLE_LINK2"/>
      <w:r>
        <w:rPr>
          <w:rFonts w:ascii="Book Antiqua" w:eastAsia="Book Antiqua" w:hAnsi="Book Antiqua" w:cs="Book Antiqua"/>
          <w:color w:val="000000"/>
        </w:rPr>
        <w:t>Fujian Medical and Health Training Project for Young</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Middle-aged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Backbone Talents</w:t>
      </w:r>
      <w:bookmarkEnd w:id="1"/>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No.</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2020GGB068</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and </w:t>
      </w:r>
      <w:bookmarkStart w:id="2" w:name="OLE_LINK3"/>
      <w:r>
        <w:rPr>
          <w:rFonts w:ascii="Book Antiqua" w:eastAsia="Book Antiqua" w:hAnsi="Book Antiqua" w:cs="Book Antiqua"/>
          <w:color w:val="000000"/>
        </w:rPr>
        <w:t>Educational</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Scientific</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Research</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Program</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for</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Young</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Middle-Aged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Teachers of</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Fujian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Province</w:t>
      </w:r>
      <w:bookmarkEnd w:id="2"/>
      <w:r>
        <w:rPr>
          <w:rFonts w:ascii="Book Antiqua" w:eastAsiaTheme="minorEastAsia" w:hAnsi="Book Antiqua" w:cs="MS Mincho" w:hint="eastAsia"/>
          <w:color w:val="000000"/>
          <w:lang w:eastAsia="zh-CN"/>
        </w:rPr>
        <w:t xml:space="preserve">, </w:t>
      </w:r>
      <w:r>
        <w:rPr>
          <w:rFonts w:ascii="Book Antiqua" w:eastAsia="Book Antiqua" w:hAnsi="Book Antiqua" w:cs="Book Antiqua"/>
          <w:color w:val="000000"/>
        </w:rPr>
        <w:t>No. JAT190838</w:t>
      </w:r>
      <w:r>
        <w:rPr>
          <w:rFonts w:ascii="Book Antiqua" w:eastAsiaTheme="minorEastAsia" w:hAnsi="Book Antiqua" w:cs="MS Mincho" w:hint="eastAsia"/>
          <w:color w:val="000000"/>
          <w:lang w:eastAsia="zh-CN"/>
        </w:rPr>
        <w:t>.</w:t>
      </w:r>
    </w:p>
    <w:p w14:paraId="49AA9BCE" w14:textId="77777777" w:rsidR="00B7304C" w:rsidRDefault="00B7304C">
      <w:pPr>
        <w:spacing w:after="0" w:line="360" w:lineRule="auto"/>
        <w:jc w:val="both"/>
        <w:rPr>
          <w:rFonts w:ascii="Book Antiqua" w:hAnsi="Book Antiqua"/>
        </w:rPr>
      </w:pPr>
    </w:p>
    <w:p w14:paraId="3127F924" w14:textId="77777777" w:rsidR="00B7304C" w:rsidRDefault="00F37F09">
      <w:pPr>
        <w:spacing w:after="0" w:line="360" w:lineRule="auto"/>
        <w:jc w:val="both"/>
        <w:rPr>
          <w:rFonts w:ascii="Book Antiqua" w:hAnsi="Book Antiqua"/>
        </w:rPr>
      </w:pPr>
      <w:r>
        <w:rPr>
          <w:rFonts w:ascii="Book Antiqua" w:eastAsia="Book Antiqua" w:hAnsi="Book Antiqua" w:cs="Book Antiqua"/>
          <w:b/>
          <w:bCs/>
          <w:color w:val="000000"/>
        </w:rPr>
        <w:t xml:space="preserve">Corresponding author: </w:t>
      </w:r>
      <w:bookmarkStart w:id="3" w:name="_Hlk77356791"/>
      <w:r>
        <w:rPr>
          <w:rFonts w:ascii="Book Antiqua" w:eastAsia="Book Antiqua" w:hAnsi="Book Antiqua" w:cs="Book Antiqua"/>
          <w:b/>
          <w:bCs/>
          <w:color w:val="000000"/>
        </w:rPr>
        <w:t xml:space="preserve">Ping-Ping Xiao, MD, Associate Chief Physician, </w:t>
      </w:r>
      <w:r>
        <w:rPr>
          <w:rFonts w:ascii="Book Antiqua" w:eastAsia="Book Antiqua" w:hAnsi="Book Antiqua" w:cs="Book Antiqua"/>
          <w:color w:val="000000"/>
        </w:rPr>
        <w:t xml:space="preserve">Department of Hematology and Rheumatology, The Second Affiliated Hospital of Xiamen Medical </w:t>
      </w:r>
      <w:r>
        <w:rPr>
          <w:rFonts w:ascii="Book Antiqua" w:eastAsia="Book Antiqua" w:hAnsi="Book Antiqua" w:cs="Book Antiqua"/>
          <w:color w:val="000000"/>
        </w:rPr>
        <w:lastRenderedPageBreak/>
        <w:t>College, No. 566 Shengguang R</w:t>
      </w:r>
      <w:r>
        <w:rPr>
          <w:rFonts w:ascii="Book Antiqua" w:eastAsiaTheme="minorEastAsia" w:hAnsi="Book Antiqua" w:cs="Book Antiqua" w:hint="eastAsia"/>
          <w:color w:val="000000"/>
          <w:lang w:eastAsia="zh-CN"/>
        </w:rPr>
        <w:t>oa</w:t>
      </w:r>
      <w:r>
        <w:rPr>
          <w:rFonts w:ascii="Book Antiqua" w:eastAsia="Book Antiqua" w:hAnsi="Book Antiqua" w:cs="Book Antiqua"/>
          <w:color w:val="000000"/>
        </w:rPr>
        <w:t xml:space="preserve">d, Jimei District, </w:t>
      </w:r>
      <w:r>
        <w:rPr>
          <w:rFonts w:ascii="Book Antiqua" w:eastAsia="宋体" w:hAnsi="Book Antiqua" w:cs="Book Antiqua"/>
          <w:color w:val="000000"/>
          <w:lang w:eastAsia="zh-CN"/>
        </w:rPr>
        <w:t>X</w:t>
      </w:r>
      <w:r>
        <w:rPr>
          <w:rFonts w:ascii="Book Antiqua" w:eastAsia="Book Antiqua" w:hAnsi="Book Antiqua" w:cs="Book Antiqua"/>
          <w:color w:val="000000"/>
        </w:rPr>
        <w:t xml:space="preserve">iamen 361021, </w:t>
      </w:r>
      <w:r>
        <w:rPr>
          <w:rFonts w:ascii="Book Antiqua" w:eastAsiaTheme="minorEastAsia" w:hAnsi="Book Antiqua" w:cs="Book Antiqua" w:hint="eastAsia"/>
          <w:color w:val="000000"/>
          <w:lang w:eastAsia="zh-CN"/>
        </w:rPr>
        <w:t xml:space="preserve">Fujian Province, </w:t>
      </w:r>
      <w:r>
        <w:rPr>
          <w:rFonts w:ascii="Book Antiqua" w:eastAsia="Book Antiqua" w:hAnsi="Book Antiqua" w:cs="Book Antiqua"/>
          <w:color w:val="000000"/>
        </w:rPr>
        <w:t xml:space="preserve">China. </w:t>
      </w:r>
      <w:r>
        <w:rPr>
          <w:rFonts w:ascii="Book Antiqua" w:eastAsia="Book Antiqua" w:hAnsi="Book Antiqua" w:cs="Book Antiqua"/>
        </w:rPr>
        <w:t>xiaopp0026@163.com</w:t>
      </w:r>
      <w:r>
        <w:rPr>
          <w:rFonts w:ascii="Book Antiqua" w:eastAsia="Book Antiqua" w:hAnsi="Book Antiqua" w:cs="Book Antiqua"/>
          <w:color w:val="000000"/>
        </w:rPr>
        <w:t xml:space="preserve"> </w:t>
      </w:r>
    </w:p>
    <w:bookmarkEnd w:id="3"/>
    <w:p w14:paraId="658DA29B" w14:textId="77777777" w:rsidR="00B7304C" w:rsidRDefault="00B7304C">
      <w:pPr>
        <w:spacing w:after="0" w:line="360" w:lineRule="auto"/>
        <w:jc w:val="both"/>
        <w:rPr>
          <w:rFonts w:ascii="Book Antiqua" w:hAnsi="Book Antiqua"/>
        </w:rPr>
      </w:pPr>
    </w:p>
    <w:p w14:paraId="05A40DEC" w14:textId="77777777" w:rsidR="00B7304C" w:rsidRDefault="00F37F09">
      <w:pPr>
        <w:spacing w:after="0"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23, 2021</w:t>
      </w:r>
    </w:p>
    <w:p w14:paraId="01B6C2A6" w14:textId="77777777" w:rsidR="00B7304C" w:rsidRDefault="00F37F09">
      <w:pPr>
        <w:spacing w:after="0"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hAnsi="Book Antiqua"/>
        </w:rPr>
        <w:t>June 28, 2021</w:t>
      </w:r>
    </w:p>
    <w:p w14:paraId="5B55F859" w14:textId="77777777" w:rsidR="00B7304C" w:rsidRDefault="00F37F09">
      <w:pPr>
        <w:spacing w:after="0" w:line="360" w:lineRule="auto"/>
        <w:jc w:val="both"/>
        <w:rPr>
          <w:rFonts w:ascii="Book Antiqua" w:hAnsi="Book Antiqua"/>
        </w:rPr>
      </w:pPr>
      <w:r>
        <w:rPr>
          <w:rFonts w:ascii="Book Antiqua" w:eastAsia="Book Antiqua" w:hAnsi="Book Antiqua" w:cs="Book Antiqua"/>
          <w:b/>
          <w:bCs/>
          <w:color w:val="000000"/>
        </w:rPr>
        <w:t xml:space="preserve">Accepted: </w:t>
      </w:r>
      <w:bookmarkStart w:id="4" w:name="OLE_LINK15"/>
      <w:bookmarkStart w:id="5" w:name="OLE_LINK48"/>
      <w:bookmarkStart w:id="6" w:name="OLE_LINK33"/>
      <w:r>
        <w:rPr>
          <w:rFonts w:ascii="Book Antiqua" w:eastAsia="宋体" w:hAnsi="Book Antiqua"/>
          <w:color w:val="000000" w:themeColor="text1"/>
        </w:rPr>
        <w:t>J</w:t>
      </w:r>
      <w:r>
        <w:rPr>
          <w:rFonts w:ascii="Book Antiqua" w:eastAsia="宋体" w:hAnsi="Book Antiqua" w:hint="eastAsia"/>
          <w:color w:val="000000" w:themeColor="text1"/>
        </w:rPr>
        <w:t>u</w:t>
      </w:r>
      <w:r>
        <w:rPr>
          <w:rFonts w:ascii="Book Antiqua" w:eastAsia="宋体" w:hAnsi="Book Antiqua"/>
          <w:color w:val="000000" w:themeColor="text1"/>
        </w:rPr>
        <w:t>ly 28, 2021</w:t>
      </w:r>
      <w:bookmarkEnd w:id="4"/>
      <w:bookmarkEnd w:id="5"/>
      <w:bookmarkEnd w:id="6"/>
    </w:p>
    <w:p w14:paraId="0C256852" w14:textId="29F4EE80" w:rsidR="00B7304C" w:rsidRPr="00EA7D54" w:rsidRDefault="00F37F09">
      <w:pPr>
        <w:spacing w:after="0" w:line="360" w:lineRule="auto"/>
        <w:jc w:val="both"/>
        <w:rPr>
          <w:rFonts w:ascii="Book Antiqua" w:hAnsi="Book Antiqua"/>
        </w:rPr>
      </w:pPr>
      <w:r>
        <w:rPr>
          <w:rFonts w:ascii="Book Antiqua" w:eastAsia="Book Antiqua" w:hAnsi="Book Antiqua" w:cs="Book Antiqua"/>
          <w:b/>
          <w:bCs/>
          <w:color w:val="000000"/>
        </w:rPr>
        <w:t xml:space="preserve">Published online: </w:t>
      </w:r>
      <w:r w:rsidR="00EA7D54" w:rsidRPr="00EA7D54">
        <w:rPr>
          <w:rFonts w:ascii="Book Antiqua" w:eastAsia="Book Antiqua" w:hAnsi="Book Antiqua" w:cs="Book Antiqua"/>
          <w:color w:val="000000"/>
        </w:rPr>
        <w:t>September 16, 2021</w:t>
      </w:r>
    </w:p>
    <w:p w14:paraId="121FD12E" w14:textId="77777777" w:rsidR="00B7304C" w:rsidRDefault="00B7304C">
      <w:pPr>
        <w:spacing w:after="0" w:line="360" w:lineRule="auto"/>
        <w:contextualSpacing/>
        <w:jc w:val="both"/>
        <w:rPr>
          <w:rFonts w:ascii="Book Antiqua" w:hAnsi="Book Antiqua"/>
        </w:rPr>
        <w:sectPr w:rsidR="00B7304C">
          <w:footerReference w:type="default" r:id="rId7"/>
          <w:pgSz w:w="12240" w:h="15840"/>
          <w:pgMar w:top="1440" w:right="1440" w:bottom="1440" w:left="1440" w:header="720" w:footer="720" w:gutter="0"/>
          <w:cols w:space="720"/>
          <w:docGrid w:linePitch="360"/>
        </w:sectPr>
      </w:pPr>
    </w:p>
    <w:p w14:paraId="69A89ECF"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color w:val="000000"/>
        </w:rPr>
        <w:lastRenderedPageBreak/>
        <w:t>Abstract</w:t>
      </w:r>
    </w:p>
    <w:p w14:paraId="04E167E2"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BACKGROUND</w:t>
      </w:r>
    </w:p>
    <w:p w14:paraId="565B062B"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T-cell large granular lymphocytic leukemia (T-LGLL) is a rare type of aplastic anemia with diverse clinical manifestations. Concomitant diseases are often present at the first manifestation. We describe the treatment of a patient with</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CD57-negative γδT-LGLL with pure red cell aplasia (PRCA).</w:t>
      </w:r>
    </w:p>
    <w:p w14:paraId="7D087AE1" w14:textId="77777777" w:rsidR="00B7304C" w:rsidRDefault="00B7304C">
      <w:pPr>
        <w:spacing w:after="0" w:line="360" w:lineRule="auto"/>
        <w:contextualSpacing/>
        <w:jc w:val="both"/>
        <w:rPr>
          <w:rFonts w:ascii="Book Antiqua" w:hAnsi="Book Antiqua"/>
        </w:rPr>
      </w:pPr>
    </w:p>
    <w:p w14:paraId="495F1315"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CASE SUMMARY</w:t>
      </w:r>
    </w:p>
    <w:p w14:paraId="5F6BE485" w14:textId="77777777" w:rsidR="00B7304C" w:rsidRDefault="00F37F09">
      <w:pPr>
        <w:spacing w:after="0" w:line="360" w:lineRule="auto"/>
        <w:contextualSpacing/>
        <w:jc w:val="both"/>
        <w:rPr>
          <w:rFonts w:ascii="Book Antiqua" w:eastAsia="Book Antiqua" w:hAnsi="Book Antiqua" w:cs="Book Antiqua"/>
          <w:color w:val="000000"/>
        </w:rPr>
      </w:pPr>
      <w:r>
        <w:rPr>
          <w:rFonts w:ascii="Book Antiqua" w:eastAsia="Book Antiqua" w:hAnsi="Book Antiqua" w:cs="Book Antiqua"/>
          <w:color w:val="000000"/>
        </w:rPr>
        <w:t>A 34-year-old woman with a 20-year history of anemia visited our hospital owing to severe dizziness and was admitted. Her condition was diagnosed as CD57-negative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γδT-LGLL with PRCA through bone marrow cytology, bone marrow pathology, bone marrow flow cytometry, bone marrow multiplex polymerase chain reaction combined with fluorescent fragment analysis, and other tests. Treatment with prednisone, methotrexate,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 subcutaneous erythropoietin did not significantly change her hemoglobin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level. After treatment with oral cyclophosphamide for 3 mo, her hemoglobin level increased to approximately 100 g/L. After 5 mo of treatment, the patient could perform activities of daily living independently.</w:t>
      </w:r>
    </w:p>
    <w:p w14:paraId="492A9EA1" w14:textId="77777777" w:rsidR="00B7304C" w:rsidRDefault="00B7304C">
      <w:pPr>
        <w:spacing w:after="0" w:line="360" w:lineRule="auto"/>
        <w:contextualSpacing/>
        <w:jc w:val="both"/>
        <w:rPr>
          <w:rFonts w:ascii="Book Antiqua" w:hAnsi="Book Antiqua"/>
        </w:rPr>
      </w:pPr>
    </w:p>
    <w:p w14:paraId="031457F0"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CONCLUSION</w:t>
      </w:r>
    </w:p>
    <w:p w14:paraId="3E7E56AC" w14:textId="77777777" w:rsidR="00B7304C" w:rsidRDefault="00F37F09">
      <w:pPr>
        <w:spacing w:after="0" w:line="360" w:lineRule="auto"/>
        <w:contextualSpacing/>
        <w:jc w:val="both"/>
        <w:rPr>
          <w:rFonts w:ascii="Book Antiqua" w:eastAsia="宋体" w:hAnsi="Book Antiqua"/>
          <w:lang w:eastAsia="zh-CN"/>
        </w:rPr>
      </w:pPr>
      <w:r>
        <w:rPr>
          <w:rFonts w:ascii="Book Antiqua" w:eastAsia="Book Antiqua" w:hAnsi="Book Antiqua" w:cs="Book Antiqua"/>
          <w:color w:val="000000"/>
        </w:rPr>
        <w:t>The treatment of CD57-negative γδT-LGLL with PRCA</w:t>
      </w:r>
      <w:r>
        <w:rPr>
          <w:rFonts w:ascii="Book Antiqua" w:eastAsia="宋体" w:hAnsi="Book Antiqua" w:cs="Book Antiqua"/>
          <w:color w:val="000000"/>
          <w:lang w:eastAsia="zh-CN"/>
        </w:rPr>
        <w:t xml:space="preserve"> </w:t>
      </w:r>
      <w:r>
        <w:rPr>
          <w:rFonts w:ascii="Book Antiqua" w:eastAsia="Book Antiqua" w:hAnsi="Book Antiqua" w:cs="Book Antiqua"/>
          <w:color w:val="000000"/>
        </w:rPr>
        <w:t>with cyclophosphamide helps to improve prognosis</w:t>
      </w:r>
      <w:r>
        <w:rPr>
          <w:rFonts w:ascii="Book Antiqua" w:eastAsia="宋体" w:hAnsi="Book Antiqua" w:cs="Book Antiqua"/>
          <w:color w:val="000000"/>
          <w:lang w:eastAsia="zh-CN"/>
        </w:rPr>
        <w:t>.</w:t>
      </w:r>
    </w:p>
    <w:p w14:paraId="0FCFDF14" w14:textId="77777777" w:rsidR="00B7304C" w:rsidRDefault="00B7304C">
      <w:pPr>
        <w:spacing w:after="0" w:line="360" w:lineRule="auto"/>
        <w:contextualSpacing/>
        <w:jc w:val="both"/>
        <w:rPr>
          <w:rFonts w:ascii="Book Antiqua" w:hAnsi="Book Antiqua"/>
        </w:rPr>
      </w:pPr>
    </w:p>
    <w:p w14:paraId="34ADBD89" w14:textId="77777777" w:rsidR="00B7304C" w:rsidRDefault="00F37F09">
      <w:pPr>
        <w:spacing w:after="0" w:line="360" w:lineRule="auto"/>
        <w:contextualSpacing/>
        <w:jc w:val="both"/>
        <w:rPr>
          <w:rFonts w:ascii="Book Antiqua" w:eastAsia="Book Antiqua" w:hAnsi="Book Antiqua" w:cs="Book Antiqua"/>
          <w:color w:val="000000"/>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Large granular lymphocytic leukemia; Pure red cell aplasia; Aplastic anemia; γδ T-cell; Cyclophosphamide</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Case report</w:t>
      </w:r>
    </w:p>
    <w:p w14:paraId="5285E51C" w14:textId="77777777" w:rsidR="00AC755D" w:rsidRDefault="00AC755D" w:rsidP="00AC755D">
      <w:pPr>
        <w:spacing w:line="360" w:lineRule="auto"/>
        <w:jc w:val="both"/>
        <w:rPr>
          <w:lang w:eastAsia="zh-CN"/>
        </w:rPr>
      </w:pPr>
    </w:p>
    <w:p w14:paraId="75B34B05" w14:textId="77777777" w:rsidR="00AC755D" w:rsidRPr="00026CB8" w:rsidRDefault="00AC755D" w:rsidP="00AC755D">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A51F593" w14:textId="77777777" w:rsidR="00AC755D" w:rsidRPr="009C101B" w:rsidRDefault="00AC755D" w:rsidP="00AC755D">
      <w:pPr>
        <w:spacing w:line="360" w:lineRule="auto"/>
        <w:jc w:val="both"/>
        <w:rPr>
          <w:lang w:eastAsia="zh-CN"/>
        </w:rPr>
      </w:pPr>
    </w:p>
    <w:p w14:paraId="3BAF0F3B" w14:textId="1D7D5E5A" w:rsidR="006827B1" w:rsidRDefault="00AC755D" w:rsidP="00AC755D">
      <w:pPr>
        <w:spacing w:after="0" w:line="360" w:lineRule="auto"/>
        <w:contextualSpacing/>
        <w:jc w:val="both"/>
        <w:rPr>
          <w:rFonts w:ascii="Book Antiqua" w:eastAsia="Book Antiqua" w:hAnsi="Book Antiqua" w:cs="Book Antiqua"/>
          <w:color w:val="000000"/>
        </w:rPr>
      </w:pPr>
      <w:r w:rsidRPr="00AE1DD1">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r w:rsidR="00F37F09">
        <w:rPr>
          <w:rFonts w:ascii="Book Antiqua" w:eastAsia="Book Antiqua" w:hAnsi="Book Antiqua" w:cs="Book Antiqua"/>
          <w:color w:val="000000"/>
        </w:rPr>
        <w:t xml:space="preserve">Xiao PP, Chen XY, Dong ZG, Huang JM, Wang QQ, Chen YQ, Zhang Y. Treatment for CD57-negative γδ T-cell large granular lymphocytic leukemia with pure red cell aplasia: A case report. </w:t>
      </w:r>
      <w:r w:rsidR="00F37F09">
        <w:rPr>
          <w:rFonts w:ascii="Book Antiqua" w:eastAsia="Book Antiqua" w:hAnsi="Book Antiqua" w:cs="Book Antiqua"/>
          <w:i/>
          <w:iCs/>
          <w:color w:val="000000"/>
        </w:rPr>
        <w:t>World J Clin Cases</w:t>
      </w:r>
      <w:r w:rsidR="00F37F09">
        <w:rPr>
          <w:rFonts w:ascii="Book Antiqua" w:eastAsia="Book Antiqua" w:hAnsi="Book Antiqua" w:cs="Book Antiqua"/>
          <w:color w:val="000000"/>
        </w:rPr>
        <w:t xml:space="preserve"> 2021; </w:t>
      </w:r>
      <w:r w:rsidR="00505F0F" w:rsidRPr="00505F0F">
        <w:rPr>
          <w:rFonts w:ascii="Book Antiqua" w:eastAsia="Book Antiqua" w:hAnsi="Book Antiqua" w:cs="Book Antiqua"/>
          <w:color w:val="000000"/>
        </w:rPr>
        <w:t xml:space="preserve">9(26): </w:t>
      </w:r>
      <w:r w:rsidR="006827B1" w:rsidRPr="006827B1">
        <w:rPr>
          <w:rFonts w:ascii="Book Antiqua" w:eastAsia="Book Antiqua" w:hAnsi="Book Antiqua" w:cs="Book Antiqua"/>
          <w:color w:val="000000"/>
        </w:rPr>
        <w:t>7818-7824</w:t>
      </w:r>
      <w:r w:rsidR="00505F0F" w:rsidRPr="00505F0F">
        <w:rPr>
          <w:rFonts w:ascii="Book Antiqua" w:eastAsia="Book Antiqua" w:hAnsi="Book Antiqua" w:cs="Book Antiqua"/>
          <w:color w:val="000000"/>
        </w:rPr>
        <w:t xml:space="preserve"> </w:t>
      </w:r>
    </w:p>
    <w:p w14:paraId="743A94D1" w14:textId="7542E375" w:rsidR="006827B1" w:rsidRDefault="00505F0F" w:rsidP="00AC755D">
      <w:pPr>
        <w:spacing w:after="0" w:line="360" w:lineRule="auto"/>
        <w:contextualSpacing/>
        <w:jc w:val="both"/>
        <w:rPr>
          <w:rFonts w:ascii="Book Antiqua" w:eastAsia="Book Antiqua" w:hAnsi="Book Antiqua" w:cs="Book Antiqua"/>
          <w:color w:val="000000"/>
        </w:rPr>
      </w:pPr>
      <w:r w:rsidRPr="00505F0F">
        <w:rPr>
          <w:rFonts w:ascii="Book Antiqua" w:eastAsia="Book Antiqua" w:hAnsi="Book Antiqua" w:cs="Book Antiqua"/>
          <w:color w:val="000000"/>
        </w:rPr>
        <w:t>URL: https://www.wjgnet.com/2307-8960/full/v9/i26/</w:t>
      </w:r>
      <w:r w:rsidR="006827B1" w:rsidRPr="006827B1">
        <w:rPr>
          <w:rFonts w:ascii="Book Antiqua" w:eastAsia="Book Antiqua" w:hAnsi="Book Antiqua" w:cs="Book Antiqua"/>
          <w:color w:val="000000"/>
        </w:rPr>
        <w:t>7818</w:t>
      </w:r>
      <w:r w:rsidRPr="00505F0F">
        <w:rPr>
          <w:rFonts w:ascii="Book Antiqua" w:eastAsia="Book Antiqua" w:hAnsi="Book Antiqua" w:cs="Book Antiqua"/>
          <w:color w:val="000000"/>
        </w:rPr>
        <w:t xml:space="preserve">.htm  </w:t>
      </w:r>
    </w:p>
    <w:p w14:paraId="0CC289B0" w14:textId="0C99CAF4" w:rsidR="00B7304C" w:rsidRPr="00784020" w:rsidRDefault="00505F0F" w:rsidP="00AC755D">
      <w:pPr>
        <w:spacing w:after="0" w:line="360" w:lineRule="auto"/>
        <w:contextualSpacing/>
        <w:jc w:val="both"/>
        <w:rPr>
          <w:rFonts w:ascii="Book Antiqua" w:eastAsia="Book Antiqua" w:hAnsi="Book Antiqua" w:cs="Book Antiqua"/>
          <w:color w:val="000000"/>
        </w:rPr>
      </w:pPr>
      <w:r w:rsidRPr="00505F0F">
        <w:rPr>
          <w:rFonts w:ascii="Book Antiqua" w:eastAsia="Book Antiqua" w:hAnsi="Book Antiqua" w:cs="Book Antiqua"/>
          <w:color w:val="000000"/>
        </w:rPr>
        <w:t>DOI: https://dx.doi.org/10.12998/wjcc.v9.i26.</w:t>
      </w:r>
      <w:r w:rsidR="006827B1" w:rsidRPr="006827B1">
        <w:rPr>
          <w:rFonts w:ascii="Book Antiqua" w:eastAsia="Book Antiqua" w:hAnsi="Book Antiqua" w:cs="Book Antiqua"/>
          <w:color w:val="000000"/>
        </w:rPr>
        <w:t>7818</w:t>
      </w:r>
    </w:p>
    <w:p w14:paraId="1E28CD67" w14:textId="77777777" w:rsidR="00B7304C" w:rsidRDefault="00B7304C">
      <w:pPr>
        <w:spacing w:after="0" w:line="360" w:lineRule="auto"/>
        <w:contextualSpacing/>
        <w:jc w:val="both"/>
        <w:rPr>
          <w:rFonts w:ascii="Book Antiqua" w:hAnsi="Book Antiqua"/>
        </w:rPr>
      </w:pPr>
    </w:p>
    <w:p w14:paraId="1E5C9F31"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This case report presents a rare case of γδ T-cell large granular lymphocytic leukemia with pure red cell aplasia. A 34-year-old woman was admitted to our hospital with a 20-year history of anemia. Upon investigation, it was discovered that our patient had an atypical immunophenotype. Cyclophosphamide was added to her treatment, and other drugs, such as prednisone, methotrexate, and erythropoietin, were discontinued. Her hemoglobin level increased to 100 g/L within 3 mo. We believe that our study makes a significant contribution to the literature because we report on a favorable prognosis in our patient.</w:t>
      </w:r>
    </w:p>
    <w:p w14:paraId="6253EC2C" w14:textId="77777777" w:rsidR="00B7304C" w:rsidRDefault="00B7304C">
      <w:pPr>
        <w:tabs>
          <w:tab w:val="left" w:pos="1485"/>
        </w:tabs>
        <w:spacing w:after="0" w:line="360" w:lineRule="auto"/>
        <w:contextualSpacing/>
        <w:jc w:val="both"/>
        <w:rPr>
          <w:rFonts w:ascii="Book Antiqua" w:eastAsiaTheme="minorEastAsia" w:hAnsi="Book Antiqua"/>
          <w:lang w:eastAsia="zh-CN"/>
        </w:rPr>
      </w:pPr>
    </w:p>
    <w:p w14:paraId="489837DD" w14:textId="77777777" w:rsidR="00B7304C" w:rsidRDefault="00F37F09">
      <w:pPr>
        <w:spacing w:after="0" w:line="360" w:lineRule="auto"/>
        <w:contextualSpacing/>
        <w:jc w:val="both"/>
        <w:rPr>
          <w:rFonts w:ascii="Book Antiqua" w:hAnsi="Book Antiqua"/>
          <w:u w:val="single"/>
        </w:rPr>
      </w:pPr>
      <w:r>
        <w:rPr>
          <w:rFonts w:ascii="Book Antiqua" w:eastAsia="Book Antiqua" w:hAnsi="Book Antiqua" w:cs="Book Antiqua"/>
          <w:b/>
          <w:caps/>
          <w:color w:val="000000"/>
        </w:rPr>
        <w:br w:type="page"/>
      </w:r>
      <w:r>
        <w:rPr>
          <w:rFonts w:ascii="Book Antiqua" w:eastAsia="Book Antiqua" w:hAnsi="Book Antiqua" w:cs="Book Antiqua"/>
          <w:b/>
          <w:caps/>
          <w:color w:val="000000"/>
          <w:u w:val="single"/>
        </w:rPr>
        <w:lastRenderedPageBreak/>
        <w:t>INTRODUCTION</w:t>
      </w:r>
    </w:p>
    <w:p w14:paraId="12A3F7FF"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T-cell large granular lymphocytic leukemia (T-LGLL) is classified into two types, αβ-LGLL and γδ-LGLL,</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based on the T-cell receptors (TCR). Of these, αβ-LGLL is common and γδT-LGLL is rare, accounting for approximately 5% of all T-LGLL cases</w:t>
      </w:r>
      <w:r>
        <w:rPr>
          <w:rFonts w:ascii="Book Antiqua" w:eastAsia="Book Antiqua" w:hAnsi="Book Antiqua" w:cs="Book Antiqua"/>
          <w:color w:val="000000"/>
          <w:vertAlign w:val="superscript"/>
        </w:rPr>
        <w:t>[1]</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Approximately 8%–19% of T-LGLL patients have pure red cell aplasia (PRCA), 25% have thrombocytopenia, and 10%–18% have rheumatoid arthritis</w:t>
      </w:r>
      <w:r>
        <w:rPr>
          <w:rFonts w:ascii="Book Antiqua" w:eastAsia="Book Antiqua" w:hAnsi="Book Antiqua" w:cs="Book Antiqua"/>
          <w:color w:val="000000"/>
          <w:vertAlign w:val="superscript"/>
        </w:rPr>
        <w:t>[2]</w:t>
      </w:r>
      <w:r>
        <w:rPr>
          <w:rFonts w:ascii="Book Antiqua" w:eastAsia="Book Antiqua" w:hAnsi="Book Antiqua" w:cs="Book Antiqua"/>
          <w:color w:val="000000"/>
        </w:rPr>
        <w:t>. The typical immunophenotype of γδT-LGLL is CD57-positive, which mostly results in indolent disease. However, we present a case of CD57-negative γδT-LGLL involving progressive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aggravation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of anemia</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 describe the treatments used.</w:t>
      </w:r>
    </w:p>
    <w:p w14:paraId="376DBBE4" w14:textId="77777777" w:rsidR="00B7304C" w:rsidRDefault="00B7304C">
      <w:pPr>
        <w:spacing w:after="0" w:line="360" w:lineRule="auto"/>
        <w:contextualSpacing/>
        <w:jc w:val="both"/>
        <w:rPr>
          <w:rFonts w:ascii="Book Antiqua" w:hAnsi="Book Antiqua"/>
        </w:rPr>
      </w:pPr>
    </w:p>
    <w:p w14:paraId="07CDF3E5" w14:textId="77777777" w:rsidR="00B7304C" w:rsidRDefault="00F37F09">
      <w:pPr>
        <w:spacing w:after="0" w:line="360" w:lineRule="auto"/>
        <w:contextualSpacing/>
        <w:jc w:val="both"/>
        <w:rPr>
          <w:rFonts w:ascii="Book Antiqua" w:hAnsi="Book Antiqua"/>
          <w:u w:val="single"/>
        </w:rPr>
      </w:pPr>
      <w:r>
        <w:rPr>
          <w:rFonts w:ascii="Book Antiqua" w:eastAsia="Book Antiqua" w:hAnsi="Book Antiqua" w:cs="Book Antiqua"/>
          <w:b/>
          <w:caps/>
          <w:color w:val="000000"/>
          <w:u w:val="single"/>
        </w:rPr>
        <w:t>CASE PRESENTATION</w:t>
      </w:r>
    </w:p>
    <w:p w14:paraId="03125869"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i/>
          <w:color w:val="000000"/>
        </w:rPr>
        <w:t>Chief complaints</w:t>
      </w:r>
    </w:p>
    <w:p w14:paraId="71D65ACE"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A 34-year-old woman with a 20-year history of anemia was admitted to our hospital. She experienced severe dizziness, which led her to visit the hospital.</w:t>
      </w:r>
    </w:p>
    <w:p w14:paraId="4766868D" w14:textId="77777777" w:rsidR="00B7304C" w:rsidRDefault="00B7304C">
      <w:pPr>
        <w:spacing w:after="0" w:line="360" w:lineRule="auto"/>
        <w:contextualSpacing/>
        <w:jc w:val="both"/>
        <w:rPr>
          <w:rFonts w:ascii="Book Antiqua" w:hAnsi="Book Antiqua"/>
        </w:rPr>
      </w:pPr>
    </w:p>
    <w:p w14:paraId="4344A76A"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i/>
          <w:color w:val="000000"/>
        </w:rPr>
        <w:t>History of present illness</w:t>
      </w:r>
    </w:p>
    <w:p w14:paraId="3BD75F55"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 xml:space="preserve">The patient reported that a diagnosis of mild anemia was made 20 years ago; however, no treatment followed the diagnosis. Gradually, the anemia worsened. Two years ago, the patient visited a hospital for bone marrow cytology and received a diagnosis of PRCA. She was treated with oral cyclosporine A (CSA) 125 mg bid for 2 years. Her condition worsened, and approximately every 2 wk, she received an infusion of red blood cells after her diagnosis (until this admission). </w:t>
      </w:r>
    </w:p>
    <w:p w14:paraId="507100D7" w14:textId="77777777" w:rsidR="00B7304C" w:rsidRDefault="00B7304C">
      <w:pPr>
        <w:spacing w:after="0" w:line="360" w:lineRule="auto"/>
        <w:contextualSpacing/>
        <w:jc w:val="both"/>
        <w:rPr>
          <w:rFonts w:ascii="Book Antiqua" w:hAnsi="Book Antiqua"/>
        </w:rPr>
      </w:pPr>
    </w:p>
    <w:p w14:paraId="1A3A2474"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i/>
          <w:color w:val="000000"/>
        </w:rPr>
        <w:t>History of past illness</w:t>
      </w:r>
    </w:p>
    <w:p w14:paraId="439542A4"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The patient had no other remarkable medical history.</w:t>
      </w:r>
    </w:p>
    <w:p w14:paraId="502A78E0" w14:textId="77777777" w:rsidR="00B7304C" w:rsidRDefault="00B7304C">
      <w:pPr>
        <w:spacing w:after="0" w:line="360" w:lineRule="auto"/>
        <w:contextualSpacing/>
        <w:jc w:val="both"/>
        <w:rPr>
          <w:rFonts w:ascii="Book Antiqua" w:hAnsi="Book Antiqua"/>
        </w:rPr>
      </w:pPr>
    </w:p>
    <w:p w14:paraId="086C076A"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i/>
          <w:color w:val="000000"/>
        </w:rPr>
        <w:t>Personal and family history</w:t>
      </w:r>
    </w:p>
    <w:p w14:paraId="33651F69"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The patient reported an unremarkable personal and family history.</w:t>
      </w:r>
    </w:p>
    <w:p w14:paraId="4972D7EF" w14:textId="77777777" w:rsidR="00B7304C" w:rsidRDefault="00B7304C">
      <w:pPr>
        <w:spacing w:after="0" w:line="360" w:lineRule="auto"/>
        <w:contextualSpacing/>
        <w:jc w:val="both"/>
        <w:rPr>
          <w:rFonts w:ascii="Book Antiqua" w:hAnsi="Book Antiqua"/>
        </w:rPr>
      </w:pPr>
    </w:p>
    <w:p w14:paraId="55D2CF07"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i/>
          <w:color w:val="000000"/>
        </w:rPr>
        <w:lastRenderedPageBreak/>
        <w:t>Physical examination</w:t>
      </w:r>
    </w:p>
    <w:p w14:paraId="135D2C44"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The patient presented with the features of severe anemia, including pale skin and lips. There was no palpable swelling of superficial lymph nodes and no tenderness in the sternum. The body temperature was 36.7 °C; heart rate, 92 beats/min; blood pressure, 110/76</w:t>
      </w:r>
      <w:r>
        <w:rPr>
          <w:rFonts w:eastAsia="Book Antiqua"/>
          <w:color w:val="000000"/>
        </w:rPr>
        <w:t> </w:t>
      </w:r>
      <w:r>
        <w:rPr>
          <w:rFonts w:ascii="Book Antiqua" w:eastAsia="Book Antiqua" w:hAnsi="Book Antiqua" w:cs="Book Antiqua"/>
          <w:color w:val="000000"/>
        </w:rPr>
        <w:t>mmHg; respiratory rate, 20 breaths/min, and oxygen saturation, 98%.</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The lung sounds were normal, and the spleen and liver were not enlarged. </w:t>
      </w:r>
    </w:p>
    <w:p w14:paraId="7877F5AE" w14:textId="77777777" w:rsidR="00B7304C" w:rsidRDefault="00B7304C">
      <w:pPr>
        <w:spacing w:after="0" w:line="360" w:lineRule="auto"/>
        <w:contextualSpacing/>
        <w:jc w:val="both"/>
        <w:rPr>
          <w:rFonts w:ascii="Book Antiqua" w:hAnsi="Book Antiqua"/>
        </w:rPr>
      </w:pPr>
    </w:p>
    <w:p w14:paraId="2D191145"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i/>
          <w:color w:val="000000"/>
        </w:rPr>
        <w:t>Laboratory examinations</w:t>
      </w:r>
    </w:p>
    <w:p w14:paraId="35B83DB0"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 xml:space="preserve">Complete blood count showed the following results: </w:t>
      </w:r>
      <w:r>
        <w:rPr>
          <w:rFonts w:ascii="Book Antiqua" w:eastAsiaTheme="minorEastAsia" w:hAnsi="Book Antiqua" w:cs="Book Antiqua" w:hint="eastAsia"/>
          <w:color w:val="000000"/>
          <w:lang w:eastAsia="zh-CN"/>
        </w:rPr>
        <w:t>W</w:t>
      </w:r>
      <w:r>
        <w:rPr>
          <w:rFonts w:ascii="Book Antiqua" w:eastAsia="Book Antiqua" w:hAnsi="Book Antiqua" w:cs="Book Antiqua"/>
          <w:color w:val="000000"/>
        </w:rPr>
        <w:t>hite blood cell</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count, 2.56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neutrophil level, 0.87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red blood cell count, 1.16 × 10</w:t>
      </w:r>
      <w:r>
        <w:rPr>
          <w:rFonts w:ascii="Book Antiqua" w:eastAsia="Book Antiqua" w:hAnsi="Book Antiqua" w:cs="Book Antiqua"/>
          <w:color w:val="000000"/>
          <w:vertAlign w:val="superscript"/>
        </w:rPr>
        <w:t>12</w:t>
      </w:r>
      <w:r>
        <w:rPr>
          <w:rFonts w:ascii="Book Antiqua" w:eastAsia="Book Antiqua" w:hAnsi="Book Antiqua" w:cs="Book Antiqua"/>
          <w:color w:val="000000"/>
        </w:rPr>
        <w:t>/L; hemoglobin (Hb) level, 35 g/L; platelet count, 241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and reticulocyte count, 0.98%. Biochemical test results were normal, and direct and indirect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antiglobulin test results were negative. Further, the following findings were noted: </w:t>
      </w:r>
      <w:r>
        <w:rPr>
          <w:rFonts w:ascii="Book Antiqua" w:eastAsiaTheme="minorEastAsia" w:hAnsi="Book Antiqua" w:cs="Book Antiqua" w:hint="eastAsia"/>
          <w:color w:val="000000"/>
          <w:lang w:eastAsia="zh-CN"/>
        </w:rPr>
        <w:t>A</w:t>
      </w:r>
      <w:r>
        <w:rPr>
          <w:rFonts w:ascii="Book Antiqua" w:eastAsia="Book Antiqua" w:hAnsi="Book Antiqua" w:cs="Book Antiqua"/>
          <w:color w:val="000000"/>
        </w:rPr>
        <w:t>ntinuclear antibody/extractable nuclear antigen antibody, negative; antineutrophil cytoplasmic antibody, negative; anticentromere antibody, negative; humoral immunity, normal; rheumatoid factor, normal; cyclic citrullinated peptide antibody, negative; human leukocyte antigen-B27, negative; erythrocyte sedimentation rate, 21.0 mm/h; ferritin, &gt;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1500 ng/mL; Vit B12, &gt;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1117.75 pmol/L; C-reactive protein, normal range; Coombs test, negative; flow cytometry for paroxysmal nocturnal hemoglobinuria, negative; thyroid function, normal, and anti-human T-cell lymphotropic virus antibody, negative.</w:t>
      </w:r>
    </w:p>
    <w:p w14:paraId="7823568F" w14:textId="77777777" w:rsidR="00B7304C" w:rsidRDefault="00F37F09">
      <w:pPr>
        <w:spacing w:after="0" w:line="360" w:lineRule="auto"/>
        <w:ind w:firstLineChars="200" w:firstLine="480"/>
        <w:contextualSpacing/>
        <w:jc w:val="both"/>
        <w:rPr>
          <w:rFonts w:ascii="Book Antiqua" w:hAnsi="Book Antiqua"/>
        </w:rPr>
      </w:pPr>
      <w:r>
        <w:rPr>
          <w:rFonts w:ascii="Book Antiqua" w:eastAsia="Book Antiqua" w:hAnsi="Book Antiqua" w:cs="Book Antiqua"/>
          <w:color w:val="000000"/>
        </w:rPr>
        <w:t xml:space="preserve">Bone marrow cytology revealed PRCA as well as large granular lymphocytes (Figure 1). Bone marrow pathology revealed the presence of few erythroid cells and a relatively higher T lymphocyte count (Figure 2). A sinus rhythm was noted on performing electrocardiography. The result of chromosome karyotype examination was normal. Erythroid progenitor cell culture resulted in 60/105 bone marrow-derived mononuclear cells. Bone marrow flow cytometry revealed the presence of 13.22% of γδ T lymphocytes with the immunophenotype CD3++, CD8+, TCRγδ+, CD2 part+, CD5 part+, CD4−, CD57−, CD34−, CD33−, CD117−, CD56−, and TCRαβ− (Figure 3). Bone marrow multiplex polymerase chain reaction combined with fluorescent fragment analysis found </w:t>
      </w:r>
      <w:r>
        <w:rPr>
          <w:rFonts w:ascii="Book Antiqua" w:eastAsia="Book Antiqua" w:hAnsi="Book Antiqua" w:cs="Book Antiqua"/>
          <w:color w:val="000000"/>
        </w:rPr>
        <w:lastRenderedPageBreak/>
        <w:t>a Dβ-Jβ rearrangement in TCRβ (299 bp) at 194 bp and a Vδ-Jδ rearrangement in TCRδ at 221 bp</w:t>
      </w:r>
      <w:r>
        <w:rPr>
          <w:rFonts w:ascii="Book Antiqua" w:eastAsia="宋体" w:hAnsi="Book Antiqua" w:cs="Book Antiqua"/>
          <w:color w:val="000000"/>
          <w:lang w:eastAsia="zh-CN"/>
        </w:rPr>
        <w:t>.</w:t>
      </w:r>
      <w:r>
        <w:rPr>
          <w:rFonts w:ascii="Book Antiqua" w:eastAsia="Book Antiqua" w:hAnsi="Book Antiqua" w:cs="Book Antiqua"/>
          <w:color w:val="000000"/>
        </w:rPr>
        <w:t xml:space="preserve"> The monoclonal rearrangement was detected in the Vγlf interval, Vγ10-Jγ interval (238 bp), and Vγ9 and Vγ11-Jγ intervals in TCRγ at 174 bp (Figure 4).</w:t>
      </w:r>
    </w:p>
    <w:p w14:paraId="7EBCB30B" w14:textId="77777777" w:rsidR="00B7304C" w:rsidRDefault="00B7304C">
      <w:pPr>
        <w:spacing w:after="0" w:line="360" w:lineRule="auto"/>
        <w:contextualSpacing/>
        <w:jc w:val="both"/>
        <w:rPr>
          <w:rFonts w:ascii="Book Antiqua" w:hAnsi="Book Antiqua"/>
        </w:rPr>
      </w:pPr>
    </w:p>
    <w:p w14:paraId="282D9A05"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i/>
          <w:color w:val="000000"/>
        </w:rPr>
        <w:t>Imaging examinations</w:t>
      </w:r>
    </w:p>
    <w:p w14:paraId="787A7061"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 xml:space="preserve">Chest computed tomography showed two notable findings. First, the patient had decreased heart density, which is in line with the diagnosis of anemia. Second, the density of the liver parenchyma was high, which might signify splenomegaly. Using hepatobiliary and spleen color Doppler ultrasound, splenomegaly was confirmed. The patient showed a normal sinus rhythm on echocardiography. </w:t>
      </w:r>
    </w:p>
    <w:p w14:paraId="0C362CC8" w14:textId="77777777" w:rsidR="00B7304C" w:rsidRDefault="00B7304C">
      <w:pPr>
        <w:spacing w:after="0" w:line="360" w:lineRule="auto"/>
        <w:contextualSpacing/>
        <w:jc w:val="both"/>
        <w:rPr>
          <w:rFonts w:ascii="Book Antiqua" w:hAnsi="Book Antiqua"/>
        </w:rPr>
      </w:pPr>
    </w:p>
    <w:p w14:paraId="1560ABBB" w14:textId="77777777" w:rsidR="00B7304C" w:rsidRDefault="00F37F09">
      <w:pPr>
        <w:spacing w:after="0" w:line="360" w:lineRule="auto"/>
        <w:contextualSpacing/>
        <w:jc w:val="both"/>
        <w:rPr>
          <w:rFonts w:ascii="Book Antiqua" w:hAnsi="Book Antiqua"/>
          <w:u w:val="single"/>
        </w:rPr>
      </w:pPr>
      <w:r>
        <w:rPr>
          <w:rFonts w:ascii="Book Antiqua" w:eastAsia="Book Antiqua" w:hAnsi="Book Antiqua" w:cs="Book Antiqua"/>
          <w:b/>
          <w:caps/>
          <w:color w:val="000000"/>
          <w:u w:val="single"/>
        </w:rPr>
        <w:t>FINAL DIAGNOSIS</w:t>
      </w:r>
    </w:p>
    <w:p w14:paraId="38A8EBD1"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This patient’s condition was diagnosed as CD57-negative γδ T-LGLL combined with PRCA.</w:t>
      </w:r>
    </w:p>
    <w:p w14:paraId="436B8452" w14:textId="77777777" w:rsidR="00B7304C" w:rsidRDefault="00B7304C">
      <w:pPr>
        <w:spacing w:after="0" w:line="360" w:lineRule="auto"/>
        <w:contextualSpacing/>
        <w:jc w:val="both"/>
        <w:rPr>
          <w:rFonts w:ascii="Book Antiqua" w:hAnsi="Book Antiqua"/>
        </w:rPr>
      </w:pPr>
    </w:p>
    <w:p w14:paraId="0EC01E00" w14:textId="77777777" w:rsidR="00B7304C" w:rsidRDefault="00F37F09">
      <w:pPr>
        <w:spacing w:after="0" w:line="360" w:lineRule="auto"/>
        <w:contextualSpacing/>
        <w:jc w:val="both"/>
        <w:rPr>
          <w:rFonts w:ascii="Book Antiqua" w:hAnsi="Book Antiqua"/>
          <w:u w:val="single"/>
        </w:rPr>
      </w:pPr>
      <w:r>
        <w:rPr>
          <w:rFonts w:ascii="Book Antiqua" w:eastAsia="Book Antiqua" w:hAnsi="Book Antiqua" w:cs="Book Antiqua"/>
          <w:b/>
          <w:caps/>
          <w:color w:val="000000"/>
          <w:u w:val="single"/>
        </w:rPr>
        <w:t>TREATMENT</w:t>
      </w:r>
    </w:p>
    <w:p w14:paraId="7B4BA22A" w14:textId="77777777" w:rsidR="00B7304C" w:rsidRDefault="00F37F09">
      <w:pPr>
        <w:spacing w:after="0" w:line="360" w:lineRule="auto"/>
        <w:contextualSpacing/>
        <w:jc w:val="both"/>
        <w:rPr>
          <w:rFonts w:ascii="Book Antiqua" w:hAnsi="Book Antiqua"/>
        </w:rPr>
      </w:pPr>
      <w:r>
        <w:rPr>
          <w:rFonts w:ascii="Book Antiqua" w:eastAsia="宋体" w:hAnsi="Book Antiqua" w:cs="Book Antiqua"/>
          <w:color w:val="000000"/>
          <w:lang w:eastAsia="zh-CN"/>
        </w:rPr>
        <w:t>Two</w:t>
      </w:r>
      <w:r>
        <w:rPr>
          <w:rFonts w:ascii="Book Antiqua" w:eastAsia="Book Antiqua" w:hAnsi="Book Antiqua" w:cs="Book Antiqua"/>
          <w:color w:val="000000"/>
        </w:rPr>
        <w:t xml:space="preserve"> units </w:t>
      </w:r>
      <w:r>
        <w:rPr>
          <w:rFonts w:ascii="Book Antiqua" w:eastAsia="宋体" w:hAnsi="Book Antiqua" w:cs="Book Antiqua"/>
          <w:color w:val="000000"/>
          <w:lang w:eastAsia="zh-CN"/>
        </w:rPr>
        <w:t>of r</w:t>
      </w:r>
      <w:r>
        <w:rPr>
          <w:rFonts w:ascii="Book Antiqua" w:eastAsia="Book Antiqua" w:hAnsi="Book Antiqua" w:cs="Book Antiqua"/>
          <w:color w:val="000000"/>
        </w:rPr>
        <w:t>ed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blood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cells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were transfused in </w:t>
      </w:r>
      <w:r>
        <w:rPr>
          <w:rFonts w:ascii="Book Antiqua" w:eastAsia="宋体" w:hAnsi="Book Antiqua" w:cs="Book Antiqua"/>
          <w:color w:val="000000"/>
          <w:lang w:eastAsia="zh-CN"/>
        </w:rPr>
        <w:t>our</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patient</w:t>
      </w:r>
      <w:r>
        <w:rPr>
          <w:rFonts w:ascii="Book Antiqua" w:eastAsia="宋体" w:hAnsi="Book Antiqua" w:cs="Book Antiqua"/>
          <w:color w:val="000000"/>
          <w:lang w:eastAsia="zh-CN"/>
        </w:rPr>
        <w:t xml:space="preserve"> after admission</w:t>
      </w:r>
      <w:r>
        <w:rPr>
          <w:rFonts w:ascii="Book Antiqua" w:eastAsia="Book Antiqua" w:hAnsi="Book Antiqua" w:cs="Book Antiqua"/>
          <w:color w:val="000000"/>
        </w:rPr>
        <w:t>.</w:t>
      </w:r>
      <w:r>
        <w:rPr>
          <w:rFonts w:ascii="Book Antiqua" w:eastAsia="宋体" w:hAnsi="Book Antiqua" w:cs="Book Antiqua"/>
          <w:color w:val="000000"/>
          <w:lang w:eastAsia="zh-CN"/>
        </w:rPr>
        <w:t xml:space="preserve"> Then, t</w:t>
      </w:r>
      <w:r>
        <w:rPr>
          <w:rFonts w:ascii="Book Antiqua" w:eastAsia="Book Antiqua" w:hAnsi="Book Antiqua" w:cs="Book Antiqua"/>
          <w:color w:val="000000"/>
        </w:rPr>
        <w:t>he patient was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administered oral methotrexate (MTX; 15 mg, weekly) and </w:t>
      </w:r>
      <w:r>
        <w:rPr>
          <w:rFonts w:ascii="Book Antiqua" w:eastAsia="宋体" w:hAnsi="Book Antiqua" w:cs="Book Antiqua"/>
          <w:color w:val="000000"/>
          <w:lang w:eastAsia="zh-CN"/>
        </w:rPr>
        <w:t>p</w:t>
      </w:r>
      <w:r>
        <w:rPr>
          <w:rFonts w:ascii="Book Antiqua" w:eastAsia="Book Antiqua" w:hAnsi="Book Antiqua" w:cs="Book Antiqua"/>
          <w:color w:val="000000"/>
        </w:rPr>
        <w:t>rednisone</w:t>
      </w:r>
      <w:r>
        <w:rPr>
          <w:rFonts w:ascii="Book Antiqua" w:eastAsia="宋体" w:hAnsi="Book Antiqua" w:cs="Book Antiqua"/>
          <w:color w:val="000000"/>
          <w:lang w:eastAsia="zh-CN"/>
        </w:rPr>
        <w:t xml:space="preserve"> </w:t>
      </w:r>
      <w:r>
        <w:rPr>
          <w:rFonts w:ascii="Book Antiqua" w:eastAsia="Book Antiqua" w:hAnsi="Book Antiqua" w:cs="Book Antiqua"/>
          <w:color w:val="000000"/>
        </w:rPr>
        <w:t>(50 mg</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 xml:space="preserve">daily) </w:t>
      </w:r>
      <w:r>
        <w:rPr>
          <w:rFonts w:ascii="Book Antiqua" w:eastAsia="Book Antiqua" w:hAnsi="Book Antiqua" w:cs="Book Antiqua"/>
          <w:color w:val="000000"/>
        </w:rPr>
        <w:t>and a subcutaneous injection</w:t>
      </w:r>
      <w:r>
        <w:rPr>
          <w:rFonts w:ascii="Book Antiqua" w:eastAsia="Book Antiqua" w:hAnsi="Book Antiqua" w:cs="Book Antiqua"/>
          <w:color w:val="000000"/>
          <w:lang w:eastAsia="zh-CN"/>
        </w:rPr>
        <w:t xml:space="preserve"> of </w:t>
      </w:r>
      <w:r>
        <w:rPr>
          <w:rFonts w:ascii="Book Antiqua" w:eastAsia="Book Antiqua" w:hAnsi="Book Antiqua" w:cs="Book Antiqua"/>
          <w:color w:val="000000"/>
        </w:rPr>
        <w:t>erythropoietin (</w:t>
      </w:r>
      <w:r>
        <w:rPr>
          <w:rFonts w:ascii="Book Antiqua" w:eastAsia="宋体" w:hAnsi="Book Antiqua" w:cs="Book Antiqua"/>
          <w:color w:val="000000"/>
          <w:lang w:eastAsia="zh-CN"/>
        </w:rPr>
        <w:t>3</w:t>
      </w:r>
      <w:r>
        <w:rPr>
          <w:rFonts w:ascii="Book Antiqua" w:eastAsia="Book Antiqua" w:hAnsi="Book Antiqua" w:cs="Book Antiqua"/>
          <w:color w:val="000000"/>
        </w:rPr>
        <w:t>000 IU</w:t>
      </w:r>
      <w:r>
        <w:rPr>
          <w:rFonts w:ascii="Book Antiqua" w:eastAsia="宋体" w:hAnsi="Book Antiqua" w:cs="Book Antiqua"/>
          <w:color w:val="000000"/>
          <w:lang w:eastAsia="zh-CN"/>
        </w:rPr>
        <w:t xml:space="preserve">, </w:t>
      </w:r>
      <w:r>
        <w:rPr>
          <w:rFonts w:ascii="Book Antiqua" w:eastAsia="Book Antiqua" w:hAnsi="Book Antiqua" w:cs="Book Antiqua"/>
          <w:color w:val="000000"/>
          <w:lang w:eastAsia="zh-CN"/>
        </w:rPr>
        <w:t>three times weekly)</w:t>
      </w:r>
      <w:r>
        <w:rPr>
          <w:rFonts w:ascii="Book Antiqua" w:eastAsia="Book Antiqua" w:hAnsi="Book Antiqua" w:cs="Book Antiqua"/>
          <w:color w:val="000000"/>
        </w:rPr>
        <w:t xml:space="preserve">. After 1 mo, the Hb level was maintained at 40–50 g/L, and it </w:t>
      </w:r>
      <w:r>
        <w:rPr>
          <w:rFonts w:ascii="Book Antiqua" w:eastAsia="宋体" w:hAnsi="Book Antiqua" w:cs="Book Antiqua"/>
          <w:color w:val="000000"/>
          <w:lang w:eastAsia="zh-CN"/>
        </w:rPr>
        <w:t>did not</w:t>
      </w:r>
      <w:r>
        <w:rPr>
          <w:rFonts w:ascii="Book Antiqua" w:eastAsia="Book Antiqua" w:hAnsi="Book Antiqua" w:cs="Book Antiqua"/>
          <w:color w:val="000000"/>
        </w:rPr>
        <w:t xml:space="preserve"> increase. Therefore, the prednisone and </w:t>
      </w:r>
      <w:bookmarkStart w:id="7" w:name="_Hlk77355591"/>
      <w:r>
        <w:rPr>
          <w:rFonts w:ascii="Book Antiqua" w:eastAsia="Book Antiqua" w:hAnsi="Book Antiqua" w:cs="Book Antiqua"/>
          <w:color w:val="000000"/>
        </w:rPr>
        <w:t xml:space="preserve">MTX </w:t>
      </w:r>
      <w:bookmarkEnd w:id="7"/>
      <w:r>
        <w:rPr>
          <w:rFonts w:ascii="Book Antiqua" w:eastAsia="Book Antiqua" w:hAnsi="Book Antiqua" w:cs="Book Antiqua"/>
          <w:color w:val="000000"/>
        </w:rPr>
        <w:t>doses were gradually tapered until each drug was</w:t>
      </w:r>
      <w:r>
        <w:rPr>
          <w:rFonts w:ascii="Book Antiqua" w:eastAsia="Book Antiqua" w:hAnsi="Book Antiqua" w:cs="Book Antiqua"/>
          <w:color w:val="000000"/>
          <w:lang w:eastAsia="en"/>
        </w:rPr>
        <w:t xml:space="preserve"> completely </w:t>
      </w:r>
      <w:r>
        <w:rPr>
          <w:rFonts w:ascii="Book Antiqua" w:eastAsia="Book Antiqua" w:hAnsi="Book Antiqua" w:cs="Book Antiqua"/>
          <w:color w:val="000000"/>
        </w:rPr>
        <w:t>discontinued; erythropoietin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was also discontinued. Cyclophosphamide (CTX) 200 mg bid was administered as the only treatment. The Hb level increased gradually up to approximately 100 g/L after 3 mo.</w:t>
      </w:r>
    </w:p>
    <w:p w14:paraId="1F991FFE" w14:textId="77777777" w:rsidR="00B7304C" w:rsidRDefault="00B7304C">
      <w:pPr>
        <w:spacing w:after="0" w:line="360" w:lineRule="auto"/>
        <w:contextualSpacing/>
        <w:jc w:val="both"/>
        <w:rPr>
          <w:rFonts w:ascii="Book Antiqua" w:hAnsi="Book Antiqua"/>
        </w:rPr>
      </w:pPr>
    </w:p>
    <w:p w14:paraId="506D1B21" w14:textId="77777777" w:rsidR="00B7304C" w:rsidRDefault="00F37F09">
      <w:pPr>
        <w:spacing w:after="0" w:line="360" w:lineRule="auto"/>
        <w:contextualSpacing/>
        <w:jc w:val="both"/>
        <w:rPr>
          <w:rFonts w:ascii="Book Antiqua" w:hAnsi="Book Antiqua"/>
          <w:u w:val="single"/>
        </w:rPr>
      </w:pPr>
      <w:r>
        <w:rPr>
          <w:rFonts w:ascii="Book Antiqua" w:eastAsia="Book Antiqua" w:hAnsi="Book Antiqua" w:cs="Book Antiqua"/>
          <w:b/>
          <w:caps/>
          <w:color w:val="000000"/>
          <w:u w:val="single"/>
        </w:rPr>
        <w:t>OUTCOME AND FOLLOW-UP</w:t>
      </w:r>
    </w:p>
    <w:p w14:paraId="04B6A240"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With the current diagnosis and 5 mo of treatment, the patient has been able to perform activities of daily living independently.</w:t>
      </w:r>
    </w:p>
    <w:p w14:paraId="6D7B1BE2" w14:textId="77777777" w:rsidR="00B7304C" w:rsidRDefault="00B7304C">
      <w:pPr>
        <w:spacing w:after="0" w:line="360" w:lineRule="auto"/>
        <w:contextualSpacing/>
        <w:jc w:val="both"/>
        <w:rPr>
          <w:rFonts w:ascii="Book Antiqua" w:hAnsi="Book Antiqua"/>
        </w:rPr>
      </w:pPr>
    </w:p>
    <w:p w14:paraId="26E99481" w14:textId="77777777" w:rsidR="00B7304C" w:rsidRDefault="00F37F09">
      <w:pPr>
        <w:spacing w:after="0" w:line="360" w:lineRule="auto"/>
        <w:contextualSpacing/>
        <w:jc w:val="both"/>
        <w:rPr>
          <w:rFonts w:ascii="Book Antiqua" w:hAnsi="Book Antiqua"/>
          <w:u w:val="single"/>
        </w:rPr>
      </w:pPr>
      <w:r>
        <w:rPr>
          <w:rFonts w:ascii="Book Antiqua" w:eastAsia="Book Antiqua" w:hAnsi="Book Antiqua" w:cs="Book Antiqua"/>
          <w:b/>
          <w:caps/>
          <w:color w:val="000000"/>
          <w:u w:val="single"/>
        </w:rPr>
        <w:lastRenderedPageBreak/>
        <w:t>DISCUSSION</w:t>
      </w:r>
    </w:p>
    <w:p w14:paraId="69F2E5D0" w14:textId="77777777" w:rsidR="00B7304C" w:rsidRDefault="00F37F09">
      <w:pPr>
        <w:spacing w:after="0" w:line="360" w:lineRule="auto"/>
        <w:contextualSpacing/>
        <w:jc w:val="both"/>
        <w:rPr>
          <w:rFonts w:ascii="Book Antiqua" w:eastAsia="Book Antiqua" w:hAnsi="Book Antiqua" w:cs="Book Antiqua"/>
          <w:color w:val="000000"/>
        </w:rPr>
      </w:pPr>
      <w:r>
        <w:rPr>
          <w:rFonts w:ascii="Book Antiqua" w:eastAsia="Book Antiqua" w:hAnsi="Book Antiqua" w:cs="Book Antiqua"/>
          <w:color w:val="000000"/>
        </w:rPr>
        <w:t>T-LGLL is a relatively rare disorder; only a few clinical trials have been conducted, and few experiences have been published regarding this disease. Therefore, simply relying on traditional diagnostic methods, such as examination of bone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marrow</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morphology,</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may lead to misdiagnosis and missed diagnosis. Liu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retrospectively analyzed 10 cases of T-LGLL. Among them, two cases of T-LGLL involved PRCA. Zhu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analyzed 17 cases of γδT-LGLL, of which 11 cases involved PRCA</w:t>
      </w:r>
      <w:r>
        <w:rPr>
          <w:rFonts w:ascii="Book Antiqua" w:eastAsia="Book Antiqua" w:hAnsi="Book Antiqua" w:cs="Book Antiqua"/>
          <w:color w:val="000000"/>
          <w:vertAlign w:val="superscript"/>
        </w:rPr>
        <w:t>[4]</w:t>
      </w:r>
      <w:r>
        <w:rPr>
          <w:rFonts w:ascii="Book Antiqua" w:eastAsia="Book Antiqua" w:hAnsi="Book Antiqua" w:cs="Book Antiqua"/>
          <w:color w:val="000000"/>
        </w:rPr>
        <w:t>. γδ- and αβT-LGLL show very similar clinico-biological behaviors as well as antigen-driven T-cell lymphoproliferation</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The typical immunophenotype of γδT-LGLL is CD2+/CD3+/CD4−/CD7+/CD8-/CD16−/CD56−/CD57+/ TCRαβ−/TCRγδ+.</w:t>
      </w:r>
    </w:p>
    <w:p w14:paraId="26674B4F" w14:textId="77777777" w:rsidR="00B7304C" w:rsidRDefault="00F37F09">
      <w:pPr>
        <w:spacing w:after="0" w:line="360" w:lineRule="auto"/>
        <w:ind w:firstLineChars="200" w:firstLine="480"/>
        <w:contextualSpacing/>
        <w:jc w:val="both"/>
        <w:rPr>
          <w:rFonts w:ascii="Book Antiqua" w:hAnsi="Book Antiqua"/>
        </w:rPr>
      </w:pPr>
      <w:r>
        <w:rPr>
          <w:rFonts w:ascii="Book Antiqua" w:eastAsia="Book Antiqua" w:hAnsi="Book Antiqua" w:cs="Book Antiqua"/>
          <w:color w:val="000000"/>
        </w:rPr>
        <w:t xml:space="preserve">This report describes a case of γδT-LGLL with PRCA (immunophenotype CD57−), which is atypical for γδT-LGLL. Zhang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presented one case of CD57– γδT-LGLL with multiple organ failure. In their case, which involved a chromosomal abnormality, three courses of chemotherapy including CTX, fludarabine, and granulocyte-colony stimulating factor were administered for hemophagocytic syndrome, but the patient died of an infection. Sylvia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also presented one case of CD57− and CD56− γδT-LGLL, but no related treatments or prognoses were reported.</w:t>
      </w:r>
    </w:p>
    <w:p w14:paraId="63C0DB02" w14:textId="77777777" w:rsidR="00B7304C" w:rsidRDefault="00F37F09">
      <w:pPr>
        <w:spacing w:after="0" w:line="360" w:lineRule="auto"/>
        <w:ind w:firstLineChars="200" w:firstLine="480"/>
        <w:jc w:val="both"/>
        <w:rPr>
          <w:rFonts w:ascii="Book Antiqua" w:hAnsi="Book Antiqua"/>
        </w:rPr>
      </w:pPr>
      <w:r>
        <w:rPr>
          <w:rFonts w:ascii="Book Antiqua" w:eastAsia="Book Antiqua" w:hAnsi="Book Antiqua" w:cs="Book Antiqua"/>
          <w:color w:val="000000"/>
        </w:rPr>
        <w:t>At present, the treatment for T-LGLL mainly focuses on immunosuppressive therapy, including MTX, CTX, and CSA, as well as purine drugs, combined chemotherapy, and splenectomy. Second- and third-line treatments such as targeted drugs are available</w:t>
      </w:r>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but there is no consensus as to whether immunosuppressive agents should be used as a single agent or in combination. Our patient had a medical history of anemia for more than 20 years. She showed no improvement in the Hb level following CSA treatment for PRCA. Frequent red blood cell transfusions caused iron overload, and her condition gradually worsened. After the diagnosis of T-LGLL was confirmed, prednisone combined with MTX and erythropoietin was administered. Combination of </w:t>
      </w:r>
      <w:r>
        <w:rPr>
          <w:rFonts w:ascii="Book Antiqua" w:eastAsia="Book Antiqua" w:hAnsi="Book Antiqua" w:cs="Book Antiqua"/>
          <w:color w:val="000000"/>
          <w:shd w:val="clear" w:color="auto" w:fill="FFFFFF"/>
        </w:rPr>
        <w:t xml:space="preserve">prednisone </w:t>
      </w:r>
      <w:r>
        <w:rPr>
          <w:rFonts w:ascii="Book Antiqua" w:eastAsia="Book Antiqua" w:hAnsi="Book Antiqua" w:cs="Book Antiqua"/>
          <w:color w:val="000000"/>
        </w:rPr>
        <w:t>with first-line immunosuppressive agents (MTX, CSA, or</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CTX)</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shd w:val="clear" w:color="auto" w:fill="FFFFFF"/>
        </w:rPr>
        <w:t>may lead to rapid hematologic improvement</w:t>
      </w:r>
      <w:r>
        <w:rPr>
          <w:rFonts w:ascii="Book Antiqua" w:eastAsia="Book Antiqua" w:hAnsi="Book Antiqua" w:cs="Book Antiqua"/>
          <w:color w:val="000000"/>
          <w:shd w:val="clear" w:color="auto" w:fill="FFFFFF"/>
          <w:vertAlign w:val="superscript"/>
        </w:rPr>
        <w:t>[10]</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MTX has anti-inflammatory and anti-proliferative effects,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in part by</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inducing the apoptosis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of</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activated T-cells</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However, there was no significant improvement in the Hb level</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of our patient. The Hb level increased to a value close to normal after 3 mo of treatment with CTX alone. The patient no longer required regular red blood cell transfusion</w:t>
      </w:r>
      <w:r>
        <w:rPr>
          <w:rFonts w:ascii="Book Antiqua" w:eastAsia="宋体" w:hAnsi="Book Antiqua" w:cs="Book Antiqua"/>
          <w:color w:val="000000"/>
          <w:lang w:eastAsia="zh-CN"/>
        </w:rPr>
        <w:t>,</w:t>
      </w:r>
      <w:r>
        <w:rPr>
          <w:rFonts w:ascii="Book Antiqua" w:eastAsia="Book Antiqua" w:hAnsi="Book Antiqua" w:cs="Book Antiqua"/>
          <w:color w:val="000000"/>
        </w:rPr>
        <w:t xml:space="preserve"> which further confirmed the therapeutic potential of CTX for T-LGLL combined with PRCA. Sanikommu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[12]</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presented the cases of 118 LGLL patients who received CSA, MTX, or CTX. CTX had the highest initial response rate and the shortest response duration. In atypical CD57-negative T-LGLL cases, the effect of CTX is particularly significant.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The mechanism</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of CTX in T-LGLL combined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with</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PRCA is still unknown.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One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possible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mechanism</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is that CTX reduces the count of cytotoxic T lymphocytes (CTLs) that damage antibody-bound erythroblasts directly. Another</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possible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mechanism</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is that CTX reduces the cytotoxic T lymphocytes-mediated damage to</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hematopoietic progenitors, which leads to anemia</w:t>
      </w:r>
      <w:r>
        <w:rPr>
          <w:rFonts w:ascii="Book Antiqua" w:eastAsia="Book Antiqua" w:hAnsi="Book Antiqua" w:cs="Book Antiqua"/>
          <w:color w:val="000000"/>
          <w:vertAlign w:val="superscript"/>
        </w:rPr>
        <w:t>[13]</w:t>
      </w:r>
      <w:r>
        <w:rPr>
          <w:rFonts w:ascii="Book Antiqua" w:eastAsia="Book Antiqua" w:hAnsi="Book Antiqua" w:cs="Book Antiqua"/>
          <w:color w:val="000000"/>
        </w:rPr>
        <w:t>. In our case, combined chemotherapy, splenectomy, and other treatments that pose a greater risk of side effects were avoided.</w:t>
      </w:r>
    </w:p>
    <w:p w14:paraId="789EB63D" w14:textId="77777777" w:rsidR="00B7304C" w:rsidRDefault="00B7304C">
      <w:pPr>
        <w:spacing w:after="0" w:line="360" w:lineRule="auto"/>
        <w:contextualSpacing/>
        <w:jc w:val="both"/>
        <w:rPr>
          <w:rFonts w:ascii="Book Antiqua" w:hAnsi="Book Antiqua"/>
        </w:rPr>
      </w:pPr>
    </w:p>
    <w:p w14:paraId="7BC22C2E" w14:textId="77777777" w:rsidR="00B7304C" w:rsidRDefault="00F37F09">
      <w:pPr>
        <w:spacing w:after="0" w:line="360" w:lineRule="auto"/>
        <w:contextualSpacing/>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CONCLUSION</w:t>
      </w:r>
    </w:p>
    <w:p w14:paraId="6325E1D0" w14:textId="77777777" w:rsidR="00B7304C" w:rsidRDefault="00F37F09">
      <w:pPr>
        <w:pStyle w:val="a3"/>
        <w:spacing w:after="0" w:line="360" w:lineRule="auto"/>
        <w:jc w:val="both"/>
        <w:rPr>
          <w:rFonts w:ascii="Book Antiqua" w:eastAsia="宋体" w:hAnsi="Book Antiqua" w:cs="Book Antiqua"/>
          <w:color w:val="000000"/>
          <w:sz w:val="24"/>
          <w:szCs w:val="24"/>
          <w:lang w:eastAsia="zh-CN"/>
        </w:rPr>
      </w:pPr>
      <w:r>
        <w:rPr>
          <w:rFonts w:ascii="Book Antiqua" w:eastAsia="Book Antiqua" w:hAnsi="Book Antiqua" w:cs="Book Antiqua"/>
          <w:color w:val="000000"/>
          <w:sz w:val="24"/>
          <w:szCs w:val="24"/>
        </w:rPr>
        <w:t>We describe our experience regarding the treatment of CD57-negative γδT-LGLL with PRCA and provide a reference for evaluating prognosis in this patient group. Our patient responded well to CTX and resumed routine activities. The mechanism of CTX in CD57-negative</w:t>
      </w:r>
      <w:r>
        <w:rPr>
          <w:rFonts w:ascii="Book Antiqua" w:eastAsia="Book Antiqua" w:hAnsi="Book Antiqua" w:cs="Book Antiqua"/>
          <w:color w:val="000000"/>
          <w:sz w:val="24"/>
          <w:szCs w:val="24"/>
          <w:lang w:eastAsia="zh-CN"/>
        </w:rPr>
        <w:t xml:space="preserve"> </w:t>
      </w:r>
      <w:r>
        <w:rPr>
          <w:rFonts w:ascii="Book Antiqua" w:eastAsia="Book Antiqua" w:hAnsi="Book Antiqua" w:cs="Book Antiqua"/>
          <w:color w:val="000000"/>
          <w:sz w:val="24"/>
          <w:szCs w:val="24"/>
        </w:rPr>
        <w:t>T-LGLL with PRCA still needs to be explored</w:t>
      </w:r>
      <w:r>
        <w:rPr>
          <w:rFonts w:ascii="Book Antiqua" w:eastAsia="宋体" w:hAnsi="Book Antiqua" w:cs="Book Antiqua"/>
          <w:color w:val="000000"/>
          <w:sz w:val="24"/>
          <w:szCs w:val="24"/>
          <w:lang w:eastAsia="zh-CN"/>
        </w:rPr>
        <w:t>.</w:t>
      </w:r>
    </w:p>
    <w:p w14:paraId="3F54C134" w14:textId="77777777" w:rsidR="00B7304C" w:rsidRDefault="00B7304C">
      <w:pPr>
        <w:spacing w:after="0" w:line="360" w:lineRule="auto"/>
        <w:contextualSpacing/>
        <w:jc w:val="both"/>
        <w:rPr>
          <w:rFonts w:ascii="Book Antiqua" w:hAnsi="Book Antiqua"/>
        </w:rPr>
      </w:pPr>
    </w:p>
    <w:p w14:paraId="3184BD29" w14:textId="77777777" w:rsidR="00B7304C" w:rsidRDefault="00F37F09">
      <w:pPr>
        <w:spacing w:after="0" w:line="360" w:lineRule="auto"/>
        <w:contextualSpacing/>
        <w:jc w:val="both"/>
        <w:rPr>
          <w:rFonts w:ascii="Book Antiqua" w:hAnsi="Book Antiqua"/>
          <w:u w:val="single"/>
        </w:rPr>
      </w:pPr>
      <w:r>
        <w:rPr>
          <w:rFonts w:ascii="Book Antiqua" w:eastAsia="Book Antiqua" w:hAnsi="Book Antiqua" w:cs="Book Antiqua"/>
          <w:b/>
          <w:caps/>
          <w:color w:val="000000"/>
          <w:u w:val="single"/>
        </w:rPr>
        <w:t>ACKNOWLEDGEMENTS</w:t>
      </w:r>
    </w:p>
    <w:p w14:paraId="4C599C7E"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We thank our patient who agreed to the publication of this case report and provided information.</w:t>
      </w:r>
    </w:p>
    <w:p w14:paraId="24D57C5F" w14:textId="77777777" w:rsidR="00B7304C" w:rsidRDefault="00B7304C">
      <w:pPr>
        <w:spacing w:after="0" w:line="360" w:lineRule="auto"/>
        <w:contextualSpacing/>
        <w:jc w:val="both"/>
        <w:rPr>
          <w:rFonts w:ascii="Book Antiqua" w:hAnsi="Book Antiqua"/>
        </w:rPr>
      </w:pPr>
    </w:p>
    <w:p w14:paraId="2D10FFE3"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color w:val="000000"/>
        </w:rPr>
        <w:t>REFERENCES</w:t>
      </w:r>
    </w:p>
    <w:p w14:paraId="003563DC" w14:textId="77777777" w:rsidR="00B7304C" w:rsidRDefault="00F37F09">
      <w:pPr>
        <w:spacing w:after="0" w:line="360" w:lineRule="auto"/>
        <w:jc w:val="both"/>
        <w:rPr>
          <w:rFonts w:ascii="Book Antiqua" w:hAnsi="Book Antiqua"/>
        </w:rPr>
      </w:pPr>
      <w:bookmarkStart w:id="8" w:name="OLE_LINK1"/>
      <w:r>
        <w:rPr>
          <w:rFonts w:ascii="Book Antiqua" w:hAnsi="Book Antiqua"/>
        </w:rPr>
        <w:t xml:space="preserve">1 </w:t>
      </w:r>
      <w:r>
        <w:rPr>
          <w:rFonts w:ascii="Book Antiqua" w:hAnsi="Book Antiqua"/>
          <w:b/>
          <w:bCs/>
        </w:rPr>
        <w:t>Sandberg Y</w:t>
      </w:r>
      <w:r>
        <w:rPr>
          <w:rFonts w:ascii="Book Antiqua" w:hAnsi="Book Antiqua"/>
        </w:rPr>
        <w:t xml:space="preserve">, Almeida J, Gonzalez M, Lima M, Bárcena P, Szczepañski T, van Gastel-Mol EJ, Wind H, Balanzategui A, van Dongen JJ, Miguel JF, Orfao A, Langerak AW. TCRgammadelta+ large granular lymphocyte leukemias reflect the spectrum of normal </w:t>
      </w:r>
      <w:r>
        <w:rPr>
          <w:rFonts w:ascii="Book Antiqua" w:hAnsi="Book Antiqua"/>
        </w:rPr>
        <w:lastRenderedPageBreak/>
        <w:t xml:space="preserve">antigen-selected TCRgammadelta+ T-cells. </w:t>
      </w:r>
      <w:r>
        <w:rPr>
          <w:rFonts w:ascii="Book Antiqua" w:hAnsi="Book Antiqua"/>
          <w:i/>
          <w:iCs/>
        </w:rPr>
        <w:t>Leukemia</w:t>
      </w:r>
      <w:r>
        <w:rPr>
          <w:rFonts w:ascii="Book Antiqua" w:hAnsi="Book Antiqua"/>
        </w:rPr>
        <w:t xml:space="preserve"> 2006; </w:t>
      </w:r>
      <w:r>
        <w:rPr>
          <w:rFonts w:ascii="Book Antiqua" w:hAnsi="Book Antiqua"/>
          <w:b/>
          <w:bCs/>
        </w:rPr>
        <w:t>20</w:t>
      </w:r>
      <w:r>
        <w:rPr>
          <w:rFonts w:ascii="Book Antiqua" w:hAnsi="Book Antiqua"/>
        </w:rPr>
        <w:t>: 505-513 [PMID: 16437145 DOI: 10.1038/sj.leu.2404112]</w:t>
      </w:r>
    </w:p>
    <w:p w14:paraId="1B44B1D6" w14:textId="77777777" w:rsidR="00B7304C" w:rsidRDefault="00F37F09">
      <w:pPr>
        <w:spacing w:after="0" w:line="360" w:lineRule="auto"/>
        <w:jc w:val="both"/>
        <w:rPr>
          <w:rFonts w:ascii="Book Antiqua" w:hAnsi="Book Antiqua"/>
        </w:rPr>
      </w:pPr>
      <w:r>
        <w:rPr>
          <w:rFonts w:ascii="Book Antiqua" w:hAnsi="Book Antiqua"/>
        </w:rPr>
        <w:t xml:space="preserve">2 </w:t>
      </w:r>
      <w:r>
        <w:rPr>
          <w:rFonts w:ascii="Book Antiqua" w:hAnsi="Book Antiqua"/>
          <w:b/>
          <w:bCs/>
        </w:rPr>
        <w:t>Zhu Y</w:t>
      </w:r>
      <w:r>
        <w:rPr>
          <w:rFonts w:ascii="Book Antiqua" w:hAnsi="Book Antiqua"/>
        </w:rPr>
        <w:t xml:space="preserve">, Gao Q, Hu J, Liu X, Guan D, Zhang F. Clinical features and treatment outcomes in patients with T-cell large granular lymphocytic leukemia: A single-institution experience. </w:t>
      </w:r>
      <w:r>
        <w:rPr>
          <w:rFonts w:ascii="Book Antiqua" w:hAnsi="Book Antiqua"/>
          <w:i/>
          <w:iCs/>
        </w:rPr>
        <w:t>Leuk Res</w:t>
      </w:r>
      <w:r>
        <w:rPr>
          <w:rFonts w:ascii="Book Antiqua" w:hAnsi="Book Antiqua"/>
        </w:rPr>
        <w:t xml:space="preserve"> 2020; </w:t>
      </w:r>
      <w:r>
        <w:rPr>
          <w:rFonts w:ascii="Book Antiqua" w:hAnsi="Book Antiqua"/>
          <w:b/>
          <w:bCs/>
        </w:rPr>
        <w:t>90</w:t>
      </w:r>
      <w:r>
        <w:rPr>
          <w:rFonts w:ascii="Book Antiqua" w:hAnsi="Book Antiqua"/>
        </w:rPr>
        <w:t>: 106299 [PMID: 32035354 DOI: 10.1016/j.leukres.2020.106299]</w:t>
      </w:r>
    </w:p>
    <w:p w14:paraId="35671A16" w14:textId="77777777" w:rsidR="00B7304C" w:rsidRDefault="00F37F09">
      <w:pPr>
        <w:spacing w:after="0" w:line="360" w:lineRule="auto"/>
        <w:jc w:val="both"/>
        <w:rPr>
          <w:rFonts w:ascii="Book Antiqua" w:hAnsi="Book Antiqua"/>
        </w:rPr>
      </w:pPr>
      <w:r>
        <w:rPr>
          <w:rFonts w:ascii="Book Antiqua" w:hAnsi="Book Antiqua"/>
        </w:rPr>
        <w:t xml:space="preserve">3 </w:t>
      </w:r>
      <w:r>
        <w:rPr>
          <w:rFonts w:ascii="Book Antiqua" w:hAnsi="Book Antiqua"/>
          <w:b/>
          <w:bCs/>
        </w:rPr>
        <w:t>Liu AQ</w:t>
      </w:r>
      <w:r>
        <w:rPr>
          <w:rFonts w:ascii="Book Antiqua" w:hAnsi="Book Antiqua"/>
        </w:rPr>
        <w:t xml:space="preserve">, Zhou L, Li YH, Jing Y, Wang SH, Mei JH, Dou LP, Wang LL, Yu L. [Analysis of Clinical Characteristics in 10 Patietns with T Large Granular Lymphocytic Leukemia]. </w:t>
      </w:r>
      <w:r>
        <w:rPr>
          <w:rFonts w:ascii="Book Antiqua" w:hAnsi="Book Antiqua"/>
          <w:i/>
          <w:iCs/>
        </w:rPr>
        <w:t>Zhongguo Shi Yan Xue Ye Xue Za Zhi</w:t>
      </w:r>
      <w:r>
        <w:rPr>
          <w:rFonts w:ascii="Book Antiqua" w:hAnsi="Book Antiqua"/>
        </w:rPr>
        <w:t xml:space="preserve"> 2016; </w:t>
      </w:r>
      <w:r>
        <w:rPr>
          <w:rFonts w:ascii="Book Antiqua" w:hAnsi="Book Antiqua"/>
          <w:b/>
          <w:bCs/>
        </w:rPr>
        <w:t>24</w:t>
      </w:r>
      <w:r>
        <w:rPr>
          <w:rFonts w:ascii="Book Antiqua" w:hAnsi="Book Antiqua"/>
        </w:rPr>
        <w:t>: 693-697 [PMID: 27342492 DOI: 10.7534/j.issn.1009-2137.2016.03.010]</w:t>
      </w:r>
    </w:p>
    <w:p w14:paraId="4F60A0D2" w14:textId="77777777" w:rsidR="00B7304C" w:rsidRDefault="00F37F09">
      <w:pPr>
        <w:spacing w:after="0" w:line="360" w:lineRule="auto"/>
        <w:jc w:val="both"/>
        <w:rPr>
          <w:rFonts w:ascii="Book Antiqua" w:hAnsi="Book Antiqua"/>
        </w:rPr>
      </w:pPr>
      <w:r>
        <w:rPr>
          <w:rFonts w:ascii="Book Antiqua" w:hAnsi="Book Antiqua"/>
        </w:rPr>
        <w:t xml:space="preserve">4 </w:t>
      </w:r>
      <w:r>
        <w:rPr>
          <w:rFonts w:ascii="Book Antiqua" w:hAnsi="Book Antiqua"/>
          <w:b/>
          <w:bCs/>
        </w:rPr>
        <w:t>Zhu YM</w:t>
      </w:r>
      <w:r>
        <w:rPr>
          <w:rFonts w:ascii="Book Antiqua" w:hAnsi="Book Antiqua"/>
        </w:rPr>
        <w:t xml:space="preserve">, Gao QY, Hu J, Liu X, Guan DR, Zhang FK. [Clinical and laboratory analysis of 17 patients with γδT-cell large granular lymphocyte leukemia]. </w:t>
      </w:r>
      <w:r>
        <w:rPr>
          <w:rFonts w:ascii="Book Antiqua" w:hAnsi="Book Antiqua"/>
          <w:i/>
          <w:iCs/>
        </w:rPr>
        <w:t>Zhonghua Xue Ye Xue Za Zhi</w:t>
      </w:r>
      <w:r>
        <w:rPr>
          <w:rFonts w:ascii="Book Antiqua" w:hAnsi="Book Antiqua"/>
        </w:rPr>
        <w:t xml:space="preserve"> 2020; </w:t>
      </w:r>
      <w:r>
        <w:rPr>
          <w:rFonts w:ascii="Book Antiqua" w:hAnsi="Book Antiqua"/>
          <w:b/>
          <w:bCs/>
        </w:rPr>
        <w:t>41</w:t>
      </w:r>
      <w:r>
        <w:rPr>
          <w:rFonts w:ascii="Book Antiqua" w:hAnsi="Book Antiqua"/>
        </w:rPr>
        <w:t>: 112-116 [PMID: 32135626 DOI: 10.3760/cma.j.issn.0253-2727.2020.02.005]</w:t>
      </w:r>
    </w:p>
    <w:p w14:paraId="49068888" w14:textId="77777777" w:rsidR="00B7304C" w:rsidRDefault="00F37F09">
      <w:pPr>
        <w:spacing w:after="0" w:line="360" w:lineRule="auto"/>
        <w:jc w:val="both"/>
        <w:rPr>
          <w:rFonts w:ascii="Book Antiqua" w:hAnsi="Book Antiqua"/>
        </w:rPr>
      </w:pPr>
      <w:r>
        <w:rPr>
          <w:rFonts w:ascii="Book Antiqua" w:hAnsi="Book Antiqua"/>
        </w:rPr>
        <w:t xml:space="preserve">5 </w:t>
      </w:r>
      <w:r>
        <w:rPr>
          <w:rFonts w:ascii="Book Antiqua" w:hAnsi="Book Antiqua"/>
          <w:b/>
          <w:bCs/>
        </w:rPr>
        <w:t>Bourgault-Rouxel AS</w:t>
      </w:r>
      <w:r>
        <w:rPr>
          <w:rFonts w:ascii="Book Antiqua" w:hAnsi="Book Antiqua"/>
        </w:rPr>
        <w:t xml:space="preserve">, Loughran TP Jr, Zambello R, Epling-Burnette PK, Semenzato G, Donadieu J, Amiot L, Fest T, Lamy T. Clinical spectrum of gammadelta+ T cell LGL leukemia: analysis of 20 cases. </w:t>
      </w:r>
      <w:r>
        <w:rPr>
          <w:rFonts w:ascii="Book Antiqua" w:hAnsi="Book Antiqua"/>
          <w:i/>
          <w:iCs/>
        </w:rPr>
        <w:t>Leuk Res</w:t>
      </w:r>
      <w:r>
        <w:rPr>
          <w:rFonts w:ascii="Book Antiqua" w:hAnsi="Book Antiqua"/>
        </w:rPr>
        <w:t xml:space="preserve"> 2008; </w:t>
      </w:r>
      <w:r>
        <w:rPr>
          <w:rFonts w:ascii="Book Antiqua" w:hAnsi="Book Antiqua"/>
          <w:b/>
          <w:bCs/>
        </w:rPr>
        <w:t>32</w:t>
      </w:r>
      <w:r>
        <w:rPr>
          <w:rFonts w:ascii="Book Antiqua" w:hAnsi="Book Antiqua"/>
        </w:rPr>
        <w:t>: 45-48 [PMID: 17544120 DOI: 10.1016/j.leukres.2007.04.011]</w:t>
      </w:r>
    </w:p>
    <w:p w14:paraId="1AB0A6FF" w14:textId="77777777" w:rsidR="00B7304C" w:rsidRDefault="00F37F09">
      <w:pPr>
        <w:spacing w:after="0" w:line="360" w:lineRule="auto"/>
        <w:jc w:val="both"/>
        <w:rPr>
          <w:rFonts w:ascii="Book Antiqua" w:hAnsi="Book Antiqua"/>
        </w:rPr>
      </w:pPr>
      <w:r>
        <w:rPr>
          <w:rFonts w:ascii="Book Antiqua" w:hAnsi="Book Antiqua"/>
        </w:rPr>
        <w:t xml:space="preserve">6 </w:t>
      </w:r>
      <w:r>
        <w:rPr>
          <w:rFonts w:ascii="Book Antiqua" w:hAnsi="Book Antiqua"/>
          <w:b/>
          <w:bCs/>
        </w:rPr>
        <w:t>Zhang L</w:t>
      </w:r>
      <w:r>
        <w:rPr>
          <w:rFonts w:ascii="Book Antiqua" w:hAnsi="Book Antiqua"/>
        </w:rPr>
        <w:t xml:space="preserve">, Ramchandren R, Papenhausen P, Loughran TP, Sokol L. Transformed aggressive γδ-variant T-cell large granular lymphocytic leukemia with acquired copy neutral loss of heterozygosity at 17q11.2q25.3 and additional aberrations. </w:t>
      </w:r>
      <w:r>
        <w:rPr>
          <w:rFonts w:ascii="Book Antiqua" w:hAnsi="Book Antiqua"/>
          <w:i/>
          <w:iCs/>
        </w:rPr>
        <w:t>Eur J Haematol</w:t>
      </w:r>
      <w:r>
        <w:rPr>
          <w:rFonts w:ascii="Book Antiqua" w:hAnsi="Book Antiqua"/>
        </w:rPr>
        <w:t xml:space="preserve"> 2014; </w:t>
      </w:r>
      <w:r>
        <w:rPr>
          <w:rFonts w:ascii="Book Antiqua" w:hAnsi="Book Antiqua"/>
          <w:b/>
          <w:bCs/>
        </w:rPr>
        <w:t>93</w:t>
      </w:r>
      <w:r>
        <w:rPr>
          <w:rFonts w:ascii="Book Antiqua" w:hAnsi="Book Antiqua"/>
        </w:rPr>
        <w:t>: 260-264 [PMID: 24635703 DOI: 10.1111/ejh.12313]</w:t>
      </w:r>
    </w:p>
    <w:p w14:paraId="06033319" w14:textId="77777777" w:rsidR="00B7304C" w:rsidRDefault="00F37F09">
      <w:pPr>
        <w:spacing w:after="0" w:line="360" w:lineRule="auto"/>
        <w:jc w:val="both"/>
        <w:rPr>
          <w:rFonts w:ascii="Book Antiqua" w:hAnsi="Book Antiqua"/>
        </w:rPr>
      </w:pPr>
      <w:r>
        <w:rPr>
          <w:rFonts w:ascii="Book Antiqua" w:hAnsi="Book Antiqua"/>
        </w:rPr>
        <w:t xml:space="preserve">7 </w:t>
      </w:r>
      <w:r>
        <w:rPr>
          <w:rFonts w:ascii="Book Antiqua" w:hAnsi="Book Antiqua"/>
          <w:b/>
          <w:bCs/>
        </w:rPr>
        <w:t>Sylvia MT</w:t>
      </w:r>
      <w:r>
        <w:rPr>
          <w:rFonts w:ascii="Book Antiqua" w:hAnsi="Book Antiqua"/>
        </w:rPr>
        <w:t xml:space="preserve">, Jacob SE, Basu D, Amalnath D, Dutta TK. CD56 Negative Aggressive T Cell Large Granular Lymphocytic Leukemia. </w:t>
      </w:r>
      <w:r>
        <w:rPr>
          <w:rFonts w:ascii="Book Antiqua" w:hAnsi="Book Antiqua"/>
          <w:i/>
          <w:iCs/>
        </w:rPr>
        <w:t>Indian J Hematol Blood Transfus</w:t>
      </w:r>
      <w:r>
        <w:rPr>
          <w:rFonts w:ascii="Book Antiqua" w:hAnsi="Book Antiqua"/>
        </w:rPr>
        <w:t xml:space="preserve"> 2016; </w:t>
      </w:r>
      <w:r>
        <w:rPr>
          <w:rFonts w:ascii="Book Antiqua" w:hAnsi="Book Antiqua"/>
          <w:b/>
          <w:bCs/>
        </w:rPr>
        <w:t>32</w:t>
      </w:r>
      <w:r>
        <w:rPr>
          <w:rFonts w:ascii="Book Antiqua" w:hAnsi="Book Antiqua"/>
        </w:rPr>
        <w:t>: 121-124 [PMID: 27408372 DOI: 10.1007/s12288-015-0502-9]</w:t>
      </w:r>
    </w:p>
    <w:p w14:paraId="43CBEADF" w14:textId="77777777" w:rsidR="00B7304C" w:rsidRDefault="00F37F09">
      <w:pPr>
        <w:spacing w:after="0" w:line="360" w:lineRule="auto"/>
        <w:jc w:val="both"/>
        <w:rPr>
          <w:rFonts w:ascii="Book Antiqua" w:hAnsi="Book Antiqua"/>
        </w:rPr>
      </w:pPr>
      <w:r>
        <w:rPr>
          <w:rFonts w:ascii="Book Antiqua" w:hAnsi="Book Antiqua"/>
        </w:rPr>
        <w:t xml:space="preserve">8 </w:t>
      </w:r>
      <w:r>
        <w:rPr>
          <w:rFonts w:ascii="Book Antiqua" w:hAnsi="Book Antiqua"/>
          <w:b/>
          <w:bCs/>
        </w:rPr>
        <w:t>Fujishima N</w:t>
      </w:r>
      <w:r>
        <w:rPr>
          <w:rFonts w:ascii="Book Antiqua" w:hAnsi="Book Antiqua"/>
        </w:rPr>
        <w:t xml:space="preserve">, Sawada K, Hirokawa M, Oshimi K, Sugimoto K, Matsuda A, Teramura M, Karasawa M, Arai A, Yonemura Y, Nakao S, Urabe A, Omine M, Ozawa K; PRCA Collaborative Study Group. Long-term responses and outcomes following immunosuppressive therapy in large granular lymphocyte leukemia-associated pure red </w:t>
      </w:r>
      <w:r>
        <w:rPr>
          <w:rFonts w:ascii="Book Antiqua" w:hAnsi="Book Antiqua"/>
        </w:rPr>
        <w:lastRenderedPageBreak/>
        <w:t xml:space="preserve">cell aplasia: a Nationwide Cohort Study in Japan for the PRCA Collaborative Study Group. </w:t>
      </w:r>
      <w:r>
        <w:rPr>
          <w:rFonts w:ascii="Book Antiqua" w:hAnsi="Book Antiqua"/>
          <w:i/>
          <w:iCs/>
        </w:rPr>
        <w:t>Haematologica</w:t>
      </w:r>
      <w:r>
        <w:rPr>
          <w:rFonts w:ascii="Book Antiqua" w:hAnsi="Book Antiqua"/>
        </w:rPr>
        <w:t xml:space="preserve"> 2008; </w:t>
      </w:r>
      <w:r>
        <w:rPr>
          <w:rFonts w:ascii="Book Antiqua" w:hAnsi="Book Antiqua"/>
          <w:b/>
          <w:bCs/>
        </w:rPr>
        <w:t>93</w:t>
      </w:r>
      <w:r>
        <w:rPr>
          <w:rFonts w:ascii="Book Antiqua" w:hAnsi="Book Antiqua"/>
        </w:rPr>
        <w:t>: 1555-1559 [PMID: 18641028 DOI: 10.3324/haematol.12871]</w:t>
      </w:r>
    </w:p>
    <w:p w14:paraId="00FE4DF9" w14:textId="77777777" w:rsidR="00B7304C" w:rsidRDefault="00F37F09">
      <w:pPr>
        <w:spacing w:after="0" w:line="360" w:lineRule="auto"/>
        <w:jc w:val="both"/>
        <w:rPr>
          <w:rFonts w:ascii="Book Antiqua" w:hAnsi="Book Antiqua"/>
        </w:rPr>
      </w:pPr>
      <w:r>
        <w:rPr>
          <w:rFonts w:ascii="Book Antiqua" w:hAnsi="Book Antiqua"/>
        </w:rPr>
        <w:t xml:space="preserve">9 </w:t>
      </w:r>
      <w:r>
        <w:rPr>
          <w:rFonts w:ascii="Book Antiqua" w:hAnsi="Book Antiqua"/>
          <w:b/>
          <w:bCs/>
        </w:rPr>
        <w:t>Go RS</w:t>
      </w:r>
      <w:r>
        <w:rPr>
          <w:rFonts w:ascii="Book Antiqua" w:hAnsi="Book Antiqua"/>
        </w:rPr>
        <w:t xml:space="preserve">, Li CY, Tefferi A, Phyliky RL. Acquired pure red cell aplasia associated with lymphoproliferative disease of granular T lymphocytes. </w:t>
      </w:r>
      <w:r>
        <w:rPr>
          <w:rFonts w:ascii="Book Antiqua" w:hAnsi="Book Antiqua"/>
          <w:i/>
          <w:iCs/>
        </w:rPr>
        <w:t>Blood</w:t>
      </w:r>
      <w:r>
        <w:rPr>
          <w:rFonts w:ascii="Book Antiqua" w:hAnsi="Book Antiqua"/>
        </w:rPr>
        <w:t xml:space="preserve"> 2001; </w:t>
      </w:r>
      <w:r>
        <w:rPr>
          <w:rFonts w:ascii="Book Antiqua" w:hAnsi="Book Antiqua"/>
          <w:b/>
          <w:bCs/>
        </w:rPr>
        <w:t>98</w:t>
      </w:r>
      <w:r>
        <w:rPr>
          <w:rFonts w:ascii="Book Antiqua" w:hAnsi="Book Antiqua"/>
        </w:rPr>
        <w:t>: 483-485 [PMID: 11435321 DOI: 10.1182/blood.v98.2.483]</w:t>
      </w:r>
    </w:p>
    <w:p w14:paraId="3701FE95" w14:textId="77777777" w:rsidR="00B7304C" w:rsidRDefault="00F37F09">
      <w:pPr>
        <w:spacing w:after="0" w:line="360" w:lineRule="auto"/>
        <w:jc w:val="both"/>
        <w:rPr>
          <w:rFonts w:ascii="Book Antiqua" w:hAnsi="Book Antiqua"/>
        </w:rPr>
      </w:pPr>
      <w:r>
        <w:rPr>
          <w:rFonts w:ascii="Book Antiqua" w:hAnsi="Book Antiqua"/>
        </w:rPr>
        <w:t xml:space="preserve">10 </w:t>
      </w:r>
      <w:r>
        <w:rPr>
          <w:rFonts w:ascii="Book Antiqua" w:hAnsi="Book Antiqua"/>
          <w:b/>
          <w:bCs/>
        </w:rPr>
        <w:t>Lamy T</w:t>
      </w:r>
      <w:r>
        <w:rPr>
          <w:rFonts w:ascii="Book Antiqua" w:hAnsi="Book Antiqua"/>
        </w:rPr>
        <w:t xml:space="preserve">, Loughran TP Jr. How I treat LGL leukemia. </w:t>
      </w:r>
      <w:r>
        <w:rPr>
          <w:rFonts w:ascii="Book Antiqua" w:hAnsi="Book Antiqua"/>
          <w:i/>
          <w:iCs/>
        </w:rPr>
        <w:t>Blood</w:t>
      </w:r>
      <w:r>
        <w:rPr>
          <w:rFonts w:ascii="Book Antiqua" w:hAnsi="Book Antiqua"/>
        </w:rPr>
        <w:t xml:space="preserve"> 2011; </w:t>
      </w:r>
      <w:r>
        <w:rPr>
          <w:rFonts w:ascii="Book Antiqua" w:hAnsi="Book Antiqua"/>
          <w:b/>
          <w:bCs/>
        </w:rPr>
        <w:t>117</w:t>
      </w:r>
      <w:r>
        <w:rPr>
          <w:rFonts w:ascii="Book Antiqua" w:hAnsi="Book Antiqua"/>
        </w:rPr>
        <w:t>: 2764-2774 [PMID: 21190991 DOI: 10.1182/blood-2010-07-296962]</w:t>
      </w:r>
    </w:p>
    <w:p w14:paraId="62906BA6" w14:textId="77777777" w:rsidR="00B7304C" w:rsidRDefault="00F37F09">
      <w:pPr>
        <w:spacing w:after="0" w:line="360" w:lineRule="auto"/>
        <w:jc w:val="both"/>
        <w:rPr>
          <w:rFonts w:ascii="Book Antiqua" w:hAnsi="Book Antiqua"/>
        </w:rPr>
      </w:pPr>
      <w:r>
        <w:rPr>
          <w:rFonts w:ascii="Book Antiqua" w:hAnsi="Book Antiqua"/>
        </w:rPr>
        <w:t xml:space="preserve">11 </w:t>
      </w:r>
      <w:r>
        <w:rPr>
          <w:rFonts w:ascii="Book Antiqua" w:hAnsi="Book Antiqua"/>
          <w:b/>
          <w:bCs/>
        </w:rPr>
        <w:t>Genestier L</w:t>
      </w:r>
      <w:r>
        <w:rPr>
          <w:rFonts w:ascii="Book Antiqua" w:hAnsi="Book Antiqua"/>
        </w:rPr>
        <w:t xml:space="preserve">, Paillot R, Fournel S, Ferraro C, Miossec P, Revillard JP. Immunosuppressive properties of methotrexate: apoptosis and clonal deletion of activated peripheral T cells. </w:t>
      </w:r>
      <w:r>
        <w:rPr>
          <w:rFonts w:ascii="Book Antiqua" w:hAnsi="Book Antiqua"/>
          <w:i/>
          <w:iCs/>
        </w:rPr>
        <w:t>J Clin Invest</w:t>
      </w:r>
      <w:r>
        <w:rPr>
          <w:rFonts w:ascii="Book Antiqua" w:hAnsi="Book Antiqua"/>
        </w:rPr>
        <w:t xml:space="preserve"> 1998; </w:t>
      </w:r>
      <w:r>
        <w:rPr>
          <w:rFonts w:ascii="Book Antiqua" w:hAnsi="Book Antiqua"/>
          <w:b/>
          <w:bCs/>
        </w:rPr>
        <w:t>102</w:t>
      </w:r>
      <w:r>
        <w:rPr>
          <w:rFonts w:ascii="Book Antiqua" w:hAnsi="Book Antiqua"/>
        </w:rPr>
        <w:t>: 322-328 [PMID: 9664073 DOI: 10.1172/JCI2676]</w:t>
      </w:r>
    </w:p>
    <w:p w14:paraId="597EBC95" w14:textId="77777777" w:rsidR="00B7304C" w:rsidRDefault="00F37F09">
      <w:pPr>
        <w:spacing w:after="0" w:line="360" w:lineRule="auto"/>
        <w:jc w:val="both"/>
        <w:rPr>
          <w:rFonts w:ascii="Book Antiqua" w:hAnsi="Book Antiqua"/>
        </w:rPr>
      </w:pPr>
      <w:r>
        <w:rPr>
          <w:rFonts w:ascii="Book Antiqua" w:hAnsi="Book Antiqua"/>
        </w:rPr>
        <w:t xml:space="preserve">12 </w:t>
      </w:r>
      <w:r>
        <w:rPr>
          <w:rFonts w:ascii="Book Antiqua" w:hAnsi="Book Antiqua"/>
          <w:b/>
          <w:bCs/>
        </w:rPr>
        <w:t>Sanikommu SR</w:t>
      </w:r>
      <w:r>
        <w:rPr>
          <w:rFonts w:ascii="Book Antiqua" w:hAnsi="Book Antiqua"/>
        </w:rPr>
        <w:t xml:space="preserve">, Clemente MJ, Chomczynski P, Afable MG 2nd, Jerez A, Thota S, Patel B, Hirsch C, Nazha A, Desamito J, Lichtin A, Pohlman B, Sekeres MA, Radivoyevitch T, Maciejewski JP. Clinical features and treatment outcomes in large granular lymphocytic leukemia (LGLL). </w:t>
      </w:r>
      <w:r>
        <w:rPr>
          <w:rFonts w:ascii="Book Antiqua" w:hAnsi="Book Antiqua"/>
          <w:i/>
          <w:iCs/>
        </w:rPr>
        <w:t>Leuk Lymphoma</w:t>
      </w:r>
      <w:r>
        <w:rPr>
          <w:rFonts w:ascii="Book Antiqua" w:hAnsi="Book Antiqua"/>
        </w:rPr>
        <w:t xml:space="preserve"> 2018; </w:t>
      </w:r>
      <w:r>
        <w:rPr>
          <w:rFonts w:ascii="Book Antiqua" w:hAnsi="Book Antiqua"/>
          <w:b/>
          <w:bCs/>
        </w:rPr>
        <w:t>59</w:t>
      </w:r>
      <w:r>
        <w:rPr>
          <w:rFonts w:ascii="Book Antiqua" w:hAnsi="Book Antiqua"/>
        </w:rPr>
        <w:t>: 416-422 [PMID: 28633612 DOI: 10.1080/10428194.2017.1339880]</w:t>
      </w:r>
    </w:p>
    <w:p w14:paraId="6E1594F1" w14:textId="77777777" w:rsidR="00B7304C" w:rsidRDefault="00F37F09">
      <w:pPr>
        <w:spacing w:after="0" w:line="360" w:lineRule="auto"/>
        <w:jc w:val="both"/>
        <w:rPr>
          <w:rFonts w:ascii="Book Antiqua" w:hAnsi="Book Antiqua"/>
        </w:rPr>
      </w:pPr>
      <w:r>
        <w:rPr>
          <w:rFonts w:ascii="Book Antiqua" w:hAnsi="Book Antiqua"/>
        </w:rPr>
        <w:t xml:space="preserve">13 </w:t>
      </w:r>
      <w:r>
        <w:rPr>
          <w:rFonts w:ascii="Book Antiqua" w:hAnsi="Book Antiqua"/>
          <w:b/>
          <w:bCs/>
        </w:rPr>
        <w:t>Qiu ZY</w:t>
      </w:r>
      <w:r>
        <w:rPr>
          <w:rFonts w:ascii="Book Antiqua" w:hAnsi="Book Antiqua"/>
        </w:rPr>
        <w:t xml:space="preserve">, Qin R, Tian GY, Wang Y, Zhang YQ. Pathophysiologic Mechanisms And Management Of Large Granular Lymphocytic Leukemia Associated Pure Red Cell Aplasia. </w:t>
      </w:r>
      <w:r>
        <w:rPr>
          <w:rFonts w:ascii="Book Antiqua" w:hAnsi="Book Antiqua"/>
          <w:i/>
          <w:iCs/>
        </w:rPr>
        <w:t>Onco Targets Ther</w:t>
      </w:r>
      <w:r>
        <w:rPr>
          <w:rFonts w:ascii="Book Antiqua" w:hAnsi="Book Antiqua"/>
        </w:rPr>
        <w:t xml:space="preserve"> 2019; </w:t>
      </w:r>
      <w:r>
        <w:rPr>
          <w:rFonts w:ascii="Book Antiqua" w:hAnsi="Book Antiqua"/>
          <w:b/>
          <w:bCs/>
        </w:rPr>
        <w:t>12</w:t>
      </w:r>
      <w:r>
        <w:rPr>
          <w:rFonts w:ascii="Book Antiqua" w:hAnsi="Book Antiqua"/>
        </w:rPr>
        <w:t>: 8229-8240 [PMID: 31632073 DOI: 10.2147/OTT.S222378]</w:t>
      </w:r>
    </w:p>
    <w:p w14:paraId="4CFFC235" w14:textId="77777777" w:rsidR="00B7304C" w:rsidRDefault="00B7304C">
      <w:pPr>
        <w:spacing w:after="0" w:line="360" w:lineRule="auto"/>
        <w:contextualSpacing/>
        <w:jc w:val="both"/>
        <w:rPr>
          <w:rFonts w:ascii="Book Antiqua" w:hAnsi="Book Antiqua"/>
        </w:rPr>
        <w:sectPr w:rsidR="00B7304C">
          <w:pgSz w:w="12240" w:h="15840"/>
          <w:pgMar w:top="1440" w:right="1440" w:bottom="1440" w:left="1440" w:header="720" w:footer="720" w:gutter="0"/>
          <w:cols w:space="720"/>
          <w:docGrid w:linePitch="360"/>
        </w:sectPr>
      </w:pPr>
    </w:p>
    <w:bookmarkEnd w:id="8"/>
    <w:p w14:paraId="0ACA5162"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color w:val="000000"/>
        </w:rPr>
        <w:lastRenderedPageBreak/>
        <w:t>Footnotes</w:t>
      </w:r>
    </w:p>
    <w:p w14:paraId="0EA0E62F"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 for the inclusion of her clinical details for publication.</w:t>
      </w:r>
    </w:p>
    <w:p w14:paraId="4DAB5AC9" w14:textId="77777777" w:rsidR="00B7304C" w:rsidRDefault="00B7304C">
      <w:pPr>
        <w:spacing w:after="0" w:line="360" w:lineRule="auto"/>
        <w:contextualSpacing/>
        <w:jc w:val="both"/>
        <w:rPr>
          <w:rFonts w:ascii="Book Antiqua" w:hAnsi="Book Antiqua"/>
        </w:rPr>
      </w:pPr>
    </w:p>
    <w:p w14:paraId="41C6B653"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14:paraId="7F4D57CE" w14:textId="77777777" w:rsidR="00B7304C" w:rsidRDefault="00B7304C">
      <w:pPr>
        <w:spacing w:after="0" w:line="360" w:lineRule="auto"/>
        <w:contextualSpacing/>
        <w:jc w:val="both"/>
        <w:rPr>
          <w:rFonts w:ascii="Book Antiqua" w:hAnsi="Book Antiqua"/>
        </w:rPr>
      </w:pPr>
    </w:p>
    <w:p w14:paraId="552E68E1"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07A6111" w14:textId="77777777" w:rsidR="00B7304C" w:rsidRDefault="00B7304C">
      <w:pPr>
        <w:spacing w:after="0" w:line="360" w:lineRule="auto"/>
        <w:contextualSpacing/>
        <w:jc w:val="both"/>
        <w:rPr>
          <w:rFonts w:ascii="Book Antiqua" w:hAnsi="Book Antiqua"/>
        </w:rPr>
      </w:pPr>
    </w:p>
    <w:p w14:paraId="21EAC782"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6F4834B" w14:textId="77777777" w:rsidR="00B7304C" w:rsidRDefault="00B7304C">
      <w:pPr>
        <w:spacing w:after="0" w:line="360" w:lineRule="auto"/>
        <w:contextualSpacing/>
        <w:jc w:val="both"/>
        <w:rPr>
          <w:rFonts w:ascii="Book Antiqua" w:hAnsi="Book Antiqua"/>
        </w:rPr>
      </w:pPr>
    </w:p>
    <w:p w14:paraId="2D5DAF83"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Pr>
          <w:rFonts w:ascii="Book Antiqua" w:eastAsiaTheme="minorEastAsia" w:hAnsi="Book Antiqua" w:cs="Book Antiqua"/>
          <w:color w:val="000000"/>
          <w:lang w:eastAsia="zh-CN"/>
        </w:rPr>
        <w:t>m</w:t>
      </w:r>
      <w:r>
        <w:rPr>
          <w:rFonts w:ascii="Book Antiqua" w:eastAsia="Book Antiqua" w:hAnsi="Book Antiqua" w:cs="Book Antiqua"/>
          <w:color w:val="000000"/>
        </w:rPr>
        <w:t>anuscript</w:t>
      </w:r>
    </w:p>
    <w:p w14:paraId="7E22F134" w14:textId="77777777" w:rsidR="00B7304C" w:rsidRDefault="00B7304C">
      <w:pPr>
        <w:spacing w:after="0" w:line="360" w:lineRule="auto"/>
        <w:contextualSpacing/>
        <w:jc w:val="both"/>
        <w:rPr>
          <w:rFonts w:ascii="Book Antiqua" w:hAnsi="Book Antiqua"/>
        </w:rPr>
      </w:pPr>
    </w:p>
    <w:p w14:paraId="1D8C5613"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23, 2021</w:t>
      </w:r>
    </w:p>
    <w:p w14:paraId="2BCEC5E2"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15, 2021</w:t>
      </w:r>
    </w:p>
    <w:p w14:paraId="368A44AC" w14:textId="72CF2CD0" w:rsidR="00B7304C" w:rsidRDefault="00F37F09">
      <w:pPr>
        <w:spacing w:after="0" w:line="360" w:lineRule="auto"/>
        <w:contextualSpacing/>
        <w:jc w:val="both"/>
        <w:rPr>
          <w:rFonts w:ascii="Book Antiqua" w:hAnsi="Book Antiqua"/>
        </w:rPr>
      </w:pPr>
      <w:r>
        <w:rPr>
          <w:rFonts w:ascii="Book Antiqua" w:eastAsia="Book Antiqua" w:hAnsi="Book Antiqua" w:cs="Book Antiqua"/>
          <w:b/>
          <w:color w:val="000000"/>
        </w:rPr>
        <w:t xml:space="preserve">Article in press: </w:t>
      </w:r>
      <w:r w:rsidR="00EA7D54">
        <w:rPr>
          <w:rFonts w:ascii="Book Antiqua" w:eastAsia="宋体" w:hAnsi="Book Antiqua"/>
          <w:color w:val="000000" w:themeColor="text1"/>
        </w:rPr>
        <w:t>J</w:t>
      </w:r>
      <w:r w:rsidR="00EA7D54">
        <w:rPr>
          <w:rFonts w:ascii="Book Antiqua" w:eastAsia="宋体" w:hAnsi="Book Antiqua" w:hint="eastAsia"/>
          <w:color w:val="000000" w:themeColor="text1"/>
        </w:rPr>
        <w:t>u</w:t>
      </w:r>
      <w:r w:rsidR="00EA7D54">
        <w:rPr>
          <w:rFonts w:ascii="Book Antiqua" w:eastAsia="宋体" w:hAnsi="Book Antiqua"/>
          <w:color w:val="000000" w:themeColor="text1"/>
        </w:rPr>
        <w:t>ly 28, 2021</w:t>
      </w:r>
    </w:p>
    <w:p w14:paraId="71793E97" w14:textId="77777777" w:rsidR="00B7304C" w:rsidRDefault="00B7304C">
      <w:pPr>
        <w:spacing w:after="0" w:line="360" w:lineRule="auto"/>
        <w:contextualSpacing/>
        <w:jc w:val="both"/>
        <w:rPr>
          <w:rFonts w:ascii="Book Antiqua" w:hAnsi="Book Antiqua"/>
        </w:rPr>
      </w:pPr>
    </w:p>
    <w:p w14:paraId="53632B54"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color w:val="000000"/>
        </w:rPr>
        <w:t xml:space="preserve">Specialty type: </w:t>
      </w:r>
      <w:bookmarkStart w:id="9" w:name="_Hlk71726650"/>
      <w:bookmarkStart w:id="10" w:name="OLE_LINK2066"/>
      <w:bookmarkStart w:id="11" w:name="OLE_LINK1953"/>
      <w:bookmarkStart w:id="12" w:name="OLE_LINK1952"/>
      <w:r>
        <w:rPr>
          <w:rFonts w:ascii="Book Antiqua" w:eastAsia="微软雅黑" w:hAnsi="Book Antiqua" w:cs="宋体"/>
        </w:rPr>
        <w:t>Medicine, research and experimenta</w:t>
      </w:r>
      <w:bookmarkEnd w:id="9"/>
      <w:r>
        <w:rPr>
          <w:rFonts w:ascii="Book Antiqua" w:eastAsia="微软雅黑" w:hAnsi="Book Antiqua" w:cs="宋体"/>
        </w:rPr>
        <w:t>l</w:t>
      </w:r>
      <w:bookmarkEnd w:id="10"/>
      <w:bookmarkEnd w:id="11"/>
      <w:bookmarkEnd w:id="12"/>
    </w:p>
    <w:p w14:paraId="1E8214C0"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F62DE6A"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color w:val="000000"/>
        </w:rPr>
        <w:t>Peer-review report’s scientific quality classification</w:t>
      </w:r>
    </w:p>
    <w:p w14:paraId="0EFB9274"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Grade A (Excellent): 0</w:t>
      </w:r>
    </w:p>
    <w:p w14:paraId="642E2F0D"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Grade B (Very good): 0</w:t>
      </w:r>
    </w:p>
    <w:p w14:paraId="5ACFE76E" w14:textId="77777777" w:rsidR="00B7304C" w:rsidRDefault="00F37F09">
      <w:pPr>
        <w:spacing w:after="0" w:line="360" w:lineRule="auto"/>
        <w:contextualSpacing/>
        <w:jc w:val="both"/>
        <w:rPr>
          <w:rFonts w:ascii="Book Antiqua" w:eastAsiaTheme="minorEastAsia" w:hAnsi="Book Antiqua"/>
          <w:lang w:eastAsia="zh-CN"/>
        </w:rPr>
      </w:pPr>
      <w:r>
        <w:rPr>
          <w:rFonts w:ascii="Book Antiqua" w:eastAsia="Book Antiqua" w:hAnsi="Book Antiqua" w:cs="Book Antiqua"/>
          <w:color w:val="000000"/>
        </w:rPr>
        <w:t>Grade C (Good): C, C</w:t>
      </w:r>
      <w:r>
        <w:rPr>
          <w:rFonts w:ascii="Book Antiqua" w:eastAsiaTheme="minorEastAsia" w:hAnsi="Book Antiqua" w:cs="Book Antiqua"/>
          <w:color w:val="000000"/>
          <w:lang w:eastAsia="zh-CN"/>
        </w:rPr>
        <w:t>, C</w:t>
      </w:r>
    </w:p>
    <w:p w14:paraId="74EE3B67"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Grade D (Fair): 0</w:t>
      </w:r>
    </w:p>
    <w:p w14:paraId="7269D374"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lastRenderedPageBreak/>
        <w:t>Grade E (Poor): 0</w:t>
      </w:r>
    </w:p>
    <w:p w14:paraId="60E1FEDA" w14:textId="77777777" w:rsidR="00B7304C" w:rsidRDefault="00B7304C">
      <w:pPr>
        <w:spacing w:after="0" w:line="360" w:lineRule="auto"/>
        <w:contextualSpacing/>
        <w:jc w:val="both"/>
        <w:rPr>
          <w:rFonts w:ascii="Book Antiqua" w:hAnsi="Book Antiqua"/>
        </w:rPr>
      </w:pPr>
    </w:p>
    <w:p w14:paraId="136F15C2" w14:textId="207B4EB5" w:rsidR="00B7304C" w:rsidRPr="00B0152F" w:rsidRDefault="00F37F09">
      <w:pPr>
        <w:spacing w:after="0" w:line="360" w:lineRule="auto"/>
        <w:contextualSpacing/>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Patel VJ, Sultana N</w:t>
      </w:r>
      <w:r>
        <w:rPr>
          <w:rFonts w:ascii="Book Antiqua" w:eastAsia="Book Antiqua" w:hAnsi="Book Antiqua" w:cs="Book Antiqua"/>
          <w:b/>
          <w:color w:val="000000"/>
        </w:rPr>
        <w:t xml:space="preserve"> S-Editor: </w:t>
      </w:r>
      <w:r>
        <w:rPr>
          <w:rFonts w:ascii="Book Antiqua" w:eastAsiaTheme="minorEastAsia" w:hAnsi="Book Antiqua" w:cs="Book Antiqua"/>
          <w:color w:val="000000"/>
          <w:lang w:eastAsia="zh-CN"/>
        </w:rPr>
        <w:t>Fan JR</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P-Editor:</w:t>
      </w:r>
      <w:r w:rsidRPr="00B0152F">
        <w:rPr>
          <w:rFonts w:ascii="Book Antiqua" w:eastAsia="Book Antiqua" w:hAnsi="Book Antiqua" w:cs="Book Antiqua"/>
          <w:bCs/>
          <w:color w:val="000000"/>
        </w:rPr>
        <w:t xml:space="preserve"> </w:t>
      </w:r>
      <w:r w:rsidR="00B0152F" w:rsidRPr="00B0152F">
        <w:rPr>
          <w:rFonts w:ascii="Book Antiqua" w:eastAsia="Book Antiqua" w:hAnsi="Book Antiqua" w:cs="Book Antiqua"/>
          <w:bCs/>
          <w:color w:val="000000"/>
        </w:rPr>
        <w:t>Li JH</w:t>
      </w:r>
    </w:p>
    <w:p w14:paraId="58FAD8D2" w14:textId="615BA252" w:rsidR="00B0152F" w:rsidRDefault="00B0152F">
      <w:pPr>
        <w:spacing w:after="0" w:line="360" w:lineRule="auto"/>
        <w:contextualSpacing/>
        <w:jc w:val="both"/>
        <w:rPr>
          <w:rFonts w:ascii="Book Antiqua" w:hAnsi="Book Antiqua"/>
        </w:rPr>
        <w:sectPr w:rsidR="00B0152F">
          <w:pgSz w:w="12240" w:h="15840"/>
          <w:pgMar w:top="1440" w:right="1440" w:bottom="1440" w:left="1440" w:header="720" w:footer="720" w:gutter="0"/>
          <w:cols w:space="720"/>
          <w:docGrid w:linePitch="360"/>
        </w:sectPr>
      </w:pPr>
    </w:p>
    <w:p w14:paraId="2A5CD226" w14:textId="77777777" w:rsidR="00B7304C" w:rsidRDefault="00F37F09">
      <w:pPr>
        <w:spacing w:after="0" w:line="360" w:lineRule="auto"/>
        <w:jc w:val="both"/>
        <w:rPr>
          <w:rFonts w:ascii="Book Antiqua" w:hAnsi="Book Antiqua"/>
        </w:rPr>
      </w:pPr>
      <w:r>
        <w:rPr>
          <w:rFonts w:ascii="Book Antiqua" w:eastAsia="Book Antiqua" w:hAnsi="Book Antiqua" w:cs="Book Antiqua"/>
          <w:b/>
          <w:color w:val="000000"/>
        </w:rPr>
        <w:lastRenderedPageBreak/>
        <w:t>Figure Legends</w:t>
      </w:r>
    </w:p>
    <w:p w14:paraId="45F6B7D2" w14:textId="77777777" w:rsidR="00B7304C" w:rsidRDefault="00F37F09">
      <w:pPr>
        <w:spacing w:after="0" w:line="360" w:lineRule="auto"/>
        <w:jc w:val="both"/>
        <w:rPr>
          <w:rFonts w:ascii="Book Antiqua" w:eastAsiaTheme="minorEastAsia" w:hAnsi="Book Antiqua" w:cs="Book Antiqua"/>
          <w:b/>
          <w:bCs/>
          <w:color w:val="000000"/>
          <w:lang w:eastAsia="zh-CN"/>
        </w:rPr>
      </w:pPr>
      <w:r>
        <w:rPr>
          <w:rFonts w:ascii="Book Antiqua" w:hAnsi="Book Antiqua"/>
          <w:noProof/>
          <w:lang w:eastAsia="zh-CN"/>
        </w:rPr>
        <w:drawing>
          <wp:inline distT="0" distB="0" distL="0" distR="0" wp14:anchorId="3BE422EC" wp14:editId="3A1C7A45">
            <wp:extent cx="5486400" cy="20624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486400" cy="2062480"/>
                    </a:xfrm>
                    <a:prstGeom prst="rect">
                      <a:avLst/>
                    </a:prstGeom>
                  </pic:spPr>
                </pic:pic>
              </a:graphicData>
            </a:graphic>
          </wp:inline>
        </w:drawing>
      </w:r>
    </w:p>
    <w:p w14:paraId="24F6E016" w14:textId="77777777" w:rsidR="00B7304C" w:rsidRDefault="00F37F09">
      <w:pPr>
        <w:spacing w:after="0" w:line="360" w:lineRule="auto"/>
        <w:jc w:val="both"/>
        <w:rPr>
          <w:rFonts w:ascii="Book Antiqua" w:eastAsiaTheme="minorEastAsia" w:hAnsi="Book Antiqua" w:cs="Book Antiqua"/>
          <w:color w:val="000000"/>
          <w:lang w:eastAsia="zh-CN"/>
        </w:rPr>
      </w:pPr>
      <w:r>
        <w:rPr>
          <w:rFonts w:ascii="Book Antiqua" w:eastAsia="Book Antiqua" w:hAnsi="Book Antiqua" w:cs="Book Antiqua"/>
          <w:b/>
          <w:bCs/>
          <w:color w:val="000000"/>
        </w:rPr>
        <w:t>Fig</w:t>
      </w:r>
      <w:r>
        <w:rPr>
          <w:rFonts w:ascii="Book Antiqua" w:eastAsiaTheme="minorEastAsia" w:hAnsi="Book Antiqua" w:cs="Book Antiqua"/>
          <w:b/>
          <w:bCs/>
          <w:color w:val="000000"/>
          <w:lang w:eastAsia="zh-CN"/>
        </w:rPr>
        <w:t>ure</w:t>
      </w:r>
      <w:r>
        <w:rPr>
          <w:rFonts w:ascii="Book Antiqua" w:eastAsia="Book Antiqua" w:hAnsi="Book Antiqua" w:cs="Book Antiqua"/>
          <w:b/>
          <w:bCs/>
          <w:color w:val="000000"/>
        </w:rPr>
        <w:t xml:space="preserve"> 1 </w:t>
      </w:r>
      <w:r>
        <w:rPr>
          <w:rFonts w:ascii="Book Antiqua" w:eastAsia="Book Antiqua" w:hAnsi="Book Antiqua" w:cs="Book Antiqua"/>
          <w:b/>
          <w:color w:val="000000"/>
        </w:rPr>
        <w:t>Bone marrow morphology</w:t>
      </w:r>
      <w:r>
        <w:rPr>
          <w:rFonts w:ascii="Book Antiqua" w:eastAsiaTheme="minorEastAsia" w:hAnsi="Book Antiqua" w:cs="Book Antiqua"/>
          <w:b/>
          <w:color w:val="000000"/>
          <w:lang w:eastAsia="zh-CN"/>
        </w:rPr>
        <w:t>.</w:t>
      </w:r>
      <w:r>
        <w:rPr>
          <w:rFonts w:ascii="Book Antiqua" w:eastAsiaTheme="minorEastAsia" w:hAnsi="Book Antiqua"/>
          <w:lang w:eastAsia="zh-CN"/>
        </w:rPr>
        <w:t xml:space="preserve"> A:</w:t>
      </w:r>
      <w:r>
        <w:rPr>
          <w:rFonts w:ascii="Book Antiqua" w:eastAsiaTheme="minorEastAsia" w:hAnsi="Book Antiqua"/>
          <w:b/>
          <w:lang w:eastAsia="zh-CN"/>
        </w:rPr>
        <w:t xml:space="preserve"> </w:t>
      </w:r>
      <w:r>
        <w:rPr>
          <w:rFonts w:ascii="Book Antiqua" w:eastAsia="Book Antiqua" w:hAnsi="Book Antiqua" w:cs="Book Antiqua"/>
          <w:color w:val="000000"/>
        </w:rPr>
        <w:t>Myeloproliferative actively and absence of erythroid hyperplasia</w:t>
      </w:r>
      <w:r>
        <w:rPr>
          <w:rFonts w:ascii="Book Antiqua" w:eastAsiaTheme="minorEastAsia" w:hAnsi="Book Antiqua" w:cs="Book Antiqua"/>
          <w:color w:val="000000"/>
          <w:lang w:eastAsia="zh-CN"/>
        </w:rPr>
        <w:t>; B:</w:t>
      </w:r>
      <w:r>
        <w:rPr>
          <w:rFonts w:ascii="Book Antiqua" w:eastAsia="Book Antiqua" w:hAnsi="Book Antiqua" w:cs="Book Antiqua"/>
          <w:color w:val="000000"/>
        </w:rPr>
        <w:t xml:space="preserve"> Large granular lymphocyte (arrowheads)</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A and B: Wright staining, 1000</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w:t>
      </w:r>
    </w:p>
    <w:p w14:paraId="2DFF7BF1" w14:textId="77777777" w:rsidR="00B7304C" w:rsidRDefault="00F37F09">
      <w:pPr>
        <w:spacing w:after="0" w:line="360" w:lineRule="auto"/>
        <w:jc w:val="both"/>
        <w:rPr>
          <w:rFonts w:ascii="Book Antiqua" w:eastAsiaTheme="minorEastAsia" w:hAnsi="Book Antiqua"/>
          <w:b/>
          <w:lang w:eastAsia="zh-CN"/>
        </w:rPr>
      </w:pPr>
      <w:r>
        <w:rPr>
          <w:rFonts w:ascii="Book Antiqua" w:eastAsiaTheme="minorEastAsia" w:hAnsi="Book Antiqua" w:cs="Book Antiqua"/>
          <w:color w:val="000000"/>
          <w:lang w:eastAsia="zh-CN"/>
        </w:rPr>
        <w:br w:type="page"/>
      </w:r>
      <w:r>
        <w:rPr>
          <w:rFonts w:ascii="Book Antiqua" w:hAnsi="Book Antiqua"/>
          <w:noProof/>
          <w:lang w:eastAsia="zh-CN"/>
        </w:rPr>
        <w:lastRenderedPageBreak/>
        <w:drawing>
          <wp:inline distT="0" distB="0" distL="0" distR="0" wp14:anchorId="718B8E4B" wp14:editId="11DEBC4C">
            <wp:extent cx="5364480" cy="2225040"/>
            <wp:effectExtent l="0" t="0" r="762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364945" cy="2225233"/>
                    </a:xfrm>
                    <a:prstGeom prst="rect">
                      <a:avLst/>
                    </a:prstGeom>
                  </pic:spPr>
                </pic:pic>
              </a:graphicData>
            </a:graphic>
          </wp:inline>
        </w:drawing>
      </w:r>
    </w:p>
    <w:p w14:paraId="3D429F1F" w14:textId="77777777" w:rsidR="00B7304C" w:rsidRDefault="00F37F09">
      <w:pPr>
        <w:spacing w:after="0" w:line="360" w:lineRule="auto"/>
        <w:jc w:val="both"/>
        <w:rPr>
          <w:rFonts w:ascii="Book Antiqua" w:eastAsiaTheme="minorEastAsia" w:hAnsi="Book Antiqua" w:cs="Book Antiqua"/>
          <w:color w:val="000000"/>
          <w:lang w:eastAsia="zh-CN"/>
        </w:rPr>
      </w:pPr>
      <w:r>
        <w:rPr>
          <w:rFonts w:ascii="Book Antiqua" w:eastAsia="Book Antiqua" w:hAnsi="Book Antiqua" w:cs="Book Antiqua"/>
          <w:b/>
          <w:bCs/>
          <w:color w:val="000000"/>
        </w:rPr>
        <w:t>Fig</w:t>
      </w:r>
      <w:r>
        <w:rPr>
          <w:rFonts w:ascii="Book Antiqua" w:eastAsiaTheme="minorEastAsia" w:hAnsi="Book Antiqua" w:cs="Book Antiqua"/>
          <w:b/>
          <w:bCs/>
          <w:color w:val="000000"/>
          <w:lang w:eastAsia="zh-CN"/>
        </w:rPr>
        <w:t>ure</w:t>
      </w:r>
      <w:r>
        <w:rPr>
          <w:rFonts w:ascii="Book Antiqua" w:eastAsia="Book Antiqua" w:hAnsi="Book Antiqua" w:cs="Book Antiqua"/>
          <w:b/>
          <w:bCs/>
          <w:color w:val="000000"/>
        </w:rPr>
        <w:t xml:space="preserve"> 2 </w:t>
      </w:r>
      <w:r>
        <w:rPr>
          <w:rFonts w:ascii="Book Antiqua" w:eastAsia="Book Antiqua" w:hAnsi="Book Antiqua" w:cs="Book Antiqua"/>
          <w:b/>
          <w:color w:val="000000"/>
        </w:rPr>
        <w:t>Histopathology of bone marrow tissue</w:t>
      </w:r>
      <w:r>
        <w:rPr>
          <w:rFonts w:ascii="Book Antiqua" w:eastAsiaTheme="minorEastAsia" w:hAnsi="Book Antiqua" w:cs="Book Antiqua"/>
          <w:b/>
          <w:color w:val="000000"/>
          <w:lang w:eastAsia="zh-CN"/>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Large granular lymphocyte (arrowheads) (hematoxylin and eosin staining, 1000</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color w:val="000000"/>
          <w:lang w:eastAsia="zh-CN"/>
        </w:rPr>
        <w:t>.</w:t>
      </w:r>
    </w:p>
    <w:p w14:paraId="3FDF488B" w14:textId="77777777" w:rsidR="00B7304C" w:rsidRDefault="00F37F09">
      <w:pPr>
        <w:spacing w:after="0" w:line="360" w:lineRule="auto"/>
        <w:jc w:val="both"/>
        <w:rPr>
          <w:rFonts w:ascii="Book Antiqua" w:eastAsiaTheme="minorEastAsia" w:hAnsi="Book Antiqua" w:cs="Book Antiqua"/>
          <w:color w:val="000000"/>
          <w:lang w:eastAsia="zh-CN"/>
        </w:rPr>
      </w:pPr>
      <w:r>
        <w:rPr>
          <w:rFonts w:ascii="Book Antiqua" w:eastAsiaTheme="minorEastAsia" w:hAnsi="Book Antiqua" w:cs="Book Antiqua"/>
          <w:color w:val="000000"/>
          <w:lang w:eastAsia="zh-CN"/>
        </w:rPr>
        <w:br w:type="page"/>
      </w:r>
      <w:r>
        <w:rPr>
          <w:rFonts w:ascii="Book Antiqua" w:hAnsi="Book Antiqua"/>
          <w:noProof/>
          <w:lang w:eastAsia="zh-CN"/>
        </w:rPr>
        <w:lastRenderedPageBreak/>
        <w:drawing>
          <wp:inline distT="0" distB="0" distL="0" distR="0" wp14:anchorId="28EA7C90" wp14:editId="46B968B1">
            <wp:extent cx="5486400" cy="306197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486400" cy="3061970"/>
                    </a:xfrm>
                    <a:prstGeom prst="rect">
                      <a:avLst/>
                    </a:prstGeom>
                  </pic:spPr>
                </pic:pic>
              </a:graphicData>
            </a:graphic>
          </wp:inline>
        </w:drawing>
      </w:r>
    </w:p>
    <w:p w14:paraId="73EEE5FE" w14:textId="77777777" w:rsidR="00B7304C" w:rsidRDefault="00F37F09">
      <w:pPr>
        <w:spacing w:after="0" w:line="360" w:lineRule="auto"/>
        <w:jc w:val="both"/>
        <w:rPr>
          <w:rFonts w:ascii="Book Antiqua" w:eastAsiaTheme="minorEastAsia" w:hAnsi="Book Antiqua" w:cs="Book Antiqua"/>
          <w:color w:val="000000"/>
          <w:lang w:eastAsia="zh-CN"/>
        </w:rPr>
      </w:pPr>
      <w:r>
        <w:rPr>
          <w:rFonts w:ascii="Book Antiqua" w:eastAsia="Book Antiqua" w:hAnsi="Book Antiqua" w:cs="Book Antiqua"/>
          <w:b/>
          <w:bCs/>
          <w:color w:val="000000"/>
        </w:rPr>
        <w:t>Fig</w:t>
      </w:r>
      <w:r>
        <w:rPr>
          <w:rFonts w:ascii="Book Antiqua" w:eastAsiaTheme="minorEastAsia" w:hAnsi="Book Antiqua" w:cs="Book Antiqua"/>
          <w:b/>
          <w:bCs/>
          <w:color w:val="000000"/>
          <w:lang w:eastAsia="zh-CN"/>
        </w:rPr>
        <w:t>ure</w:t>
      </w:r>
      <w:r>
        <w:rPr>
          <w:rFonts w:ascii="Book Antiqua" w:eastAsia="Book Antiqua" w:hAnsi="Book Antiqua" w:cs="Book Antiqua"/>
          <w:b/>
          <w:bCs/>
          <w:color w:val="000000"/>
        </w:rPr>
        <w:t xml:space="preserve"> 3</w:t>
      </w:r>
      <w:r>
        <w:rPr>
          <w:rStyle w:val="15"/>
          <w:rFonts w:ascii="Book Antiqua" w:eastAsiaTheme="minorEastAsia" w:hAnsi="Book Antiqua" w:cs="Book Antiqua"/>
          <w:b/>
          <w:bCs/>
          <w:color w:val="000000"/>
          <w:lang w:eastAsia="zh-CN"/>
        </w:rPr>
        <w:t xml:space="preserve"> </w:t>
      </w:r>
      <w:r>
        <w:rPr>
          <w:rFonts w:ascii="Book Antiqua" w:eastAsia="Book Antiqua" w:hAnsi="Book Antiqua" w:cs="Book Antiqua"/>
          <w:b/>
          <w:color w:val="000000"/>
        </w:rPr>
        <w:t>Immunophenotype of bone marrow by flow cytometry</w:t>
      </w:r>
      <w:r>
        <w:rPr>
          <w:rFonts w:ascii="Book Antiqua" w:eastAsiaTheme="minorEastAsia" w:hAnsi="Book Antiqua" w:cs="Book Antiqua"/>
          <w:b/>
          <w:color w:val="000000"/>
          <w:lang w:eastAsia="zh-CN"/>
        </w:rPr>
        <w:t xml:space="preserve">. </w:t>
      </w:r>
      <w:r>
        <w:rPr>
          <w:rFonts w:ascii="Book Antiqua" w:eastAsiaTheme="minorEastAsia" w:hAnsi="Book Antiqua" w:cs="Book Antiqua"/>
          <w:color w:val="000000"/>
          <w:lang w:eastAsia="zh-CN"/>
        </w:rPr>
        <w:t xml:space="preserve">A: CD4 PE; B: CD8 </w:t>
      </w:r>
      <w:r>
        <w:rPr>
          <w:rFonts w:ascii="Book Antiqua" w:hAnsi="Book Antiqua"/>
          <w:color w:val="4D5156"/>
          <w:shd w:val="clear" w:color="auto" w:fill="FFFFFF"/>
        </w:rPr>
        <w:t>fluorescein isothiocyanate </w:t>
      </w:r>
      <w:r>
        <w:rPr>
          <w:rFonts w:ascii="Book Antiqua" w:eastAsiaTheme="minorEastAsia" w:hAnsi="Book Antiqua" w:cs="Book Antiqua"/>
          <w:color w:val="000000"/>
          <w:lang w:eastAsia="zh-CN"/>
        </w:rPr>
        <w:t xml:space="preserve">(FITC); C: CD57 FITC; D: CD56 PECY5; E: CD5 FITC; F: CD7 PE; G: </w:t>
      </w:r>
      <w:r>
        <w:rPr>
          <w:rFonts w:ascii="Book Antiqua" w:eastAsia="Book Antiqua" w:hAnsi="Book Antiqua" w:cs="Book Antiqua"/>
          <w:color w:val="000000"/>
        </w:rPr>
        <w:t>T-cell receptors</w:t>
      </w:r>
      <w:r>
        <w:rPr>
          <w:rFonts w:ascii="Book Antiqua" w:eastAsiaTheme="minorEastAsia" w:hAnsi="Book Antiqua" w:cs="Book Antiqua"/>
          <w:color w:val="000000"/>
          <w:lang w:eastAsia="zh-CN"/>
        </w:rPr>
        <w:t xml:space="preserve"> ab FITC; H: TCRgd PE. TCR: </w:t>
      </w:r>
      <w:r>
        <w:rPr>
          <w:rFonts w:ascii="Book Antiqua" w:eastAsia="Book Antiqua" w:hAnsi="Book Antiqua" w:cs="Book Antiqua"/>
          <w:color w:val="000000"/>
        </w:rPr>
        <w:t>T-cell receptors</w:t>
      </w:r>
      <w:r>
        <w:rPr>
          <w:rFonts w:ascii="Book Antiqua" w:eastAsiaTheme="minorEastAsia" w:hAnsi="Book Antiqua" w:cs="Book Antiqua"/>
          <w:color w:val="000000"/>
          <w:lang w:eastAsia="zh-CN"/>
        </w:rPr>
        <w:t>.</w:t>
      </w:r>
    </w:p>
    <w:p w14:paraId="2EFA37E3" w14:textId="77777777" w:rsidR="00B7304C" w:rsidRDefault="00F37F09">
      <w:pPr>
        <w:spacing w:after="0" w:line="360" w:lineRule="auto"/>
        <w:jc w:val="both"/>
        <w:rPr>
          <w:rFonts w:ascii="Book Antiqua" w:eastAsiaTheme="minorEastAsia" w:hAnsi="Book Antiqua"/>
          <w:lang w:eastAsia="zh-CN"/>
        </w:rPr>
      </w:pPr>
      <w:r>
        <w:rPr>
          <w:rFonts w:ascii="Book Antiqua" w:eastAsiaTheme="minorEastAsia" w:hAnsi="Book Antiqua"/>
          <w:lang w:eastAsia="zh-CN"/>
        </w:rPr>
        <w:br w:type="page"/>
      </w:r>
      <w:r>
        <w:rPr>
          <w:rFonts w:ascii="Book Antiqua" w:hAnsi="Book Antiqua"/>
          <w:noProof/>
          <w:lang w:eastAsia="zh-CN"/>
        </w:rPr>
        <w:lastRenderedPageBreak/>
        <w:drawing>
          <wp:inline distT="0" distB="0" distL="0" distR="0" wp14:anchorId="51F239F9" wp14:editId="54A6DFF8">
            <wp:extent cx="5486400" cy="41833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486400" cy="4183380"/>
                    </a:xfrm>
                    <a:prstGeom prst="rect">
                      <a:avLst/>
                    </a:prstGeom>
                  </pic:spPr>
                </pic:pic>
              </a:graphicData>
            </a:graphic>
          </wp:inline>
        </w:drawing>
      </w:r>
    </w:p>
    <w:p w14:paraId="503EC79F" w14:textId="77777777" w:rsidR="00B7304C" w:rsidRDefault="00F37F09">
      <w:pPr>
        <w:spacing w:after="0" w:line="360" w:lineRule="auto"/>
        <w:contextualSpacing/>
        <w:jc w:val="both"/>
        <w:rPr>
          <w:rFonts w:ascii="Book Antiqua" w:eastAsiaTheme="minorEastAsia" w:hAnsi="Book Antiqua" w:cs="Book Antiqua"/>
          <w:b/>
          <w:color w:val="000000"/>
          <w:lang w:eastAsia="zh-CN"/>
        </w:rPr>
      </w:pPr>
      <w:r>
        <w:rPr>
          <w:rFonts w:ascii="Book Antiqua" w:eastAsia="Book Antiqua" w:hAnsi="Book Antiqua" w:cs="Book Antiqua"/>
          <w:b/>
          <w:bCs/>
          <w:color w:val="000000"/>
        </w:rPr>
        <w:t>Fig</w:t>
      </w:r>
      <w:r>
        <w:rPr>
          <w:rFonts w:ascii="Book Antiqua" w:eastAsiaTheme="minorEastAsia" w:hAnsi="Book Antiqua" w:cs="Book Antiqua"/>
          <w:b/>
          <w:bCs/>
          <w:color w:val="000000"/>
          <w:lang w:eastAsia="zh-CN"/>
        </w:rPr>
        <w:t>ure</w:t>
      </w:r>
      <w:r>
        <w:rPr>
          <w:rFonts w:ascii="Book Antiqua" w:eastAsia="Book Antiqua" w:hAnsi="Book Antiqua" w:cs="Book Antiqua"/>
          <w:b/>
          <w:bCs/>
          <w:color w:val="000000"/>
        </w:rPr>
        <w:t xml:space="preserve"> 4 </w:t>
      </w:r>
      <w:r>
        <w:rPr>
          <w:rFonts w:ascii="Book Antiqua" w:eastAsia="Book Antiqua" w:hAnsi="Book Antiqua" w:cs="Book Antiqua"/>
          <w:b/>
          <w:color w:val="000000"/>
        </w:rPr>
        <w:t>Monoclonal T-cell receptors rearrangement of bone marrow</w:t>
      </w:r>
      <w:r>
        <w:rPr>
          <w:rFonts w:ascii="Book Antiqua" w:eastAsiaTheme="minorEastAsia" w:hAnsi="Book Antiqua" w:cs="Book Antiqua"/>
          <w:b/>
          <w:color w:val="000000"/>
          <w:lang w:eastAsia="zh-CN"/>
        </w:rPr>
        <w:t>.</w:t>
      </w:r>
    </w:p>
    <w:p w14:paraId="137CF588" w14:textId="40152FA9" w:rsidR="00C21E83" w:rsidRDefault="00C21E83">
      <w:pPr>
        <w:spacing w:after="0" w:line="240" w:lineRule="auto"/>
        <w:rPr>
          <w:rFonts w:ascii="Book Antiqua" w:hAnsi="Book Antiqua"/>
        </w:rPr>
      </w:pPr>
      <w:r>
        <w:rPr>
          <w:rFonts w:ascii="Book Antiqua" w:hAnsi="Book Antiqua"/>
        </w:rPr>
        <w:br w:type="page"/>
      </w:r>
    </w:p>
    <w:p w14:paraId="25BB0935" w14:textId="77777777" w:rsidR="00C21E83" w:rsidRDefault="00C21E83" w:rsidP="00C21E83">
      <w:pPr>
        <w:jc w:val="center"/>
        <w:rPr>
          <w:rFonts w:ascii="Book Antiqua" w:hAnsi="Book Antiqua"/>
          <w:lang w:eastAsia="zh-CN"/>
        </w:rPr>
      </w:pPr>
    </w:p>
    <w:p w14:paraId="135CF7BF" w14:textId="77777777" w:rsidR="00C21E83" w:rsidRDefault="00C21E83" w:rsidP="00C21E83">
      <w:pPr>
        <w:jc w:val="center"/>
        <w:rPr>
          <w:rFonts w:ascii="Book Antiqua" w:hAnsi="Book Antiqua"/>
          <w:lang w:eastAsia="zh-CN"/>
        </w:rPr>
      </w:pPr>
    </w:p>
    <w:p w14:paraId="7099046B" w14:textId="77777777" w:rsidR="00C21E83" w:rsidRDefault="00C21E83" w:rsidP="00C21E83">
      <w:pPr>
        <w:jc w:val="center"/>
        <w:rPr>
          <w:rFonts w:ascii="Book Antiqua" w:hAnsi="Book Antiqua"/>
          <w:lang w:eastAsia="zh-CN"/>
        </w:rPr>
      </w:pPr>
    </w:p>
    <w:p w14:paraId="394B7941" w14:textId="77777777" w:rsidR="00C21E83" w:rsidRDefault="00C21E83" w:rsidP="00C21E83">
      <w:pPr>
        <w:jc w:val="center"/>
        <w:rPr>
          <w:rFonts w:ascii="Book Antiqua" w:hAnsi="Book Antiqua"/>
          <w:lang w:eastAsia="zh-CN"/>
        </w:rPr>
      </w:pPr>
    </w:p>
    <w:p w14:paraId="1F777A2C" w14:textId="77777777" w:rsidR="00C21E83" w:rsidRDefault="00C21E83" w:rsidP="00C21E83">
      <w:pPr>
        <w:jc w:val="center"/>
        <w:rPr>
          <w:rFonts w:ascii="Book Antiqua" w:hAnsi="Book Antiqua"/>
          <w:lang w:eastAsia="zh-CN"/>
        </w:rPr>
      </w:pPr>
    </w:p>
    <w:p w14:paraId="4596AF5E" w14:textId="77777777" w:rsidR="00C21E83" w:rsidRDefault="00C21E83" w:rsidP="00C21E83">
      <w:pPr>
        <w:jc w:val="center"/>
        <w:rPr>
          <w:rFonts w:ascii="Book Antiqua" w:hAnsi="Book Antiqua"/>
          <w:lang w:eastAsia="zh-CN"/>
        </w:rPr>
      </w:pPr>
      <w:r>
        <w:rPr>
          <w:rFonts w:ascii="Book Antiqua" w:hAnsi="Book Antiqua"/>
          <w:noProof/>
          <w:lang w:eastAsia="zh-CN"/>
        </w:rPr>
        <w:drawing>
          <wp:inline distT="0" distB="0" distL="0" distR="0" wp14:anchorId="45ED1965" wp14:editId="33F40B16">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0D28AA1" w14:textId="77777777" w:rsidR="00C21E83" w:rsidRDefault="00C21E83" w:rsidP="00C21E83">
      <w:pPr>
        <w:jc w:val="center"/>
        <w:rPr>
          <w:rFonts w:ascii="Book Antiqua" w:hAnsi="Book Antiqua"/>
          <w:lang w:eastAsia="zh-CN"/>
        </w:rPr>
      </w:pPr>
    </w:p>
    <w:p w14:paraId="681D2863" w14:textId="77777777" w:rsidR="00C21E83" w:rsidRPr="00763D22" w:rsidRDefault="00C21E83" w:rsidP="00C21E8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1A35F5E" w14:textId="77777777" w:rsidR="00C21E83" w:rsidRPr="00763D22" w:rsidRDefault="00C21E83" w:rsidP="00C21E8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38E673A" w14:textId="77777777" w:rsidR="00C21E83" w:rsidRPr="00763D22" w:rsidRDefault="00C21E83" w:rsidP="00C21E8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91AD9E2" w14:textId="77777777" w:rsidR="00C21E83" w:rsidRPr="00763D22" w:rsidRDefault="00C21E83" w:rsidP="00C21E8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625ADB0" w14:textId="77777777" w:rsidR="00C21E83" w:rsidRPr="00763D22" w:rsidRDefault="00C21E83" w:rsidP="00C21E8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E84F2B5" w14:textId="77777777" w:rsidR="00C21E83" w:rsidRPr="00763D22" w:rsidRDefault="00C21E83" w:rsidP="00C21E83">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D5FE552" w14:textId="77777777" w:rsidR="00C21E83" w:rsidRDefault="00C21E83" w:rsidP="00C21E83">
      <w:pPr>
        <w:jc w:val="center"/>
        <w:rPr>
          <w:rFonts w:ascii="Book Antiqua" w:hAnsi="Book Antiqua"/>
          <w:lang w:eastAsia="zh-CN"/>
        </w:rPr>
      </w:pPr>
    </w:p>
    <w:p w14:paraId="32ED2CEB" w14:textId="77777777" w:rsidR="00C21E83" w:rsidRDefault="00C21E83" w:rsidP="00C21E83">
      <w:pPr>
        <w:jc w:val="center"/>
        <w:rPr>
          <w:rFonts w:ascii="Book Antiqua" w:hAnsi="Book Antiqua"/>
          <w:lang w:eastAsia="zh-CN"/>
        </w:rPr>
      </w:pPr>
    </w:p>
    <w:p w14:paraId="4FE0FAB4" w14:textId="77777777" w:rsidR="00C21E83" w:rsidRDefault="00C21E83" w:rsidP="00C21E83">
      <w:pPr>
        <w:jc w:val="center"/>
        <w:rPr>
          <w:rFonts w:ascii="Book Antiqua" w:hAnsi="Book Antiqua"/>
          <w:lang w:eastAsia="zh-CN"/>
        </w:rPr>
      </w:pPr>
    </w:p>
    <w:p w14:paraId="04FEA23D" w14:textId="77777777" w:rsidR="00C21E83" w:rsidRDefault="00C21E83" w:rsidP="00C21E83">
      <w:pPr>
        <w:jc w:val="center"/>
        <w:rPr>
          <w:rFonts w:ascii="Book Antiqua" w:hAnsi="Book Antiqua"/>
          <w:lang w:eastAsia="zh-CN"/>
        </w:rPr>
      </w:pPr>
      <w:r>
        <w:rPr>
          <w:rFonts w:ascii="Book Antiqua" w:hAnsi="Book Antiqua"/>
          <w:noProof/>
          <w:lang w:eastAsia="zh-CN"/>
        </w:rPr>
        <w:drawing>
          <wp:inline distT="0" distB="0" distL="0" distR="0" wp14:anchorId="345A2B33" wp14:editId="0238261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7A29F48" w14:textId="77777777" w:rsidR="00C21E83" w:rsidRDefault="00C21E83" w:rsidP="00C21E83">
      <w:pPr>
        <w:jc w:val="center"/>
        <w:rPr>
          <w:rFonts w:ascii="Book Antiqua" w:hAnsi="Book Antiqua"/>
          <w:lang w:eastAsia="zh-CN"/>
        </w:rPr>
      </w:pPr>
    </w:p>
    <w:p w14:paraId="74C54B92" w14:textId="77777777" w:rsidR="00C21E83" w:rsidRDefault="00C21E83" w:rsidP="00C21E83">
      <w:pPr>
        <w:jc w:val="center"/>
        <w:rPr>
          <w:rFonts w:ascii="Book Antiqua" w:hAnsi="Book Antiqua"/>
          <w:lang w:eastAsia="zh-CN"/>
        </w:rPr>
      </w:pPr>
    </w:p>
    <w:p w14:paraId="4FF105A4" w14:textId="77777777" w:rsidR="00C21E83" w:rsidRDefault="00C21E83" w:rsidP="00C21E83">
      <w:pPr>
        <w:jc w:val="center"/>
        <w:rPr>
          <w:rFonts w:ascii="Book Antiqua" w:hAnsi="Book Antiqua"/>
          <w:lang w:eastAsia="zh-CN"/>
        </w:rPr>
      </w:pPr>
    </w:p>
    <w:p w14:paraId="6C724A1B" w14:textId="77777777" w:rsidR="00C21E83" w:rsidRDefault="00C21E83" w:rsidP="00C21E83">
      <w:pPr>
        <w:jc w:val="center"/>
        <w:rPr>
          <w:rFonts w:ascii="Book Antiqua" w:hAnsi="Book Antiqua"/>
          <w:lang w:eastAsia="zh-CN"/>
        </w:rPr>
      </w:pPr>
    </w:p>
    <w:p w14:paraId="7791CC5D" w14:textId="77777777" w:rsidR="00C21E83" w:rsidRDefault="00C21E83" w:rsidP="00C21E83">
      <w:pPr>
        <w:jc w:val="center"/>
        <w:rPr>
          <w:rFonts w:ascii="Book Antiqua" w:hAnsi="Book Antiqua"/>
          <w:lang w:eastAsia="zh-CN"/>
        </w:rPr>
      </w:pPr>
    </w:p>
    <w:p w14:paraId="2F5A14FB" w14:textId="77777777" w:rsidR="00C21E83" w:rsidRDefault="00C21E83" w:rsidP="00C21E83">
      <w:pPr>
        <w:jc w:val="center"/>
        <w:rPr>
          <w:rFonts w:ascii="Book Antiqua" w:hAnsi="Book Antiqua"/>
          <w:lang w:eastAsia="zh-CN"/>
        </w:rPr>
      </w:pPr>
    </w:p>
    <w:p w14:paraId="2DE3AB24" w14:textId="77777777" w:rsidR="00C21E83" w:rsidRDefault="00C21E83" w:rsidP="00C21E83">
      <w:pPr>
        <w:jc w:val="center"/>
        <w:rPr>
          <w:rFonts w:ascii="Book Antiqua" w:hAnsi="Book Antiqua"/>
          <w:lang w:eastAsia="zh-CN"/>
        </w:rPr>
      </w:pPr>
    </w:p>
    <w:p w14:paraId="12294246" w14:textId="77777777" w:rsidR="00C21E83" w:rsidRDefault="00C21E83" w:rsidP="00C21E83">
      <w:pPr>
        <w:jc w:val="center"/>
        <w:rPr>
          <w:rFonts w:ascii="Book Antiqua" w:hAnsi="Book Antiqua"/>
          <w:lang w:eastAsia="zh-CN"/>
        </w:rPr>
      </w:pPr>
    </w:p>
    <w:p w14:paraId="53E021C3" w14:textId="77777777" w:rsidR="00C21E83" w:rsidRDefault="00C21E83" w:rsidP="00C21E83">
      <w:pPr>
        <w:jc w:val="center"/>
        <w:rPr>
          <w:rFonts w:ascii="Book Antiqua" w:hAnsi="Book Antiqua"/>
          <w:lang w:eastAsia="zh-CN"/>
        </w:rPr>
      </w:pPr>
    </w:p>
    <w:p w14:paraId="587C27BB" w14:textId="77777777" w:rsidR="00C21E83" w:rsidRPr="00763D22" w:rsidRDefault="00C21E83" w:rsidP="00C21E83">
      <w:pPr>
        <w:jc w:val="right"/>
        <w:rPr>
          <w:rFonts w:ascii="Book Antiqua" w:hAnsi="Book Antiqua"/>
          <w:color w:val="000000" w:themeColor="text1"/>
          <w:lang w:eastAsia="zh-CN"/>
        </w:rPr>
      </w:pPr>
    </w:p>
    <w:p w14:paraId="2E0D0E5F" w14:textId="77777777" w:rsidR="00C21E83" w:rsidRPr="00763D22" w:rsidRDefault="00C21E83" w:rsidP="00C21E83">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7D23154" w14:textId="77777777" w:rsidR="00B7304C" w:rsidRDefault="00B7304C">
      <w:pPr>
        <w:spacing w:after="0" w:line="360" w:lineRule="auto"/>
        <w:contextualSpacing/>
        <w:jc w:val="both"/>
        <w:rPr>
          <w:rFonts w:ascii="Book Antiqua" w:hAnsi="Book Antiqua"/>
        </w:rPr>
      </w:pPr>
    </w:p>
    <w:sectPr w:rsidR="00B730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DADEA" w14:textId="77777777" w:rsidR="00465BE0" w:rsidRDefault="00465BE0">
      <w:pPr>
        <w:spacing w:after="0" w:line="240" w:lineRule="auto"/>
      </w:pPr>
      <w:r>
        <w:separator/>
      </w:r>
    </w:p>
  </w:endnote>
  <w:endnote w:type="continuationSeparator" w:id="0">
    <w:p w14:paraId="1DF7F681" w14:textId="77777777" w:rsidR="00465BE0" w:rsidRDefault="00465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00"/>
    <w:family w:val="roman"/>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6100985"/>
      <w:docPartObj>
        <w:docPartGallery w:val="AutoText"/>
      </w:docPartObj>
    </w:sdtPr>
    <w:sdtEndPr>
      <w:rPr>
        <w:rFonts w:ascii="Book Antiqua" w:hAnsi="Book Antiqua"/>
      </w:rPr>
    </w:sdtEndPr>
    <w:sdtContent>
      <w:sdt>
        <w:sdtPr>
          <w:id w:val="860082579"/>
          <w:docPartObj>
            <w:docPartGallery w:val="AutoText"/>
          </w:docPartObj>
        </w:sdtPr>
        <w:sdtEndPr>
          <w:rPr>
            <w:rFonts w:ascii="Book Antiqua" w:hAnsi="Book Antiqua"/>
          </w:rPr>
        </w:sdtEndPr>
        <w:sdtContent>
          <w:p w14:paraId="2092EFF9" w14:textId="77777777" w:rsidR="00B7304C" w:rsidRDefault="00F37F09">
            <w:pPr>
              <w:pStyle w:val="a7"/>
              <w:jc w:val="right"/>
              <w:rPr>
                <w:rFonts w:ascii="Book Antiqua" w:hAnsi="Book Antiqua"/>
              </w:rPr>
            </w:pPr>
            <w:r>
              <w:rPr>
                <w:rFonts w:ascii="Book Antiqua" w:hAnsi="Book Antiqua"/>
                <w:lang w:val="zh-CN" w:eastAsia="zh-CN"/>
              </w:rPr>
              <w:t xml:space="preserve"> </w:t>
            </w:r>
            <w:r>
              <w:rPr>
                <w:rFonts w:ascii="Book Antiqua" w:hAnsi="Book Antiqua"/>
              </w:rPr>
              <w:fldChar w:fldCharType="begin"/>
            </w:r>
            <w:r>
              <w:rPr>
                <w:rFonts w:ascii="Book Antiqua" w:hAnsi="Book Antiqua"/>
              </w:rPr>
              <w:instrText>PAGE</w:instrText>
            </w:r>
            <w:r>
              <w:rPr>
                <w:rFonts w:ascii="Book Antiqua" w:hAnsi="Book Antiqua"/>
              </w:rPr>
              <w:fldChar w:fldCharType="separate"/>
            </w:r>
            <w:r>
              <w:rPr>
                <w:rFonts w:ascii="Book Antiqua" w:hAnsi="Book Antiqua"/>
              </w:rPr>
              <w:t>9</w:t>
            </w:r>
            <w:r>
              <w:rPr>
                <w:rFonts w:ascii="Book Antiqua" w:hAnsi="Book Antiqua"/>
              </w:rPr>
              <w:fldChar w:fldCharType="end"/>
            </w:r>
            <w:r>
              <w:rPr>
                <w:rFonts w:ascii="Book Antiqua" w:hAnsi="Book Antiqua"/>
                <w:lang w:val="zh-CN" w:eastAsia="zh-CN"/>
              </w:rPr>
              <w:t xml:space="preserve"> / </w:t>
            </w:r>
            <w:r>
              <w:rPr>
                <w:rFonts w:ascii="Book Antiqua" w:hAnsi="Book Antiqua"/>
              </w:rPr>
              <w:fldChar w:fldCharType="begin"/>
            </w:r>
            <w:r>
              <w:rPr>
                <w:rFonts w:ascii="Book Antiqua" w:hAnsi="Book Antiqua"/>
              </w:rPr>
              <w:instrText>NUMPAGES</w:instrText>
            </w:r>
            <w:r>
              <w:rPr>
                <w:rFonts w:ascii="Book Antiqua" w:hAnsi="Book Antiqua"/>
              </w:rPr>
              <w:fldChar w:fldCharType="separate"/>
            </w:r>
            <w:r>
              <w:rPr>
                <w:rFonts w:ascii="Book Antiqua" w:hAnsi="Book Antiqua"/>
              </w:rPr>
              <w:t>17</w:t>
            </w:r>
            <w:r>
              <w:rPr>
                <w:rFonts w:ascii="Book Antiqua" w:hAnsi="Book Antiqua"/>
              </w:rPr>
              <w:fldChar w:fldCharType="end"/>
            </w:r>
          </w:p>
        </w:sdtContent>
      </w:sdt>
    </w:sdtContent>
  </w:sdt>
  <w:p w14:paraId="400CE638" w14:textId="77777777" w:rsidR="00B7304C" w:rsidRDefault="00B7304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D4A8" w14:textId="77777777" w:rsidR="00465BE0" w:rsidRDefault="00465BE0">
      <w:pPr>
        <w:spacing w:after="0" w:line="240" w:lineRule="auto"/>
      </w:pPr>
      <w:r>
        <w:separator/>
      </w:r>
    </w:p>
  </w:footnote>
  <w:footnote w:type="continuationSeparator" w:id="0">
    <w:p w14:paraId="683A50E7" w14:textId="77777777" w:rsidR="00465BE0" w:rsidRDefault="00465BE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bordersDoNotSurroundHeader/>
  <w:bordersDoNotSurroundFooter/>
  <w:doNotTrackFormatting/>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intellisampler_rd 36" w:val="36"/>
    <w:docVar w:name="intellisampler_rd 38" w:val="38"/>
    <w:docVar w:name="intellisampler_rd 41" w:val="41"/>
    <w:docVar w:name="intellisampler_rd 48" w:val="48"/>
    <w:docVar w:name="intellisampler_rd 61" w:val="61"/>
    <w:docVar w:name="intellisampler_rd 64" w:val="64"/>
    <w:docVar w:name="intellisampler_rd 70" w:val="70"/>
    <w:docVar w:name="intellisampler_un 93" w:val="93"/>
    <w:docVar w:name="intellisampler_un 94" w:val="94"/>
    <w:docVar w:name="intellisampler_un 96" w:val="96"/>
    <w:docVar w:name="is_review_method" w:val="Normal"/>
    <w:docVar w:name="is_sampling_method" w:val="categorical"/>
  </w:docVars>
  <w:rsids>
    <w:rsidRoot w:val="00A77B3E"/>
    <w:rsid w:val="00002BEC"/>
    <w:rsid w:val="000560B6"/>
    <w:rsid w:val="000819BD"/>
    <w:rsid w:val="000C7D84"/>
    <w:rsid w:val="000D11E4"/>
    <w:rsid w:val="000D59F3"/>
    <w:rsid w:val="0010556D"/>
    <w:rsid w:val="00111646"/>
    <w:rsid w:val="001416B2"/>
    <w:rsid w:val="00142032"/>
    <w:rsid w:val="0014562F"/>
    <w:rsid w:val="00151434"/>
    <w:rsid w:val="00162DDA"/>
    <w:rsid w:val="001763F9"/>
    <w:rsid w:val="00177543"/>
    <w:rsid w:val="00194860"/>
    <w:rsid w:val="001B1B3E"/>
    <w:rsid w:val="001B2479"/>
    <w:rsid w:val="001C6F9E"/>
    <w:rsid w:val="001C7219"/>
    <w:rsid w:val="001E7766"/>
    <w:rsid w:val="001E7875"/>
    <w:rsid w:val="00201A05"/>
    <w:rsid w:val="00201E24"/>
    <w:rsid w:val="0020300B"/>
    <w:rsid w:val="002178B6"/>
    <w:rsid w:val="00226842"/>
    <w:rsid w:val="00235F20"/>
    <w:rsid w:val="00251EB6"/>
    <w:rsid w:val="002614D2"/>
    <w:rsid w:val="00261B22"/>
    <w:rsid w:val="002C1558"/>
    <w:rsid w:val="002C5F42"/>
    <w:rsid w:val="002D0683"/>
    <w:rsid w:val="002D2255"/>
    <w:rsid w:val="00324288"/>
    <w:rsid w:val="003323CB"/>
    <w:rsid w:val="00335AB1"/>
    <w:rsid w:val="00336D31"/>
    <w:rsid w:val="00357A40"/>
    <w:rsid w:val="00361476"/>
    <w:rsid w:val="003A4F92"/>
    <w:rsid w:val="003B3606"/>
    <w:rsid w:val="003C5248"/>
    <w:rsid w:val="003C7D62"/>
    <w:rsid w:val="003E64ED"/>
    <w:rsid w:val="003F31D8"/>
    <w:rsid w:val="004047E4"/>
    <w:rsid w:val="00407ED6"/>
    <w:rsid w:val="004107CF"/>
    <w:rsid w:val="004436F8"/>
    <w:rsid w:val="00465BE0"/>
    <w:rsid w:val="00474528"/>
    <w:rsid w:val="004770F9"/>
    <w:rsid w:val="00480FF6"/>
    <w:rsid w:val="004B46ED"/>
    <w:rsid w:val="004B64F8"/>
    <w:rsid w:val="004C20E6"/>
    <w:rsid w:val="004C43FA"/>
    <w:rsid w:val="004E10E7"/>
    <w:rsid w:val="004F5E3C"/>
    <w:rsid w:val="00505F0F"/>
    <w:rsid w:val="00514589"/>
    <w:rsid w:val="0056791F"/>
    <w:rsid w:val="00580E28"/>
    <w:rsid w:val="00584F11"/>
    <w:rsid w:val="005A187F"/>
    <w:rsid w:val="005B27BB"/>
    <w:rsid w:val="005C0BBD"/>
    <w:rsid w:val="005E73D7"/>
    <w:rsid w:val="00604BE1"/>
    <w:rsid w:val="006231D7"/>
    <w:rsid w:val="006257B0"/>
    <w:rsid w:val="00631346"/>
    <w:rsid w:val="00634BE1"/>
    <w:rsid w:val="0063505D"/>
    <w:rsid w:val="00650F68"/>
    <w:rsid w:val="0065394C"/>
    <w:rsid w:val="00664A89"/>
    <w:rsid w:val="00676724"/>
    <w:rsid w:val="0068129A"/>
    <w:rsid w:val="006827B1"/>
    <w:rsid w:val="006D5DAE"/>
    <w:rsid w:val="006F6423"/>
    <w:rsid w:val="00700595"/>
    <w:rsid w:val="00700965"/>
    <w:rsid w:val="00723946"/>
    <w:rsid w:val="00726D47"/>
    <w:rsid w:val="00726F19"/>
    <w:rsid w:val="007452FF"/>
    <w:rsid w:val="00776AFD"/>
    <w:rsid w:val="0078152D"/>
    <w:rsid w:val="00784020"/>
    <w:rsid w:val="007A4124"/>
    <w:rsid w:val="007D06F7"/>
    <w:rsid w:val="007E2916"/>
    <w:rsid w:val="0084749F"/>
    <w:rsid w:val="00852078"/>
    <w:rsid w:val="00853E89"/>
    <w:rsid w:val="00863726"/>
    <w:rsid w:val="008A1C89"/>
    <w:rsid w:val="008D408E"/>
    <w:rsid w:val="008F3C33"/>
    <w:rsid w:val="00902FF4"/>
    <w:rsid w:val="00936502"/>
    <w:rsid w:val="009449B5"/>
    <w:rsid w:val="00956249"/>
    <w:rsid w:val="00956D24"/>
    <w:rsid w:val="00983DEB"/>
    <w:rsid w:val="0099017A"/>
    <w:rsid w:val="009A03E5"/>
    <w:rsid w:val="009A161B"/>
    <w:rsid w:val="009F1749"/>
    <w:rsid w:val="00A0354C"/>
    <w:rsid w:val="00A34113"/>
    <w:rsid w:val="00A422FF"/>
    <w:rsid w:val="00A459B9"/>
    <w:rsid w:val="00A4694D"/>
    <w:rsid w:val="00A553AD"/>
    <w:rsid w:val="00A63640"/>
    <w:rsid w:val="00A77B3E"/>
    <w:rsid w:val="00A9272C"/>
    <w:rsid w:val="00A94B79"/>
    <w:rsid w:val="00A97EDF"/>
    <w:rsid w:val="00AB20C7"/>
    <w:rsid w:val="00AB629A"/>
    <w:rsid w:val="00AC67C4"/>
    <w:rsid w:val="00AC755D"/>
    <w:rsid w:val="00AD0222"/>
    <w:rsid w:val="00AD063F"/>
    <w:rsid w:val="00AE6E70"/>
    <w:rsid w:val="00B0152F"/>
    <w:rsid w:val="00B03DF8"/>
    <w:rsid w:val="00B47A8D"/>
    <w:rsid w:val="00B51A71"/>
    <w:rsid w:val="00B51C28"/>
    <w:rsid w:val="00B6663E"/>
    <w:rsid w:val="00B7304C"/>
    <w:rsid w:val="00B77333"/>
    <w:rsid w:val="00B83392"/>
    <w:rsid w:val="00B917A6"/>
    <w:rsid w:val="00BC40AE"/>
    <w:rsid w:val="00BD2913"/>
    <w:rsid w:val="00C15B2D"/>
    <w:rsid w:val="00C214CF"/>
    <w:rsid w:val="00C21E83"/>
    <w:rsid w:val="00C373E7"/>
    <w:rsid w:val="00C82CBE"/>
    <w:rsid w:val="00C84AEE"/>
    <w:rsid w:val="00C8691D"/>
    <w:rsid w:val="00CA2A55"/>
    <w:rsid w:val="00CC18C2"/>
    <w:rsid w:val="00CC1970"/>
    <w:rsid w:val="00CC29B3"/>
    <w:rsid w:val="00CE0FD5"/>
    <w:rsid w:val="00D14F88"/>
    <w:rsid w:val="00D15200"/>
    <w:rsid w:val="00D23EC4"/>
    <w:rsid w:val="00D5145F"/>
    <w:rsid w:val="00D54B4A"/>
    <w:rsid w:val="00D73022"/>
    <w:rsid w:val="00D930C9"/>
    <w:rsid w:val="00D971B8"/>
    <w:rsid w:val="00DB4A8C"/>
    <w:rsid w:val="00DD2CDC"/>
    <w:rsid w:val="00E2457D"/>
    <w:rsid w:val="00E3022F"/>
    <w:rsid w:val="00E32232"/>
    <w:rsid w:val="00E35766"/>
    <w:rsid w:val="00E970F9"/>
    <w:rsid w:val="00EA7D54"/>
    <w:rsid w:val="00ED0FD9"/>
    <w:rsid w:val="00EE0502"/>
    <w:rsid w:val="00EF7EAF"/>
    <w:rsid w:val="00F04ED5"/>
    <w:rsid w:val="00F054A0"/>
    <w:rsid w:val="00F3589C"/>
    <w:rsid w:val="00F37F09"/>
    <w:rsid w:val="00F429B8"/>
    <w:rsid w:val="00F5359B"/>
    <w:rsid w:val="00F630F5"/>
    <w:rsid w:val="00F66BA3"/>
    <w:rsid w:val="00F80011"/>
    <w:rsid w:val="00F904EC"/>
    <w:rsid w:val="00FA030F"/>
    <w:rsid w:val="00FA5B3D"/>
    <w:rsid w:val="00FB5EFB"/>
    <w:rsid w:val="00FE44FC"/>
    <w:rsid w:val="00FF7A8E"/>
    <w:rsid w:val="01000385"/>
    <w:rsid w:val="01AF4B4C"/>
    <w:rsid w:val="021A5D01"/>
    <w:rsid w:val="021F0002"/>
    <w:rsid w:val="02286149"/>
    <w:rsid w:val="02976AEC"/>
    <w:rsid w:val="03093DC7"/>
    <w:rsid w:val="03AC52EF"/>
    <w:rsid w:val="047C06AF"/>
    <w:rsid w:val="04914520"/>
    <w:rsid w:val="049E76BB"/>
    <w:rsid w:val="04AB6D00"/>
    <w:rsid w:val="04AD6DB7"/>
    <w:rsid w:val="04B41E7D"/>
    <w:rsid w:val="04BD66C6"/>
    <w:rsid w:val="05467DA6"/>
    <w:rsid w:val="058C13E8"/>
    <w:rsid w:val="05B41CC3"/>
    <w:rsid w:val="05B44B85"/>
    <w:rsid w:val="05C302CD"/>
    <w:rsid w:val="05F6603D"/>
    <w:rsid w:val="060B4B27"/>
    <w:rsid w:val="069A2719"/>
    <w:rsid w:val="069E41BE"/>
    <w:rsid w:val="06F3431E"/>
    <w:rsid w:val="06F67FF8"/>
    <w:rsid w:val="07867F6C"/>
    <w:rsid w:val="07D5060C"/>
    <w:rsid w:val="07ED68FE"/>
    <w:rsid w:val="07FE2749"/>
    <w:rsid w:val="080709DA"/>
    <w:rsid w:val="087865D6"/>
    <w:rsid w:val="091E1606"/>
    <w:rsid w:val="09207506"/>
    <w:rsid w:val="096335DA"/>
    <w:rsid w:val="0A3179A5"/>
    <w:rsid w:val="0A4C0DE4"/>
    <w:rsid w:val="0A7813E2"/>
    <w:rsid w:val="0A966C65"/>
    <w:rsid w:val="0ACF0594"/>
    <w:rsid w:val="0B4A3CD3"/>
    <w:rsid w:val="0B610C93"/>
    <w:rsid w:val="0BF260F3"/>
    <w:rsid w:val="0C591F21"/>
    <w:rsid w:val="0C73073C"/>
    <w:rsid w:val="0C7D1891"/>
    <w:rsid w:val="0C962EB9"/>
    <w:rsid w:val="0CDC4642"/>
    <w:rsid w:val="0CF60593"/>
    <w:rsid w:val="0D836F2D"/>
    <w:rsid w:val="0DB60336"/>
    <w:rsid w:val="0DE170CE"/>
    <w:rsid w:val="0E0B1470"/>
    <w:rsid w:val="0EAD5410"/>
    <w:rsid w:val="0F113FC1"/>
    <w:rsid w:val="102E7622"/>
    <w:rsid w:val="10926746"/>
    <w:rsid w:val="10C87842"/>
    <w:rsid w:val="10E27CF0"/>
    <w:rsid w:val="11621D1E"/>
    <w:rsid w:val="11625B06"/>
    <w:rsid w:val="11A86DCE"/>
    <w:rsid w:val="11CB3441"/>
    <w:rsid w:val="11D1316A"/>
    <w:rsid w:val="11F54194"/>
    <w:rsid w:val="11FE39C0"/>
    <w:rsid w:val="12411915"/>
    <w:rsid w:val="131D0208"/>
    <w:rsid w:val="133046B0"/>
    <w:rsid w:val="1355025F"/>
    <w:rsid w:val="13C21ACE"/>
    <w:rsid w:val="140C10CC"/>
    <w:rsid w:val="14331F13"/>
    <w:rsid w:val="147A47A6"/>
    <w:rsid w:val="148E7949"/>
    <w:rsid w:val="15324FC0"/>
    <w:rsid w:val="15AB6850"/>
    <w:rsid w:val="15BF025D"/>
    <w:rsid w:val="16004B06"/>
    <w:rsid w:val="162C1C71"/>
    <w:rsid w:val="16406906"/>
    <w:rsid w:val="16455F1C"/>
    <w:rsid w:val="165F4960"/>
    <w:rsid w:val="16CE26EA"/>
    <w:rsid w:val="16D90E46"/>
    <w:rsid w:val="17116AAC"/>
    <w:rsid w:val="17455827"/>
    <w:rsid w:val="17456778"/>
    <w:rsid w:val="17673ED1"/>
    <w:rsid w:val="18517F3F"/>
    <w:rsid w:val="18702265"/>
    <w:rsid w:val="18CD25F8"/>
    <w:rsid w:val="197C6A82"/>
    <w:rsid w:val="197F37AD"/>
    <w:rsid w:val="19A92036"/>
    <w:rsid w:val="19E63032"/>
    <w:rsid w:val="1B162C04"/>
    <w:rsid w:val="1B960580"/>
    <w:rsid w:val="1BE54E40"/>
    <w:rsid w:val="1BEB7FE0"/>
    <w:rsid w:val="1BF164FB"/>
    <w:rsid w:val="1C392BED"/>
    <w:rsid w:val="1C70337C"/>
    <w:rsid w:val="1C744084"/>
    <w:rsid w:val="1C9227E4"/>
    <w:rsid w:val="1CD21C8D"/>
    <w:rsid w:val="1CF86E32"/>
    <w:rsid w:val="1D152787"/>
    <w:rsid w:val="1D78656E"/>
    <w:rsid w:val="1DD417DE"/>
    <w:rsid w:val="1E0A2FED"/>
    <w:rsid w:val="1E5B35E3"/>
    <w:rsid w:val="1E6C1B78"/>
    <w:rsid w:val="1E8A7ADF"/>
    <w:rsid w:val="1E994636"/>
    <w:rsid w:val="1F9F0F65"/>
    <w:rsid w:val="1FC43E8E"/>
    <w:rsid w:val="1FEB1F5D"/>
    <w:rsid w:val="206C3A46"/>
    <w:rsid w:val="20882DC9"/>
    <w:rsid w:val="20D304AA"/>
    <w:rsid w:val="20DA0B1C"/>
    <w:rsid w:val="20DD0AF7"/>
    <w:rsid w:val="2163607F"/>
    <w:rsid w:val="21C62623"/>
    <w:rsid w:val="229D542D"/>
    <w:rsid w:val="23856FB7"/>
    <w:rsid w:val="23897901"/>
    <w:rsid w:val="23DD7376"/>
    <w:rsid w:val="244209F6"/>
    <w:rsid w:val="247130FD"/>
    <w:rsid w:val="24D85371"/>
    <w:rsid w:val="24D861F5"/>
    <w:rsid w:val="2504482B"/>
    <w:rsid w:val="253052C5"/>
    <w:rsid w:val="25414700"/>
    <w:rsid w:val="255A20E7"/>
    <w:rsid w:val="255F1DCD"/>
    <w:rsid w:val="25942243"/>
    <w:rsid w:val="25C144F1"/>
    <w:rsid w:val="25F422E1"/>
    <w:rsid w:val="25F526E7"/>
    <w:rsid w:val="26012894"/>
    <w:rsid w:val="26A9295B"/>
    <w:rsid w:val="273E5836"/>
    <w:rsid w:val="277A0BC4"/>
    <w:rsid w:val="278752D6"/>
    <w:rsid w:val="27C87246"/>
    <w:rsid w:val="28925BB0"/>
    <w:rsid w:val="28BF70B5"/>
    <w:rsid w:val="292B67F8"/>
    <w:rsid w:val="2965212F"/>
    <w:rsid w:val="2999551A"/>
    <w:rsid w:val="29B77F22"/>
    <w:rsid w:val="29DC12D9"/>
    <w:rsid w:val="2A1427A9"/>
    <w:rsid w:val="2A604792"/>
    <w:rsid w:val="2B433BB8"/>
    <w:rsid w:val="2BC857A2"/>
    <w:rsid w:val="2C1735B6"/>
    <w:rsid w:val="2C280C78"/>
    <w:rsid w:val="2C4F10EF"/>
    <w:rsid w:val="2C926933"/>
    <w:rsid w:val="2CD91296"/>
    <w:rsid w:val="2CED5A74"/>
    <w:rsid w:val="2D3A28A1"/>
    <w:rsid w:val="2DBF7C0A"/>
    <w:rsid w:val="2DF32D22"/>
    <w:rsid w:val="2E677637"/>
    <w:rsid w:val="2EAF17C4"/>
    <w:rsid w:val="2EC90B42"/>
    <w:rsid w:val="2F20389F"/>
    <w:rsid w:val="2FBD775A"/>
    <w:rsid w:val="30BF6E38"/>
    <w:rsid w:val="30D01641"/>
    <w:rsid w:val="30E82EA8"/>
    <w:rsid w:val="31100F3C"/>
    <w:rsid w:val="313D70C3"/>
    <w:rsid w:val="31454547"/>
    <w:rsid w:val="31663232"/>
    <w:rsid w:val="319E1E12"/>
    <w:rsid w:val="31E25871"/>
    <w:rsid w:val="31EF2B89"/>
    <w:rsid w:val="321D7D04"/>
    <w:rsid w:val="323B3AC4"/>
    <w:rsid w:val="32626875"/>
    <w:rsid w:val="329557F6"/>
    <w:rsid w:val="32BD6780"/>
    <w:rsid w:val="32D30DBB"/>
    <w:rsid w:val="330E5C2F"/>
    <w:rsid w:val="331864BD"/>
    <w:rsid w:val="3348271C"/>
    <w:rsid w:val="33FF1A4A"/>
    <w:rsid w:val="34011033"/>
    <w:rsid w:val="34A00E2F"/>
    <w:rsid w:val="35050C23"/>
    <w:rsid w:val="353E7D7A"/>
    <w:rsid w:val="354F1F9F"/>
    <w:rsid w:val="35FD0CBD"/>
    <w:rsid w:val="363A713A"/>
    <w:rsid w:val="373F2B2B"/>
    <w:rsid w:val="376C50D4"/>
    <w:rsid w:val="37713D24"/>
    <w:rsid w:val="38074CB2"/>
    <w:rsid w:val="381153C4"/>
    <w:rsid w:val="383E42DC"/>
    <w:rsid w:val="38570CFC"/>
    <w:rsid w:val="3954658F"/>
    <w:rsid w:val="39831C52"/>
    <w:rsid w:val="398F5706"/>
    <w:rsid w:val="39C467E5"/>
    <w:rsid w:val="39C50257"/>
    <w:rsid w:val="39FB2775"/>
    <w:rsid w:val="39FB3310"/>
    <w:rsid w:val="3AD21934"/>
    <w:rsid w:val="3AEB71F2"/>
    <w:rsid w:val="3AFD3849"/>
    <w:rsid w:val="3B451655"/>
    <w:rsid w:val="3B776D8B"/>
    <w:rsid w:val="3BA4432F"/>
    <w:rsid w:val="3CA02C36"/>
    <w:rsid w:val="3CB2581E"/>
    <w:rsid w:val="3CE9671F"/>
    <w:rsid w:val="3CF86394"/>
    <w:rsid w:val="3D3F4580"/>
    <w:rsid w:val="3D413D10"/>
    <w:rsid w:val="3D6B511F"/>
    <w:rsid w:val="3DA56290"/>
    <w:rsid w:val="3DA92D57"/>
    <w:rsid w:val="3E2379F8"/>
    <w:rsid w:val="3E7A702F"/>
    <w:rsid w:val="3EB03B57"/>
    <w:rsid w:val="3EC31300"/>
    <w:rsid w:val="3EF60994"/>
    <w:rsid w:val="3F265416"/>
    <w:rsid w:val="4009308A"/>
    <w:rsid w:val="401537D7"/>
    <w:rsid w:val="407D2776"/>
    <w:rsid w:val="40D5064A"/>
    <w:rsid w:val="418129BB"/>
    <w:rsid w:val="41FC518B"/>
    <w:rsid w:val="427F1AA9"/>
    <w:rsid w:val="43210BA9"/>
    <w:rsid w:val="43AD1028"/>
    <w:rsid w:val="43F27C93"/>
    <w:rsid w:val="44051DA1"/>
    <w:rsid w:val="443418C4"/>
    <w:rsid w:val="448D2593"/>
    <w:rsid w:val="4506619F"/>
    <w:rsid w:val="451101DC"/>
    <w:rsid w:val="45A57B05"/>
    <w:rsid w:val="45D72F97"/>
    <w:rsid w:val="461465E9"/>
    <w:rsid w:val="46147369"/>
    <w:rsid w:val="461C6947"/>
    <w:rsid w:val="46475492"/>
    <w:rsid w:val="465F64E0"/>
    <w:rsid w:val="46692956"/>
    <w:rsid w:val="466A6C6E"/>
    <w:rsid w:val="46E03F00"/>
    <w:rsid w:val="46F55815"/>
    <w:rsid w:val="47726DAB"/>
    <w:rsid w:val="47F323CB"/>
    <w:rsid w:val="49017007"/>
    <w:rsid w:val="49173CEF"/>
    <w:rsid w:val="49686406"/>
    <w:rsid w:val="49A00872"/>
    <w:rsid w:val="49B7457B"/>
    <w:rsid w:val="4A2F561C"/>
    <w:rsid w:val="4A4B0778"/>
    <w:rsid w:val="4A4F32AC"/>
    <w:rsid w:val="4A634046"/>
    <w:rsid w:val="4A7933C1"/>
    <w:rsid w:val="4ACB7BB6"/>
    <w:rsid w:val="4AFA6048"/>
    <w:rsid w:val="4B4D7E5D"/>
    <w:rsid w:val="4B9D0783"/>
    <w:rsid w:val="4C29177E"/>
    <w:rsid w:val="4C636EFA"/>
    <w:rsid w:val="4D927B82"/>
    <w:rsid w:val="4E0F285F"/>
    <w:rsid w:val="4E420197"/>
    <w:rsid w:val="4E5720ED"/>
    <w:rsid w:val="4E7E4276"/>
    <w:rsid w:val="4F39065A"/>
    <w:rsid w:val="4F82477E"/>
    <w:rsid w:val="4F9F549C"/>
    <w:rsid w:val="4FE01843"/>
    <w:rsid w:val="4FE81DBF"/>
    <w:rsid w:val="4FF14942"/>
    <w:rsid w:val="507939CF"/>
    <w:rsid w:val="50861136"/>
    <w:rsid w:val="50B9698B"/>
    <w:rsid w:val="50D15D41"/>
    <w:rsid w:val="50D610A9"/>
    <w:rsid w:val="516426D2"/>
    <w:rsid w:val="51941B5F"/>
    <w:rsid w:val="51C16443"/>
    <w:rsid w:val="51F96B12"/>
    <w:rsid w:val="523C68F4"/>
    <w:rsid w:val="52AF3187"/>
    <w:rsid w:val="52C369A6"/>
    <w:rsid w:val="534A3C53"/>
    <w:rsid w:val="535B48EC"/>
    <w:rsid w:val="53822C84"/>
    <w:rsid w:val="53C745EA"/>
    <w:rsid w:val="543F4FA3"/>
    <w:rsid w:val="54AE7E7B"/>
    <w:rsid w:val="5564348C"/>
    <w:rsid w:val="55955150"/>
    <w:rsid w:val="56CC0606"/>
    <w:rsid w:val="572F485B"/>
    <w:rsid w:val="57413F6D"/>
    <w:rsid w:val="57A012AE"/>
    <w:rsid w:val="57A05ABA"/>
    <w:rsid w:val="57B37368"/>
    <w:rsid w:val="57BD7364"/>
    <w:rsid w:val="57EB0478"/>
    <w:rsid w:val="580F3B80"/>
    <w:rsid w:val="58241B9D"/>
    <w:rsid w:val="582C7BF4"/>
    <w:rsid w:val="58D750F6"/>
    <w:rsid w:val="59253C41"/>
    <w:rsid w:val="599F143B"/>
    <w:rsid w:val="59E447CA"/>
    <w:rsid w:val="59EA0764"/>
    <w:rsid w:val="5A074DED"/>
    <w:rsid w:val="5A1225BC"/>
    <w:rsid w:val="5A2F0EF9"/>
    <w:rsid w:val="5A6766D5"/>
    <w:rsid w:val="5A9166DA"/>
    <w:rsid w:val="5AAA0EB2"/>
    <w:rsid w:val="5ACD7E79"/>
    <w:rsid w:val="5AFB72C4"/>
    <w:rsid w:val="5B396EA2"/>
    <w:rsid w:val="5B470DD4"/>
    <w:rsid w:val="5B594C6C"/>
    <w:rsid w:val="5C927E43"/>
    <w:rsid w:val="5D3050F5"/>
    <w:rsid w:val="5E027116"/>
    <w:rsid w:val="5E191A6A"/>
    <w:rsid w:val="5E365A9C"/>
    <w:rsid w:val="5E6F6BF5"/>
    <w:rsid w:val="5E736401"/>
    <w:rsid w:val="5EAF3209"/>
    <w:rsid w:val="5F3D1651"/>
    <w:rsid w:val="5F4D1990"/>
    <w:rsid w:val="5F8C6ACE"/>
    <w:rsid w:val="60570316"/>
    <w:rsid w:val="608D6E90"/>
    <w:rsid w:val="60C41943"/>
    <w:rsid w:val="61715F5E"/>
    <w:rsid w:val="61A801F4"/>
    <w:rsid w:val="62287BF3"/>
    <w:rsid w:val="629F5694"/>
    <w:rsid w:val="634857A7"/>
    <w:rsid w:val="637D2C2F"/>
    <w:rsid w:val="641F7CEA"/>
    <w:rsid w:val="645D6498"/>
    <w:rsid w:val="64C1141F"/>
    <w:rsid w:val="659B4EB7"/>
    <w:rsid w:val="65DE40A3"/>
    <w:rsid w:val="65E653E4"/>
    <w:rsid w:val="65F92E7A"/>
    <w:rsid w:val="668F4ACB"/>
    <w:rsid w:val="66BC4814"/>
    <w:rsid w:val="66F85871"/>
    <w:rsid w:val="66FC696E"/>
    <w:rsid w:val="67260551"/>
    <w:rsid w:val="67A06FA9"/>
    <w:rsid w:val="686B68A1"/>
    <w:rsid w:val="68963D46"/>
    <w:rsid w:val="68D92187"/>
    <w:rsid w:val="68E920EA"/>
    <w:rsid w:val="6918220C"/>
    <w:rsid w:val="699C7572"/>
    <w:rsid w:val="69CF4180"/>
    <w:rsid w:val="69D1034B"/>
    <w:rsid w:val="69EF634A"/>
    <w:rsid w:val="69FA2227"/>
    <w:rsid w:val="6A190D0D"/>
    <w:rsid w:val="6A410082"/>
    <w:rsid w:val="6A5B6A69"/>
    <w:rsid w:val="6A866E34"/>
    <w:rsid w:val="6AE31B92"/>
    <w:rsid w:val="6C015798"/>
    <w:rsid w:val="6C136FBF"/>
    <w:rsid w:val="6C547FD3"/>
    <w:rsid w:val="6C670EF5"/>
    <w:rsid w:val="6CDE3BF1"/>
    <w:rsid w:val="6CF55E3F"/>
    <w:rsid w:val="6D023CC2"/>
    <w:rsid w:val="6D22022E"/>
    <w:rsid w:val="6D622623"/>
    <w:rsid w:val="6D763FFC"/>
    <w:rsid w:val="6D83414A"/>
    <w:rsid w:val="6DCC1311"/>
    <w:rsid w:val="6DD45260"/>
    <w:rsid w:val="6E326087"/>
    <w:rsid w:val="6E6143A2"/>
    <w:rsid w:val="6ECD5DF2"/>
    <w:rsid w:val="6ECD7692"/>
    <w:rsid w:val="6ECF4B24"/>
    <w:rsid w:val="6EFF5388"/>
    <w:rsid w:val="6F0A3F25"/>
    <w:rsid w:val="6F1C4A79"/>
    <w:rsid w:val="6F7440D4"/>
    <w:rsid w:val="6FA74865"/>
    <w:rsid w:val="6FCF5C36"/>
    <w:rsid w:val="701665A5"/>
    <w:rsid w:val="701972A1"/>
    <w:rsid w:val="702911FD"/>
    <w:rsid w:val="705A5A39"/>
    <w:rsid w:val="70633AF0"/>
    <w:rsid w:val="70A6036E"/>
    <w:rsid w:val="71022E6B"/>
    <w:rsid w:val="714969A6"/>
    <w:rsid w:val="71A951AC"/>
    <w:rsid w:val="71B42CD8"/>
    <w:rsid w:val="71C14972"/>
    <w:rsid w:val="72600955"/>
    <w:rsid w:val="72907B8A"/>
    <w:rsid w:val="72B828A3"/>
    <w:rsid w:val="73EA1BEE"/>
    <w:rsid w:val="73F00D86"/>
    <w:rsid w:val="741D6E0D"/>
    <w:rsid w:val="742203D1"/>
    <w:rsid w:val="7429478F"/>
    <w:rsid w:val="74B125CA"/>
    <w:rsid w:val="754117E2"/>
    <w:rsid w:val="754D3F93"/>
    <w:rsid w:val="754D4478"/>
    <w:rsid w:val="756A6B75"/>
    <w:rsid w:val="759729B3"/>
    <w:rsid w:val="759C14F4"/>
    <w:rsid w:val="75A76527"/>
    <w:rsid w:val="75B42706"/>
    <w:rsid w:val="75B82C24"/>
    <w:rsid w:val="764E06EC"/>
    <w:rsid w:val="768E5D34"/>
    <w:rsid w:val="774D701C"/>
    <w:rsid w:val="77B4311B"/>
    <w:rsid w:val="77C34BD1"/>
    <w:rsid w:val="77F749E3"/>
    <w:rsid w:val="782A7FF0"/>
    <w:rsid w:val="78A85BF1"/>
    <w:rsid w:val="796E312A"/>
    <w:rsid w:val="79EA1776"/>
    <w:rsid w:val="7A2D55C8"/>
    <w:rsid w:val="7A9A60E6"/>
    <w:rsid w:val="7AAC3282"/>
    <w:rsid w:val="7AD57A82"/>
    <w:rsid w:val="7ADC0F6B"/>
    <w:rsid w:val="7B2777D9"/>
    <w:rsid w:val="7BC06733"/>
    <w:rsid w:val="7BDA600E"/>
    <w:rsid w:val="7BE12017"/>
    <w:rsid w:val="7C035109"/>
    <w:rsid w:val="7C0F0C60"/>
    <w:rsid w:val="7C850BD3"/>
    <w:rsid w:val="7CCD605B"/>
    <w:rsid w:val="7D036B02"/>
    <w:rsid w:val="7D24266E"/>
    <w:rsid w:val="7D741BC5"/>
    <w:rsid w:val="7D895F2D"/>
    <w:rsid w:val="7DBF1383"/>
    <w:rsid w:val="7DD33735"/>
    <w:rsid w:val="7DE501AB"/>
    <w:rsid w:val="7EEC50A2"/>
    <w:rsid w:val="7F0F0BD8"/>
    <w:rsid w:val="7F520343"/>
    <w:rsid w:val="7FC93F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D59019"/>
  <w15:docId w15:val="{83D46F6B-7482-1C4E-84BE-D60F2150F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60" w:line="259" w:lineRule="auto"/>
    </w:pPr>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spacing w:line="240" w:lineRule="auto"/>
    </w:pPr>
    <w:rPr>
      <w:sz w:val="20"/>
      <w:szCs w:val="20"/>
    </w:rPr>
  </w:style>
  <w:style w:type="paragraph" w:styleId="a5">
    <w:name w:val="Balloon Text"/>
    <w:basedOn w:val="a"/>
    <w:link w:val="a6"/>
    <w:pPr>
      <w:spacing w:after="0" w:line="240" w:lineRule="auto"/>
    </w:pPr>
    <w:rPr>
      <w:rFonts w:ascii="Segoe UI" w:hAnsi="Segoe UI" w:cs="Segoe UI"/>
      <w:sz w:val="18"/>
      <w:szCs w:val="18"/>
    </w:rPr>
  </w:style>
  <w:style w:type="paragraph" w:styleId="a7">
    <w:name w:val="footer"/>
    <w:basedOn w:val="a"/>
    <w:link w:val="a8"/>
    <w:uiPriority w:val="99"/>
    <w:qFormat/>
    <w:pPr>
      <w:tabs>
        <w:tab w:val="center" w:pos="4513"/>
        <w:tab w:val="right" w:pos="9026"/>
      </w:tabs>
      <w:spacing w:after="0" w:line="240" w:lineRule="auto"/>
    </w:pPr>
  </w:style>
  <w:style w:type="paragraph" w:styleId="a9">
    <w:name w:val="header"/>
    <w:basedOn w:val="a"/>
    <w:link w:val="aa"/>
    <w:qFormat/>
    <w:pPr>
      <w:tabs>
        <w:tab w:val="center" w:pos="4513"/>
        <w:tab w:val="right" w:pos="9026"/>
      </w:tabs>
      <w:spacing w:after="0" w:line="240" w:lineRule="auto"/>
    </w:pPr>
  </w:style>
  <w:style w:type="paragraph" w:styleId="ab">
    <w:name w:val="annotation subject"/>
    <w:basedOn w:val="a3"/>
    <w:next w:val="a3"/>
    <w:link w:val="ac"/>
    <w:qFormat/>
    <w:rPr>
      <w:b/>
      <w:bCs/>
    </w:rPr>
  </w:style>
  <w:style w:type="character" w:styleId="ad">
    <w:name w:val="Emphasis"/>
    <w:basedOn w:val="a0"/>
    <w:qFormat/>
    <w:rPr>
      <w:i/>
    </w:rPr>
  </w:style>
  <w:style w:type="character" w:styleId="ae">
    <w:name w:val="Hyperlink"/>
    <w:basedOn w:val="a0"/>
    <w:qFormat/>
    <w:rPr>
      <w:color w:val="0000FF" w:themeColor="hyperlink"/>
      <w:u w:val="single"/>
    </w:rPr>
  </w:style>
  <w:style w:type="character" w:styleId="af">
    <w:name w:val="annotation reference"/>
    <w:basedOn w:val="a0"/>
    <w:qFormat/>
    <w:rPr>
      <w:sz w:val="16"/>
      <w:szCs w:val="16"/>
    </w:rPr>
  </w:style>
  <w:style w:type="character" w:customStyle="1" w:styleId="15">
    <w:name w:val="15"/>
    <w:basedOn w:val="a0"/>
    <w:qFormat/>
  </w:style>
  <w:style w:type="paragraph" w:customStyle="1" w:styleId="Revision1">
    <w:name w:val="Revision1"/>
    <w:hidden/>
    <w:uiPriority w:val="99"/>
    <w:semiHidden/>
    <w:qFormat/>
    <w:rPr>
      <w:rFonts w:eastAsia="Times New Roman"/>
      <w:sz w:val="24"/>
      <w:szCs w:val="24"/>
    </w:rPr>
  </w:style>
  <w:style w:type="character" w:customStyle="1" w:styleId="a4">
    <w:name w:val="批注文字 字符"/>
    <w:basedOn w:val="a0"/>
    <w:link w:val="a3"/>
    <w:qFormat/>
    <w:rPr>
      <w:lang w:val="en-US" w:eastAsia="en-US"/>
    </w:rPr>
  </w:style>
  <w:style w:type="character" w:customStyle="1" w:styleId="ac">
    <w:name w:val="批注主题 字符"/>
    <w:basedOn w:val="a4"/>
    <w:link w:val="ab"/>
    <w:qFormat/>
    <w:rPr>
      <w:b/>
      <w:bCs/>
      <w:lang w:val="en-US" w:eastAsia="en-US"/>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aa">
    <w:name w:val="页眉 字符"/>
    <w:basedOn w:val="a0"/>
    <w:link w:val="a9"/>
    <w:qFormat/>
    <w:rPr>
      <w:sz w:val="24"/>
      <w:szCs w:val="24"/>
      <w:lang w:val="en-US" w:eastAsia="en-US"/>
    </w:rPr>
  </w:style>
  <w:style w:type="character" w:customStyle="1" w:styleId="a8">
    <w:name w:val="页脚 字符"/>
    <w:basedOn w:val="a0"/>
    <w:link w:val="a7"/>
    <w:uiPriority w:val="99"/>
    <w:qFormat/>
    <w:rPr>
      <w:sz w:val="24"/>
      <w:szCs w:val="24"/>
      <w:lang w:val="en-US" w:eastAsia="en-US"/>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a6">
    <w:name w:val="批注框文本 字符"/>
    <w:basedOn w:val="a0"/>
    <w:link w:val="a5"/>
    <w:qFormat/>
    <w:rPr>
      <w:rFonts w:ascii="Segoe UI" w:eastAsia="Times New Roman" w:hAnsi="Segoe UI" w:cs="Segoe UI"/>
      <w:sz w:val="18"/>
      <w:szCs w:val="18"/>
      <w:lang w:val="en-US" w:eastAsia="en-US"/>
    </w:rPr>
  </w:style>
  <w:style w:type="character" w:customStyle="1" w:styleId="1">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19</Pages>
  <Words>2820</Words>
  <Characters>16074</Characters>
  <Application>Microsoft Office Word</Application>
  <DocSecurity>0</DocSecurity>
  <Lines>133</Lines>
  <Paragraphs>37</Paragraphs>
  <ScaleCrop>false</ScaleCrop>
  <Company/>
  <LinksUpToDate>false</LinksUpToDate>
  <CharactersWithSpaces>18857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xiaop</dc:creator>
  <cp:lastModifiedBy>Li Jia-Hui</cp:lastModifiedBy>
  <cp:revision>19</cp:revision>
  <dcterms:created xsi:type="dcterms:W3CDTF">2021-08-09T20:04:00Z</dcterms:created>
  <dcterms:modified xsi:type="dcterms:W3CDTF">2021-09-07T01:49:00Z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