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159BE"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b/>
          <w:color w:val="000000"/>
        </w:rPr>
        <w:t xml:space="preserve">Name of Journal: </w:t>
      </w:r>
      <w:r w:rsidRPr="00AE13C7">
        <w:rPr>
          <w:rFonts w:ascii="Book Antiqua" w:eastAsia="Book Antiqua" w:hAnsi="Book Antiqua" w:cs="Book Antiqua"/>
          <w:i/>
          <w:color w:val="000000"/>
        </w:rPr>
        <w:t>World Journal of Clinical Oncology</w:t>
      </w:r>
    </w:p>
    <w:p w14:paraId="290C9954"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b/>
          <w:color w:val="000000"/>
        </w:rPr>
        <w:t xml:space="preserve">Manuscript NO: </w:t>
      </w:r>
      <w:r w:rsidRPr="00AE13C7">
        <w:rPr>
          <w:rFonts w:ascii="Book Antiqua" w:eastAsia="Book Antiqua" w:hAnsi="Book Antiqua" w:cs="Book Antiqua"/>
          <w:color w:val="000000"/>
        </w:rPr>
        <w:t>64862</w:t>
      </w:r>
    </w:p>
    <w:p w14:paraId="6362F40B"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b/>
          <w:color w:val="000000"/>
        </w:rPr>
        <w:t xml:space="preserve">Manuscript Type: </w:t>
      </w:r>
      <w:r w:rsidRPr="00AE13C7">
        <w:rPr>
          <w:rFonts w:ascii="Book Antiqua" w:eastAsia="Book Antiqua" w:hAnsi="Book Antiqua" w:cs="Book Antiqua"/>
          <w:color w:val="000000"/>
        </w:rPr>
        <w:t>MINIREVIEWS</w:t>
      </w:r>
    </w:p>
    <w:p w14:paraId="6639439A" w14:textId="77777777" w:rsidR="00A77B3E" w:rsidRPr="00AE13C7" w:rsidRDefault="00A77B3E">
      <w:pPr>
        <w:spacing w:line="360" w:lineRule="auto"/>
        <w:jc w:val="both"/>
        <w:rPr>
          <w:rFonts w:ascii="Book Antiqua" w:hAnsi="Book Antiqua"/>
        </w:rPr>
      </w:pPr>
    </w:p>
    <w:p w14:paraId="3DE36395"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b/>
          <w:color w:val="000000"/>
        </w:rPr>
        <w:t>Current challenges in applying gene-driven therapies in clinical lung cancer practice</w:t>
      </w:r>
    </w:p>
    <w:p w14:paraId="57700F8A" w14:textId="77777777" w:rsidR="00A77B3E" w:rsidRPr="00AE13C7" w:rsidRDefault="00A77B3E">
      <w:pPr>
        <w:spacing w:line="360" w:lineRule="auto"/>
        <w:jc w:val="both"/>
        <w:rPr>
          <w:rFonts w:ascii="Book Antiqua" w:hAnsi="Book Antiqua"/>
        </w:rPr>
      </w:pPr>
    </w:p>
    <w:p w14:paraId="0110F4C2" w14:textId="213E5569" w:rsidR="00A77B3E" w:rsidRPr="00AE13C7" w:rsidRDefault="00472F02">
      <w:pPr>
        <w:spacing w:line="360" w:lineRule="auto"/>
        <w:jc w:val="both"/>
        <w:rPr>
          <w:rFonts w:ascii="Book Antiqua" w:hAnsi="Book Antiqua"/>
        </w:rPr>
      </w:pPr>
      <w:proofErr w:type="spellStart"/>
      <w:r w:rsidRPr="00AE13C7">
        <w:rPr>
          <w:rFonts w:ascii="Book Antiqua" w:eastAsia="Book Antiqua" w:hAnsi="Book Antiqua" w:cs="Book Antiqua"/>
          <w:color w:val="000000"/>
        </w:rPr>
        <w:t>Saarenheimo</w:t>
      </w:r>
      <w:proofErr w:type="spellEnd"/>
      <w:r w:rsidRPr="00AE13C7">
        <w:rPr>
          <w:rFonts w:ascii="Book Antiqua" w:eastAsia="Book Antiqua" w:hAnsi="Book Antiqua" w:cs="Book Antiqua"/>
          <w:color w:val="000000"/>
        </w:rPr>
        <w:t xml:space="preserve"> J </w:t>
      </w:r>
      <w:r w:rsidRPr="00AE13C7">
        <w:rPr>
          <w:rFonts w:ascii="Book Antiqua" w:eastAsia="Book Antiqua" w:hAnsi="Book Antiqua" w:cs="Book Antiqua"/>
          <w:i/>
          <w:iCs/>
          <w:color w:val="000000"/>
        </w:rPr>
        <w:t>et al</w:t>
      </w:r>
      <w:r w:rsidRPr="00AE13C7">
        <w:rPr>
          <w:rFonts w:ascii="Book Antiqua" w:eastAsia="Book Antiqua" w:hAnsi="Book Antiqua" w:cs="Book Antiqua"/>
          <w:color w:val="000000"/>
        </w:rPr>
        <w:t xml:space="preserve">. </w:t>
      </w:r>
      <w:r w:rsidR="00231511" w:rsidRPr="00AE13C7">
        <w:rPr>
          <w:rFonts w:ascii="Book Antiqua" w:eastAsia="Book Antiqua" w:hAnsi="Book Antiqua" w:cs="Book Antiqua"/>
          <w:color w:val="000000"/>
        </w:rPr>
        <w:t>Challenges in lung cancer gene therapies</w:t>
      </w:r>
    </w:p>
    <w:p w14:paraId="028A5EDE" w14:textId="77777777" w:rsidR="00A77B3E" w:rsidRPr="00AE13C7" w:rsidRDefault="00A77B3E">
      <w:pPr>
        <w:spacing w:line="360" w:lineRule="auto"/>
        <w:jc w:val="both"/>
        <w:rPr>
          <w:rFonts w:ascii="Book Antiqua" w:hAnsi="Book Antiqua"/>
        </w:rPr>
      </w:pPr>
    </w:p>
    <w:p w14:paraId="11661A75" w14:textId="38CA12CF" w:rsidR="00A77B3E" w:rsidRPr="00C57236" w:rsidRDefault="00231511">
      <w:pPr>
        <w:spacing w:line="360" w:lineRule="auto"/>
        <w:jc w:val="both"/>
        <w:rPr>
          <w:rFonts w:ascii="Book Antiqua" w:hAnsi="Book Antiqua"/>
        </w:rPr>
      </w:pPr>
      <w:proofErr w:type="spellStart"/>
      <w:r w:rsidRPr="00C57236">
        <w:rPr>
          <w:rFonts w:ascii="Book Antiqua" w:eastAsia="Book Antiqua" w:hAnsi="Book Antiqua" w:cs="Book Antiqua"/>
          <w:color w:val="000000"/>
        </w:rPr>
        <w:t>Jatta</w:t>
      </w:r>
      <w:proofErr w:type="spellEnd"/>
      <w:r w:rsidRPr="00C57236">
        <w:rPr>
          <w:rFonts w:ascii="Book Antiqua" w:eastAsia="Book Antiqua" w:hAnsi="Book Antiqua" w:cs="Book Antiqua"/>
          <w:color w:val="000000"/>
        </w:rPr>
        <w:t xml:space="preserve"> </w:t>
      </w:r>
      <w:proofErr w:type="spellStart"/>
      <w:r w:rsidRPr="00C57236">
        <w:rPr>
          <w:rFonts w:ascii="Book Antiqua" w:eastAsia="Book Antiqua" w:hAnsi="Book Antiqua" w:cs="Book Antiqua"/>
          <w:color w:val="000000"/>
        </w:rPr>
        <w:t>Saarenheimo</w:t>
      </w:r>
      <w:proofErr w:type="spellEnd"/>
      <w:r w:rsidRPr="00C57236">
        <w:rPr>
          <w:rFonts w:ascii="Book Antiqua" w:eastAsia="Book Antiqua" w:hAnsi="Book Antiqua" w:cs="Book Antiqua"/>
          <w:color w:val="000000"/>
        </w:rPr>
        <w:t xml:space="preserve">, Heidi Andersen, </w:t>
      </w:r>
      <w:proofErr w:type="spellStart"/>
      <w:r w:rsidRPr="00C57236">
        <w:rPr>
          <w:rFonts w:ascii="Book Antiqua" w:eastAsia="Book Antiqua" w:hAnsi="Book Antiqua" w:cs="Book Antiqua"/>
          <w:color w:val="000000"/>
        </w:rPr>
        <w:t>Natalja</w:t>
      </w:r>
      <w:proofErr w:type="spellEnd"/>
      <w:r w:rsidRPr="00C57236">
        <w:rPr>
          <w:rFonts w:ascii="Book Antiqua" w:eastAsia="Book Antiqua" w:hAnsi="Book Antiqua" w:cs="Book Antiqua"/>
          <w:color w:val="000000"/>
        </w:rPr>
        <w:t xml:space="preserve"> </w:t>
      </w:r>
      <w:proofErr w:type="spellStart"/>
      <w:r w:rsidRPr="00C57236">
        <w:rPr>
          <w:rFonts w:ascii="Book Antiqua" w:eastAsia="Book Antiqua" w:hAnsi="Book Antiqua" w:cs="Book Antiqua"/>
          <w:color w:val="000000"/>
        </w:rPr>
        <w:t>Eigeliene</w:t>
      </w:r>
      <w:proofErr w:type="spellEnd"/>
      <w:r w:rsidRPr="00C57236">
        <w:rPr>
          <w:rFonts w:ascii="Book Antiqua" w:eastAsia="Book Antiqua" w:hAnsi="Book Antiqua" w:cs="Book Antiqua"/>
          <w:color w:val="000000"/>
        </w:rPr>
        <w:t xml:space="preserve">, </w:t>
      </w:r>
      <w:proofErr w:type="spellStart"/>
      <w:r w:rsidRPr="00C57236">
        <w:rPr>
          <w:rFonts w:ascii="Book Antiqua" w:eastAsia="Book Antiqua" w:hAnsi="Book Antiqua" w:cs="Book Antiqua"/>
          <w:color w:val="000000"/>
        </w:rPr>
        <w:t>Antti</w:t>
      </w:r>
      <w:proofErr w:type="spellEnd"/>
      <w:r w:rsidRPr="00C57236">
        <w:rPr>
          <w:rFonts w:ascii="Book Antiqua" w:eastAsia="Book Antiqua" w:hAnsi="Book Antiqua" w:cs="Book Antiqua"/>
          <w:color w:val="000000"/>
        </w:rPr>
        <w:t xml:space="preserve"> P </w:t>
      </w:r>
      <w:proofErr w:type="spellStart"/>
      <w:r w:rsidRPr="00C57236">
        <w:rPr>
          <w:rFonts w:ascii="Book Antiqua" w:eastAsia="Book Antiqua" w:hAnsi="Book Antiqua" w:cs="Book Antiqua"/>
          <w:color w:val="000000"/>
        </w:rPr>
        <w:t>Jekunen</w:t>
      </w:r>
      <w:proofErr w:type="spellEnd"/>
    </w:p>
    <w:p w14:paraId="1511B523" w14:textId="77777777" w:rsidR="00A77B3E" w:rsidRPr="00C57236" w:rsidRDefault="00A77B3E">
      <w:pPr>
        <w:spacing w:line="360" w:lineRule="auto"/>
        <w:jc w:val="both"/>
        <w:rPr>
          <w:rFonts w:ascii="Book Antiqua" w:hAnsi="Book Antiqua"/>
        </w:rPr>
      </w:pPr>
    </w:p>
    <w:p w14:paraId="635EB480" w14:textId="77777777" w:rsidR="00A77B3E" w:rsidRPr="00AE13C7" w:rsidRDefault="00231511">
      <w:pPr>
        <w:spacing w:line="360" w:lineRule="auto"/>
        <w:jc w:val="both"/>
        <w:rPr>
          <w:rFonts w:ascii="Book Antiqua" w:hAnsi="Book Antiqua"/>
        </w:rPr>
      </w:pPr>
      <w:proofErr w:type="spellStart"/>
      <w:r w:rsidRPr="00AE13C7">
        <w:rPr>
          <w:rFonts w:ascii="Book Antiqua" w:eastAsia="Book Antiqua" w:hAnsi="Book Antiqua" w:cs="Book Antiqua"/>
          <w:b/>
          <w:bCs/>
          <w:color w:val="000000"/>
        </w:rPr>
        <w:t>Jatta</w:t>
      </w:r>
      <w:proofErr w:type="spellEnd"/>
      <w:r w:rsidRPr="00AE13C7">
        <w:rPr>
          <w:rFonts w:ascii="Book Antiqua" w:eastAsia="Book Antiqua" w:hAnsi="Book Antiqua" w:cs="Book Antiqua"/>
          <w:b/>
          <w:bCs/>
          <w:color w:val="000000"/>
        </w:rPr>
        <w:t xml:space="preserve"> </w:t>
      </w:r>
      <w:proofErr w:type="spellStart"/>
      <w:r w:rsidRPr="00AE13C7">
        <w:rPr>
          <w:rFonts w:ascii="Book Antiqua" w:eastAsia="Book Antiqua" w:hAnsi="Book Antiqua" w:cs="Book Antiqua"/>
          <w:b/>
          <w:bCs/>
          <w:color w:val="000000"/>
        </w:rPr>
        <w:t>Saarenheimo</w:t>
      </w:r>
      <w:proofErr w:type="spellEnd"/>
      <w:r w:rsidRPr="00AE13C7">
        <w:rPr>
          <w:rFonts w:ascii="Book Antiqua" w:eastAsia="Book Antiqua" w:hAnsi="Book Antiqua" w:cs="Book Antiqua"/>
          <w:b/>
          <w:bCs/>
          <w:color w:val="000000"/>
        </w:rPr>
        <w:t xml:space="preserve">, </w:t>
      </w:r>
      <w:r w:rsidRPr="00AE13C7">
        <w:rPr>
          <w:rFonts w:ascii="Book Antiqua" w:eastAsia="Book Antiqua" w:hAnsi="Book Antiqua" w:cs="Book Antiqua"/>
          <w:color w:val="000000"/>
        </w:rPr>
        <w:t>Department of Pathology, Vasa Central Hospital, Vaasa 65130, Finland</w:t>
      </w:r>
    </w:p>
    <w:p w14:paraId="433F7E36" w14:textId="77777777" w:rsidR="00A77B3E" w:rsidRPr="00AE13C7" w:rsidRDefault="00A77B3E">
      <w:pPr>
        <w:spacing w:line="360" w:lineRule="auto"/>
        <w:jc w:val="both"/>
        <w:rPr>
          <w:rFonts w:ascii="Book Antiqua" w:hAnsi="Book Antiqua"/>
        </w:rPr>
      </w:pPr>
    </w:p>
    <w:p w14:paraId="75D9A865" w14:textId="4A8F2F3A" w:rsidR="00A77B3E" w:rsidRPr="00AE13C7" w:rsidRDefault="00231511">
      <w:pPr>
        <w:spacing w:line="360" w:lineRule="auto"/>
        <w:jc w:val="both"/>
        <w:rPr>
          <w:rFonts w:ascii="Book Antiqua" w:hAnsi="Book Antiqua"/>
        </w:rPr>
      </w:pPr>
      <w:r w:rsidRPr="00AE13C7">
        <w:rPr>
          <w:rFonts w:ascii="Book Antiqua" w:eastAsia="Book Antiqua" w:hAnsi="Book Antiqua" w:cs="Book Antiqua"/>
          <w:b/>
          <w:bCs/>
          <w:color w:val="000000"/>
        </w:rPr>
        <w:t xml:space="preserve">Heidi Andersen, </w:t>
      </w:r>
      <w:proofErr w:type="spellStart"/>
      <w:r w:rsidRPr="00AE13C7">
        <w:rPr>
          <w:rFonts w:ascii="Book Antiqua" w:eastAsia="Book Antiqua" w:hAnsi="Book Antiqua" w:cs="Book Antiqua"/>
          <w:b/>
          <w:bCs/>
          <w:color w:val="000000"/>
        </w:rPr>
        <w:t>Natalja</w:t>
      </w:r>
      <w:proofErr w:type="spellEnd"/>
      <w:r w:rsidRPr="00AE13C7">
        <w:rPr>
          <w:rFonts w:ascii="Book Antiqua" w:eastAsia="Book Antiqua" w:hAnsi="Book Antiqua" w:cs="Book Antiqua"/>
          <w:b/>
          <w:bCs/>
          <w:color w:val="000000"/>
        </w:rPr>
        <w:t xml:space="preserve"> </w:t>
      </w:r>
      <w:proofErr w:type="spellStart"/>
      <w:r w:rsidRPr="00AE13C7">
        <w:rPr>
          <w:rFonts w:ascii="Book Antiqua" w:eastAsia="Book Antiqua" w:hAnsi="Book Antiqua" w:cs="Book Antiqua"/>
          <w:b/>
          <w:bCs/>
          <w:color w:val="000000"/>
        </w:rPr>
        <w:t>Eigeliene</w:t>
      </w:r>
      <w:proofErr w:type="spellEnd"/>
      <w:r w:rsidRPr="00AE13C7">
        <w:rPr>
          <w:rFonts w:ascii="Book Antiqua" w:eastAsia="Book Antiqua" w:hAnsi="Book Antiqua" w:cs="Book Antiqua"/>
          <w:b/>
          <w:bCs/>
          <w:color w:val="000000"/>
        </w:rPr>
        <w:t xml:space="preserve">, </w:t>
      </w:r>
      <w:proofErr w:type="spellStart"/>
      <w:r w:rsidRPr="00AE13C7">
        <w:rPr>
          <w:rFonts w:ascii="Book Antiqua" w:eastAsia="Book Antiqua" w:hAnsi="Book Antiqua" w:cs="Book Antiqua"/>
          <w:b/>
          <w:bCs/>
          <w:color w:val="000000"/>
        </w:rPr>
        <w:t>Antti</w:t>
      </w:r>
      <w:proofErr w:type="spellEnd"/>
      <w:r w:rsidRPr="00AE13C7">
        <w:rPr>
          <w:rFonts w:ascii="Book Antiqua" w:eastAsia="Book Antiqua" w:hAnsi="Book Antiqua" w:cs="Book Antiqua"/>
          <w:b/>
          <w:bCs/>
          <w:color w:val="000000"/>
        </w:rPr>
        <w:t xml:space="preserve"> P </w:t>
      </w:r>
      <w:proofErr w:type="spellStart"/>
      <w:r w:rsidRPr="00AE13C7">
        <w:rPr>
          <w:rFonts w:ascii="Book Antiqua" w:eastAsia="Book Antiqua" w:hAnsi="Book Antiqua" w:cs="Book Antiqua"/>
          <w:b/>
          <w:bCs/>
          <w:color w:val="000000"/>
        </w:rPr>
        <w:t>Jekunen</w:t>
      </w:r>
      <w:proofErr w:type="spellEnd"/>
      <w:r w:rsidRPr="00AE13C7">
        <w:rPr>
          <w:rFonts w:ascii="Book Antiqua" w:eastAsia="Book Antiqua" w:hAnsi="Book Antiqua" w:cs="Book Antiqua"/>
          <w:b/>
          <w:bCs/>
          <w:color w:val="000000"/>
        </w:rPr>
        <w:t xml:space="preserve">, </w:t>
      </w:r>
      <w:r w:rsidRPr="00AE13C7">
        <w:rPr>
          <w:rFonts w:ascii="Book Antiqua" w:eastAsia="Book Antiqua" w:hAnsi="Book Antiqua" w:cs="Book Antiqua"/>
          <w:color w:val="000000"/>
        </w:rPr>
        <w:t>Department of Oncology, Vasa Central Hospital, Vasa 65130, Finland</w:t>
      </w:r>
    </w:p>
    <w:p w14:paraId="3A1E0F2C" w14:textId="77777777" w:rsidR="00A77B3E" w:rsidRPr="00AE13C7" w:rsidRDefault="00A77B3E">
      <w:pPr>
        <w:spacing w:line="360" w:lineRule="auto"/>
        <w:jc w:val="both"/>
        <w:rPr>
          <w:rFonts w:ascii="Book Antiqua" w:hAnsi="Book Antiqua"/>
        </w:rPr>
      </w:pPr>
    </w:p>
    <w:p w14:paraId="2E38D4CA" w14:textId="72B394ED" w:rsidR="00A77B3E" w:rsidRPr="00AE13C7" w:rsidRDefault="00231511">
      <w:pPr>
        <w:spacing w:line="360" w:lineRule="auto"/>
        <w:jc w:val="both"/>
        <w:rPr>
          <w:rFonts w:ascii="Book Antiqua" w:hAnsi="Book Antiqua"/>
        </w:rPr>
      </w:pPr>
      <w:r w:rsidRPr="00AE13C7">
        <w:rPr>
          <w:rFonts w:ascii="Book Antiqua" w:eastAsia="Book Antiqua" w:hAnsi="Book Antiqua" w:cs="Book Antiqua"/>
          <w:b/>
          <w:bCs/>
          <w:color w:val="000000"/>
        </w:rPr>
        <w:t xml:space="preserve">Heidi Andersen, </w:t>
      </w:r>
      <w:proofErr w:type="spellStart"/>
      <w:r w:rsidRPr="00AE13C7">
        <w:rPr>
          <w:rFonts w:ascii="Book Antiqua" w:eastAsia="Book Antiqua" w:hAnsi="Book Antiqua" w:cs="Book Antiqua"/>
          <w:color w:val="000000"/>
        </w:rPr>
        <w:t>Tema</w:t>
      </w:r>
      <w:proofErr w:type="spellEnd"/>
      <w:r w:rsidRPr="00AE13C7">
        <w:rPr>
          <w:rFonts w:ascii="Book Antiqua" w:eastAsia="Book Antiqua" w:hAnsi="Book Antiqua" w:cs="Book Antiqua"/>
          <w:color w:val="000000"/>
        </w:rPr>
        <w:t xml:space="preserve"> Cancer, </w:t>
      </w:r>
      <w:proofErr w:type="spellStart"/>
      <w:r w:rsidRPr="00AE13C7">
        <w:rPr>
          <w:rFonts w:ascii="Book Antiqua" w:eastAsia="Book Antiqua" w:hAnsi="Book Antiqua" w:cs="Book Antiqua"/>
          <w:color w:val="000000"/>
        </w:rPr>
        <w:t>Karolinska</w:t>
      </w:r>
      <w:proofErr w:type="spellEnd"/>
      <w:r w:rsidRPr="00AE13C7">
        <w:rPr>
          <w:rFonts w:ascii="Book Antiqua" w:eastAsia="Book Antiqua" w:hAnsi="Book Antiqua" w:cs="Book Antiqua"/>
          <w:color w:val="000000"/>
        </w:rPr>
        <w:t xml:space="preserve"> University Hospital, Stockholm 17177, Sweden</w:t>
      </w:r>
    </w:p>
    <w:p w14:paraId="55482000" w14:textId="77777777" w:rsidR="00A77B3E" w:rsidRPr="00AE13C7" w:rsidRDefault="00A77B3E">
      <w:pPr>
        <w:spacing w:line="360" w:lineRule="auto"/>
        <w:jc w:val="both"/>
        <w:rPr>
          <w:rFonts w:ascii="Book Antiqua" w:hAnsi="Book Antiqua"/>
        </w:rPr>
      </w:pPr>
    </w:p>
    <w:p w14:paraId="4B0078F1"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b/>
          <w:bCs/>
          <w:color w:val="000000"/>
        </w:rPr>
        <w:t xml:space="preserve">Heidi Andersen, </w:t>
      </w:r>
      <w:r w:rsidRPr="00AE13C7">
        <w:rPr>
          <w:rFonts w:ascii="Book Antiqua" w:eastAsia="Book Antiqua" w:hAnsi="Book Antiqua" w:cs="Book Antiqua"/>
          <w:color w:val="000000"/>
        </w:rPr>
        <w:t>Faculty of Medicine and Health Technology, University of Tampere, Tampere 33100, Finland</w:t>
      </w:r>
    </w:p>
    <w:p w14:paraId="6C2C8054" w14:textId="77777777" w:rsidR="00A77B3E" w:rsidRPr="00AE13C7" w:rsidRDefault="00A77B3E">
      <w:pPr>
        <w:spacing w:line="360" w:lineRule="auto"/>
        <w:jc w:val="both"/>
        <w:rPr>
          <w:rFonts w:ascii="Book Antiqua" w:hAnsi="Book Antiqua"/>
        </w:rPr>
      </w:pPr>
    </w:p>
    <w:p w14:paraId="0243FB00" w14:textId="7950F8EB" w:rsidR="00A77B3E" w:rsidRPr="00AE13C7" w:rsidRDefault="00231511">
      <w:pPr>
        <w:spacing w:line="360" w:lineRule="auto"/>
        <w:jc w:val="both"/>
        <w:rPr>
          <w:rFonts w:ascii="Book Antiqua" w:hAnsi="Book Antiqua"/>
        </w:rPr>
      </w:pPr>
      <w:proofErr w:type="spellStart"/>
      <w:r w:rsidRPr="00AE13C7">
        <w:rPr>
          <w:rFonts w:ascii="Book Antiqua" w:eastAsia="Book Antiqua" w:hAnsi="Book Antiqua" w:cs="Book Antiqua"/>
          <w:b/>
          <w:bCs/>
          <w:color w:val="000000"/>
        </w:rPr>
        <w:t>Natalja</w:t>
      </w:r>
      <w:proofErr w:type="spellEnd"/>
      <w:r w:rsidRPr="00AE13C7">
        <w:rPr>
          <w:rFonts w:ascii="Book Antiqua" w:eastAsia="Book Antiqua" w:hAnsi="Book Antiqua" w:cs="Book Antiqua"/>
          <w:b/>
          <w:bCs/>
          <w:color w:val="000000"/>
        </w:rPr>
        <w:t xml:space="preserve"> </w:t>
      </w:r>
      <w:proofErr w:type="spellStart"/>
      <w:r w:rsidRPr="00AE13C7">
        <w:rPr>
          <w:rFonts w:ascii="Book Antiqua" w:eastAsia="Book Antiqua" w:hAnsi="Book Antiqua" w:cs="Book Antiqua"/>
          <w:b/>
          <w:bCs/>
          <w:color w:val="000000"/>
        </w:rPr>
        <w:t>Eigeliene</w:t>
      </w:r>
      <w:proofErr w:type="spellEnd"/>
      <w:r w:rsidRPr="00AE13C7">
        <w:rPr>
          <w:rFonts w:ascii="Book Antiqua" w:eastAsia="Book Antiqua" w:hAnsi="Book Antiqua" w:cs="Book Antiqua"/>
          <w:b/>
          <w:bCs/>
          <w:color w:val="000000"/>
        </w:rPr>
        <w:t xml:space="preserve">, </w:t>
      </w:r>
      <w:proofErr w:type="spellStart"/>
      <w:r w:rsidRPr="00AE13C7">
        <w:rPr>
          <w:rFonts w:ascii="Book Antiqua" w:eastAsia="Book Antiqua" w:hAnsi="Book Antiqua" w:cs="Book Antiqua"/>
          <w:b/>
          <w:bCs/>
          <w:color w:val="000000"/>
        </w:rPr>
        <w:t>Antti</w:t>
      </w:r>
      <w:proofErr w:type="spellEnd"/>
      <w:r w:rsidRPr="00AE13C7">
        <w:rPr>
          <w:rFonts w:ascii="Book Antiqua" w:eastAsia="Book Antiqua" w:hAnsi="Book Antiqua" w:cs="Book Antiqua"/>
          <w:b/>
          <w:bCs/>
          <w:color w:val="000000"/>
        </w:rPr>
        <w:t xml:space="preserve"> P </w:t>
      </w:r>
      <w:proofErr w:type="spellStart"/>
      <w:r w:rsidRPr="00AE13C7">
        <w:rPr>
          <w:rFonts w:ascii="Book Antiqua" w:eastAsia="Book Antiqua" w:hAnsi="Book Antiqua" w:cs="Book Antiqua"/>
          <w:b/>
          <w:bCs/>
          <w:color w:val="000000"/>
        </w:rPr>
        <w:t>Jekunen</w:t>
      </w:r>
      <w:proofErr w:type="spellEnd"/>
      <w:r w:rsidRPr="00AE13C7">
        <w:rPr>
          <w:rFonts w:ascii="Book Antiqua" w:eastAsia="Book Antiqua" w:hAnsi="Book Antiqua" w:cs="Book Antiqua"/>
          <w:b/>
          <w:bCs/>
          <w:color w:val="000000"/>
        </w:rPr>
        <w:t xml:space="preserve">, </w:t>
      </w:r>
      <w:r w:rsidRPr="00AE13C7">
        <w:rPr>
          <w:rFonts w:ascii="Book Antiqua" w:eastAsia="Book Antiqua" w:hAnsi="Book Antiqua" w:cs="Book Antiqua"/>
          <w:color w:val="000000"/>
        </w:rPr>
        <w:t>Department of Oncology and Radiotherapy, University of Turku, Turku 20500, Finland</w:t>
      </w:r>
    </w:p>
    <w:p w14:paraId="0500D272" w14:textId="77777777" w:rsidR="00A77B3E" w:rsidRPr="00AE13C7" w:rsidRDefault="00A77B3E">
      <w:pPr>
        <w:spacing w:line="360" w:lineRule="auto"/>
        <w:jc w:val="both"/>
        <w:rPr>
          <w:rFonts w:ascii="Book Antiqua" w:hAnsi="Book Antiqua"/>
        </w:rPr>
      </w:pPr>
    </w:p>
    <w:p w14:paraId="0B960FAC" w14:textId="4F3CC722" w:rsidR="00A77B3E" w:rsidRPr="00AE13C7" w:rsidRDefault="00231511">
      <w:pPr>
        <w:spacing w:line="360" w:lineRule="auto"/>
        <w:jc w:val="both"/>
        <w:rPr>
          <w:rFonts w:ascii="Book Antiqua" w:hAnsi="Book Antiqua"/>
        </w:rPr>
      </w:pPr>
      <w:r w:rsidRPr="00AE13C7">
        <w:rPr>
          <w:rFonts w:ascii="Book Antiqua" w:eastAsia="Book Antiqua" w:hAnsi="Book Antiqua" w:cs="Book Antiqua"/>
          <w:b/>
          <w:bCs/>
          <w:color w:val="000000"/>
        </w:rPr>
        <w:t xml:space="preserve">Author contributions: </w:t>
      </w:r>
      <w:proofErr w:type="spellStart"/>
      <w:r w:rsidRPr="00AE13C7">
        <w:rPr>
          <w:rFonts w:ascii="Book Antiqua" w:eastAsia="Book Antiqua" w:hAnsi="Book Antiqua" w:cs="Book Antiqua"/>
          <w:color w:val="000000"/>
        </w:rPr>
        <w:t>Jekunen</w:t>
      </w:r>
      <w:proofErr w:type="spellEnd"/>
      <w:r w:rsidRPr="00AE13C7">
        <w:rPr>
          <w:rFonts w:ascii="Book Antiqua" w:eastAsia="Book Antiqua" w:hAnsi="Book Antiqua" w:cs="Book Antiqua"/>
          <w:color w:val="000000"/>
        </w:rPr>
        <w:t xml:space="preserve"> A, </w:t>
      </w:r>
      <w:proofErr w:type="spellStart"/>
      <w:r w:rsidRPr="00AE13C7">
        <w:rPr>
          <w:rFonts w:ascii="Book Antiqua" w:eastAsia="Book Antiqua" w:hAnsi="Book Antiqua" w:cs="Book Antiqua"/>
          <w:color w:val="000000"/>
        </w:rPr>
        <w:t>Eigeliene</w:t>
      </w:r>
      <w:proofErr w:type="spellEnd"/>
      <w:r w:rsidRPr="00AE13C7">
        <w:rPr>
          <w:rFonts w:ascii="Book Antiqua" w:eastAsia="Book Antiqua" w:hAnsi="Book Antiqua" w:cs="Book Antiqua"/>
          <w:color w:val="000000"/>
        </w:rPr>
        <w:t xml:space="preserve"> N, Andersen H and </w:t>
      </w:r>
      <w:proofErr w:type="spellStart"/>
      <w:r w:rsidRPr="00AE13C7">
        <w:rPr>
          <w:rFonts w:ascii="Book Antiqua" w:eastAsia="Book Antiqua" w:hAnsi="Book Antiqua" w:cs="Book Antiqua"/>
          <w:color w:val="000000"/>
        </w:rPr>
        <w:t>Saarenheimo</w:t>
      </w:r>
      <w:proofErr w:type="spellEnd"/>
      <w:r w:rsidRPr="00AE13C7">
        <w:rPr>
          <w:rFonts w:ascii="Book Antiqua" w:eastAsia="Book Antiqua" w:hAnsi="Book Antiqua" w:cs="Book Antiqua"/>
          <w:color w:val="000000"/>
        </w:rPr>
        <w:t xml:space="preserve"> J wrote the paper; </w:t>
      </w:r>
      <w:proofErr w:type="spellStart"/>
      <w:r w:rsidRPr="00AE13C7">
        <w:rPr>
          <w:rFonts w:ascii="Book Antiqua" w:eastAsia="Book Antiqua" w:hAnsi="Book Antiqua" w:cs="Book Antiqua"/>
          <w:color w:val="000000"/>
        </w:rPr>
        <w:t>Saarenheimo</w:t>
      </w:r>
      <w:proofErr w:type="spellEnd"/>
      <w:r w:rsidRPr="00AE13C7">
        <w:rPr>
          <w:rFonts w:ascii="Book Antiqua" w:eastAsia="Book Antiqua" w:hAnsi="Book Antiqua" w:cs="Book Antiqua"/>
          <w:color w:val="000000"/>
        </w:rPr>
        <w:t xml:space="preserve"> J collected the data</w:t>
      </w:r>
      <w:r w:rsidR="00774D00" w:rsidRPr="00AE13C7">
        <w:rPr>
          <w:rFonts w:ascii="Book Antiqua" w:eastAsia="Book Antiqua" w:hAnsi="Book Antiqua" w:cs="Book Antiqua"/>
          <w:color w:val="000000"/>
        </w:rPr>
        <w:t>.</w:t>
      </w:r>
    </w:p>
    <w:p w14:paraId="16E4030F" w14:textId="77777777" w:rsidR="00A77B3E" w:rsidRPr="00AE13C7" w:rsidRDefault="00A77B3E">
      <w:pPr>
        <w:spacing w:line="360" w:lineRule="auto"/>
        <w:jc w:val="both"/>
        <w:rPr>
          <w:rFonts w:ascii="Book Antiqua" w:hAnsi="Book Antiqua"/>
        </w:rPr>
      </w:pPr>
    </w:p>
    <w:p w14:paraId="445608E7"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b/>
          <w:bCs/>
          <w:color w:val="000000"/>
        </w:rPr>
        <w:lastRenderedPageBreak/>
        <w:t xml:space="preserve">Corresponding author: </w:t>
      </w:r>
      <w:proofErr w:type="spellStart"/>
      <w:r w:rsidRPr="00AE13C7">
        <w:rPr>
          <w:rFonts w:ascii="Book Antiqua" w:eastAsia="Book Antiqua" w:hAnsi="Book Antiqua" w:cs="Book Antiqua"/>
          <w:b/>
          <w:bCs/>
          <w:color w:val="000000"/>
        </w:rPr>
        <w:t>Jatta</w:t>
      </w:r>
      <w:proofErr w:type="spellEnd"/>
      <w:r w:rsidRPr="00AE13C7">
        <w:rPr>
          <w:rFonts w:ascii="Book Antiqua" w:eastAsia="Book Antiqua" w:hAnsi="Book Antiqua" w:cs="Book Antiqua"/>
          <w:b/>
          <w:bCs/>
          <w:color w:val="000000"/>
        </w:rPr>
        <w:t xml:space="preserve"> </w:t>
      </w:r>
      <w:proofErr w:type="spellStart"/>
      <w:r w:rsidRPr="00AE13C7">
        <w:rPr>
          <w:rFonts w:ascii="Book Antiqua" w:eastAsia="Book Antiqua" w:hAnsi="Book Antiqua" w:cs="Book Antiqua"/>
          <w:b/>
          <w:bCs/>
          <w:color w:val="000000"/>
        </w:rPr>
        <w:t>Saarenheimo</w:t>
      </w:r>
      <w:proofErr w:type="spellEnd"/>
      <w:r w:rsidRPr="00AE13C7">
        <w:rPr>
          <w:rFonts w:ascii="Book Antiqua" w:eastAsia="Book Antiqua" w:hAnsi="Book Antiqua" w:cs="Book Antiqua"/>
          <w:b/>
          <w:bCs/>
          <w:color w:val="000000"/>
        </w:rPr>
        <w:t xml:space="preserve">, PhD, Research Scientist, </w:t>
      </w:r>
      <w:r w:rsidRPr="00AE13C7">
        <w:rPr>
          <w:rFonts w:ascii="Book Antiqua" w:eastAsia="Book Antiqua" w:hAnsi="Book Antiqua" w:cs="Book Antiqua"/>
          <w:color w:val="000000"/>
        </w:rPr>
        <w:t xml:space="preserve">Department of Pathology, Vasa Central Hospital, </w:t>
      </w:r>
      <w:proofErr w:type="spellStart"/>
      <w:r w:rsidRPr="00AE13C7">
        <w:rPr>
          <w:rFonts w:ascii="Book Antiqua" w:eastAsia="Book Antiqua" w:hAnsi="Book Antiqua" w:cs="Book Antiqua"/>
          <w:color w:val="000000"/>
        </w:rPr>
        <w:t>Hietalahdenkatu</w:t>
      </w:r>
      <w:proofErr w:type="spellEnd"/>
      <w:r w:rsidRPr="00AE13C7">
        <w:rPr>
          <w:rFonts w:ascii="Book Antiqua" w:eastAsia="Book Antiqua" w:hAnsi="Book Antiqua" w:cs="Book Antiqua"/>
          <w:color w:val="000000"/>
        </w:rPr>
        <w:t xml:space="preserve"> 2-4, Vaasa 65130, Finland. jatta.saarenheimo@vshp.fi</w:t>
      </w:r>
    </w:p>
    <w:p w14:paraId="33A0708B" w14:textId="77777777" w:rsidR="00A77B3E" w:rsidRPr="00AE13C7" w:rsidRDefault="00A77B3E">
      <w:pPr>
        <w:spacing w:line="360" w:lineRule="auto"/>
        <w:jc w:val="both"/>
        <w:rPr>
          <w:rFonts w:ascii="Book Antiqua" w:hAnsi="Book Antiqua"/>
        </w:rPr>
      </w:pPr>
    </w:p>
    <w:p w14:paraId="2D0A4A2E"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b/>
          <w:bCs/>
          <w:color w:val="000000"/>
        </w:rPr>
        <w:t xml:space="preserve">Received: </w:t>
      </w:r>
      <w:r w:rsidRPr="00AE13C7">
        <w:rPr>
          <w:rFonts w:ascii="Book Antiqua" w:eastAsia="Book Antiqua" w:hAnsi="Book Antiqua" w:cs="Book Antiqua"/>
          <w:color w:val="000000"/>
        </w:rPr>
        <w:t>February 25, 2021</w:t>
      </w:r>
    </w:p>
    <w:p w14:paraId="7ECC9DB3" w14:textId="2826359B" w:rsidR="00A77B3E" w:rsidRPr="00AE13C7" w:rsidRDefault="00231511">
      <w:pPr>
        <w:spacing w:line="360" w:lineRule="auto"/>
        <w:jc w:val="both"/>
        <w:rPr>
          <w:rFonts w:ascii="Book Antiqua" w:hAnsi="Book Antiqua"/>
        </w:rPr>
      </w:pPr>
      <w:r w:rsidRPr="00AE13C7">
        <w:rPr>
          <w:rFonts w:ascii="Book Antiqua" w:eastAsia="Book Antiqua" w:hAnsi="Book Antiqua" w:cs="Book Antiqua"/>
          <w:b/>
          <w:bCs/>
          <w:color w:val="000000"/>
        </w:rPr>
        <w:t xml:space="preserve">Revised: </w:t>
      </w:r>
      <w:r w:rsidR="0025191B" w:rsidRPr="00AE13C7">
        <w:rPr>
          <w:rFonts w:ascii="Book Antiqua" w:eastAsia="Book Antiqua" w:hAnsi="Book Antiqua" w:cs="Book Antiqua"/>
          <w:color w:val="000000"/>
        </w:rPr>
        <w:t>May 11, 2021</w:t>
      </w:r>
    </w:p>
    <w:p w14:paraId="0ACAD7D0" w14:textId="746D1306" w:rsidR="00A77B3E" w:rsidRPr="00AE13C7" w:rsidRDefault="00231511">
      <w:pPr>
        <w:spacing w:line="360" w:lineRule="auto"/>
        <w:jc w:val="both"/>
        <w:rPr>
          <w:rFonts w:ascii="Book Antiqua" w:hAnsi="Book Antiqua"/>
        </w:rPr>
      </w:pPr>
      <w:r w:rsidRPr="00AE13C7">
        <w:rPr>
          <w:rFonts w:ascii="Book Antiqua" w:eastAsia="Book Antiqua" w:hAnsi="Book Antiqua" w:cs="Book Antiqua"/>
          <w:b/>
          <w:bCs/>
          <w:color w:val="000000"/>
        </w:rPr>
        <w:t xml:space="preserve">Accepted: </w:t>
      </w:r>
      <w:bookmarkStart w:id="0" w:name="OLE_LINK15"/>
      <w:bookmarkStart w:id="1" w:name="OLE_LINK33"/>
      <w:bookmarkStart w:id="2" w:name="OLE_LINK48"/>
      <w:r w:rsidR="000721C6">
        <w:rPr>
          <w:rFonts w:ascii="Book Antiqua" w:eastAsia="宋体" w:hAnsi="Book Antiqua" w:hint="eastAsia"/>
          <w:color w:val="000000" w:themeColor="text1"/>
        </w:rPr>
        <w:t>Au</w:t>
      </w:r>
      <w:r w:rsidR="000721C6">
        <w:rPr>
          <w:rFonts w:ascii="Book Antiqua" w:eastAsia="宋体" w:hAnsi="Book Antiqua"/>
          <w:color w:val="000000" w:themeColor="text1"/>
        </w:rPr>
        <w:t>gust</w:t>
      </w:r>
      <w:r w:rsidR="000721C6" w:rsidRPr="00F06907">
        <w:rPr>
          <w:rFonts w:ascii="Book Antiqua" w:eastAsia="宋体" w:hAnsi="Book Antiqua"/>
          <w:color w:val="000000" w:themeColor="text1"/>
        </w:rPr>
        <w:t xml:space="preserve"> </w:t>
      </w:r>
      <w:r w:rsidR="000721C6">
        <w:rPr>
          <w:rFonts w:ascii="Book Antiqua" w:eastAsia="宋体" w:hAnsi="Book Antiqua"/>
          <w:color w:val="000000" w:themeColor="text1"/>
        </w:rPr>
        <w:t>6</w:t>
      </w:r>
      <w:r w:rsidR="000721C6" w:rsidRPr="00F06907">
        <w:rPr>
          <w:rFonts w:ascii="Book Antiqua" w:eastAsia="宋体" w:hAnsi="Book Antiqua"/>
          <w:color w:val="000000" w:themeColor="text1"/>
        </w:rPr>
        <w:t>, 2021</w:t>
      </w:r>
      <w:bookmarkEnd w:id="0"/>
      <w:bookmarkEnd w:id="1"/>
      <w:bookmarkEnd w:id="2"/>
    </w:p>
    <w:p w14:paraId="22C5FCBD" w14:textId="6186D5CA" w:rsidR="00A77B3E" w:rsidRPr="00AE13C7" w:rsidRDefault="00231511">
      <w:pPr>
        <w:spacing w:line="360" w:lineRule="auto"/>
        <w:jc w:val="both"/>
        <w:rPr>
          <w:rFonts w:ascii="Book Antiqua" w:hAnsi="Book Antiqua"/>
        </w:rPr>
      </w:pPr>
      <w:r w:rsidRPr="00AE13C7">
        <w:rPr>
          <w:rFonts w:ascii="Book Antiqua" w:eastAsia="Book Antiqua" w:hAnsi="Book Antiqua" w:cs="Book Antiqua"/>
          <w:b/>
          <w:bCs/>
          <w:color w:val="000000"/>
        </w:rPr>
        <w:t xml:space="preserve">Published online: </w:t>
      </w:r>
      <w:r w:rsidR="00721376" w:rsidRPr="00647F17">
        <w:rPr>
          <w:rFonts w:ascii="Book Antiqua" w:eastAsia="宋体" w:hAnsi="Book Antiqua"/>
          <w:color w:val="000000" w:themeColor="text1"/>
        </w:rPr>
        <w:t>August 24</w:t>
      </w:r>
    </w:p>
    <w:p w14:paraId="207D9EA7" w14:textId="77777777" w:rsidR="00A77B3E" w:rsidRPr="00AE13C7" w:rsidRDefault="00A77B3E">
      <w:pPr>
        <w:spacing w:line="360" w:lineRule="auto"/>
        <w:jc w:val="both"/>
        <w:rPr>
          <w:rFonts w:ascii="Book Antiqua" w:hAnsi="Book Antiqua"/>
        </w:rPr>
        <w:sectPr w:rsidR="00A77B3E" w:rsidRPr="00AE13C7">
          <w:footerReference w:type="default" r:id="rId7"/>
          <w:pgSz w:w="12240" w:h="15840"/>
          <w:pgMar w:top="1440" w:right="1440" w:bottom="1440" w:left="1440" w:header="720" w:footer="720" w:gutter="0"/>
          <w:cols w:space="720"/>
          <w:docGrid w:linePitch="360"/>
        </w:sectPr>
      </w:pPr>
    </w:p>
    <w:p w14:paraId="0E3C24CB"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b/>
          <w:color w:val="000000"/>
        </w:rPr>
        <w:lastRenderedPageBreak/>
        <w:t>Abstract</w:t>
      </w:r>
    </w:p>
    <w:p w14:paraId="345C3519"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color w:val="000000"/>
        </w:rPr>
        <w:t xml:space="preserve">Over the last twenty years, with the development of gene-driven therapies, numerous new drugs have entered clinical use. Very few of these new drugs are suitable for a large number of patients, and all require molecular genetic testing. In lung cancer, gene-targeted therapy has evolved rapidly and has placed demands on the development of diagnostics and tissue sample preparation and logistics. Rapid diagnosis and prevalence assessment are necessary to determine the prognosis of a lung cancer patient based on the latest research findings. Therefore, the molecular-genetic diagnostic pathway must also be accelerated and matured to do the necessary analyses on small samples. Because lung cancer </w:t>
      </w:r>
      <w:proofErr w:type="spellStart"/>
      <w:r w:rsidRPr="00AE13C7">
        <w:rPr>
          <w:rFonts w:ascii="Book Antiqua" w:eastAsia="Book Antiqua" w:hAnsi="Book Antiqua" w:cs="Book Antiqua"/>
          <w:color w:val="000000"/>
        </w:rPr>
        <w:t>rebiopsy</w:t>
      </w:r>
      <w:proofErr w:type="spellEnd"/>
      <w:r w:rsidRPr="00AE13C7">
        <w:rPr>
          <w:rFonts w:ascii="Book Antiqua" w:eastAsia="Book Antiqua" w:hAnsi="Book Antiqua" w:cs="Book Antiqua"/>
          <w:color w:val="000000"/>
        </w:rPr>
        <w:t xml:space="preserve"> can be difficult, liquid biopsy techniques should be developed to cover more of the treatable mutations. There are obstacles related to tissue sampling, new genomic techniques and access to gene-driven cancer drugs, including their affordability. With this review and case study, we go into the obstacles faced by our clinic and discuss how to tackle these obstacles in lung cancer. We use lung cancer as an example due to its complexity, though these same obstacles are found in different cancers on a minor scale.</w:t>
      </w:r>
    </w:p>
    <w:p w14:paraId="506DC025" w14:textId="77777777" w:rsidR="00A77B3E" w:rsidRPr="00AE13C7" w:rsidRDefault="00A77B3E">
      <w:pPr>
        <w:spacing w:line="360" w:lineRule="auto"/>
        <w:jc w:val="both"/>
        <w:rPr>
          <w:rFonts w:ascii="Book Antiqua" w:hAnsi="Book Antiqua"/>
        </w:rPr>
      </w:pPr>
    </w:p>
    <w:p w14:paraId="1D7130E6"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b/>
          <w:bCs/>
          <w:color w:val="000000"/>
        </w:rPr>
        <w:t xml:space="preserve">Key Words: </w:t>
      </w:r>
      <w:r w:rsidRPr="00AE13C7">
        <w:rPr>
          <w:rFonts w:ascii="Book Antiqua" w:eastAsia="Book Antiqua" w:hAnsi="Book Antiqua" w:cs="Book Antiqua"/>
          <w:color w:val="000000"/>
        </w:rPr>
        <w:t>Cancer drug; Availability; Gene testing; Tissue sampling; Lung cancer</w:t>
      </w:r>
    </w:p>
    <w:p w14:paraId="1A6D98C9" w14:textId="77777777" w:rsidR="00A77B3E" w:rsidRDefault="00A77B3E">
      <w:pPr>
        <w:spacing w:line="360" w:lineRule="auto"/>
        <w:jc w:val="both"/>
        <w:rPr>
          <w:rFonts w:ascii="Book Antiqua" w:hAnsi="Book Antiqua"/>
          <w:lang w:eastAsia="zh-CN"/>
        </w:rPr>
      </w:pPr>
    </w:p>
    <w:p w14:paraId="20478FC0" w14:textId="77777777" w:rsidR="002B552E" w:rsidRDefault="002B552E" w:rsidP="002B552E">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B9D1603" w14:textId="77777777" w:rsidR="002B552E" w:rsidRPr="002B552E" w:rsidRDefault="002B552E">
      <w:pPr>
        <w:spacing w:line="360" w:lineRule="auto"/>
        <w:jc w:val="both"/>
        <w:rPr>
          <w:rFonts w:ascii="Book Antiqua" w:hAnsi="Book Antiqua"/>
          <w:lang w:eastAsia="zh-CN"/>
        </w:rPr>
      </w:pPr>
    </w:p>
    <w:p w14:paraId="01D4918B" w14:textId="1FB0D13E" w:rsidR="002B552E" w:rsidRPr="009B4F47" w:rsidRDefault="009B4F47">
      <w:pPr>
        <w:spacing w:line="360" w:lineRule="auto"/>
        <w:jc w:val="both"/>
        <w:rPr>
          <w:rFonts w:ascii="Book Antiqua" w:hAnsi="Book Antiqua" w:cs="Book Antiqua"/>
          <w:lang w:val="pt-BR" w:eastAsia="zh-CN"/>
        </w:rPr>
      </w:pPr>
      <w:r>
        <w:rPr>
          <w:rFonts w:ascii="Book Antiqua" w:eastAsia="Book Antiqua" w:hAnsi="Book Antiqua" w:cs="Book Antiqua"/>
          <w:b/>
          <w:color w:val="000000"/>
        </w:rPr>
        <w:t xml:space="preserve">Citation: </w:t>
      </w:r>
      <w:proofErr w:type="spellStart"/>
      <w:r w:rsidR="00231511" w:rsidRPr="00AE13C7">
        <w:rPr>
          <w:rFonts w:ascii="Book Antiqua" w:eastAsia="Book Antiqua" w:hAnsi="Book Antiqua" w:cs="Book Antiqua"/>
          <w:color w:val="000000"/>
        </w:rPr>
        <w:t>Saarenheimo</w:t>
      </w:r>
      <w:proofErr w:type="spellEnd"/>
      <w:r w:rsidR="00231511" w:rsidRPr="00AE13C7">
        <w:rPr>
          <w:rFonts w:ascii="Book Antiqua" w:eastAsia="Book Antiqua" w:hAnsi="Book Antiqua" w:cs="Book Antiqua"/>
          <w:color w:val="000000"/>
        </w:rPr>
        <w:t xml:space="preserve"> J, Andersen H, </w:t>
      </w:r>
      <w:proofErr w:type="spellStart"/>
      <w:r w:rsidR="00231511" w:rsidRPr="00AE13C7">
        <w:rPr>
          <w:rFonts w:ascii="Book Antiqua" w:eastAsia="Book Antiqua" w:hAnsi="Book Antiqua" w:cs="Book Antiqua"/>
          <w:color w:val="000000"/>
        </w:rPr>
        <w:t>Eigeliene</w:t>
      </w:r>
      <w:proofErr w:type="spellEnd"/>
      <w:r w:rsidR="00231511" w:rsidRPr="00AE13C7">
        <w:rPr>
          <w:rFonts w:ascii="Book Antiqua" w:eastAsia="Book Antiqua" w:hAnsi="Book Antiqua" w:cs="Book Antiqua"/>
          <w:color w:val="000000"/>
        </w:rPr>
        <w:t xml:space="preserve"> N, </w:t>
      </w:r>
      <w:proofErr w:type="spellStart"/>
      <w:r w:rsidR="00231511" w:rsidRPr="00AE13C7">
        <w:rPr>
          <w:rFonts w:ascii="Book Antiqua" w:eastAsia="Book Antiqua" w:hAnsi="Book Antiqua" w:cs="Book Antiqua"/>
          <w:color w:val="000000"/>
        </w:rPr>
        <w:t>Jekunen</w:t>
      </w:r>
      <w:proofErr w:type="spellEnd"/>
      <w:r w:rsidR="00231511" w:rsidRPr="00AE13C7">
        <w:rPr>
          <w:rFonts w:ascii="Book Antiqua" w:eastAsia="Book Antiqua" w:hAnsi="Book Antiqua" w:cs="Book Antiqua"/>
          <w:color w:val="000000"/>
        </w:rPr>
        <w:t xml:space="preserve"> AP. Current challenges in applying gene-driven therapies in clinical lung cancer practice. </w:t>
      </w:r>
      <w:r w:rsidR="00231511" w:rsidRPr="00AE13C7">
        <w:rPr>
          <w:rFonts w:ascii="Book Antiqua" w:eastAsia="Book Antiqua" w:hAnsi="Book Antiqua" w:cs="Book Antiqua"/>
          <w:i/>
          <w:iCs/>
          <w:color w:val="000000"/>
        </w:rPr>
        <w:t>World J Clin Oncol</w:t>
      </w:r>
      <w:r w:rsidR="00231511" w:rsidRPr="00AE13C7">
        <w:rPr>
          <w:rFonts w:ascii="Book Antiqua" w:eastAsia="Book Antiqua" w:hAnsi="Book Antiqua" w:cs="Book Antiqua"/>
          <w:color w:val="000000"/>
        </w:rPr>
        <w:t xml:space="preserve"> </w:t>
      </w:r>
      <w:r w:rsidR="009F174F" w:rsidRPr="00685BDC">
        <w:rPr>
          <w:rFonts w:ascii="Book Antiqua" w:eastAsia="Book Antiqua" w:hAnsi="Book Antiqua" w:cs="Book Antiqua"/>
          <w:lang w:val="pt-BR"/>
        </w:rPr>
        <w:t xml:space="preserve">2021; </w:t>
      </w:r>
      <w:r w:rsidR="009F174F" w:rsidRPr="00206D6E">
        <w:rPr>
          <w:rFonts w:ascii="Book Antiqua" w:eastAsia="Book Antiqua" w:hAnsi="Book Antiqua" w:cs="Book Antiqua"/>
          <w:lang w:val="pt-BR"/>
        </w:rPr>
        <w:t>12(8)</w:t>
      </w:r>
      <w:r w:rsidR="009F174F" w:rsidRPr="00685BDC">
        <w:rPr>
          <w:rFonts w:ascii="Book Antiqua" w:eastAsia="Book Antiqua" w:hAnsi="Book Antiqua" w:cs="Book Antiqua"/>
          <w:lang w:val="pt-BR"/>
        </w:rPr>
        <w:t xml:space="preserve">: </w:t>
      </w:r>
      <w:r>
        <w:rPr>
          <w:rFonts w:ascii="Book Antiqua" w:hAnsi="Book Antiqua" w:cs="Book Antiqua" w:hint="eastAsia"/>
          <w:lang w:val="pt-BR" w:eastAsia="zh-CN"/>
        </w:rPr>
        <w:t>656</w:t>
      </w:r>
      <w:r w:rsidR="009F174F" w:rsidRPr="00685BDC">
        <w:rPr>
          <w:rFonts w:ascii="Book Antiqua" w:eastAsia="Book Antiqua" w:hAnsi="Book Antiqua" w:cs="Book Antiqua"/>
          <w:lang w:val="pt-BR"/>
        </w:rPr>
        <w:t>-</w:t>
      </w:r>
      <w:r>
        <w:rPr>
          <w:rFonts w:ascii="Book Antiqua" w:hAnsi="Book Antiqua" w:cs="Book Antiqua" w:hint="eastAsia"/>
          <w:lang w:val="pt-BR" w:eastAsia="zh-CN"/>
        </w:rPr>
        <w:t>663</w:t>
      </w:r>
    </w:p>
    <w:p w14:paraId="746F3CDA" w14:textId="78AD7B85" w:rsidR="002B552E" w:rsidRDefault="009F174F">
      <w:pPr>
        <w:spacing w:line="360" w:lineRule="auto"/>
        <w:jc w:val="both"/>
        <w:rPr>
          <w:rFonts w:ascii="Book Antiqua" w:hAnsi="Book Antiqua" w:cs="Book Antiqua"/>
          <w:lang w:val="pt-BR" w:eastAsia="zh-CN"/>
        </w:rPr>
      </w:pPr>
      <w:r w:rsidRPr="002B552E">
        <w:rPr>
          <w:rFonts w:ascii="Book Antiqua" w:eastAsia="Book Antiqua" w:hAnsi="Book Antiqua" w:cs="Book Antiqua"/>
          <w:b/>
          <w:lang w:val="pt-BR"/>
        </w:rPr>
        <w:t xml:space="preserve">URL: </w:t>
      </w:r>
      <w:r w:rsidRPr="00685BDC">
        <w:rPr>
          <w:rFonts w:ascii="Book Antiqua" w:eastAsia="Book Antiqua" w:hAnsi="Book Antiqua" w:cs="Book Antiqua"/>
          <w:lang w:val="pt-BR"/>
        </w:rPr>
        <w:t>https://www.wjgnet.com/</w:t>
      </w:r>
      <w:r w:rsidRPr="00206D6E">
        <w:rPr>
          <w:rFonts w:ascii="Book Antiqua" w:eastAsia="Book Antiqua" w:hAnsi="Book Antiqua" w:cs="Book Antiqua"/>
          <w:lang w:val="pt-BR"/>
        </w:rPr>
        <w:t>2218-4333</w:t>
      </w:r>
      <w:r w:rsidRPr="00685BDC">
        <w:rPr>
          <w:rFonts w:ascii="Book Antiqua" w:eastAsia="Book Antiqua" w:hAnsi="Book Antiqua" w:cs="Book Antiqua"/>
          <w:lang w:val="pt-BR"/>
        </w:rPr>
        <w:t>/full/</w:t>
      </w:r>
      <w:r w:rsidRPr="00206D6E">
        <w:rPr>
          <w:rFonts w:ascii="Book Antiqua" w:eastAsia="Book Antiqua" w:hAnsi="Book Antiqua" w:cs="Book Antiqua"/>
          <w:lang w:val="pt-BR"/>
        </w:rPr>
        <w:t>v12/i</w:t>
      </w:r>
      <w:r>
        <w:rPr>
          <w:rFonts w:ascii="Book Antiqua" w:eastAsia="Book Antiqua" w:hAnsi="Book Antiqua" w:cs="Book Antiqua"/>
          <w:lang w:val="pt-BR"/>
        </w:rPr>
        <w:t>8</w:t>
      </w:r>
      <w:r w:rsidRPr="00685BDC">
        <w:rPr>
          <w:rFonts w:ascii="Book Antiqua" w:eastAsia="Book Antiqua" w:hAnsi="Book Antiqua" w:cs="Book Antiqua"/>
          <w:lang w:val="pt-BR"/>
        </w:rPr>
        <w:t>/</w:t>
      </w:r>
      <w:r w:rsidR="009B4F47">
        <w:rPr>
          <w:rFonts w:ascii="Book Antiqua" w:hAnsi="Book Antiqua" w:cs="Book Antiqua" w:hint="eastAsia"/>
          <w:lang w:val="pt-BR" w:eastAsia="zh-CN"/>
        </w:rPr>
        <w:t>656</w:t>
      </w:r>
      <w:r w:rsidRPr="00685BDC">
        <w:rPr>
          <w:rFonts w:ascii="Book Antiqua" w:eastAsia="Book Antiqua" w:hAnsi="Book Antiqua" w:cs="Book Antiqua"/>
          <w:lang w:val="pt-BR"/>
        </w:rPr>
        <w:t>.htm</w:t>
      </w:r>
    </w:p>
    <w:p w14:paraId="798B1774" w14:textId="037C8F6D" w:rsidR="00A77B3E" w:rsidRPr="009B4F47" w:rsidRDefault="009F174F">
      <w:pPr>
        <w:spacing w:line="360" w:lineRule="auto"/>
        <w:jc w:val="both"/>
        <w:rPr>
          <w:rFonts w:ascii="Book Antiqua" w:hAnsi="Book Antiqua"/>
          <w:lang w:eastAsia="zh-CN"/>
        </w:rPr>
      </w:pPr>
      <w:r w:rsidRPr="002B552E">
        <w:rPr>
          <w:rFonts w:ascii="Book Antiqua" w:eastAsia="Book Antiqua" w:hAnsi="Book Antiqua" w:cs="Book Antiqua"/>
          <w:b/>
          <w:lang w:val="pt-BR"/>
        </w:rPr>
        <w:t xml:space="preserve">DOI: </w:t>
      </w:r>
      <w:r w:rsidRPr="00685BDC">
        <w:rPr>
          <w:rFonts w:ascii="Book Antiqua" w:eastAsia="Book Antiqua" w:hAnsi="Book Antiqua" w:cs="Book Antiqua"/>
          <w:lang w:val="pt-BR"/>
        </w:rPr>
        <w:t>https://dx.doi.org/</w:t>
      </w:r>
      <w:r w:rsidRPr="00206D6E">
        <w:rPr>
          <w:rFonts w:ascii="Book Antiqua" w:eastAsia="Book Antiqua" w:hAnsi="Book Antiqua" w:cs="Book Antiqua"/>
          <w:lang w:val="pt-BR"/>
        </w:rPr>
        <w:t>10.5306</w:t>
      </w:r>
      <w:r w:rsidRPr="00685BDC">
        <w:rPr>
          <w:rFonts w:ascii="Book Antiqua" w:eastAsia="Book Antiqua" w:hAnsi="Book Antiqua" w:cs="Book Antiqua"/>
          <w:lang w:val="pt-BR"/>
        </w:rPr>
        <w:t>/</w:t>
      </w:r>
      <w:r w:rsidRPr="00206D6E">
        <w:rPr>
          <w:rFonts w:ascii="Book Antiqua" w:eastAsia="Book Antiqua" w:hAnsi="Book Antiqua" w:cs="Book Antiqua"/>
          <w:lang w:val="pt-BR"/>
        </w:rPr>
        <w:t>wjco.v12.i8.</w:t>
      </w:r>
      <w:r w:rsidR="009B4F47">
        <w:rPr>
          <w:rFonts w:ascii="Book Antiqua" w:hAnsi="Book Antiqua" w:cs="Book Antiqua" w:hint="eastAsia"/>
          <w:lang w:val="pt-BR" w:eastAsia="zh-CN"/>
        </w:rPr>
        <w:t>656</w:t>
      </w:r>
    </w:p>
    <w:p w14:paraId="680FC56F" w14:textId="77777777" w:rsidR="00A77B3E" w:rsidRPr="00AE13C7" w:rsidRDefault="00A77B3E">
      <w:pPr>
        <w:spacing w:line="360" w:lineRule="auto"/>
        <w:jc w:val="both"/>
        <w:rPr>
          <w:rFonts w:ascii="Book Antiqua" w:hAnsi="Book Antiqua"/>
        </w:rPr>
      </w:pPr>
    </w:p>
    <w:p w14:paraId="40161CC0"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b/>
          <w:bCs/>
          <w:color w:val="000000"/>
        </w:rPr>
        <w:lastRenderedPageBreak/>
        <w:t xml:space="preserve">Core Tip: </w:t>
      </w:r>
      <w:r w:rsidRPr="00AE13C7">
        <w:rPr>
          <w:rFonts w:ascii="Book Antiqua" w:eastAsia="Book Antiqua" w:hAnsi="Book Antiqua" w:cs="Book Antiqua"/>
          <w:color w:val="000000"/>
        </w:rPr>
        <w:t>Several gene-driven therapy drugs and molecular testing, together with immunohistochemistry, have evolved for lung cancer in recent years. Lung cancer is mutation dense and has more predictive genes that potentially influence treatment decisions than any other cancer type. In our case study, we ran into obstacles and delays in the diagnostic pathway both in tissue sampling and in gene testing. However, the major obstacle was the financial availability of new drugs. All elements need to be in place before a new drug can be given to patients, following the idea of the right drug at the right time.</w:t>
      </w:r>
    </w:p>
    <w:p w14:paraId="064B8DAF" w14:textId="77777777" w:rsidR="009F50AE" w:rsidRPr="00AE13C7" w:rsidRDefault="009F50AE">
      <w:pPr>
        <w:spacing w:line="360" w:lineRule="auto"/>
        <w:jc w:val="both"/>
        <w:rPr>
          <w:rFonts w:ascii="Book Antiqua" w:hAnsi="Book Antiqua"/>
        </w:rPr>
        <w:sectPr w:rsidR="009F50AE" w:rsidRPr="00AE13C7">
          <w:pgSz w:w="12240" w:h="15840"/>
          <w:pgMar w:top="1440" w:right="1440" w:bottom="1440" w:left="1440" w:header="720" w:footer="720" w:gutter="0"/>
          <w:cols w:space="720"/>
          <w:docGrid w:linePitch="360"/>
        </w:sectPr>
      </w:pPr>
    </w:p>
    <w:p w14:paraId="2C68EE1C"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b/>
          <w:caps/>
          <w:color w:val="000000"/>
          <w:u w:val="single"/>
        </w:rPr>
        <w:lastRenderedPageBreak/>
        <w:t>INTRODUCTION</w:t>
      </w:r>
    </w:p>
    <w:p w14:paraId="50837798" w14:textId="40684B1C" w:rsidR="00A77B3E" w:rsidRPr="00AE13C7" w:rsidRDefault="00231511">
      <w:pPr>
        <w:spacing w:line="360" w:lineRule="auto"/>
        <w:jc w:val="both"/>
        <w:rPr>
          <w:rFonts w:ascii="Book Antiqua" w:hAnsi="Book Antiqua"/>
        </w:rPr>
      </w:pPr>
      <w:r w:rsidRPr="00AE13C7">
        <w:rPr>
          <w:rFonts w:ascii="Book Antiqua" w:eastAsia="Book Antiqua" w:hAnsi="Book Antiqua" w:cs="Book Antiqua"/>
          <w:color w:val="000000"/>
        </w:rPr>
        <w:t>Since the sequencing of the whole human genome was completed in 2003</w:t>
      </w:r>
      <w:r w:rsidR="00AE7C85">
        <w:rPr>
          <w:rFonts w:ascii="Book Antiqua" w:eastAsia="Book Antiqua" w:hAnsi="Book Antiqua" w:cs="Book Antiqua"/>
          <w:color w:val="000000"/>
          <w:vertAlign w:val="superscript"/>
        </w:rPr>
        <w:t>[1]</w:t>
      </w:r>
      <w:r w:rsidRPr="00AE13C7">
        <w:rPr>
          <w:rFonts w:ascii="Book Antiqua" w:eastAsia="Book Antiqua" w:hAnsi="Book Antiqua" w:cs="Book Antiqua"/>
          <w:color w:val="000000"/>
        </w:rPr>
        <w:t xml:space="preserve">, new principles of genomic approaches have eagerly been used in cancer drug </w:t>
      </w:r>
      <w:proofErr w:type="gramStart"/>
      <w:r w:rsidRPr="00AE13C7">
        <w:rPr>
          <w:rFonts w:ascii="Book Antiqua" w:eastAsia="Book Antiqua" w:hAnsi="Book Antiqua" w:cs="Book Antiqua"/>
          <w:color w:val="000000"/>
        </w:rPr>
        <w:t>therapy</w:t>
      </w:r>
      <w:r w:rsidR="004D6971">
        <w:rPr>
          <w:rFonts w:ascii="Book Antiqua" w:eastAsia="Book Antiqua" w:hAnsi="Book Antiqua" w:cs="Book Antiqua"/>
          <w:color w:val="000000"/>
          <w:vertAlign w:val="superscript"/>
        </w:rPr>
        <w:t>[</w:t>
      </w:r>
      <w:proofErr w:type="gramEnd"/>
      <w:r w:rsidR="004D6971">
        <w:rPr>
          <w:rFonts w:ascii="Book Antiqua" w:eastAsia="Book Antiqua" w:hAnsi="Book Antiqua" w:cs="Book Antiqua"/>
          <w:color w:val="000000"/>
          <w:vertAlign w:val="superscript"/>
        </w:rPr>
        <w:t>2]</w:t>
      </w:r>
      <w:r w:rsidRPr="00AE13C7">
        <w:rPr>
          <w:rFonts w:ascii="Book Antiqua" w:eastAsia="Book Antiqua" w:hAnsi="Book Antiqua" w:cs="Book Antiqua"/>
          <w:color w:val="000000"/>
        </w:rPr>
        <w:t xml:space="preserve">. Early enthusiasm about genes in cancer drug therapy was overwhelming, and overall the outlook was positive. Gene-targeted drug development took new steps, and the first major drug was </w:t>
      </w:r>
      <w:proofErr w:type="spellStart"/>
      <w:r w:rsidRPr="00AE13C7">
        <w:rPr>
          <w:rFonts w:ascii="Book Antiqua" w:eastAsia="Book Antiqua" w:hAnsi="Book Antiqua" w:cs="Book Antiqua"/>
          <w:color w:val="000000"/>
        </w:rPr>
        <w:t>imatinib</w:t>
      </w:r>
      <w:proofErr w:type="spellEnd"/>
      <w:r w:rsidRPr="00AE13C7">
        <w:rPr>
          <w:rFonts w:ascii="Book Antiqua" w:eastAsia="Book Antiqua" w:hAnsi="Book Antiqua" w:cs="Book Antiqua"/>
          <w:color w:val="000000"/>
        </w:rPr>
        <w:t xml:space="preserve"> (</w:t>
      </w:r>
      <w:proofErr w:type="spellStart"/>
      <w:r w:rsidRPr="00AE13C7">
        <w:rPr>
          <w:rFonts w:ascii="Book Antiqua" w:eastAsia="Book Antiqua" w:hAnsi="Book Antiqua" w:cs="Book Antiqua"/>
          <w:color w:val="000000"/>
        </w:rPr>
        <w:t>Glivec</w:t>
      </w:r>
      <w:proofErr w:type="spellEnd"/>
      <w:r w:rsidRPr="00AE13C7">
        <w:rPr>
          <w:rFonts w:ascii="Book Antiqua" w:eastAsia="Book Antiqua" w:hAnsi="Book Antiqua" w:cs="Book Antiqua"/>
          <w:color w:val="000000"/>
        </w:rPr>
        <w:t>). Imatinib served as a breakthrough by changing attitudes from one-size-fits-all concept to an outlook that focused on small, restricted indications. Ph-positive chronic myelogenous leukemia</w:t>
      </w:r>
      <w:r w:rsidR="00FF4A32">
        <w:rPr>
          <w:rFonts w:ascii="Book Antiqua" w:eastAsia="Book Antiqua" w:hAnsi="Book Antiqua" w:cs="Book Antiqua"/>
          <w:color w:val="000000"/>
        </w:rPr>
        <w:t xml:space="preserve"> </w:t>
      </w:r>
      <w:r w:rsidRPr="00AE13C7">
        <w:rPr>
          <w:rFonts w:ascii="Book Antiqua" w:eastAsia="Book Antiqua" w:hAnsi="Book Antiqua" w:cs="Book Antiqua"/>
          <w:color w:val="000000"/>
        </w:rPr>
        <w:t>was found to inhibit the BCR-ABL1 tyrosine kinase with increased activity because of a definite genetic alteration</w:t>
      </w:r>
      <w:r w:rsidR="004D6971">
        <w:rPr>
          <w:rFonts w:ascii="Book Antiqua" w:eastAsia="Book Antiqua" w:hAnsi="Book Antiqua" w:cs="Book Antiqua"/>
          <w:color w:val="000000"/>
          <w:vertAlign w:val="superscript"/>
        </w:rPr>
        <w:t>[3]</w:t>
      </w:r>
      <w:r w:rsidRPr="00AE13C7">
        <w:rPr>
          <w:rFonts w:ascii="Book Antiqua" w:eastAsia="Book Antiqua" w:hAnsi="Book Antiqua" w:cs="Book Antiqua"/>
          <w:color w:val="000000"/>
        </w:rPr>
        <w:t xml:space="preserve">, but given its high effectiveness, it rapidly dominated the whole set of indications and became an example of the importance of highly targeted drugs in restricted indications, achieving commercial success. After </w:t>
      </w:r>
      <w:proofErr w:type="spellStart"/>
      <w:r w:rsidRPr="00AE13C7">
        <w:rPr>
          <w:rFonts w:ascii="Book Antiqua" w:eastAsia="Book Antiqua" w:hAnsi="Book Antiqua" w:cs="Book Antiqua"/>
          <w:color w:val="000000"/>
        </w:rPr>
        <w:t>Glivec’s</w:t>
      </w:r>
      <w:proofErr w:type="spellEnd"/>
      <w:r w:rsidRPr="00AE13C7">
        <w:rPr>
          <w:rFonts w:ascii="Book Antiqua" w:eastAsia="Book Antiqua" w:hAnsi="Book Antiqua" w:cs="Book Antiqua"/>
          <w:color w:val="000000"/>
        </w:rPr>
        <w:t xml:space="preserve"> success for limited indications, an increasing number of developers targeted limited indications with their therapeutic agents. The dominant thinking was that it would be better to have a highly active agent in limited indications than a less active one in a broader indication. It was important that the general attitude changed swiftly to allow specific approaches with gene-driven drugs.</w:t>
      </w:r>
    </w:p>
    <w:p w14:paraId="5313596D" w14:textId="2E17F97E" w:rsidR="00A77B3E" w:rsidRPr="00AE13C7" w:rsidRDefault="00231511" w:rsidP="00762572">
      <w:pPr>
        <w:spacing w:line="360" w:lineRule="auto"/>
        <w:ind w:firstLineChars="100" w:firstLine="240"/>
        <w:jc w:val="both"/>
        <w:rPr>
          <w:rFonts w:ascii="Book Antiqua" w:hAnsi="Book Antiqua"/>
        </w:rPr>
      </w:pPr>
      <w:r w:rsidRPr="00AE13C7">
        <w:rPr>
          <w:rFonts w:ascii="Book Antiqua" w:eastAsia="Book Antiqua" w:hAnsi="Book Antiqua" w:cs="Book Antiqua"/>
          <w:color w:val="000000"/>
        </w:rPr>
        <w:t>Swift from cytotoxic chemotherapy agents towards targeted cancer drugs has been transpiring. By the end of 2014, the U</w:t>
      </w:r>
      <w:r w:rsidR="00A9002A">
        <w:rPr>
          <w:rFonts w:ascii="Book Antiqua" w:eastAsia="Book Antiqua" w:hAnsi="Book Antiqua" w:cs="Book Antiqua"/>
          <w:color w:val="000000"/>
        </w:rPr>
        <w:t>nited States</w:t>
      </w:r>
      <w:r w:rsidRPr="00AE13C7">
        <w:rPr>
          <w:rFonts w:ascii="Book Antiqua" w:eastAsia="Book Antiqua" w:hAnsi="Book Antiqua" w:cs="Book Antiqua"/>
          <w:color w:val="000000"/>
        </w:rPr>
        <w:t xml:space="preserve"> Food and Drug Administration (FDA) had approved 150 anticancer drugs, of which 89 were target-based and 61 were cytotoxic </w:t>
      </w:r>
      <w:proofErr w:type="gramStart"/>
      <w:r w:rsidRPr="00AE13C7">
        <w:rPr>
          <w:rFonts w:ascii="Book Antiqua" w:eastAsia="Book Antiqua" w:hAnsi="Book Antiqua" w:cs="Book Antiqua"/>
          <w:color w:val="000000"/>
        </w:rPr>
        <w:t>drugs</w:t>
      </w:r>
      <w:r w:rsidR="004D6971">
        <w:rPr>
          <w:rFonts w:ascii="Book Antiqua" w:eastAsia="Book Antiqua" w:hAnsi="Book Antiqua" w:cs="Book Antiqua"/>
          <w:color w:val="000000"/>
          <w:vertAlign w:val="superscript"/>
        </w:rPr>
        <w:t>[</w:t>
      </w:r>
      <w:proofErr w:type="gramEnd"/>
      <w:r w:rsidR="004D6971">
        <w:rPr>
          <w:rFonts w:ascii="Book Antiqua" w:eastAsia="Book Antiqua" w:hAnsi="Book Antiqua" w:cs="Book Antiqua"/>
          <w:color w:val="000000"/>
          <w:vertAlign w:val="superscript"/>
        </w:rPr>
        <w:t>4]</w:t>
      </w:r>
      <w:r w:rsidRPr="00AE13C7">
        <w:rPr>
          <w:rFonts w:ascii="Book Antiqua" w:eastAsia="Book Antiqua" w:hAnsi="Book Antiqua" w:cs="Book Antiqua"/>
          <w:color w:val="000000"/>
        </w:rPr>
        <w:t xml:space="preserve">. Regarding solid cancers, drug agencies have become active in approving new agents based on solid early clinical data and scientific rationale. The FDA approved pembrolizumab in microsatellite-high tumors without any restrictions of cancer </w:t>
      </w:r>
      <w:proofErr w:type="gramStart"/>
      <w:r w:rsidRPr="00AE13C7">
        <w:rPr>
          <w:rFonts w:ascii="Book Antiqua" w:eastAsia="Book Antiqua" w:hAnsi="Book Antiqua" w:cs="Book Antiqua"/>
          <w:color w:val="000000"/>
        </w:rPr>
        <w:t>type</w:t>
      </w:r>
      <w:r w:rsidR="004D6971">
        <w:rPr>
          <w:rFonts w:ascii="Book Antiqua" w:eastAsia="Book Antiqua" w:hAnsi="Book Antiqua" w:cs="Book Antiqua"/>
          <w:color w:val="000000"/>
          <w:vertAlign w:val="superscript"/>
        </w:rPr>
        <w:t>[</w:t>
      </w:r>
      <w:proofErr w:type="gramEnd"/>
      <w:r w:rsidR="004D6971">
        <w:rPr>
          <w:rFonts w:ascii="Book Antiqua" w:eastAsia="Book Antiqua" w:hAnsi="Book Antiqua" w:cs="Book Antiqua"/>
          <w:color w:val="000000"/>
          <w:vertAlign w:val="superscript"/>
        </w:rPr>
        <w:t>5]</w:t>
      </w:r>
      <w:r w:rsidRPr="00AE13C7">
        <w:rPr>
          <w:rFonts w:ascii="Book Antiqua" w:eastAsia="Book Antiqua" w:hAnsi="Book Antiqua" w:cs="Book Antiqua"/>
          <w:color w:val="000000"/>
        </w:rPr>
        <w:t xml:space="preserve">. Recently, both the FDA and the European Medicines Agency (EMA) approved </w:t>
      </w:r>
      <w:proofErr w:type="spellStart"/>
      <w:r w:rsidRPr="00AE13C7">
        <w:rPr>
          <w:rFonts w:ascii="Book Antiqua" w:eastAsia="Book Antiqua" w:hAnsi="Book Antiqua" w:cs="Book Antiqua"/>
          <w:color w:val="000000"/>
        </w:rPr>
        <w:t>larotrectinib</w:t>
      </w:r>
      <w:proofErr w:type="spellEnd"/>
      <w:r w:rsidRPr="00AE13C7">
        <w:rPr>
          <w:rFonts w:ascii="Book Antiqua" w:eastAsia="Book Antiqua" w:hAnsi="Book Antiqua" w:cs="Book Antiqua"/>
          <w:color w:val="000000"/>
        </w:rPr>
        <w:t xml:space="preserve">, based on limited phase II data, for tumors with neurotrophic receptor tyrosine kinase (NTRK) gene fusion with all </w:t>
      </w:r>
      <w:proofErr w:type="gramStart"/>
      <w:r w:rsidRPr="00AE13C7">
        <w:rPr>
          <w:rFonts w:ascii="Book Antiqua" w:eastAsia="Book Antiqua" w:hAnsi="Book Antiqua" w:cs="Book Antiqua"/>
          <w:color w:val="000000"/>
        </w:rPr>
        <w:t>indications</w:t>
      </w:r>
      <w:r w:rsidR="004D6971">
        <w:rPr>
          <w:rFonts w:ascii="Book Antiqua" w:eastAsia="Book Antiqua" w:hAnsi="Book Antiqua" w:cs="Book Antiqua"/>
          <w:color w:val="000000"/>
          <w:vertAlign w:val="superscript"/>
        </w:rPr>
        <w:t>[</w:t>
      </w:r>
      <w:proofErr w:type="gramEnd"/>
      <w:r w:rsidR="004D6971">
        <w:rPr>
          <w:rFonts w:ascii="Book Antiqua" w:eastAsia="Book Antiqua" w:hAnsi="Book Antiqua" w:cs="Book Antiqua"/>
          <w:color w:val="000000"/>
          <w:vertAlign w:val="superscript"/>
        </w:rPr>
        <w:t>6]</w:t>
      </w:r>
      <w:r w:rsidRPr="00AE13C7">
        <w:rPr>
          <w:rFonts w:ascii="Book Antiqua" w:eastAsia="Book Antiqua" w:hAnsi="Book Antiqua" w:cs="Book Antiqua"/>
          <w:color w:val="000000"/>
        </w:rPr>
        <w:t>. While these targeting agents add treatment possibilities, they also demand appropriate testing before their use.</w:t>
      </w:r>
    </w:p>
    <w:p w14:paraId="285A917A" w14:textId="1E907AE8" w:rsidR="00A77B3E" w:rsidRPr="00AE13C7" w:rsidRDefault="00231511" w:rsidP="008F7FFE">
      <w:pPr>
        <w:spacing w:line="360" w:lineRule="auto"/>
        <w:ind w:firstLineChars="100" w:firstLine="240"/>
        <w:jc w:val="both"/>
        <w:rPr>
          <w:rFonts w:ascii="Book Antiqua" w:hAnsi="Book Antiqua"/>
        </w:rPr>
      </w:pPr>
      <w:r w:rsidRPr="00AE13C7">
        <w:rPr>
          <w:rFonts w:ascii="Book Antiqua" w:eastAsia="Book Antiqua" w:hAnsi="Book Antiqua" w:cs="Book Antiqua"/>
          <w:color w:val="000000"/>
        </w:rPr>
        <w:lastRenderedPageBreak/>
        <w:t>Many targetable genes have emerged. Most new cancer drugs are linked to one gene mutation. Fortunately, molecular techniques have also been further developed, and gene tests have become more affordable. Now we have knowledge of multiple gene-driven cancers with certain gene alterations and the drugs that target them. Lung cancer is a prime example of a cancer with a wide variety of actionable mutations, partially because of the aggressive nature of the disease but also because of the existence of many mutations, some of which are recognized druggable driver mutations. Several gene-driven drugs are included in lung cancer guidelines. Even more drugs are in development, which require extensive clinical research before approval and implementation in clinical practice.</w:t>
      </w:r>
    </w:p>
    <w:p w14:paraId="4C1931C9" w14:textId="1E03F617" w:rsidR="00A77B3E" w:rsidRPr="00AE13C7" w:rsidRDefault="00231511" w:rsidP="003D3B92">
      <w:pPr>
        <w:spacing w:line="360" w:lineRule="auto"/>
        <w:ind w:firstLineChars="100" w:firstLine="240"/>
        <w:jc w:val="both"/>
        <w:rPr>
          <w:rFonts w:ascii="Book Antiqua" w:hAnsi="Book Antiqua"/>
        </w:rPr>
      </w:pPr>
      <w:r w:rsidRPr="00AE13C7">
        <w:rPr>
          <w:rFonts w:ascii="Book Antiqua" w:eastAsia="Book Antiqua" w:hAnsi="Book Antiqua" w:cs="Book Antiqua"/>
          <w:color w:val="000000"/>
        </w:rPr>
        <w:t xml:space="preserve">This article will address the practical obstacles in access to gene-driven cancer drugs in </w:t>
      </w:r>
      <w:r w:rsidR="00664D42" w:rsidRPr="00664D42">
        <w:rPr>
          <w:rFonts w:ascii="Book Antiqua" w:eastAsia="Book Antiqua" w:hAnsi="Book Antiqua" w:cs="Book Antiqua"/>
          <w:color w:val="000000"/>
        </w:rPr>
        <w:t>non-small-cell lung cancer (NSCLC). Small-cell lung cancer</w:t>
      </w:r>
      <w:r w:rsidR="004E6C3D">
        <w:rPr>
          <w:rFonts w:ascii="Book Antiqua" w:eastAsia="Book Antiqua" w:hAnsi="Book Antiqua" w:cs="Book Antiqua"/>
          <w:color w:val="000000"/>
        </w:rPr>
        <w:t xml:space="preserve"> </w:t>
      </w:r>
      <w:r w:rsidR="00664D42" w:rsidRPr="00664D42">
        <w:rPr>
          <w:rFonts w:ascii="Book Antiqua" w:eastAsia="Book Antiqua" w:hAnsi="Book Antiqua" w:cs="Book Antiqua"/>
          <w:color w:val="000000"/>
        </w:rPr>
        <w:t xml:space="preserve">was not included due to high molecular heterogeneity and lack of current target genes with available </w:t>
      </w:r>
      <w:proofErr w:type="gramStart"/>
      <w:r w:rsidR="00664D42" w:rsidRPr="00664D42">
        <w:rPr>
          <w:rFonts w:ascii="Book Antiqua" w:eastAsia="Book Antiqua" w:hAnsi="Book Antiqua" w:cs="Book Antiqua"/>
          <w:color w:val="000000"/>
        </w:rPr>
        <w:t>treatment</w:t>
      </w:r>
      <w:r w:rsidR="004D6971">
        <w:rPr>
          <w:rFonts w:ascii="Book Antiqua" w:eastAsia="Book Antiqua" w:hAnsi="Book Antiqua" w:cs="Book Antiqua"/>
          <w:color w:val="000000"/>
          <w:vertAlign w:val="superscript"/>
        </w:rPr>
        <w:t>[</w:t>
      </w:r>
      <w:proofErr w:type="gramEnd"/>
      <w:r w:rsidR="004D6971">
        <w:rPr>
          <w:rFonts w:ascii="Book Antiqua" w:eastAsia="Book Antiqua" w:hAnsi="Book Antiqua" w:cs="Book Antiqua"/>
          <w:color w:val="000000"/>
          <w:vertAlign w:val="superscript"/>
        </w:rPr>
        <w:t>7]</w:t>
      </w:r>
      <w:r w:rsidRPr="00AE13C7">
        <w:rPr>
          <w:rFonts w:ascii="Book Antiqua" w:eastAsia="Book Antiqua" w:hAnsi="Book Antiqua" w:cs="Book Antiqua"/>
          <w:color w:val="000000"/>
        </w:rPr>
        <w:t>. More than an approved cancer drug at the pharmacy is required. First, there need to be proper techniques for analysis; second, there must be enough tumor samples available; third, treatment procedures will need to allow the use of the drug; and finally, there needs to be funding for new drugs. We present the challenges involved in using gene-driven therapies based on our clinical experience with lung cancer at a Finnish central hospital. Our practices are reviewed in the form of a case study.</w:t>
      </w:r>
    </w:p>
    <w:p w14:paraId="7D97D511" w14:textId="77777777" w:rsidR="00A77B3E" w:rsidRPr="00AE13C7" w:rsidRDefault="00A77B3E">
      <w:pPr>
        <w:spacing w:line="360" w:lineRule="auto"/>
        <w:jc w:val="both"/>
        <w:rPr>
          <w:rFonts w:ascii="Book Antiqua" w:hAnsi="Book Antiqua"/>
        </w:rPr>
      </w:pPr>
    </w:p>
    <w:p w14:paraId="44D5E057" w14:textId="77777777" w:rsidR="00A77B3E" w:rsidRPr="005029A0" w:rsidRDefault="00231511">
      <w:pPr>
        <w:spacing w:line="360" w:lineRule="auto"/>
        <w:jc w:val="both"/>
        <w:rPr>
          <w:rFonts w:ascii="Book Antiqua" w:hAnsi="Book Antiqua"/>
          <w:i/>
          <w:iCs/>
        </w:rPr>
      </w:pPr>
      <w:r w:rsidRPr="005029A0">
        <w:rPr>
          <w:rFonts w:ascii="Book Antiqua" w:eastAsia="Book Antiqua" w:hAnsi="Book Antiqua" w:cs="Book Antiqua"/>
          <w:b/>
          <w:bCs/>
          <w:i/>
          <w:iCs/>
          <w:color w:val="000000"/>
        </w:rPr>
        <w:t>Access to tumor samples and to treatment therapy procedures</w:t>
      </w:r>
    </w:p>
    <w:p w14:paraId="5C0C4A7D" w14:textId="7DB27DB2" w:rsidR="00A77B3E" w:rsidRPr="00AE13C7" w:rsidRDefault="00231511">
      <w:pPr>
        <w:spacing w:line="360" w:lineRule="auto"/>
        <w:jc w:val="both"/>
        <w:rPr>
          <w:rFonts w:ascii="Book Antiqua" w:hAnsi="Book Antiqua"/>
        </w:rPr>
      </w:pPr>
      <w:r w:rsidRPr="00AE13C7">
        <w:rPr>
          <w:rFonts w:ascii="Book Antiqua" w:eastAsia="Book Antiqua" w:hAnsi="Book Antiqua" w:cs="Book Antiqua"/>
          <w:color w:val="000000"/>
        </w:rPr>
        <w:t xml:space="preserve">Process of lung cancer treatment decision is complex and requires many elements as illustrated in Figure 1. Poor performance status, lung diseases and other comorbidities are patient-related factors that often make lung cancer diagnostics challenging. The patient’s cooperation, sedation during tissue sampling and safe interruption of anticoagulation need to be considered during the planning phase of a safe procedure. Localized sampling of tissue consumes both time and resources, and both can be saved with good </w:t>
      </w:r>
      <w:proofErr w:type="gramStart"/>
      <w:r w:rsidRPr="00AE13C7">
        <w:rPr>
          <w:rFonts w:ascii="Book Antiqua" w:eastAsia="Book Antiqua" w:hAnsi="Book Antiqua" w:cs="Book Antiqua"/>
          <w:color w:val="000000"/>
        </w:rPr>
        <w:t>planning</w:t>
      </w:r>
      <w:r w:rsidR="004D6971">
        <w:rPr>
          <w:rFonts w:ascii="Book Antiqua" w:eastAsia="Book Antiqua" w:hAnsi="Book Antiqua" w:cs="Book Antiqua"/>
          <w:color w:val="000000"/>
          <w:vertAlign w:val="superscript"/>
        </w:rPr>
        <w:t>[</w:t>
      </w:r>
      <w:proofErr w:type="gramEnd"/>
      <w:r w:rsidR="004D6971">
        <w:rPr>
          <w:rFonts w:ascii="Book Antiqua" w:eastAsia="Book Antiqua" w:hAnsi="Book Antiqua" w:cs="Book Antiqua"/>
          <w:color w:val="000000"/>
          <w:vertAlign w:val="superscript"/>
        </w:rPr>
        <w:t>8]</w:t>
      </w:r>
      <w:r w:rsidRPr="00AE13C7">
        <w:rPr>
          <w:rFonts w:ascii="Book Antiqua" w:eastAsia="Book Antiqua" w:hAnsi="Book Antiqua" w:cs="Book Antiqua"/>
          <w:color w:val="000000"/>
        </w:rPr>
        <w:t xml:space="preserve">. In lung cancer, sampling approaches vary based on the location </w:t>
      </w:r>
      <w:r w:rsidRPr="00AE13C7">
        <w:rPr>
          <w:rFonts w:ascii="Book Antiqua" w:eastAsia="Book Antiqua" w:hAnsi="Book Antiqua" w:cs="Book Antiqua"/>
          <w:color w:val="000000"/>
        </w:rPr>
        <w:lastRenderedPageBreak/>
        <w:t xml:space="preserve">and spread of disease. The most common sampling techniques are bronchoscopy, </w:t>
      </w:r>
      <w:r w:rsidR="00BA2D66" w:rsidRPr="00AE13C7">
        <w:rPr>
          <w:rFonts w:ascii="Book Antiqua" w:eastAsia="Book Antiqua" w:hAnsi="Book Antiqua" w:cs="Book Antiqua"/>
          <w:color w:val="000000"/>
        </w:rPr>
        <w:t>computed tomography (CT)</w:t>
      </w:r>
      <w:r w:rsidRPr="00AE13C7">
        <w:rPr>
          <w:rFonts w:ascii="Book Antiqua" w:eastAsia="Book Antiqua" w:hAnsi="Book Antiqua" w:cs="Book Antiqua"/>
          <w:color w:val="000000"/>
        </w:rPr>
        <w:t xml:space="preserve">-guided transthoracic lung biopsy and </w:t>
      </w:r>
      <w:proofErr w:type="spellStart"/>
      <w:r w:rsidRPr="00AE13C7">
        <w:rPr>
          <w:rFonts w:ascii="Book Antiqua" w:eastAsia="Book Antiqua" w:hAnsi="Book Antiqua" w:cs="Book Antiqua"/>
          <w:color w:val="000000"/>
        </w:rPr>
        <w:t>endosonography</w:t>
      </w:r>
      <w:proofErr w:type="spellEnd"/>
      <w:r w:rsidRPr="00AE13C7">
        <w:rPr>
          <w:rFonts w:ascii="Book Antiqua" w:eastAsia="Book Antiqua" w:hAnsi="Book Antiqua" w:cs="Book Antiqua"/>
          <w:color w:val="000000"/>
        </w:rPr>
        <w:t>.</w:t>
      </w:r>
    </w:p>
    <w:p w14:paraId="33298D1B" w14:textId="19520852" w:rsidR="00A77B3E" w:rsidRPr="00AE13C7" w:rsidRDefault="00231511" w:rsidP="000965A0">
      <w:pPr>
        <w:spacing w:line="360" w:lineRule="auto"/>
        <w:ind w:firstLineChars="100" w:firstLine="240"/>
        <w:jc w:val="both"/>
        <w:rPr>
          <w:rFonts w:ascii="Book Antiqua" w:hAnsi="Book Antiqua"/>
        </w:rPr>
      </w:pPr>
      <w:r w:rsidRPr="00AE13C7">
        <w:rPr>
          <w:rFonts w:ascii="Book Antiqua" w:eastAsia="Book Antiqua" w:hAnsi="Book Antiqua" w:cs="Book Antiqua"/>
          <w:color w:val="000000"/>
        </w:rPr>
        <w:t xml:space="preserve">For mediastinal nodal staging in patients with suspected or proven NSCLC with abnormal mediastinal or hilar nodes on CT or positron emission tomography, </w:t>
      </w:r>
      <w:proofErr w:type="spellStart"/>
      <w:r w:rsidRPr="00AE13C7">
        <w:rPr>
          <w:rFonts w:ascii="Book Antiqua" w:eastAsia="Book Antiqua" w:hAnsi="Book Antiqua" w:cs="Book Antiqua"/>
          <w:color w:val="000000"/>
        </w:rPr>
        <w:t>endosonography</w:t>
      </w:r>
      <w:proofErr w:type="spellEnd"/>
      <w:r w:rsidRPr="00AE13C7">
        <w:rPr>
          <w:rFonts w:ascii="Book Antiqua" w:eastAsia="Book Antiqua" w:hAnsi="Book Antiqua" w:cs="Book Antiqua"/>
          <w:color w:val="000000"/>
        </w:rPr>
        <w:t xml:space="preserve"> is recommended over surgical staging as the initial </w:t>
      </w:r>
      <w:proofErr w:type="gramStart"/>
      <w:r w:rsidRPr="00AE13C7">
        <w:rPr>
          <w:rFonts w:ascii="Book Antiqua" w:eastAsia="Book Antiqua" w:hAnsi="Book Antiqua" w:cs="Book Antiqua"/>
          <w:color w:val="000000"/>
        </w:rPr>
        <w:t>procedure</w:t>
      </w:r>
      <w:r w:rsidR="004D6971">
        <w:rPr>
          <w:rFonts w:ascii="Book Antiqua" w:eastAsia="Book Antiqua" w:hAnsi="Book Antiqua" w:cs="Book Antiqua"/>
          <w:color w:val="000000"/>
          <w:vertAlign w:val="superscript"/>
        </w:rPr>
        <w:t>[</w:t>
      </w:r>
      <w:proofErr w:type="gramEnd"/>
      <w:r w:rsidR="004D6971">
        <w:rPr>
          <w:rFonts w:ascii="Book Antiqua" w:eastAsia="Book Antiqua" w:hAnsi="Book Antiqua" w:cs="Book Antiqua"/>
          <w:color w:val="000000"/>
          <w:vertAlign w:val="superscript"/>
        </w:rPr>
        <w:t>9]</w:t>
      </w:r>
      <w:r w:rsidRPr="00AE13C7">
        <w:rPr>
          <w:rFonts w:ascii="Book Antiqua" w:eastAsia="Book Antiqua" w:hAnsi="Book Antiqua" w:cs="Book Antiqua"/>
          <w:color w:val="000000"/>
        </w:rPr>
        <w:t>. The three most common complications following endobronchial ultrasound with real-time guided transbronchial needle aspiration (EBUS-TBNA) are hemorrhage (0.6%), pneumothorax (0.</w:t>
      </w:r>
      <w:r w:rsidR="00C57236">
        <w:rPr>
          <w:rFonts w:ascii="Book Antiqua" w:eastAsia="Book Antiqua" w:hAnsi="Book Antiqua" w:cs="Book Antiqua"/>
          <w:color w:val="000000"/>
        </w:rPr>
        <w:t>4</w:t>
      </w:r>
      <w:r w:rsidRPr="00AE13C7">
        <w:rPr>
          <w:rFonts w:ascii="Book Antiqua" w:eastAsia="Book Antiqua" w:hAnsi="Book Antiqua" w:cs="Book Antiqua"/>
          <w:color w:val="000000"/>
        </w:rPr>
        <w:t>%) and infection (0.3%</w:t>
      </w:r>
      <w:proofErr w:type="gramStart"/>
      <w:r w:rsidRPr="00AE13C7">
        <w:rPr>
          <w:rFonts w:ascii="Book Antiqua" w:eastAsia="Book Antiqua" w:hAnsi="Book Antiqua" w:cs="Book Antiqua"/>
          <w:color w:val="000000"/>
        </w:rPr>
        <w:t>)</w:t>
      </w:r>
      <w:r w:rsidR="004D6971">
        <w:rPr>
          <w:rFonts w:ascii="Book Antiqua" w:eastAsia="Book Antiqua" w:hAnsi="Book Antiqua" w:cs="Book Antiqua"/>
          <w:color w:val="000000"/>
          <w:vertAlign w:val="superscript"/>
        </w:rPr>
        <w:t>[</w:t>
      </w:r>
      <w:proofErr w:type="gramEnd"/>
      <w:r w:rsidR="004D6971">
        <w:rPr>
          <w:rFonts w:ascii="Book Antiqua" w:eastAsia="Book Antiqua" w:hAnsi="Book Antiqua" w:cs="Book Antiqua"/>
          <w:color w:val="000000"/>
          <w:vertAlign w:val="superscript"/>
        </w:rPr>
        <w:t>10]</w:t>
      </w:r>
      <w:r w:rsidRPr="00AE13C7">
        <w:rPr>
          <w:rFonts w:ascii="Book Antiqua" w:eastAsia="Book Antiqua" w:hAnsi="Book Antiqua" w:cs="Book Antiqua"/>
          <w:color w:val="000000"/>
        </w:rPr>
        <w:t>. Bronchoscopy and tissue sampling of intrabronchial cancer can be achieved in a combined session with EBUS-TBNA with proper sedation and cooperation. However, the tissue samples are small, most often cytological, materials, limiting the ability to extensively test them.</w:t>
      </w:r>
    </w:p>
    <w:p w14:paraId="7BC95173" w14:textId="728C9314" w:rsidR="00A77B3E" w:rsidRPr="00AE13C7" w:rsidRDefault="00231511" w:rsidP="00431F38">
      <w:pPr>
        <w:spacing w:line="360" w:lineRule="auto"/>
        <w:ind w:firstLineChars="100" w:firstLine="240"/>
        <w:jc w:val="both"/>
        <w:rPr>
          <w:rFonts w:ascii="Book Antiqua" w:hAnsi="Book Antiqua"/>
        </w:rPr>
      </w:pPr>
      <w:r w:rsidRPr="00AE13C7">
        <w:rPr>
          <w:rFonts w:ascii="Book Antiqua" w:eastAsia="Book Antiqua" w:hAnsi="Book Antiqua" w:cs="Book Antiqua"/>
          <w:color w:val="000000"/>
        </w:rPr>
        <w:t xml:space="preserve">More material is available from core biopsies, but the risks are higher. The main complications in CT-guided transthoracic lung biopsy were pneumothorax (25% </w:t>
      </w:r>
      <w:r w:rsidRPr="00976981">
        <w:rPr>
          <w:rFonts w:ascii="Book Antiqua" w:eastAsia="Book Antiqua" w:hAnsi="Book Antiqua" w:cs="Book Antiqua"/>
          <w:i/>
          <w:iCs/>
          <w:color w:val="000000"/>
        </w:rPr>
        <w:t xml:space="preserve">vs </w:t>
      </w:r>
      <w:r w:rsidRPr="00AE13C7">
        <w:rPr>
          <w:rFonts w:ascii="Book Antiqua" w:eastAsia="Book Antiqua" w:hAnsi="Book Antiqua" w:cs="Book Antiqua"/>
          <w:color w:val="000000"/>
        </w:rPr>
        <w:t>1</w:t>
      </w:r>
      <w:r w:rsidR="00C57236">
        <w:rPr>
          <w:rFonts w:ascii="Book Antiqua" w:eastAsia="Book Antiqua" w:hAnsi="Book Antiqua" w:cs="Book Antiqua"/>
          <w:color w:val="000000"/>
        </w:rPr>
        <w:t>9</w:t>
      </w:r>
      <w:r w:rsidRPr="00AE13C7">
        <w:rPr>
          <w:rFonts w:ascii="Book Antiqua" w:eastAsia="Book Antiqua" w:hAnsi="Book Antiqua" w:cs="Book Antiqua"/>
          <w:color w:val="000000"/>
        </w:rPr>
        <w:t xml:space="preserve">%), pulmonary hemorrhage (18% </w:t>
      </w:r>
      <w:r w:rsidRPr="00976981">
        <w:rPr>
          <w:rFonts w:ascii="Book Antiqua" w:eastAsia="Book Antiqua" w:hAnsi="Book Antiqua" w:cs="Book Antiqua"/>
          <w:i/>
          <w:iCs/>
          <w:color w:val="000000"/>
        </w:rPr>
        <w:t>vs</w:t>
      </w:r>
      <w:r w:rsidRPr="00AE13C7">
        <w:rPr>
          <w:rFonts w:ascii="Book Antiqua" w:eastAsia="Book Antiqua" w:hAnsi="Book Antiqua" w:cs="Book Antiqua"/>
          <w:color w:val="000000"/>
        </w:rPr>
        <w:t xml:space="preserve"> 6%) and hemoptysis (4% </w:t>
      </w:r>
      <w:r w:rsidRPr="00976981">
        <w:rPr>
          <w:rFonts w:ascii="Book Antiqua" w:eastAsia="Book Antiqua" w:hAnsi="Book Antiqua" w:cs="Book Antiqua"/>
          <w:i/>
          <w:iCs/>
          <w:color w:val="000000"/>
        </w:rPr>
        <w:t>vs</w:t>
      </w:r>
      <w:r w:rsidRPr="00AE13C7">
        <w:rPr>
          <w:rFonts w:ascii="Book Antiqua" w:eastAsia="Book Antiqua" w:hAnsi="Book Antiqua" w:cs="Book Antiqua"/>
          <w:color w:val="000000"/>
        </w:rPr>
        <w:t xml:space="preserve"> </w:t>
      </w:r>
      <w:r w:rsidR="00C57236">
        <w:rPr>
          <w:rFonts w:ascii="Book Antiqua" w:eastAsia="Book Antiqua" w:hAnsi="Book Antiqua" w:cs="Book Antiqua"/>
          <w:color w:val="000000"/>
        </w:rPr>
        <w:t>2</w:t>
      </w:r>
      <w:r w:rsidRPr="00AE13C7">
        <w:rPr>
          <w:rFonts w:ascii="Book Antiqua" w:eastAsia="Book Antiqua" w:hAnsi="Book Antiqua" w:cs="Book Antiqua"/>
          <w:color w:val="000000"/>
        </w:rPr>
        <w:t xml:space="preserve">%) for core biopsy and fine needle aspiration (FNA), respectively. As shown by CT-guided core biopsy and FNA, the rate of pneumothorax requiring intervention was </w:t>
      </w:r>
      <w:r w:rsidR="00C57236">
        <w:rPr>
          <w:rFonts w:ascii="Book Antiqua" w:eastAsia="Book Antiqua" w:hAnsi="Book Antiqua" w:cs="Book Antiqua"/>
          <w:color w:val="000000"/>
        </w:rPr>
        <w:t>6</w:t>
      </w:r>
      <w:r w:rsidRPr="00AE13C7">
        <w:rPr>
          <w:rFonts w:ascii="Book Antiqua" w:eastAsia="Book Antiqua" w:hAnsi="Book Antiqua" w:cs="Book Antiqua"/>
          <w:color w:val="000000"/>
        </w:rPr>
        <w:t xml:space="preserve">% and 4%, </w:t>
      </w:r>
      <w:proofErr w:type="gramStart"/>
      <w:r w:rsidRPr="00AE13C7">
        <w:rPr>
          <w:rFonts w:ascii="Book Antiqua" w:eastAsia="Book Antiqua" w:hAnsi="Book Antiqua" w:cs="Book Antiqua"/>
          <w:color w:val="000000"/>
        </w:rPr>
        <w:t>respectively</w:t>
      </w:r>
      <w:r w:rsidR="004D6971">
        <w:rPr>
          <w:rFonts w:ascii="Book Antiqua" w:eastAsia="Book Antiqua" w:hAnsi="Book Antiqua" w:cs="Book Antiqua"/>
          <w:color w:val="000000"/>
          <w:vertAlign w:val="superscript"/>
        </w:rPr>
        <w:t>[</w:t>
      </w:r>
      <w:proofErr w:type="gramEnd"/>
      <w:r w:rsidR="004D6971">
        <w:rPr>
          <w:rFonts w:ascii="Book Antiqua" w:eastAsia="Book Antiqua" w:hAnsi="Book Antiqua" w:cs="Book Antiqua"/>
          <w:color w:val="000000"/>
          <w:vertAlign w:val="superscript"/>
        </w:rPr>
        <w:t>11]</w:t>
      </w:r>
      <w:r w:rsidRPr="00AE13C7">
        <w:rPr>
          <w:rFonts w:ascii="Book Antiqua" w:eastAsia="Book Antiqua" w:hAnsi="Book Antiqua" w:cs="Book Antiqua"/>
          <w:color w:val="000000"/>
        </w:rPr>
        <w:t>. Tissue sampling is an invasive procedure with risks, so the diagnostic pathway should be optimally planned to reduce the number of procedures needed to obtain enough material diagnosis and staging.</w:t>
      </w:r>
    </w:p>
    <w:p w14:paraId="33AACCE6" w14:textId="340CC678" w:rsidR="00A77B3E" w:rsidRPr="00AE13C7" w:rsidRDefault="00231511" w:rsidP="00552B6C">
      <w:pPr>
        <w:spacing w:line="360" w:lineRule="auto"/>
        <w:ind w:firstLineChars="100" w:firstLine="240"/>
        <w:jc w:val="both"/>
        <w:rPr>
          <w:rFonts w:ascii="Book Antiqua" w:hAnsi="Book Antiqua"/>
        </w:rPr>
      </w:pPr>
      <w:r w:rsidRPr="00AE13C7">
        <w:rPr>
          <w:rFonts w:ascii="Book Antiqua" w:eastAsia="Book Antiqua" w:hAnsi="Book Antiqua" w:cs="Book Antiqua"/>
          <w:color w:val="000000"/>
        </w:rPr>
        <w:t xml:space="preserve">At the early stages, staging and tissue sampling require more advanced methods and time, whereas advanced metastatic cancer sampling is usually fast and easy. This might be one of the reasons why diagnosis time in lung cancer does not affect </w:t>
      </w:r>
      <w:proofErr w:type="gramStart"/>
      <w:r w:rsidRPr="00AE13C7">
        <w:rPr>
          <w:rFonts w:ascii="Book Antiqua" w:eastAsia="Book Antiqua" w:hAnsi="Book Antiqua" w:cs="Book Antiqua"/>
          <w:color w:val="000000"/>
        </w:rPr>
        <w:t>prognosis</w:t>
      </w:r>
      <w:r w:rsidR="004D6971">
        <w:rPr>
          <w:rFonts w:ascii="Book Antiqua" w:eastAsia="Book Antiqua" w:hAnsi="Book Antiqua" w:cs="Book Antiqua"/>
          <w:color w:val="000000"/>
          <w:vertAlign w:val="superscript"/>
        </w:rPr>
        <w:t>[</w:t>
      </w:r>
      <w:proofErr w:type="gramEnd"/>
      <w:r w:rsidR="004D6971">
        <w:rPr>
          <w:rFonts w:ascii="Book Antiqua" w:eastAsia="Book Antiqua" w:hAnsi="Book Antiqua" w:cs="Book Antiqua"/>
          <w:color w:val="000000"/>
          <w:vertAlign w:val="superscript"/>
        </w:rPr>
        <w:t>12,13]</w:t>
      </w:r>
      <w:r w:rsidRPr="00AE13C7">
        <w:rPr>
          <w:rFonts w:ascii="Book Antiqua" w:eastAsia="Book Antiqua" w:hAnsi="Book Antiqua" w:cs="Book Antiqua"/>
          <w:color w:val="000000"/>
        </w:rPr>
        <w:t>, while the stage of lung cancer at diagnosis does determine survival</w:t>
      </w:r>
      <w:r w:rsidR="004D6971">
        <w:rPr>
          <w:rFonts w:ascii="Book Antiqua" w:eastAsia="Book Antiqua" w:hAnsi="Book Antiqua" w:cs="Book Antiqua"/>
          <w:color w:val="000000"/>
          <w:vertAlign w:val="superscript"/>
        </w:rPr>
        <w:t>[14]</w:t>
      </w:r>
      <w:r w:rsidRPr="00AE13C7">
        <w:rPr>
          <w:rFonts w:ascii="Book Antiqua" w:eastAsia="Book Antiqua" w:hAnsi="Book Antiqua" w:cs="Book Antiqua"/>
          <w:color w:val="000000"/>
        </w:rPr>
        <w:t xml:space="preserve">. The faster pathway was shown to be beneficial in three </w:t>
      </w:r>
      <w:proofErr w:type="gramStart"/>
      <w:r w:rsidRPr="00AE13C7">
        <w:rPr>
          <w:rFonts w:ascii="Book Antiqua" w:eastAsia="Book Antiqua" w:hAnsi="Book Antiqua" w:cs="Book Antiqua"/>
          <w:color w:val="000000"/>
        </w:rPr>
        <w:t>studies</w:t>
      </w:r>
      <w:r w:rsidR="004D6971">
        <w:rPr>
          <w:rFonts w:ascii="Book Antiqua" w:eastAsia="Book Antiqua" w:hAnsi="Book Antiqua" w:cs="Book Antiqua"/>
          <w:color w:val="000000"/>
          <w:vertAlign w:val="superscript"/>
        </w:rPr>
        <w:t>[</w:t>
      </w:r>
      <w:proofErr w:type="gramEnd"/>
      <w:r w:rsidR="004D6971">
        <w:rPr>
          <w:rFonts w:ascii="Book Antiqua" w:eastAsia="Book Antiqua" w:hAnsi="Book Antiqua" w:cs="Book Antiqua"/>
          <w:color w:val="000000"/>
          <w:vertAlign w:val="superscript"/>
        </w:rPr>
        <w:t>15-17]</w:t>
      </w:r>
      <w:r w:rsidRPr="00AE13C7">
        <w:rPr>
          <w:rFonts w:ascii="Book Antiqua" w:eastAsia="Book Antiqua" w:hAnsi="Book Antiqua" w:cs="Book Antiqua"/>
          <w:color w:val="000000"/>
        </w:rPr>
        <w:t xml:space="preserve">. In Denmark, improved diagnostic accuracy has led to significant improvements in survival rates and reduced </w:t>
      </w:r>
      <w:proofErr w:type="gramStart"/>
      <w:r w:rsidRPr="00AE13C7">
        <w:rPr>
          <w:rFonts w:ascii="Book Antiqua" w:eastAsia="Book Antiqua" w:hAnsi="Book Antiqua" w:cs="Book Antiqua"/>
          <w:color w:val="000000"/>
        </w:rPr>
        <w:t>mortality</w:t>
      </w:r>
      <w:r w:rsidR="004D6971">
        <w:rPr>
          <w:rFonts w:ascii="Book Antiqua" w:eastAsia="Book Antiqua" w:hAnsi="Book Antiqua" w:cs="Book Antiqua"/>
          <w:color w:val="000000"/>
          <w:vertAlign w:val="superscript"/>
        </w:rPr>
        <w:t>[</w:t>
      </w:r>
      <w:proofErr w:type="gramEnd"/>
      <w:r w:rsidR="004D6971">
        <w:rPr>
          <w:rFonts w:ascii="Book Antiqua" w:eastAsia="Book Antiqua" w:hAnsi="Book Antiqua" w:cs="Book Antiqua"/>
          <w:color w:val="000000"/>
          <w:vertAlign w:val="superscript"/>
        </w:rPr>
        <w:t>18]</w:t>
      </w:r>
      <w:r w:rsidRPr="00AE13C7">
        <w:rPr>
          <w:rFonts w:ascii="Book Antiqua" w:eastAsia="Book Antiqua" w:hAnsi="Book Antiqua" w:cs="Book Antiqua"/>
          <w:color w:val="000000"/>
        </w:rPr>
        <w:t>.</w:t>
      </w:r>
    </w:p>
    <w:p w14:paraId="3A83629B" w14:textId="77777777" w:rsidR="00A77B3E" w:rsidRPr="00AE13C7" w:rsidRDefault="00A77B3E">
      <w:pPr>
        <w:spacing w:line="360" w:lineRule="auto"/>
        <w:jc w:val="both"/>
        <w:rPr>
          <w:rFonts w:ascii="Book Antiqua" w:hAnsi="Book Antiqua"/>
        </w:rPr>
      </w:pPr>
    </w:p>
    <w:p w14:paraId="5D6A9FFC" w14:textId="77777777" w:rsidR="00A77B3E" w:rsidRPr="00195B50" w:rsidRDefault="00231511">
      <w:pPr>
        <w:spacing w:line="360" w:lineRule="auto"/>
        <w:jc w:val="both"/>
        <w:rPr>
          <w:rFonts w:ascii="Book Antiqua" w:hAnsi="Book Antiqua"/>
          <w:i/>
          <w:iCs/>
        </w:rPr>
      </w:pPr>
      <w:r w:rsidRPr="00195B50">
        <w:rPr>
          <w:rFonts w:ascii="Book Antiqua" w:eastAsia="Book Antiqua" w:hAnsi="Book Antiqua" w:cs="Book Antiqua"/>
          <w:b/>
          <w:bCs/>
          <w:i/>
          <w:iCs/>
          <w:color w:val="000000"/>
        </w:rPr>
        <w:t>Access to new genomic techniques</w:t>
      </w:r>
    </w:p>
    <w:p w14:paraId="5E8871EB" w14:textId="1DA5A0A2" w:rsidR="00A77B3E" w:rsidRPr="00AE13C7" w:rsidRDefault="00231511">
      <w:pPr>
        <w:spacing w:line="360" w:lineRule="auto"/>
        <w:jc w:val="both"/>
        <w:rPr>
          <w:rFonts w:ascii="Book Antiqua" w:hAnsi="Book Antiqua"/>
        </w:rPr>
      </w:pPr>
      <w:r w:rsidRPr="00AE13C7">
        <w:rPr>
          <w:rFonts w:ascii="Book Antiqua" w:eastAsia="Book Antiqua" w:hAnsi="Book Antiqua" w:cs="Book Antiqua"/>
          <w:color w:val="000000"/>
        </w:rPr>
        <w:lastRenderedPageBreak/>
        <w:t>It has been estimated that in the U</w:t>
      </w:r>
      <w:r w:rsidR="006D3F8F">
        <w:rPr>
          <w:rFonts w:ascii="Book Antiqua" w:eastAsia="Book Antiqua" w:hAnsi="Book Antiqua" w:cs="Book Antiqua"/>
          <w:color w:val="000000"/>
        </w:rPr>
        <w:t>nited States</w:t>
      </w:r>
      <w:r w:rsidRPr="00AE13C7">
        <w:rPr>
          <w:rFonts w:ascii="Book Antiqua" w:eastAsia="Book Antiqua" w:hAnsi="Book Antiqua" w:cs="Book Antiqua"/>
          <w:color w:val="000000"/>
        </w:rPr>
        <w:t>, approximately 80% of cancer patients are treated at community hospitals without access to advanced genomi</w:t>
      </w:r>
      <w:r w:rsidRPr="002F0BD3">
        <w:rPr>
          <w:rFonts w:ascii="Book Antiqua" w:eastAsia="Book Antiqua" w:hAnsi="Book Antiqua" w:cs="Book Antiqua"/>
          <w:color w:val="000000"/>
        </w:rPr>
        <w:t xml:space="preserve">c </w:t>
      </w:r>
      <w:proofErr w:type="gramStart"/>
      <w:r w:rsidRPr="002F0BD3">
        <w:rPr>
          <w:rFonts w:ascii="Book Antiqua" w:eastAsia="Book Antiqua" w:hAnsi="Book Antiqua" w:cs="Book Antiqua"/>
          <w:color w:val="000000"/>
        </w:rPr>
        <w:t>testing</w:t>
      </w:r>
      <w:r w:rsidRPr="002F0BD3">
        <w:rPr>
          <w:rFonts w:ascii="Book Antiqua" w:eastAsia="Book Antiqua" w:hAnsi="Book Antiqua" w:cs="Book Antiqua"/>
          <w:color w:val="000000"/>
          <w:vertAlign w:val="superscript"/>
        </w:rPr>
        <w:t>[</w:t>
      </w:r>
      <w:proofErr w:type="gramEnd"/>
      <w:r w:rsidRPr="002F0BD3">
        <w:rPr>
          <w:rFonts w:ascii="Book Antiqua" w:eastAsia="Book Antiqua" w:hAnsi="Book Antiqua" w:cs="Book Antiqua"/>
          <w:color w:val="000000"/>
          <w:vertAlign w:val="superscript"/>
        </w:rPr>
        <w:t>19]</w:t>
      </w:r>
      <w:r w:rsidRPr="002F0BD3">
        <w:rPr>
          <w:rFonts w:ascii="Book Antiqua" w:eastAsia="Book Antiqua" w:hAnsi="Book Antiqua" w:cs="Book Antiqua"/>
          <w:color w:val="000000"/>
        </w:rPr>
        <w:t>. Cl</w:t>
      </w:r>
      <w:r w:rsidRPr="00AE13C7">
        <w:rPr>
          <w:rFonts w:ascii="Book Antiqua" w:eastAsia="Book Antiqua" w:hAnsi="Book Antiqua" w:cs="Book Antiqua"/>
          <w:color w:val="000000"/>
        </w:rPr>
        <w:t xml:space="preserve">inical implementations of advanced cancer genomics have been limited to academic cancer </w:t>
      </w:r>
      <w:proofErr w:type="gramStart"/>
      <w:r w:rsidRPr="00AE13C7">
        <w:rPr>
          <w:rFonts w:ascii="Book Antiqua" w:eastAsia="Book Antiqua" w:hAnsi="Book Antiqua" w:cs="Book Antiqua"/>
          <w:color w:val="000000"/>
        </w:rPr>
        <w:t>centers</w:t>
      </w:r>
      <w:r w:rsidR="004D6971">
        <w:rPr>
          <w:rFonts w:ascii="Book Antiqua" w:eastAsia="Book Antiqua" w:hAnsi="Book Antiqua" w:cs="Book Antiqua"/>
          <w:color w:val="000000"/>
          <w:vertAlign w:val="superscript"/>
        </w:rPr>
        <w:t>[</w:t>
      </w:r>
      <w:proofErr w:type="gramEnd"/>
      <w:r w:rsidR="004D6971">
        <w:rPr>
          <w:rFonts w:ascii="Book Antiqua" w:eastAsia="Book Antiqua" w:hAnsi="Book Antiqua" w:cs="Book Antiqua"/>
          <w:color w:val="000000"/>
          <w:vertAlign w:val="superscript"/>
        </w:rPr>
        <w:t>19]</w:t>
      </w:r>
      <w:r w:rsidRPr="00AE13C7">
        <w:rPr>
          <w:rFonts w:ascii="Book Antiqua" w:eastAsia="Book Antiqua" w:hAnsi="Book Antiqua" w:cs="Book Antiqua"/>
          <w:color w:val="000000"/>
        </w:rPr>
        <w:t xml:space="preserve">. Advanced testing includes a combination of next-generation sequencing and computational data analysis. In lung cancer, targetable gene alterations are looked for first, including sensitizing </w:t>
      </w:r>
      <w:r w:rsidR="000E51E5" w:rsidRPr="000E51E5">
        <w:rPr>
          <w:rFonts w:ascii="Book Antiqua" w:eastAsia="Book Antiqua" w:hAnsi="Book Antiqua" w:cs="Book Antiqua"/>
          <w:color w:val="000000"/>
        </w:rPr>
        <w:t>epidermal growth factor receptor (EGFR)</w:t>
      </w:r>
      <w:r w:rsidRPr="00AE13C7">
        <w:rPr>
          <w:rFonts w:ascii="Book Antiqua" w:eastAsia="Book Antiqua" w:hAnsi="Book Antiqua" w:cs="Book Antiqua"/>
          <w:color w:val="000000"/>
        </w:rPr>
        <w:t xml:space="preserve"> mutations, </w:t>
      </w:r>
      <w:r w:rsidR="003D23DF">
        <w:rPr>
          <w:rFonts w:ascii="Book Antiqua" w:eastAsia="Book Antiqua" w:hAnsi="Book Antiqua" w:cs="Book Antiqua"/>
          <w:color w:val="000000"/>
        </w:rPr>
        <w:t>a</w:t>
      </w:r>
      <w:r w:rsidR="000E51E5" w:rsidRPr="000E51E5">
        <w:rPr>
          <w:rFonts w:ascii="Book Antiqua" w:eastAsia="Book Antiqua" w:hAnsi="Book Antiqua" w:cs="Book Antiqua"/>
          <w:color w:val="000000"/>
        </w:rPr>
        <w:t>naplastic lymphoma kinase (ALK)</w:t>
      </w:r>
      <w:r w:rsidRPr="00AE13C7">
        <w:rPr>
          <w:rFonts w:ascii="Book Antiqua" w:eastAsia="Book Antiqua" w:hAnsi="Book Antiqua" w:cs="Book Antiqua"/>
          <w:color w:val="000000"/>
        </w:rPr>
        <w:t xml:space="preserve"> and ROS-1 rearrangements, the BRAF V600E mutation, NTRK 1/2/3 gene fusions, the METex14 skipping mutation and RET rearrangement</w:t>
      </w:r>
      <w:r w:rsidR="004D6971">
        <w:rPr>
          <w:rFonts w:ascii="Book Antiqua" w:eastAsia="Book Antiqua" w:hAnsi="Book Antiqua" w:cs="Book Antiqua"/>
          <w:color w:val="000000"/>
          <w:vertAlign w:val="superscript"/>
        </w:rPr>
        <w:t>[20]</w:t>
      </w:r>
      <w:r w:rsidRPr="00AE13C7">
        <w:rPr>
          <w:rFonts w:ascii="Book Antiqua" w:eastAsia="Book Antiqua" w:hAnsi="Book Antiqua" w:cs="Book Antiqua"/>
          <w:color w:val="000000"/>
        </w:rPr>
        <w:t>. However, in practice, the list may be shorter if there is no access to the cancer drug related to a given gene alterations. For example, in Finland it is common practice to sequence only EGFR, ALK, ROS-1 and NTRK, because their corresponding drugs have reimbursements available, and to leave others untested.</w:t>
      </w:r>
    </w:p>
    <w:p w14:paraId="634B1C05" w14:textId="75008A69" w:rsidR="00A77B3E" w:rsidRPr="00AE13C7" w:rsidRDefault="00231511" w:rsidP="008E4883">
      <w:pPr>
        <w:spacing w:line="360" w:lineRule="auto"/>
        <w:ind w:firstLineChars="100" w:firstLine="240"/>
        <w:jc w:val="both"/>
        <w:rPr>
          <w:rFonts w:ascii="Book Antiqua" w:hAnsi="Book Antiqua"/>
        </w:rPr>
      </w:pPr>
      <w:r w:rsidRPr="00AE13C7">
        <w:rPr>
          <w:rFonts w:ascii="Book Antiqua" w:eastAsia="Book Antiqua" w:hAnsi="Book Antiqua" w:cs="Book Antiqua"/>
          <w:color w:val="000000"/>
        </w:rPr>
        <w:t xml:space="preserve">Keeling </w:t>
      </w:r>
      <w:r w:rsidRPr="00AE13C7">
        <w:rPr>
          <w:rFonts w:ascii="Book Antiqua" w:eastAsia="Book Antiqua" w:hAnsi="Book Antiqua" w:cs="Book Antiqua"/>
          <w:i/>
          <w:iCs/>
          <w:color w:val="000000"/>
        </w:rPr>
        <w:t xml:space="preserve">et </w:t>
      </w:r>
      <w:proofErr w:type="gramStart"/>
      <w:r w:rsidRPr="00AE13C7">
        <w:rPr>
          <w:rFonts w:ascii="Book Antiqua" w:eastAsia="Book Antiqua" w:hAnsi="Book Antiqua" w:cs="Book Antiqua"/>
          <w:i/>
          <w:iCs/>
          <w:color w:val="000000"/>
        </w:rPr>
        <w:t>al</w:t>
      </w:r>
      <w:r w:rsidR="004D6971">
        <w:rPr>
          <w:rFonts w:ascii="Book Antiqua" w:eastAsia="Book Antiqua" w:hAnsi="Book Antiqua" w:cs="Book Antiqua"/>
          <w:color w:val="000000"/>
          <w:vertAlign w:val="superscript"/>
        </w:rPr>
        <w:t>[</w:t>
      </w:r>
      <w:proofErr w:type="gramEnd"/>
      <w:r w:rsidR="004D6971">
        <w:rPr>
          <w:rFonts w:ascii="Book Antiqua" w:eastAsia="Book Antiqua" w:hAnsi="Book Antiqua" w:cs="Book Antiqua"/>
          <w:color w:val="000000"/>
          <w:vertAlign w:val="superscript"/>
        </w:rPr>
        <w:t>21]</w:t>
      </w:r>
      <w:r w:rsidRPr="00AE13C7">
        <w:rPr>
          <w:rFonts w:ascii="Book Antiqua" w:eastAsia="Book Antiqua" w:hAnsi="Book Antiqua" w:cs="Book Antiqua"/>
          <w:color w:val="000000"/>
        </w:rPr>
        <w:t xml:space="preserve"> defined common barriers to the clinical implementations of companion diagnostic tests. Specifically, if physicians are not aware of biomarkers, tests are not requested, and the quality and appropriateness of samples are essential because accurate analysis requires enough sample of good quality. Tests are not always available in existing laboratories. The results should be reliable and consistent. If physicians lose confidence in using a certain cancer drug, test results might not be available in time. Cancer treatment decision making usually requires fast test turnaround times; if the results take more than 2 </w:t>
      </w:r>
      <w:proofErr w:type="spellStart"/>
      <w:r w:rsidRPr="00AE13C7">
        <w:rPr>
          <w:rFonts w:ascii="Book Antiqua" w:eastAsia="Book Antiqua" w:hAnsi="Book Antiqua" w:cs="Book Antiqua"/>
          <w:color w:val="000000"/>
        </w:rPr>
        <w:t>wk</w:t>
      </w:r>
      <w:proofErr w:type="spellEnd"/>
      <w:r w:rsidRPr="00AE13C7">
        <w:rPr>
          <w:rFonts w:ascii="Book Antiqua" w:eastAsia="Book Antiqua" w:hAnsi="Book Antiqua" w:cs="Book Antiqua"/>
          <w:color w:val="000000"/>
        </w:rPr>
        <w:t>, this will decrease the willingness to use the therapy. If tests are insufficiently reimbursed, then financial issues become an obstacle. All technical obstacles need to be covered before patients can be indicated for the rights treatment at the right time.</w:t>
      </w:r>
    </w:p>
    <w:p w14:paraId="537EC4FB" w14:textId="77777777" w:rsidR="00A77B3E" w:rsidRPr="00AE13C7" w:rsidRDefault="00A77B3E">
      <w:pPr>
        <w:spacing w:line="360" w:lineRule="auto"/>
        <w:jc w:val="both"/>
        <w:rPr>
          <w:rFonts w:ascii="Book Antiqua" w:hAnsi="Book Antiqua"/>
        </w:rPr>
      </w:pPr>
    </w:p>
    <w:p w14:paraId="4157B0DE" w14:textId="77777777" w:rsidR="00A77B3E" w:rsidRPr="00195B50" w:rsidRDefault="00231511">
      <w:pPr>
        <w:spacing w:line="360" w:lineRule="auto"/>
        <w:jc w:val="both"/>
        <w:rPr>
          <w:rFonts w:ascii="Book Antiqua" w:hAnsi="Book Antiqua"/>
          <w:i/>
          <w:iCs/>
        </w:rPr>
      </w:pPr>
      <w:r w:rsidRPr="00195B50">
        <w:rPr>
          <w:rFonts w:ascii="Book Antiqua" w:eastAsia="Book Antiqua" w:hAnsi="Book Antiqua" w:cs="Book Antiqua"/>
          <w:b/>
          <w:bCs/>
          <w:i/>
          <w:iCs/>
          <w:color w:val="000000"/>
        </w:rPr>
        <w:t>Access to gene-driven cancer drugs</w:t>
      </w:r>
    </w:p>
    <w:p w14:paraId="5C290CC3" w14:textId="37108160" w:rsidR="00A77B3E" w:rsidRPr="00AE13C7" w:rsidRDefault="00231511">
      <w:pPr>
        <w:spacing w:line="360" w:lineRule="auto"/>
        <w:jc w:val="both"/>
        <w:rPr>
          <w:rFonts w:ascii="Book Antiqua" w:hAnsi="Book Antiqua"/>
        </w:rPr>
      </w:pPr>
      <w:r w:rsidRPr="00AE13C7">
        <w:rPr>
          <w:rFonts w:ascii="Book Antiqua" w:eastAsia="Book Antiqua" w:hAnsi="Book Antiqua" w:cs="Book Antiqua"/>
          <w:color w:val="000000"/>
        </w:rPr>
        <w:t xml:space="preserve">New drugs are entering clinical use </w:t>
      </w:r>
      <w:r w:rsidRPr="00AE13C7">
        <w:rPr>
          <w:rFonts w:ascii="Book Antiqua" w:eastAsia="Book Antiqua" w:hAnsi="Book Antiqua" w:cs="Book Antiqua"/>
          <w:i/>
          <w:iCs/>
          <w:color w:val="000000"/>
        </w:rPr>
        <w:t>via</w:t>
      </w:r>
      <w:r w:rsidRPr="00AE13C7">
        <w:rPr>
          <w:rFonts w:ascii="Book Antiqua" w:eastAsia="Book Antiqua" w:hAnsi="Book Antiqua" w:cs="Book Antiqua"/>
          <w:color w:val="000000"/>
        </w:rPr>
        <w:t xml:space="preserve"> clinical trials, but not every country has access to the results of clinical trials. When a cancer drug is approved based on the results of clinical trials by drug registration agencies, it becomes available if the pharmaceutical company seeks authorization in a specific country. Usually, the FDA in the States is </w:t>
      </w:r>
      <w:r w:rsidRPr="00AE13C7">
        <w:rPr>
          <w:rFonts w:ascii="Book Antiqua" w:eastAsia="Book Antiqua" w:hAnsi="Book Antiqua" w:cs="Book Antiqua"/>
          <w:color w:val="000000"/>
        </w:rPr>
        <w:lastRenderedPageBreak/>
        <w:t xml:space="preserve">faster at approving than the EMA in </w:t>
      </w:r>
      <w:proofErr w:type="gramStart"/>
      <w:r w:rsidRPr="00AE13C7">
        <w:rPr>
          <w:rFonts w:ascii="Book Antiqua" w:eastAsia="Book Antiqua" w:hAnsi="Book Antiqua" w:cs="Book Antiqua"/>
          <w:color w:val="000000"/>
        </w:rPr>
        <w:t>Europe</w:t>
      </w:r>
      <w:r w:rsidR="004D6971">
        <w:rPr>
          <w:rFonts w:ascii="Book Antiqua" w:eastAsia="Book Antiqua" w:hAnsi="Book Antiqua" w:cs="Book Antiqua"/>
          <w:color w:val="000000"/>
          <w:vertAlign w:val="superscript"/>
        </w:rPr>
        <w:t>[</w:t>
      </w:r>
      <w:proofErr w:type="gramEnd"/>
      <w:r w:rsidR="004D6971">
        <w:rPr>
          <w:rFonts w:ascii="Book Antiqua" w:eastAsia="Book Antiqua" w:hAnsi="Book Antiqua" w:cs="Book Antiqua"/>
          <w:color w:val="000000"/>
          <w:vertAlign w:val="superscript"/>
        </w:rPr>
        <w:t>22]</w:t>
      </w:r>
      <w:r w:rsidRPr="00AE13C7">
        <w:rPr>
          <w:rFonts w:ascii="Book Antiqua" w:eastAsia="Book Antiqua" w:hAnsi="Book Antiqua" w:cs="Book Antiqua"/>
          <w:color w:val="000000"/>
        </w:rPr>
        <w:t xml:space="preserve">, but even faster approval might be done in other countries, such as Canada, Australia, Japan, or China. Although most applications rely on identical pivotal trials across regulatory agencies, only 57% of indications received either FDA or EMA approval and approval by an additional </w:t>
      </w:r>
      <w:proofErr w:type="gramStart"/>
      <w:r w:rsidRPr="008D76C0">
        <w:rPr>
          <w:rFonts w:ascii="Book Antiqua" w:eastAsia="Book Antiqua" w:hAnsi="Book Antiqua" w:cs="Book Antiqua"/>
          <w:color w:val="000000"/>
        </w:rPr>
        <w:t>agency</w:t>
      </w:r>
      <w:r w:rsidRPr="008D76C0">
        <w:rPr>
          <w:rFonts w:ascii="Book Antiqua" w:eastAsia="Book Antiqua" w:hAnsi="Book Antiqua" w:cs="Book Antiqua"/>
          <w:color w:val="000000"/>
          <w:vertAlign w:val="superscript"/>
        </w:rPr>
        <w:t>[</w:t>
      </w:r>
      <w:proofErr w:type="gramEnd"/>
      <w:r w:rsidRPr="008D76C0">
        <w:rPr>
          <w:rFonts w:ascii="Book Antiqua" w:eastAsia="Book Antiqua" w:hAnsi="Book Antiqua" w:cs="Book Antiqua"/>
          <w:color w:val="000000"/>
          <w:vertAlign w:val="superscript"/>
        </w:rPr>
        <w:t>23]</w:t>
      </w:r>
      <w:r w:rsidRPr="008D76C0">
        <w:rPr>
          <w:rFonts w:ascii="Book Antiqua" w:eastAsia="Book Antiqua" w:hAnsi="Book Antiqua" w:cs="Book Antiqua"/>
          <w:color w:val="000000"/>
        </w:rPr>
        <w:t>.</w:t>
      </w:r>
    </w:p>
    <w:p w14:paraId="59B2B288" w14:textId="77777777" w:rsidR="00A77B3E" w:rsidRPr="00AE13C7" w:rsidRDefault="00231511" w:rsidP="00C50D37">
      <w:pPr>
        <w:spacing w:line="360" w:lineRule="auto"/>
        <w:ind w:firstLineChars="100" w:firstLine="240"/>
        <w:jc w:val="both"/>
        <w:rPr>
          <w:rFonts w:ascii="Book Antiqua" w:hAnsi="Book Antiqua"/>
        </w:rPr>
      </w:pPr>
      <w:r w:rsidRPr="00AE13C7">
        <w:rPr>
          <w:rFonts w:ascii="Book Antiqua" w:eastAsia="Book Antiqua" w:hAnsi="Book Antiqua" w:cs="Book Antiqua"/>
          <w:color w:val="000000"/>
        </w:rPr>
        <w:t>When a new cancer drug is approved, it becomes widely available, but there is an additional obstacle to its use, which is the price (Figure 2). All new cancer drugs, which are more expensive than old ones that are no longer covered by patents, should have an additional payer to at least partially support its high costs. Of course, the first payer is the patient, but support may come from insurance companies, government institutions or fraternal societies. Coverage varies widely. Every country has its own system based on available funds and evaluations that are performed mainly depending on efficacy results in clinical trials, as well as how the drug fits with treatments currently in use. Correspondingly, in Finland, coverage of cancer drug prices is in place. If a cancer drug is given in a hospital, it is provided by the hospital, which is receiving funding from neighboring counties and subsided by the government. If a cancer drug is taken at home in tablets, it may have governmental reimbursement. Price can be covered partially with a defined annual maximum for the patient, after which the drug is given free. Another possibility is full coverage with a nominal fee. If a tablet drug has no reimbursement, the patient needs to pay for it in full.</w:t>
      </w:r>
    </w:p>
    <w:p w14:paraId="3777F761" w14:textId="77777777" w:rsidR="00A77B3E" w:rsidRPr="00AE13C7" w:rsidRDefault="00A77B3E">
      <w:pPr>
        <w:spacing w:line="360" w:lineRule="auto"/>
        <w:jc w:val="both"/>
        <w:rPr>
          <w:rFonts w:ascii="Book Antiqua" w:hAnsi="Book Antiqua"/>
        </w:rPr>
      </w:pPr>
    </w:p>
    <w:p w14:paraId="105A1444"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b/>
          <w:bCs/>
          <w:caps/>
          <w:color w:val="000000"/>
          <w:u w:val="single"/>
        </w:rPr>
        <w:t>CASE STUDY –genomic testing for lung cancer in the Vaasa Oncology Clinic 2016-2019</w:t>
      </w:r>
    </w:p>
    <w:p w14:paraId="6AC827E0" w14:textId="671F8475" w:rsidR="00A77B3E" w:rsidRPr="00AE13C7" w:rsidRDefault="00231511">
      <w:pPr>
        <w:spacing w:line="360" w:lineRule="auto"/>
        <w:jc w:val="both"/>
        <w:rPr>
          <w:rFonts w:ascii="Book Antiqua" w:hAnsi="Book Antiqua"/>
        </w:rPr>
      </w:pPr>
      <w:r w:rsidRPr="00AE13C7">
        <w:rPr>
          <w:rFonts w:ascii="Book Antiqua" w:eastAsia="Book Antiqua" w:hAnsi="Book Antiqua" w:cs="Book Antiqua"/>
          <w:color w:val="000000"/>
        </w:rPr>
        <w:t>The</w:t>
      </w:r>
      <w:r w:rsidRPr="00AE13C7">
        <w:rPr>
          <w:rFonts w:ascii="Book Antiqua" w:eastAsia="Book Antiqua" w:hAnsi="Book Antiqua" w:cs="Book Antiqua"/>
          <w:b/>
          <w:bCs/>
          <w:color w:val="000000"/>
        </w:rPr>
        <w:t xml:space="preserve"> </w:t>
      </w:r>
      <w:r w:rsidRPr="00AE13C7">
        <w:rPr>
          <w:rFonts w:ascii="Book Antiqua" w:eastAsia="Book Antiqua" w:hAnsi="Book Antiqua" w:cs="Book Antiqua"/>
          <w:color w:val="000000"/>
        </w:rPr>
        <w:t xml:space="preserve">Vaasa Oncology Clinic covers 365000 people with approximately 50 annual first visit consultations for oncological treatment of lung cancer. Gene testing for all actionable mutations is implemented in our process. Altogether, 458 gene tests were analyzed during 2016-2019 (pyrosequencing 2016-2017 and then NGS 2017-2019), which covered 160 </w:t>
      </w:r>
      <w:r w:rsidR="00495621">
        <w:rPr>
          <w:rFonts w:ascii="Book Antiqua" w:eastAsia="Book Antiqua" w:hAnsi="Book Antiqua" w:cs="Book Antiqua"/>
          <w:color w:val="000000"/>
        </w:rPr>
        <w:t>l</w:t>
      </w:r>
      <w:r w:rsidRPr="00AE13C7">
        <w:rPr>
          <w:rFonts w:ascii="Book Antiqua" w:eastAsia="Book Antiqua" w:hAnsi="Book Antiqua" w:cs="Book Antiqua"/>
          <w:color w:val="000000"/>
        </w:rPr>
        <w:t xml:space="preserve">ung cancer patients (Table 1). Our focus was on EGFR driver gene mutations, as there has been a reimbursed cancer drug available for these patients. </w:t>
      </w:r>
      <w:r w:rsidRPr="00AE13C7">
        <w:rPr>
          <w:rFonts w:ascii="Book Antiqua" w:eastAsia="Book Antiqua" w:hAnsi="Book Antiqua" w:cs="Book Antiqua"/>
          <w:color w:val="000000"/>
        </w:rPr>
        <w:lastRenderedPageBreak/>
        <w:t xml:space="preserve">However, other actionable mutations, such as KRAS and BRAF mutations, were also observed and reported. As the reimbursement situation was improved during the study years, ALK and ROS-1 genes were included in the testing pattern (immunohistochemically analyzed and positive results verified by FISH) in 2018 and 2019, respectively (Table 1). In addition to these tissue biopsy analyses, </w:t>
      </w:r>
      <w:proofErr w:type="spellStart"/>
      <w:r w:rsidRPr="00AE13C7">
        <w:rPr>
          <w:rFonts w:ascii="Book Antiqua" w:eastAsia="Book Antiqua" w:hAnsi="Book Antiqua" w:cs="Book Antiqua"/>
          <w:color w:val="000000"/>
        </w:rPr>
        <w:t>cfDNA</w:t>
      </w:r>
      <w:proofErr w:type="spellEnd"/>
      <w:r w:rsidRPr="00AE13C7">
        <w:rPr>
          <w:rFonts w:ascii="Book Antiqua" w:eastAsia="Book Antiqua" w:hAnsi="Book Antiqua" w:cs="Book Antiqua"/>
          <w:color w:val="000000"/>
        </w:rPr>
        <w:t xml:space="preserve"> liquid biopsy samples were analyzed by digital PCR targeting EGFR. All the gene analyses were conducted at the </w:t>
      </w:r>
      <w:proofErr w:type="spellStart"/>
      <w:r w:rsidRPr="00AE13C7">
        <w:rPr>
          <w:rFonts w:ascii="Book Antiqua" w:eastAsia="Book Antiqua" w:hAnsi="Book Antiqua" w:cs="Book Antiqua"/>
          <w:color w:val="000000"/>
        </w:rPr>
        <w:t>Jyväskylä</w:t>
      </w:r>
      <w:proofErr w:type="spellEnd"/>
      <w:r w:rsidRPr="00AE13C7">
        <w:rPr>
          <w:rFonts w:ascii="Book Antiqua" w:eastAsia="Book Antiqua" w:hAnsi="Book Antiqua" w:cs="Book Antiqua"/>
          <w:color w:val="000000"/>
        </w:rPr>
        <w:t xml:space="preserve"> Central Hospital Pathology laboratory in central Finland. To obtain the results from the implementation of the cancer treatment, the results were expected to be received within two weeks of time.</w:t>
      </w:r>
    </w:p>
    <w:p w14:paraId="19DE6795" w14:textId="06DB442F" w:rsidR="00A77B3E" w:rsidRPr="00AE13C7" w:rsidRDefault="00231511" w:rsidP="003769AC">
      <w:pPr>
        <w:spacing w:line="360" w:lineRule="auto"/>
        <w:ind w:firstLineChars="100" w:firstLine="240"/>
        <w:jc w:val="both"/>
        <w:rPr>
          <w:rFonts w:ascii="Book Antiqua" w:hAnsi="Book Antiqua"/>
        </w:rPr>
      </w:pPr>
      <w:r w:rsidRPr="00AE13C7">
        <w:rPr>
          <w:rFonts w:ascii="Book Antiqua" w:eastAsia="Book Antiqua" w:hAnsi="Book Antiqua" w:cs="Book Antiqua"/>
          <w:color w:val="000000"/>
        </w:rPr>
        <w:t>During 2016-2019, we found 16 EGFR-positive tumors from tissue biopsies (Table 2), corresponding to 5</w:t>
      </w:r>
      <w:r w:rsidR="001D37A9">
        <w:rPr>
          <w:rFonts w:ascii="Book Antiqua" w:eastAsia="Book Antiqua" w:hAnsi="Book Antiqua" w:cs="Book Antiqua"/>
          <w:color w:val="000000"/>
        </w:rPr>
        <w:t>%</w:t>
      </w:r>
      <w:r w:rsidRPr="00AE13C7">
        <w:rPr>
          <w:rFonts w:ascii="Book Antiqua" w:eastAsia="Book Antiqua" w:hAnsi="Book Antiqua" w:cs="Book Antiqua"/>
          <w:color w:val="000000"/>
        </w:rPr>
        <w:t>-18% of tested patients/year (Table 2). The relative proportion of EGFR-positive patients was much higher during 2018-2019 (12% and 18%, respectively) than during 2016-2017 (</w:t>
      </w:r>
      <w:r w:rsidR="00DE0A71" w:rsidRPr="00DE0A71">
        <w:rPr>
          <w:rFonts w:ascii="Book Antiqua" w:eastAsia="Book Antiqua" w:hAnsi="Book Antiqua" w:cs="Book Antiqua"/>
          <w:color w:val="000000"/>
        </w:rPr>
        <w:t xml:space="preserve">approximately </w:t>
      </w:r>
      <w:r w:rsidRPr="00AE13C7">
        <w:rPr>
          <w:rFonts w:ascii="Book Antiqua" w:eastAsia="Book Antiqua" w:hAnsi="Book Antiqua" w:cs="Book Antiqua"/>
          <w:color w:val="000000"/>
        </w:rPr>
        <w:t xml:space="preserve">5% in both years). This large difference can be explained in two ways: </w:t>
      </w:r>
      <w:r w:rsidR="004519A0">
        <w:rPr>
          <w:rFonts w:ascii="Book Antiqua" w:hAnsi="Book Antiqua" w:cs="Book Antiqua" w:hint="eastAsia"/>
          <w:color w:val="000000"/>
          <w:lang w:eastAsia="zh-CN"/>
        </w:rPr>
        <w:t>E</w:t>
      </w:r>
      <w:r w:rsidRPr="00AE13C7">
        <w:rPr>
          <w:rFonts w:ascii="Book Antiqua" w:eastAsia="Book Antiqua" w:hAnsi="Book Antiqua" w:cs="Book Antiqua"/>
          <w:color w:val="000000"/>
        </w:rPr>
        <w:t>ither the patients were selected more precisely later on, or the sensitivity of the analytical method used to detect EGFR mutations was a determining factor (Table 1). In our protocol, all non-squamous-cell lung cancer patients who were considered for oncological treatment were tested, and the selection of the patients should not have been changed dramatically du</w:t>
      </w:r>
      <w:bookmarkStart w:id="3" w:name="_GoBack"/>
      <w:bookmarkEnd w:id="3"/>
      <w:r w:rsidRPr="00AE13C7">
        <w:rPr>
          <w:rFonts w:ascii="Book Antiqua" w:eastAsia="Book Antiqua" w:hAnsi="Book Antiqua" w:cs="Book Antiqua"/>
          <w:color w:val="000000"/>
        </w:rPr>
        <w:t xml:space="preserve">ring the reported study years. </w:t>
      </w:r>
      <w:proofErr w:type="spellStart"/>
      <w:r w:rsidRPr="00AE13C7">
        <w:rPr>
          <w:rFonts w:ascii="Book Antiqua" w:eastAsia="Book Antiqua" w:hAnsi="Book Antiqua" w:cs="Book Antiqua"/>
          <w:color w:val="000000"/>
        </w:rPr>
        <w:t>cfDNA</w:t>
      </w:r>
      <w:proofErr w:type="spellEnd"/>
      <w:r w:rsidRPr="00AE13C7">
        <w:rPr>
          <w:rFonts w:ascii="Book Antiqua" w:eastAsia="Book Antiqua" w:hAnsi="Book Antiqua" w:cs="Book Antiqua"/>
          <w:color w:val="000000"/>
        </w:rPr>
        <w:t xml:space="preserve"> samples were studied to follow up the development of possible T790M resistant mutations, so of the patients were tested several times. The total proportion of </w:t>
      </w:r>
      <w:proofErr w:type="spellStart"/>
      <w:r w:rsidRPr="00AE13C7">
        <w:rPr>
          <w:rFonts w:ascii="Book Antiqua" w:eastAsia="Book Antiqua" w:hAnsi="Book Antiqua" w:cs="Book Antiqua"/>
          <w:color w:val="000000"/>
        </w:rPr>
        <w:t>cfDNA</w:t>
      </w:r>
      <w:proofErr w:type="spellEnd"/>
      <w:r w:rsidRPr="00AE13C7">
        <w:rPr>
          <w:rFonts w:ascii="Book Antiqua" w:eastAsia="Book Antiqua" w:hAnsi="Book Antiqua" w:cs="Book Antiqua"/>
          <w:color w:val="000000"/>
        </w:rPr>
        <w:t xml:space="preserve"> samples positive for EGFR mutations was 20</w:t>
      </w:r>
      <w:r w:rsidR="00405DCB">
        <w:rPr>
          <w:rFonts w:ascii="Book Antiqua" w:eastAsia="Book Antiqua" w:hAnsi="Book Antiqua" w:cs="Book Antiqua"/>
          <w:color w:val="000000"/>
        </w:rPr>
        <w:t>%</w:t>
      </w:r>
      <w:r w:rsidRPr="00AE13C7">
        <w:rPr>
          <w:rFonts w:ascii="Book Antiqua" w:eastAsia="Book Antiqua" w:hAnsi="Book Antiqua" w:cs="Book Antiqua"/>
          <w:color w:val="000000"/>
        </w:rPr>
        <w:t xml:space="preserve">-25% (Table 2). Of all of these EGFR-positive patients, analysis based on paraffin-embedded samples and </w:t>
      </w:r>
      <w:proofErr w:type="spellStart"/>
      <w:r w:rsidRPr="00AE13C7">
        <w:rPr>
          <w:rFonts w:ascii="Book Antiqua" w:eastAsia="Book Antiqua" w:hAnsi="Book Antiqua" w:cs="Book Antiqua"/>
          <w:color w:val="000000"/>
        </w:rPr>
        <w:t>cfDNA</w:t>
      </w:r>
      <w:proofErr w:type="spellEnd"/>
      <w:r w:rsidRPr="00AE13C7">
        <w:rPr>
          <w:rFonts w:ascii="Book Antiqua" w:eastAsia="Book Antiqua" w:hAnsi="Book Antiqua" w:cs="Book Antiqua"/>
          <w:color w:val="000000"/>
        </w:rPr>
        <w:t xml:space="preserve"> samples guided 22 patients to EGFR-TKI therapies (</w:t>
      </w:r>
      <w:proofErr w:type="spellStart"/>
      <w:r w:rsidRPr="00AE13C7">
        <w:rPr>
          <w:rFonts w:ascii="Book Antiqua" w:eastAsia="Book Antiqua" w:hAnsi="Book Antiqua" w:cs="Book Antiqua"/>
          <w:color w:val="000000"/>
        </w:rPr>
        <w:t>afatinib</w:t>
      </w:r>
      <w:proofErr w:type="spellEnd"/>
      <w:r w:rsidRPr="00AE13C7">
        <w:rPr>
          <w:rFonts w:ascii="Book Antiqua" w:eastAsia="Book Antiqua" w:hAnsi="Book Antiqua" w:cs="Book Antiqua"/>
          <w:color w:val="000000"/>
        </w:rPr>
        <w:t xml:space="preserve">, </w:t>
      </w:r>
      <w:proofErr w:type="spellStart"/>
      <w:r w:rsidRPr="00AE13C7">
        <w:rPr>
          <w:rFonts w:ascii="Book Antiqua" w:eastAsia="Book Antiqua" w:hAnsi="Book Antiqua" w:cs="Book Antiqua"/>
          <w:color w:val="000000"/>
        </w:rPr>
        <w:t>gefitinib</w:t>
      </w:r>
      <w:proofErr w:type="spellEnd"/>
      <w:r w:rsidRPr="00AE13C7">
        <w:rPr>
          <w:rFonts w:ascii="Book Antiqua" w:eastAsia="Book Antiqua" w:hAnsi="Book Antiqua" w:cs="Book Antiqua"/>
          <w:color w:val="000000"/>
        </w:rPr>
        <w:t xml:space="preserve"> and </w:t>
      </w:r>
      <w:proofErr w:type="spellStart"/>
      <w:r w:rsidRPr="00AE13C7">
        <w:rPr>
          <w:rFonts w:ascii="Book Antiqua" w:eastAsia="Book Antiqua" w:hAnsi="Book Antiqua" w:cs="Book Antiqua"/>
          <w:color w:val="000000"/>
        </w:rPr>
        <w:t>osimertinib</w:t>
      </w:r>
      <w:proofErr w:type="spellEnd"/>
      <w:r w:rsidRPr="00AE13C7">
        <w:rPr>
          <w:rFonts w:ascii="Book Antiqua" w:eastAsia="Book Antiqua" w:hAnsi="Book Antiqua" w:cs="Book Antiqua"/>
          <w:color w:val="000000"/>
        </w:rPr>
        <w:t>). The other documented actionable mutations in lung cancer varied from 0% (ROS-1) to 30% (KRAS).</w:t>
      </w:r>
    </w:p>
    <w:p w14:paraId="04B11490" w14:textId="77777777" w:rsidR="00A77B3E" w:rsidRPr="00AE13C7" w:rsidRDefault="00231511" w:rsidP="00405DCB">
      <w:pPr>
        <w:spacing w:line="360" w:lineRule="auto"/>
        <w:ind w:firstLineChars="100" w:firstLine="240"/>
        <w:jc w:val="both"/>
        <w:rPr>
          <w:rFonts w:ascii="Book Antiqua" w:hAnsi="Book Antiqua"/>
        </w:rPr>
      </w:pPr>
      <w:r w:rsidRPr="00AE13C7">
        <w:rPr>
          <w:rFonts w:ascii="Book Antiqua" w:eastAsia="Book Antiqua" w:hAnsi="Book Antiqua" w:cs="Book Antiqua"/>
          <w:color w:val="000000"/>
        </w:rPr>
        <w:t xml:space="preserve">We are confident that we can identify lung cancer patients who would benefit from targeted therapies based on gene morphology. Initial biopsy and </w:t>
      </w:r>
      <w:proofErr w:type="spellStart"/>
      <w:r w:rsidRPr="00AE13C7">
        <w:rPr>
          <w:rFonts w:ascii="Book Antiqua" w:eastAsia="Book Antiqua" w:hAnsi="Book Antiqua" w:cs="Book Antiqua"/>
          <w:color w:val="000000"/>
        </w:rPr>
        <w:t>rebiopsy</w:t>
      </w:r>
      <w:proofErr w:type="spellEnd"/>
      <w:r w:rsidRPr="00AE13C7">
        <w:rPr>
          <w:rFonts w:ascii="Book Antiqua" w:eastAsia="Book Antiqua" w:hAnsi="Book Antiqua" w:cs="Book Antiqua"/>
          <w:color w:val="000000"/>
        </w:rPr>
        <w:t xml:space="preserve"> in lung cancer are challenging, but with an adequate team, safe sampling is possible. Early planning of the diagnostic procedure together with radiologists is advisable, and this </w:t>
      </w:r>
      <w:r w:rsidRPr="00AE13C7">
        <w:rPr>
          <w:rFonts w:ascii="Book Antiqua" w:eastAsia="Book Antiqua" w:hAnsi="Book Antiqua" w:cs="Book Antiqua"/>
          <w:color w:val="000000"/>
        </w:rPr>
        <w:lastRenderedPageBreak/>
        <w:t>daily interaction needs to be based on actual data. For fast processing, pathologists and molecular pathologists need to stay informed about the current requirements. Extensive testing takes almost two weeks at the moment, and this process needs to be made faster. Liquid biopsy as a follow-up tool for T790M development is working well.</w:t>
      </w:r>
    </w:p>
    <w:p w14:paraId="186E8460" w14:textId="77777777" w:rsidR="00A77B3E" w:rsidRPr="00AE13C7" w:rsidRDefault="00A77B3E">
      <w:pPr>
        <w:spacing w:line="360" w:lineRule="auto"/>
        <w:jc w:val="both"/>
        <w:rPr>
          <w:rFonts w:ascii="Book Antiqua" w:hAnsi="Book Antiqua"/>
        </w:rPr>
      </w:pPr>
    </w:p>
    <w:p w14:paraId="62D902DB"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b/>
          <w:bCs/>
          <w:caps/>
          <w:color w:val="000000"/>
          <w:u w:val="single"/>
        </w:rPr>
        <w:t>DISCUSSION</w:t>
      </w:r>
    </w:p>
    <w:p w14:paraId="3A4F7D4D"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color w:val="000000"/>
        </w:rPr>
        <w:t xml:space="preserve">Rapid diagnosis and prevalence assessment influence the prognosis of a lung cancer patient based on the latest research findings. Therefore, the molecular genetic diagnostic pathway must also be accelerated and developed to run the necessary tests on small samples. Because lung cancer </w:t>
      </w:r>
      <w:proofErr w:type="spellStart"/>
      <w:r w:rsidRPr="00AE13C7">
        <w:rPr>
          <w:rFonts w:ascii="Book Antiqua" w:eastAsia="Book Antiqua" w:hAnsi="Book Antiqua" w:cs="Book Antiqua"/>
          <w:color w:val="000000"/>
        </w:rPr>
        <w:t>rebiopsy</w:t>
      </w:r>
      <w:proofErr w:type="spellEnd"/>
      <w:r w:rsidRPr="00AE13C7">
        <w:rPr>
          <w:rFonts w:ascii="Book Antiqua" w:eastAsia="Book Antiqua" w:hAnsi="Book Antiqua" w:cs="Book Antiqua"/>
          <w:color w:val="000000"/>
        </w:rPr>
        <w:t xml:space="preserve"> can be difficult, liquid biopsy techniques should be developed to cover more treatable mutations. Even though it was relatively easy to find a laboratory in Finland that could do the required analyses by the proper techniques, our challenges were sampling and handling the samples in time in the laboratory. </w:t>
      </w:r>
      <w:proofErr w:type="spellStart"/>
      <w:r w:rsidRPr="00AE13C7">
        <w:rPr>
          <w:rFonts w:ascii="Book Antiqua" w:eastAsia="Book Antiqua" w:hAnsi="Book Antiqua" w:cs="Book Antiqua"/>
          <w:color w:val="000000"/>
        </w:rPr>
        <w:t>Rebiopsy</w:t>
      </w:r>
      <w:proofErr w:type="spellEnd"/>
      <w:r w:rsidRPr="00AE13C7">
        <w:rPr>
          <w:rFonts w:ascii="Book Antiqua" w:eastAsia="Book Antiqua" w:hAnsi="Book Antiqua" w:cs="Book Antiqua"/>
          <w:color w:val="000000"/>
        </w:rPr>
        <w:t xml:space="preserve"> for tissue samples was difficult to organize, partially because only restricted personnel could take the biopsies but also because sampling was often deemed too difficult or to have excess risks. Blood samples of liquid biopsy were far easier to take, but there we ran into the problem that analyses were less comprehensive when done on liquid biopsies than on paraffin samples. In fact, the only recognized reliable tests in liquid biopsy were for EGFR and its resistance mutation T790M, so those were the only ones done routinely. Logistics was also challenging, as our limit for clinical answers was 2 </w:t>
      </w:r>
      <w:proofErr w:type="spellStart"/>
      <w:r w:rsidRPr="00AE13C7">
        <w:rPr>
          <w:rFonts w:ascii="Book Antiqua" w:eastAsia="Book Antiqua" w:hAnsi="Book Antiqua" w:cs="Book Antiqua"/>
          <w:color w:val="000000"/>
        </w:rPr>
        <w:t>wk</w:t>
      </w:r>
      <w:proofErr w:type="spellEnd"/>
      <w:r w:rsidRPr="00AE13C7">
        <w:rPr>
          <w:rFonts w:ascii="Book Antiqua" w:eastAsia="Book Antiqua" w:hAnsi="Book Antiqua" w:cs="Book Antiqua"/>
          <w:color w:val="000000"/>
        </w:rPr>
        <w:t xml:space="preserve">, which was a demanding timeline that was often exceeded by a couple of days. However, if gene results are not obtained in 2 </w:t>
      </w:r>
      <w:proofErr w:type="spellStart"/>
      <w:r w:rsidRPr="00AE13C7">
        <w:rPr>
          <w:rFonts w:ascii="Book Antiqua" w:eastAsia="Book Antiqua" w:hAnsi="Book Antiqua" w:cs="Book Antiqua"/>
          <w:color w:val="000000"/>
        </w:rPr>
        <w:t>wk</w:t>
      </w:r>
      <w:proofErr w:type="spellEnd"/>
      <w:r w:rsidRPr="00AE13C7">
        <w:rPr>
          <w:rFonts w:ascii="Book Antiqua" w:eastAsia="Book Antiqua" w:hAnsi="Book Antiqua" w:cs="Book Antiqua"/>
          <w:color w:val="000000"/>
        </w:rPr>
        <w:t xml:space="preserve">, the treatment decision is jeopardized, and delays in the initiation of treatment were frequent. Similarly, gene-driven therapies would have fit nicely into our treatment procedure, but the biggest limitation was the lack of reimbursements. New gene-driven drugs were so expensive that ordinary Finns could not afford them. There needed to be a copayment, and there was not, the drug was not prescribed at all, and no gene testing was needed. Therefore, the reimbursement system effectively dictated cancer therapy. Finally, based on our experience, it was not the availability of gene testing, samples or procedures but </w:t>
      </w:r>
      <w:r w:rsidRPr="00AE13C7">
        <w:rPr>
          <w:rFonts w:ascii="Book Antiqua" w:eastAsia="Book Antiqua" w:hAnsi="Book Antiqua" w:cs="Book Antiqua"/>
          <w:color w:val="000000"/>
        </w:rPr>
        <w:lastRenderedPageBreak/>
        <w:t>rather national reimbursement for particular drugs that had the greatest impact on the use of gene-driven therapies.</w:t>
      </w:r>
    </w:p>
    <w:p w14:paraId="4ADF6B15" w14:textId="17CD05B5" w:rsidR="00A77B3E" w:rsidRPr="00AE13C7" w:rsidRDefault="00231511" w:rsidP="00F32046">
      <w:pPr>
        <w:spacing w:line="360" w:lineRule="auto"/>
        <w:ind w:firstLineChars="100" w:firstLine="240"/>
        <w:jc w:val="both"/>
        <w:rPr>
          <w:rFonts w:ascii="Book Antiqua" w:hAnsi="Book Antiqua"/>
        </w:rPr>
      </w:pPr>
      <w:bookmarkStart w:id="4" w:name="OLE_LINK1"/>
      <w:r w:rsidRPr="00AE13C7">
        <w:rPr>
          <w:rFonts w:ascii="Book Antiqua" w:eastAsia="Book Antiqua" w:hAnsi="Book Antiqua" w:cs="Book Antiqua"/>
          <w:color w:val="000000"/>
        </w:rPr>
        <w:t>In a recent OECD report</w:t>
      </w:r>
      <w:bookmarkEnd w:id="4"/>
      <w:r w:rsidRPr="00AE13C7">
        <w:rPr>
          <w:rFonts w:ascii="Book Antiqua" w:eastAsia="Book Antiqua" w:hAnsi="Book Antiqua" w:cs="Book Antiqua"/>
          <w:color w:val="000000"/>
        </w:rPr>
        <w:t xml:space="preserve">, challenges in access to oncological medicines were addressed from a financial </w:t>
      </w:r>
      <w:proofErr w:type="gramStart"/>
      <w:r w:rsidRPr="00AE13C7">
        <w:rPr>
          <w:rFonts w:ascii="Book Antiqua" w:eastAsia="Book Antiqua" w:hAnsi="Book Antiqua" w:cs="Book Antiqua"/>
          <w:color w:val="000000"/>
        </w:rPr>
        <w:t>perspective</w:t>
      </w:r>
      <w:r w:rsidR="004D6971">
        <w:rPr>
          <w:rFonts w:ascii="Book Antiqua" w:eastAsia="Book Antiqua" w:hAnsi="Book Antiqua" w:cs="Book Antiqua"/>
          <w:color w:val="000000"/>
          <w:vertAlign w:val="superscript"/>
        </w:rPr>
        <w:t>[</w:t>
      </w:r>
      <w:proofErr w:type="gramEnd"/>
      <w:r w:rsidR="004D6971">
        <w:rPr>
          <w:rFonts w:ascii="Book Antiqua" w:eastAsia="Book Antiqua" w:hAnsi="Book Antiqua" w:cs="Book Antiqua"/>
          <w:color w:val="000000"/>
          <w:vertAlign w:val="superscript"/>
        </w:rPr>
        <w:t>18]</w:t>
      </w:r>
      <w:r w:rsidRPr="00AE13C7">
        <w:rPr>
          <w:rFonts w:ascii="Book Antiqua" w:eastAsia="Book Antiqua" w:hAnsi="Book Antiqua" w:cs="Book Antiqua"/>
          <w:color w:val="000000"/>
        </w:rPr>
        <w:t>. Patients expect rapid access to new cancer drugs, but that is not the reality, mainly because of both clinical and financial uncertainties and the position of the new drug in relation to the standard therapies. Societal willingness and capacity to pay vary across countries, and health technology assessments face the difficulties of estimating cost effectiveness, determining the position of new drugs, and, in the case of multiple indications, dealing with populations of varying size. The rate of co-coverage ranges from free of charge to a copayment with or without a payment or coinsurance with or without a cap. The situation in Finland, which was not included in the report, is in the middle, with a fixed copayment for self-administered drugs and a fixed copayment without a cap for hospital inpatient care. Therefore, hospitals supported by small counties cover intravenous cancer drugs administered in outpatient wards, and a separate reimbursement system is for prescribed tablet cancer drugs.</w:t>
      </w:r>
    </w:p>
    <w:p w14:paraId="5F1E7FAE" w14:textId="77777777" w:rsidR="00A77B3E" w:rsidRPr="00AE13C7" w:rsidRDefault="00231511" w:rsidP="00D0684C">
      <w:pPr>
        <w:spacing w:line="360" w:lineRule="auto"/>
        <w:ind w:firstLineChars="100" w:firstLine="240"/>
        <w:jc w:val="both"/>
        <w:rPr>
          <w:rFonts w:ascii="Book Antiqua" w:hAnsi="Book Antiqua"/>
        </w:rPr>
      </w:pPr>
      <w:r w:rsidRPr="00AE13C7">
        <w:rPr>
          <w:rFonts w:ascii="Book Antiqua" w:eastAsia="Book Antiqua" w:hAnsi="Book Antiqua" w:cs="Book Antiqua"/>
          <w:color w:val="000000"/>
        </w:rPr>
        <w:t xml:space="preserve">Similarly, we found in our case study that reimbursement was a major factor that actually influenced the use of gene-driven cancer drugs, as if there was no reimbursement, no testing was organized for the particular gene, and the cancer drug was not available for patients. Copayments are organized individually in each European country, and thus, there is heterogeneity in access to cancer drugs. Our Finnish system restricts considerable gene-driven cancer therapy. In our system, intravenous drugs are covered by hospitals and all tablets by copayment if approved for governmental reimbursement. Reimbursement decisions are slow in Finland and can take 4 years, similar to what happened with full </w:t>
      </w:r>
      <w:proofErr w:type="spellStart"/>
      <w:r w:rsidRPr="00AE13C7">
        <w:rPr>
          <w:rFonts w:ascii="Book Antiqua" w:eastAsia="Book Antiqua" w:hAnsi="Book Antiqua" w:cs="Book Antiqua"/>
          <w:color w:val="000000"/>
        </w:rPr>
        <w:t>crizotinib</w:t>
      </w:r>
      <w:proofErr w:type="spellEnd"/>
      <w:r w:rsidRPr="00AE13C7">
        <w:rPr>
          <w:rFonts w:ascii="Book Antiqua" w:eastAsia="Book Antiqua" w:hAnsi="Book Antiqua" w:cs="Book Antiqua"/>
          <w:color w:val="000000"/>
        </w:rPr>
        <w:t xml:space="preserve"> reimbursement (Figure 2). At the same time, marketing authorization comes fast after EMA approval.</w:t>
      </w:r>
    </w:p>
    <w:p w14:paraId="30151BBD" w14:textId="77777777" w:rsidR="00A77B3E" w:rsidRPr="00AE13C7" w:rsidRDefault="00A77B3E">
      <w:pPr>
        <w:spacing w:line="360" w:lineRule="auto"/>
        <w:jc w:val="both"/>
        <w:rPr>
          <w:rFonts w:ascii="Book Antiqua" w:hAnsi="Book Antiqua"/>
        </w:rPr>
      </w:pPr>
    </w:p>
    <w:p w14:paraId="34D60038"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b/>
          <w:caps/>
          <w:color w:val="000000"/>
          <w:u w:val="single"/>
        </w:rPr>
        <w:t>CONCLUSION</w:t>
      </w:r>
    </w:p>
    <w:p w14:paraId="10D34707"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color w:val="000000"/>
        </w:rPr>
        <w:lastRenderedPageBreak/>
        <w:t>The use of molecular testing and immunohistochemistry in lung cancer has evolved in recent years. We are still looking for the best combination of biomarkers, and negotiation among oncologists, invasive pulmonologists, invasive radiologists, lung pathologists and molecular pathologists continues. As the samples are small, both cytology and core biopsy, discussion what to prioritize is needed.</w:t>
      </w:r>
    </w:p>
    <w:p w14:paraId="251EE1E0" w14:textId="77777777" w:rsidR="00A77B3E" w:rsidRPr="00AE13C7" w:rsidRDefault="00231511" w:rsidP="007C0837">
      <w:pPr>
        <w:spacing w:line="360" w:lineRule="auto"/>
        <w:ind w:firstLineChars="100" w:firstLine="240"/>
        <w:jc w:val="both"/>
        <w:rPr>
          <w:rFonts w:ascii="Book Antiqua" w:hAnsi="Book Antiqua"/>
        </w:rPr>
      </w:pPr>
      <w:r w:rsidRPr="00AE13C7">
        <w:rPr>
          <w:rFonts w:ascii="Book Antiqua" w:eastAsia="Book Antiqua" w:hAnsi="Book Antiqua" w:cs="Book Antiqua"/>
          <w:color w:val="000000"/>
        </w:rPr>
        <w:t>Lung cancer is mutation dense and has more predictive genes that potentially influence treatment decisions than any other cancer type. However, there are many obstacles to clear before a new drug becomes available for prescription by clinicians. The first requirement is the existence of a new cancer drug with efficacy relating to gene testing. Second, test methods and appropriate samples need to be available. Third, the new drug needs to be affordable to patients. All these elements need to be in place before the new drug is available to patients, following the concept of the right drug at the right time.</w:t>
      </w:r>
    </w:p>
    <w:p w14:paraId="2CCC2272" w14:textId="77777777" w:rsidR="00A77B3E" w:rsidRPr="00AE13C7" w:rsidRDefault="00A77B3E">
      <w:pPr>
        <w:spacing w:line="360" w:lineRule="auto"/>
        <w:jc w:val="both"/>
        <w:rPr>
          <w:rFonts w:ascii="Book Antiqua" w:hAnsi="Book Antiqua"/>
        </w:rPr>
      </w:pPr>
    </w:p>
    <w:p w14:paraId="2E52419D"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b/>
          <w:color w:val="000000"/>
        </w:rPr>
        <w:t>REFERENCES</w:t>
      </w:r>
    </w:p>
    <w:p w14:paraId="24ABE17A" w14:textId="5F7B0D72" w:rsidR="00A77B3E" w:rsidRPr="00AE13C7" w:rsidRDefault="00231511">
      <w:pPr>
        <w:spacing w:line="360" w:lineRule="auto"/>
        <w:jc w:val="both"/>
        <w:rPr>
          <w:rFonts w:ascii="Book Antiqua" w:hAnsi="Book Antiqua"/>
        </w:rPr>
      </w:pPr>
      <w:bookmarkStart w:id="5" w:name="OLE_LINK9"/>
      <w:proofErr w:type="gramStart"/>
      <w:r w:rsidRPr="002D01C9">
        <w:rPr>
          <w:rFonts w:ascii="Book Antiqua" w:eastAsia="Book Antiqua" w:hAnsi="Book Antiqua" w:cs="Book Antiqua"/>
          <w:color w:val="000000"/>
        </w:rPr>
        <w:t xml:space="preserve">1 </w:t>
      </w:r>
      <w:r w:rsidRPr="002D01C9">
        <w:rPr>
          <w:rFonts w:ascii="Book Antiqua" w:eastAsia="Book Antiqua" w:hAnsi="Book Antiqua" w:cs="Book Antiqua"/>
          <w:b/>
          <w:bCs/>
          <w:color w:val="000000"/>
        </w:rPr>
        <w:t>National Human Genome Research Institute</w:t>
      </w:r>
      <w:r w:rsidRPr="002D01C9">
        <w:rPr>
          <w:rFonts w:ascii="Book Antiqua" w:eastAsia="Book Antiqua" w:hAnsi="Book Antiqua" w:cs="Book Antiqua"/>
          <w:bCs/>
          <w:color w:val="000000"/>
        </w:rPr>
        <w:t>.</w:t>
      </w:r>
      <w:proofErr w:type="gramEnd"/>
      <w:r w:rsidRPr="002D01C9">
        <w:rPr>
          <w:rFonts w:ascii="Book Antiqua" w:eastAsia="Book Antiqua" w:hAnsi="Book Antiqua" w:cs="Book Antiqua"/>
          <w:color w:val="000000"/>
        </w:rPr>
        <w:t xml:space="preserve"> International Human Genome Sequencing Consortium. </w:t>
      </w:r>
      <w:r w:rsidR="005317E6" w:rsidRPr="002D01C9">
        <w:rPr>
          <w:rFonts w:ascii="Book Antiqua" w:eastAsia="Book Antiqua" w:hAnsi="Book Antiqua" w:cs="Book Antiqua"/>
          <w:color w:val="000000"/>
        </w:rPr>
        <w:t>[cited 25 February 2021].</w:t>
      </w:r>
      <w:r w:rsidR="002F58E4" w:rsidRPr="002D01C9">
        <w:rPr>
          <w:rFonts w:ascii="Book Antiqua" w:eastAsia="Book Antiqua" w:hAnsi="Book Antiqua" w:cs="Book Antiqua"/>
          <w:color w:val="000000"/>
        </w:rPr>
        <w:t xml:space="preserve"> </w:t>
      </w:r>
      <w:r w:rsidR="008936AF" w:rsidRPr="002D01C9">
        <w:rPr>
          <w:rFonts w:ascii="Book Antiqua" w:eastAsia="Book Antiqua" w:hAnsi="Book Antiqua" w:cs="Book Antiqua"/>
          <w:color w:val="000000"/>
        </w:rPr>
        <w:t xml:space="preserve">Available from: </w:t>
      </w:r>
      <w:r w:rsidRPr="002D01C9">
        <w:rPr>
          <w:rFonts w:ascii="Book Antiqua" w:eastAsia="Book Antiqua" w:hAnsi="Book Antiqua" w:cs="Book Antiqua"/>
          <w:color w:val="000000"/>
        </w:rPr>
        <w:t>https://www.genome.gov/12513430/2004-release-ihgsc-describes-finished-human-sequence</w:t>
      </w:r>
    </w:p>
    <w:p w14:paraId="70F5DD0F" w14:textId="0978D800" w:rsidR="00A77B3E" w:rsidRPr="00AE13C7" w:rsidRDefault="00231511">
      <w:pPr>
        <w:spacing w:line="360" w:lineRule="auto"/>
        <w:jc w:val="both"/>
        <w:rPr>
          <w:rFonts w:ascii="Book Antiqua" w:hAnsi="Book Antiqua"/>
        </w:rPr>
      </w:pPr>
      <w:r w:rsidRPr="00AE13C7">
        <w:rPr>
          <w:rFonts w:ascii="Book Antiqua" w:eastAsia="Book Antiqua" w:hAnsi="Book Antiqua" w:cs="Book Antiqua"/>
          <w:color w:val="000000"/>
        </w:rPr>
        <w:t xml:space="preserve">2 </w:t>
      </w:r>
      <w:r w:rsidRPr="002F66C6">
        <w:rPr>
          <w:rFonts w:ascii="Book Antiqua" w:eastAsia="Book Antiqua" w:hAnsi="Book Antiqua" w:cs="Book Antiqua"/>
          <w:b/>
          <w:bCs/>
          <w:color w:val="000000"/>
        </w:rPr>
        <w:t xml:space="preserve">International Human Genome Sequencing </w:t>
      </w:r>
      <w:proofErr w:type="gramStart"/>
      <w:r w:rsidR="00162A59" w:rsidRPr="00162A59">
        <w:rPr>
          <w:rFonts w:ascii="Book Antiqua" w:eastAsia="Book Antiqua" w:hAnsi="Book Antiqua" w:cs="Book Antiqua"/>
          <w:b/>
          <w:bCs/>
          <w:color w:val="000000"/>
        </w:rPr>
        <w:t>Consortium</w:t>
      </w:r>
      <w:proofErr w:type="gramEnd"/>
      <w:r w:rsidRPr="002D01C9">
        <w:rPr>
          <w:rFonts w:ascii="Book Antiqua" w:eastAsia="Book Antiqua" w:hAnsi="Book Antiqua" w:cs="Book Antiqua"/>
          <w:bCs/>
          <w:color w:val="000000"/>
        </w:rPr>
        <w:t>.</w:t>
      </w:r>
      <w:r w:rsidRPr="002D01C9">
        <w:rPr>
          <w:rFonts w:ascii="Book Antiqua" w:eastAsia="Book Antiqua" w:hAnsi="Book Antiqua" w:cs="Book Antiqua"/>
          <w:color w:val="000000"/>
        </w:rPr>
        <w:t xml:space="preserve"> </w:t>
      </w:r>
      <w:r w:rsidRPr="00AE13C7">
        <w:rPr>
          <w:rFonts w:ascii="Book Antiqua" w:eastAsia="Book Antiqua" w:hAnsi="Book Antiqua" w:cs="Book Antiqua"/>
          <w:color w:val="000000"/>
        </w:rPr>
        <w:t xml:space="preserve">Finishing the euchromatic sequence of the human genome. </w:t>
      </w:r>
      <w:r w:rsidRPr="008C78C1">
        <w:rPr>
          <w:rFonts w:ascii="Book Antiqua" w:eastAsia="Book Antiqua" w:hAnsi="Book Antiqua" w:cs="Book Antiqua"/>
          <w:i/>
          <w:iCs/>
          <w:color w:val="000000"/>
        </w:rPr>
        <w:t>Nature</w:t>
      </w:r>
      <w:r w:rsidRPr="00AE13C7">
        <w:rPr>
          <w:rFonts w:ascii="Book Antiqua" w:eastAsia="Book Antiqua" w:hAnsi="Book Antiqua" w:cs="Book Antiqua"/>
          <w:color w:val="000000"/>
        </w:rPr>
        <w:t xml:space="preserve"> 2004; </w:t>
      </w:r>
      <w:r w:rsidRPr="008C78C1">
        <w:rPr>
          <w:rFonts w:ascii="Book Antiqua" w:eastAsia="Book Antiqua" w:hAnsi="Book Antiqua" w:cs="Book Antiqua"/>
          <w:b/>
          <w:bCs/>
          <w:color w:val="000000"/>
        </w:rPr>
        <w:t>431</w:t>
      </w:r>
      <w:r w:rsidRPr="00AE13C7">
        <w:rPr>
          <w:rFonts w:ascii="Book Antiqua" w:eastAsia="Book Antiqua" w:hAnsi="Book Antiqua" w:cs="Book Antiqua"/>
          <w:color w:val="000000"/>
        </w:rPr>
        <w:t xml:space="preserve">: 931-945 [PMID: </w:t>
      </w:r>
      <w:r w:rsidR="00866A53" w:rsidRPr="00AE13C7">
        <w:rPr>
          <w:rFonts w:ascii="Book Antiqua" w:eastAsia="Book Antiqua" w:hAnsi="Book Antiqua" w:cs="Book Antiqua"/>
          <w:color w:val="000000"/>
        </w:rPr>
        <w:t xml:space="preserve">15496913 </w:t>
      </w:r>
      <w:r w:rsidRPr="00AE13C7">
        <w:rPr>
          <w:rFonts w:ascii="Book Antiqua" w:eastAsia="Book Antiqua" w:hAnsi="Book Antiqua" w:cs="Book Antiqua"/>
          <w:color w:val="000000"/>
        </w:rPr>
        <w:t>DOI: 10.1038/nature03001</w:t>
      </w:r>
      <w:r w:rsidR="00BF4AD9" w:rsidRPr="00AE13C7">
        <w:rPr>
          <w:rFonts w:ascii="Book Antiqua" w:eastAsia="Book Antiqua" w:hAnsi="Book Antiqua" w:cs="Book Antiqua"/>
          <w:color w:val="000000"/>
        </w:rPr>
        <w:t>]</w:t>
      </w:r>
    </w:p>
    <w:p w14:paraId="232E7D31"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color w:val="000000"/>
        </w:rPr>
        <w:t xml:space="preserve">3 </w:t>
      </w:r>
      <w:r w:rsidRPr="00AE13C7">
        <w:rPr>
          <w:rFonts w:ascii="Book Antiqua" w:eastAsia="Book Antiqua" w:hAnsi="Book Antiqua" w:cs="Book Antiqua"/>
          <w:b/>
          <w:bCs/>
          <w:color w:val="000000"/>
        </w:rPr>
        <w:t>Cohen MH</w:t>
      </w:r>
      <w:r w:rsidRPr="00AE13C7">
        <w:rPr>
          <w:rFonts w:ascii="Book Antiqua" w:eastAsia="Book Antiqua" w:hAnsi="Book Antiqua" w:cs="Book Antiqua"/>
          <w:color w:val="000000"/>
        </w:rPr>
        <w:t xml:space="preserve">, Williams G, Johnson JR, </w:t>
      </w:r>
      <w:proofErr w:type="spellStart"/>
      <w:r w:rsidRPr="00AE13C7">
        <w:rPr>
          <w:rFonts w:ascii="Book Antiqua" w:eastAsia="Book Antiqua" w:hAnsi="Book Antiqua" w:cs="Book Antiqua"/>
          <w:color w:val="000000"/>
        </w:rPr>
        <w:t>Duan</w:t>
      </w:r>
      <w:proofErr w:type="spellEnd"/>
      <w:r w:rsidRPr="00AE13C7">
        <w:rPr>
          <w:rFonts w:ascii="Book Antiqua" w:eastAsia="Book Antiqua" w:hAnsi="Book Antiqua" w:cs="Book Antiqua"/>
          <w:color w:val="000000"/>
        </w:rPr>
        <w:t xml:space="preserve"> J, </w:t>
      </w:r>
      <w:proofErr w:type="spellStart"/>
      <w:r w:rsidRPr="00AE13C7">
        <w:rPr>
          <w:rFonts w:ascii="Book Antiqua" w:eastAsia="Book Antiqua" w:hAnsi="Book Antiqua" w:cs="Book Antiqua"/>
          <w:color w:val="000000"/>
        </w:rPr>
        <w:t>Gobburu</w:t>
      </w:r>
      <w:proofErr w:type="spellEnd"/>
      <w:r w:rsidRPr="00AE13C7">
        <w:rPr>
          <w:rFonts w:ascii="Book Antiqua" w:eastAsia="Book Antiqua" w:hAnsi="Book Antiqua" w:cs="Book Antiqua"/>
          <w:color w:val="000000"/>
        </w:rPr>
        <w:t xml:space="preserve"> J, </w:t>
      </w:r>
      <w:proofErr w:type="spellStart"/>
      <w:r w:rsidRPr="00AE13C7">
        <w:rPr>
          <w:rFonts w:ascii="Book Antiqua" w:eastAsia="Book Antiqua" w:hAnsi="Book Antiqua" w:cs="Book Antiqua"/>
          <w:color w:val="000000"/>
        </w:rPr>
        <w:t>Rahman</w:t>
      </w:r>
      <w:proofErr w:type="spellEnd"/>
      <w:r w:rsidRPr="00AE13C7">
        <w:rPr>
          <w:rFonts w:ascii="Book Antiqua" w:eastAsia="Book Antiqua" w:hAnsi="Book Antiqua" w:cs="Book Antiqua"/>
          <w:color w:val="000000"/>
        </w:rPr>
        <w:t xml:space="preserve"> A, Benson K, Leighton J, Kim SK, Wood R, </w:t>
      </w:r>
      <w:proofErr w:type="spellStart"/>
      <w:r w:rsidRPr="00AE13C7">
        <w:rPr>
          <w:rFonts w:ascii="Book Antiqua" w:eastAsia="Book Antiqua" w:hAnsi="Book Antiqua" w:cs="Book Antiqua"/>
          <w:color w:val="000000"/>
        </w:rPr>
        <w:t>Rothmann</w:t>
      </w:r>
      <w:proofErr w:type="spellEnd"/>
      <w:r w:rsidRPr="00AE13C7">
        <w:rPr>
          <w:rFonts w:ascii="Book Antiqua" w:eastAsia="Book Antiqua" w:hAnsi="Book Antiqua" w:cs="Book Antiqua"/>
          <w:color w:val="000000"/>
        </w:rPr>
        <w:t xml:space="preserve"> M, Chen G, U KM, Staten AM, </w:t>
      </w:r>
      <w:proofErr w:type="spellStart"/>
      <w:r w:rsidRPr="00AE13C7">
        <w:rPr>
          <w:rFonts w:ascii="Book Antiqua" w:eastAsia="Book Antiqua" w:hAnsi="Book Antiqua" w:cs="Book Antiqua"/>
          <w:color w:val="000000"/>
        </w:rPr>
        <w:t>Pazdur</w:t>
      </w:r>
      <w:proofErr w:type="spellEnd"/>
      <w:r w:rsidRPr="00AE13C7">
        <w:rPr>
          <w:rFonts w:ascii="Book Antiqua" w:eastAsia="Book Antiqua" w:hAnsi="Book Antiqua" w:cs="Book Antiqua"/>
          <w:color w:val="000000"/>
        </w:rPr>
        <w:t xml:space="preserve"> R. Approval summary for imatinib mesylate capsules in the treatment of chronic myelogenous leukemia. </w:t>
      </w:r>
      <w:r w:rsidRPr="00AE13C7">
        <w:rPr>
          <w:rFonts w:ascii="Book Antiqua" w:eastAsia="Book Antiqua" w:hAnsi="Book Antiqua" w:cs="Book Antiqua"/>
          <w:i/>
          <w:iCs/>
          <w:color w:val="000000"/>
        </w:rPr>
        <w:t>Clin Cancer Res</w:t>
      </w:r>
      <w:r w:rsidRPr="00AE13C7">
        <w:rPr>
          <w:rFonts w:ascii="Book Antiqua" w:eastAsia="Book Antiqua" w:hAnsi="Book Antiqua" w:cs="Book Antiqua"/>
          <w:color w:val="000000"/>
        </w:rPr>
        <w:t xml:space="preserve"> 2002; </w:t>
      </w:r>
      <w:r w:rsidRPr="00AE13C7">
        <w:rPr>
          <w:rFonts w:ascii="Book Antiqua" w:eastAsia="Book Antiqua" w:hAnsi="Book Antiqua" w:cs="Book Antiqua"/>
          <w:b/>
          <w:bCs/>
          <w:color w:val="000000"/>
        </w:rPr>
        <w:t>8</w:t>
      </w:r>
      <w:r w:rsidRPr="00AE13C7">
        <w:rPr>
          <w:rFonts w:ascii="Book Antiqua" w:eastAsia="Book Antiqua" w:hAnsi="Book Antiqua" w:cs="Book Antiqua"/>
          <w:color w:val="000000"/>
        </w:rPr>
        <w:t>: 935-942 [PMID: 12006504]</w:t>
      </w:r>
    </w:p>
    <w:p w14:paraId="49857447"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color w:val="000000"/>
        </w:rPr>
        <w:t xml:space="preserve">4 </w:t>
      </w:r>
      <w:r w:rsidRPr="00AE13C7">
        <w:rPr>
          <w:rFonts w:ascii="Book Antiqua" w:eastAsia="Book Antiqua" w:hAnsi="Book Antiqua" w:cs="Book Antiqua"/>
          <w:b/>
          <w:bCs/>
          <w:color w:val="000000"/>
        </w:rPr>
        <w:t>Niehues H</w:t>
      </w:r>
      <w:r w:rsidRPr="00AE13C7">
        <w:rPr>
          <w:rFonts w:ascii="Book Antiqua" w:eastAsia="Book Antiqua" w:hAnsi="Book Antiqua" w:cs="Book Antiqua"/>
          <w:color w:val="000000"/>
        </w:rPr>
        <w:t xml:space="preserve">. [Sleep and its pharmacologic treatment]. </w:t>
      </w:r>
      <w:proofErr w:type="spellStart"/>
      <w:r w:rsidRPr="00AE13C7">
        <w:rPr>
          <w:rFonts w:ascii="Book Antiqua" w:eastAsia="Book Antiqua" w:hAnsi="Book Antiqua" w:cs="Book Antiqua"/>
          <w:i/>
          <w:iCs/>
          <w:color w:val="000000"/>
        </w:rPr>
        <w:t>Landarzt</w:t>
      </w:r>
      <w:proofErr w:type="spellEnd"/>
      <w:r w:rsidRPr="00AE13C7">
        <w:rPr>
          <w:rFonts w:ascii="Book Antiqua" w:eastAsia="Book Antiqua" w:hAnsi="Book Antiqua" w:cs="Book Antiqua"/>
          <w:color w:val="000000"/>
        </w:rPr>
        <w:t xml:space="preserve"> 1967; </w:t>
      </w:r>
      <w:r w:rsidRPr="00AE13C7">
        <w:rPr>
          <w:rFonts w:ascii="Book Antiqua" w:eastAsia="Book Antiqua" w:hAnsi="Book Antiqua" w:cs="Book Antiqua"/>
          <w:b/>
          <w:bCs/>
          <w:color w:val="000000"/>
        </w:rPr>
        <w:t>43</w:t>
      </w:r>
      <w:r w:rsidRPr="00AE13C7">
        <w:rPr>
          <w:rFonts w:ascii="Book Antiqua" w:eastAsia="Book Antiqua" w:hAnsi="Book Antiqua" w:cs="Book Antiqua"/>
          <w:color w:val="000000"/>
        </w:rPr>
        <w:t>: 599-604 [PMID: 5629554 DOI: 10.1186/s12918-017-0464-7]</w:t>
      </w:r>
    </w:p>
    <w:p w14:paraId="1FCA9978"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color w:val="000000"/>
        </w:rPr>
        <w:lastRenderedPageBreak/>
        <w:t xml:space="preserve">5 </w:t>
      </w:r>
      <w:r w:rsidRPr="00AE13C7">
        <w:rPr>
          <w:rFonts w:ascii="Book Antiqua" w:eastAsia="Book Antiqua" w:hAnsi="Book Antiqua" w:cs="Book Antiqua"/>
          <w:b/>
          <w:bCs/>
          <w:color w:val="000000"/>
        </w:rPr>
        <w:t>Marcus L</w:t>
      </w:r>
      <w:r w:rsidRPr="00AE13C7">
        <w:rPr>
          <w:rFonts w:ascii="Book Antiqua" w:eastAsia="Book Antiqua" w:hAnsi="Book Antiqua" w:cs="Book Antiqua"/>
          <w:color w:val="000000"/>
        </w:rPr>
        <w:t xml:space="preserve">, </w:t>
      </w:r>
      <w:proofErr w:type="spellStart"/>
      <w:r w:rsidRPr="00AE13C7">
        <w:rPr>
          <w:rFonts w:ascii="Book Antiqua" w:eastAsia="Book Antiqua" w:hAnsi="Book Antiqua" w:cs="Book Antiqua"/>
          <w:color w:val="000000"/>
        </w:rPr>
        <w:t>Lemery</w:t>
      </w:r>
      <w:proofErr w:type="spellEnd"/>
      <w:r w:rsidRPr="00AE13C7">
        <w:rPr>
          <w:rFonts w:ascii="Book Antiqua" w:eastAsia="Book Antiqua" w:hAnsi="Book Antiqua" w:cs="Book Antiqua"/>
          <w:color w:val="000000"/>
        </w:rPr>
        <w:t xml:space="preserve"> SJ, Keegan P, </w:t>
      </w:r>
      <w:proofErr w:type="spellStart"/>
      <w:r w:rsidRPr="00AE13C7">
        <w:rPr>
          <w:rFonts w:ascii="Book Antiqua" w:eastAsia="Book Antiqua" w:hAnsi="Book Antiqua" w:cs="Book Antiqua"/>
          <w:color w:val="000000"/>
        </w:rPr>
        <w:t>Pazdur</w:t>
      </w:r>
      <w:proofErr w:type="spellEnd"/>
      <w:r w:rsidRPr="00AE13C7">
        <w:rPr>
          <w:rFonts w:ascii="Book Antiqua" w:eastAsia="Book Antiqua" w:hAnsi="Book Antiqua" w:cs="Book Antiqua"/>
          <w:color w:val="000000"/>
        </w:rPr>
        <w:t xml:space="preserve"> R. FDA Approval Summary: Pembrolizumab for the Treatment of Microsatellite Instability-High Solid Tumors. </w:t>
      </w:r>
      <w:r w:rsidRPr="00AE13C7">
        <w:rPr>
          <w:rFonts w:ascii="Book Antiqua" w:eastAsia="Book Antiqua" w:hAnsi="Book Antiqua" w:cs="Book Antiqua"/>
          <w:i/>
          <w:iCs/>
          <w:color w:val="000000"/>
        </w:rPr>
        <w:t>Clin Cancer Res</w:t>
      </w:r>
      <w:r w:rsidRPr="00AE13C7">
        <w:rPr>
          <w:rFonts w:ascii="Book Antiqua" w:eastAsia="Book Antiqua" w:hAnsi="Book Antiqua" w:cs="Book Antiqua"/>
          <w:color w:val="000000"/>
        </w:rPr>
        <w:t xml:space="preserve"> 2019; </w:t>
      </w:r>
      <w:r w:rsidRPr="00AE13C7">
        <w:rPr>
          <w:rFonts w:ascii="Book Antiqua" w:eastAsia="Book Antiqua" w:hAnsi="Book Antiqua" w:cs="Book Antiqua"/>
          <w:b/>
          <w:bCs/>
          <w:color w:val="000000"/>
        </w:rPr>
        <w:t>25</w:t>
      </w:r>
      <w:r w:rsidRPr="00AE13C7">
        <w:rPr>
          <w:rFonts w:ascii="Book Antiqua" w:eastAsia="Book Antiqua" w:hAnsi="Book Antiqua" w:cs="Book Antiqua"/>
          <w:color w:val="000000"/>
        </w:rPr>
        <w:t>: 3753-3758 [PMID: 30787022 DOI: 10.1158/1078-0432.CCR-18-4070]</w:t>
      </w:r>
    </w:p>
    <w:p w14:paraId="3A6E439F"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color w:val="000000"/>
        </w:rPr>
        <w:t xml:space="preserve">6 </w:t>
      </w:r>
      <w:r w:rsidRPr="00AE13C7">
        <w:rPr>
          <w:rFonts w:ascii="Book Antiqua" w:eastAsia="Book Antiqua" w:hAnsi="Book Antiqua" w:cs="Book Antiqua"/>
          <w:b/>
          <w:bCs/>
          <w:color w:val="000000"/>
        </w:rPr>
        <w:t>Scott LJ</w:t>
      </w:r>
      <w:r w:rsidRPr="00AE13C7">
        <w:rPr>
          <w:rFonts w:ascii="Book Antiqua" w:eastAsia="Book Antiqua" w:hAnsi="Book Antiqua" w:cs="Book Antiqua"/>
          <w:color w:val="000000"/>
        </w:rPr>
        <w:t xml:space="preserve">. Larotrectinib: First Global Approval. </w:t>
      </w:r>
      <w:r w:rsidRPr="00AE13C7">
        <w:rPr>
          <w:rFonts w:ascii="Book Antiqua" w:eastAsia="Book Antiqua" w:hAnsi="Book Antiqua" w:cs="Book Antiqua"/>
          <w:i/>
          <w:iCs/>
          <w:color w:val="000000"/>
        </w:rPr>
        <w:t>Drugs</w:t>
      </w:r>
      <w:r w:rsidRPr="00AE13C7">
        <w:rPr>
          <w:rFonts w:ascii="Book Antiqua" w:eastAsia="Book Antiqua" w:hAnsi="Book Antiqua" w:cs="Book Antiqua"/>
          <w:color w:val="000000"/>
        </w:rPr>
        <w:t xml:space="preserve"> 2019; </w:t>
      </w:r>
      <w:r w:rsidRPr="00AE13C7">
        <w:rPr>
          <w:rFonts w:ascii="Book Antiqua" w:eastAsia="Book Antiqua" w:hAnsi="Book Antiqua" w:cs="Book Antiqua"/>
          <w:b/>
          <w:bCs/>
          <w:color w:val="000000"/>
        </w:rPr>
        <w:t>79</w:t>
      </w:r>
      <w:r w:rsidRPr="00AE13C7">
        <w:rPr>
          <w:rFonts w:ascii="Book Antiqua" w:eastAsia="Book Antiqua" w:hAnsi="Book Antiqua" w:cs="Book Antiqua"/>
          <w:color w:val="000000"/>
        </w:rPr>
        <w:t>: 201-206 [PMID: 30635837 DOI: 10.1007/s40265-018-1044-x]</w:t>
      </w:r>
    </w:p>
    <w:p w14:paraId="3324F8FD" w14:textId="62346035" w:rsidR="00A77B3E" w:rsidRPr="00AE13C7" w:rsidRDefault="00231511">
      <w:pPr>
        <w:spacing w:line="360" w:lineRule="auto"/>
        <w:jc w:val="both"/>
        <w:rPr>
          <w:rFonts w:ascii="Book Antiqua" w:hAnsi="Book Antiqua"/>
        </w:rPr>
      </w:pPr>
      <w:r w:rsidRPr="00AE13C7">
        <w:rPr>
          <w:rFonts w:ascii="Book Antiqua" w:eastAsia="Book Antiqua" w:hAnsi="Book Antiqua" w:cs="Book Antiqua"/>
          <w:color w:val="000000"/>
        </w:rPr>
        <w:t xml:space="preserve">7 </w:t>
      </w:r>
      <w:r w:rsidRPr="00AE13C7">
        <w:rPr>
          <w:rFonts w:ascii="Book Antiqua" w:eastAsia="Book Antiqua" w:hAnsi="Book Antiqua" w:cs="Book Antiqua"/>
          <w:b/>
          <w:bCs/>
          <w:color w:val="000000"/>
        </w:rPr>
        <w:t>Friedman FB</w:t>
      </w:r>
      <w:r w:rsidRPr="00AE13C7">
        <w:rPr>
          <w:rFonts w:ascii="Book Antiqua" w:eastAsia="Book Antiqua" w:hAnsi="Book Antiqua" w:cs="Book Antiqua"/>
          <w:color w:val="000000"/>
        </w:rPr>
        <w:t xml:space="preserve">. So you always wanted to write about that patient who. </w:t>
      </w:r>
      <w:r w:rsidRPr="00AE13C7">
        <w:rPr>
          <w:rFonts w:ascii="Book Antiqua" w:eastAsia="Book Antiqua" w:hAnsi="Book Antiqua" w:cs="Book Antiqua"/>
          <w:i/>
          <w:iCs/>
          <w:color w:val="000000"/>
        </w:rPr>
        <w:t xml:space="preserve">J </w:t>
      </w:r>
      <w:proofErr w:type="spellStart"/>
      <w:r w:rsidRPr="00AE13C7">
        <w:rPr>
          <w:rFonts w:ascii="Book Antiqua" w:eastAsia="Book Antiqua" w:hAnsi="Book Antiqua" w:cs="Book Antiqua"/>
          <w:i/>
          <w:iCs/>
          <w:color w:val="000000"/>
        </w:rPr>
        <w:t>Pract</w:t>
      </w:r>
      <w:proofErr w:type="spellEnd"/>
      <w:r w:rsidRPr="00AE13C7">
        <w:rPr>
          <w:rFonts w:ascii="Book Antiqua" w:eastAsia="Book Antiqua" w:hAnsi="Book Antiqua" w:cs="Book Antiqua"/>
          <w:i/>
          <w:iCs/>
          <w:color w:val="000000"/>
        </w:rPr>
        <w:t xml:space="preserve"> </w:t>
      </w:r>
      <w:proofErr w:type="spellStart"/>
      <w:r w:rsidRPr="00AE13C7">
        <w:rPr>
          <w:rFonts w:ascii="Book Antiqua" w:eastAsia="Book Antiqua" w:hAnsi="Book Antiqua" w:cs="Book Antiqua"/>
          <w:i/>
          <w:iCs/>
          <w:color w:val="000000"/>
        </w:rPr>
        <w:t>Nurs</w:t>
      </w:r>
      <w:proofErr w:type="spellEnd"/>
      <w:r w:rsidRPr="00AE13C7">
        <w:rPr>
          <w:rFonts w:ascii="Book Antiqua" w:eastAsia="Book Antiqua" w:hAnsi="Book Antiqua" w:cs="Book Antiqua"/>
          <w:color w:val="000000"/>
        </w:rPr>
        <w:t xml:space="preserve"> 1981; </w:t>
      </w:r>
      <w:r w:rsidRPr="00AE13C7">
        <w:rPr>
          <w:rFonts w:ascii="Book Antiqua" w:eastAsia="Book Antiqua" w:hAnsi="Book Antiqua" w:cs="Book Antiqua"/>
          <w:b/>
          <w:bCs/>
          <w:color w:val="000000"/>
        </w:rPr>
        <w:t>31</w:t>
      </w:r>
      <w:r w:rsidRPr="00AE13C7">
        <w:rPr>
          <w:rFonts w:ascii="Book Antiqua" w:eastAsia="Book Antiqua" w:hAnsi="Book Antiqua" w:cs="Book Antiqua"/>
          <w:color w:val="000000"/>
        </w:rPr>
        <w:t>: 10</w:t>
      </w:r>
      <w:r w:rsidR="00750612" w:rsidRPr="00AE13C7">
        <w:rPr>
          <w:rFonts w:ascii="Book Antiqua" w:eastAsia="Book Antiqua" w:hAnsi="Book Antiqua" w:cs="Book Antiqua"/>
          <w:color w:val="000000"/>
        </w:rPr>
        <w:t>-</w:t>
      </w:r>
      <w:r w:rsidRPr="00AE13C7">
        <w:rPr>
          <w:rFonts w:ascii="Book Antiqua" w:eastAsia="Book Antiqua" w:hAnsi="Book Antiqua" w:cs="Book Antiqua"/>
          <w:color w:val="000000"/>
        </w:rPr>
        <w:t>38 [PMID: 6906379 DOI: 10.1038/s12276-019-0349-5]</w:t>
      </w:r>
    </w:p>
    <w:p w14:paraId="2C70CDAA"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color w:val="000000"/>
        </w:rPr>
        <w:t xml:space="preserve">8 </w:t>
      </w:r>
      <w:proofErr w:type="spellStart"/>
      <w:r w:rsidRPr="00AE13C7">
        <w:rPr>
          <w:rFonts w:ascii="Book Antiqua" w:eastAsia="Book Antiqua" w:hAnsi="Book Antiqua" w:cs="Book Antiqua"/>
          <w:b/>
          <w:bCs/>
          <w:color w:val="000000"/>
        </w:rPr>
        <w:t>Wanandi</w:t>
      </w:r>
      <w:proofErr w:type="spellEnd"/>
      <w:r w:rsidRPr="00AE13C7">
        <w:rPr>
          <w:rFonts w:ascii="Book Antiqua" w:eastAsia="Book Antiqua" w:hAnsi="Book Antiqua" w:cs="Book Antiqua"/>
          <w:b/>
          <w:bCs/>
          <w:color w:val="000000"/>
        </w:rPr>
        <w:t xml:space="preserve"> WB</w:t>
      </w:r>
      <w:r w:rsidRPr="00AE13C7">
        <w:rPr>
          <w:rFonts w:ascii="Book Antiqua" w:eastAsia="Book Antiqua" w:hAnsi="Book Antiqua" w:cs="Book Antiqua"/>
          <w:color w:val="000000"/>
        </w:rPr>
        <w:t xml:space="preserve">, </w:t>
      </w:r>
      <w:proofErr w:type="spellStart"/>
      <w:r w:rsidRPr="00AE13C7">
        <w:rPr>
          <w:rFonts w:ascii="Book Antiqua" w:eastAsia="Book Antiqua" w:hAnsi="Book Antiqua" w:cs="Book Antiqua"/>
          <w:color w:val="000000"/>
        </w:rPr>
        <w:t>Fluss</w:t>
      </w:r>
      <w:proofErr w:type="spellEnd"/>
      <w:r w:rsidRPr="00AE13C7">
        <w:rPr>
          <w:rFonts w:ascii="Book Antiqua" w:eastAsia="Book Antiqua" w:hAnsi="Book Antiqua" w:cs="Book Antiqua"/>
          <w:color w:val="000000"/>
        </w:rPr>
        <w:t xml:space="preserve"> SS. Technical cooperation in the pharmaceuticals sector: a new approach among Asian countries. </w:t>
      </w:r>
      <w:r w:rsidRPr="00AE13C7">
        <w:rPr>
          <w:rFonts w:ascii="Book Antiqua" w:eastAsia="Book Antiqua" w:hAnsi="Book Antiqua" w:cs="Book Antiqua"/>
          <w:i/>
          <w:iCs/>
          <w:color w:val="000000"/>
        </w:rPr>
        <w:t>WHO Chron</w:t>
      </w:r>
      <w:r w:rsidRPr="00AE13C7">
        <w:rPr>
          <w:rFonts w:ascii="Book Antiqua" w:eastAsia="Book Antiqua" w:hAnsi="Book Antiqua" w:cs="Book Antiqua"/>
          <w:color w:val="000000"/>
        </w:rPr>
        <w:t xml:space="preserve"> 1980; </w:t>
      </w:r>
      <w:r w:rsidRPr="00AE13C7">
        <w:rPr>
          <w:rFonts w:ascii="Book Antiqua" w:eastAsia="Book Antiqua" w:hAnsi="Book Antiqua" w:cs="Book Antiqua"/>
          <w:b/>
          <w:bCs/>
          <w:color w:val="000000"/>
        </w:rPr>
        <w:t>34</w:t>
      </w:r>
      <w:r w:rsidRPr="00AE13C7">
        <w:rPr>
          <w:rFonts w:ascii="Book Antiqua" w:eastAsia="Book Antiqua" w:hAnsi="Book Antiqua" w:cs="Book Antiqua"/>
          <w:color w:val="000000"/>
        </w:rPr>
        <w:t>: 215-218 [PMID: 7385808 DOI: 10.7861/clinmed.2019-0218]</w:t>
      </w:r>
    </w:p>
    <w:p w14:paraId="7E8EBEBB" w14:textId="37C8D27A" w:rsidR="00A77B3E" w:rsidRPr="00AE13C7" w:rsidRDefault="00231511">
      <w:pPr>
        <w:spacing w:line="360" w:lineRule="auto"/>
        <w:jc w:val="both"/>
        <w:rPr>
          <w:rFonts w:ascii="Book Antiqua" w:hAnsi="Book Antiqua"/>
        </w:rPr>
      </w:pPr>
      <w:r w:rsidRPr="00AE13C7">
        <w:rPr>
          <w:rFonts w:ascii="Book Antiqua" w:eastAsia="Book Antiqua" w:hAnsi="Book Antiqua" w:cs="Book Antiqua"/>
          <w:color w:val="000000"/>
        </w:rPr>
        <w:t xml:space="preserve">9 </w:t>
      </w:r>
      <w:proofErr w:type="spellStart"/>
      <w:r w:rsidRPr="00AE13C7">
        <w:rPr>
          <w:rFonts w:ascii="Book Antiqua" w:eastAsia="Book Antiqua" w:hAnsi="Book Antiqua" w:cs="Book Antiqua"/>
          <w:b/>
          <w:bCs/>
          <w:color w:val="000000"/>
        </w:rPr>
        <w:t>Vilmann</w:t>
      </w:r>
      <w:proofErr w:type="spellEnd"/>
      <w:r w:rsidRPr="00AE13C7">
        <w:rPr>
          <w:rFonts w:ascii="Book Antiqua" w:eastAsia="Book Antiqua" w:hAnsi="Book Antiqua" w:cs="Book Antiqua"/>
          <w:b/>
          <w:bCs/>
          <w:color w:val="000000"/>
        </w:rPr>
        <w:t xml:space="preserve"> P</w:t>
      </w:r>
      <w:r w:rsidRPr="00D92C9F">
        <w:rPr>
          <w:rFonts w:ascii="Book Antiqua" w:eastAsia="Book Antiqua" w:hAnsi="Book Antiqua" w:cs="Book Antiqua"/>
          <w:bCs/>
          <w:color w:val="000000"/>
        </w:rPr>
        <w:t>,</w:t>
      </w:r>
      <w:r w:rsidRPr="00D92C9F">
        <w:rPr>
          <w:rFonts w:ascii="Book Antiqua" w:eastAsia="Book Antiqua" w:hAnsi="Book Antiqua" w:cs="Book Antiqua"/>
          <w:color w:val="000000"/>
        </w:rPr>
        <w:t xml:space="preserve"> </w:t>
      </w:r>
      <w:proofErr w:type="spellStart"/>
      <w:r w:rsidRPr="00AE13C7">
        <w:rPr>
          <w:rFonts w:ascii="Book Antiqua" w:eastAsia="Book Antiqua" w:hAnsi="Book Antiqua" w:cs="Book Antiqua"/>
          <w:color w:val="000000"/>
        </w:rPr>
        <w:t>Clementsen</w:t>
      </w:r>
      <w:proofErr w:type="spellEnd"/>
      <w:r w:rsidRPr="00AE13C7">
        <w:rPr>
          <w:rFonts w:ascii="Book Antiqua" w:eastAsia="Book Antiqua" w:hAnsi="Book Antiqua" w:cs="Book Antiqua"/>
          <w:color w:val="000000"/>
        </w:rPr>
        <w:t xml:space="preserve"> PF, </w:t>
      </w:r>
      <w:proofErr w:type="spellStart"/>
      <w:r w:rsidRPr="00AE13C7">
        <w:rPr>
          <w:rFonts w:ascii="Book Antiqua" w:eastAsia="Book Antiqua" w:hAnsi="Book Antiqua" w:cs="Book Antiqua"/>
          <w:color w:val="000000"/>
        </w:rPr>
        <w:t>Colella</w:t>
      </w:r>
      <w:proofErr w:type="spellEnd"/>
      <w:r w:rsidRPr="00AE13C7">
        <w:rPr>
          <w:rFonts w:ascii="Book Antiqua" w:eastAsia="Book Antiqua" w:hAnsi="Book Antiqua" w:cs="Book Antiqua"/>
          <w:color w:val="000000"/>
        </w:rPr>
        <w:t xml:space="preserve"> S, </w:t>
      </w:r>
      <w:proofErr w:type="spellStart"/>
      <w:r w:rsidRPr="00AE13C7">
        <w:rPr>
          <w:rFonts w:ascii="Book Antiqua" w:eastAsia="Book Antiqua" w:hAnsi="Book Antiqua" w:cs="Book Antiqua"/>
          <w:color w:val="000000"/>
        </w:rPr>
        <w:t>Siemsen</w:t>
      </w:r>
      <w:proofErr w:type="spellEnd"/>
      <w:r w:rsidRPr="00AE13C7">
        <w:rPr>
          <w:rFonts w:ascii="Book Antiqua" w:eastAsia="Book Antiqua" w:hAnsi="Book Antiqua" w:cs="Book Antiqua"/>
          <w:color w:val="000000"/>
        </w:rPr>
        <w:t xml:space="preserve"> M, De </w:t>
      </w:r>
      <w:proofErr w:type="spellStart"/>
      <w:r w:rsidRPr="00AE13C7">
        <w:rPr>
          <w:rFonts w:ascii="Book Antiqua" w:eastAsia="Book Antiqua" w:hAnsi="Book Antiqua" w:cs="Book Antiqua"/>
          <w:color w:val="000000"/>
        </w:rPr>
        <w:t>Leyn</w:t>
      </w:r>
      <w:proofErr w:type="spellEnd"/>
      <w:r w:rsidRPr="00AE13C7">
        <w:rPr>
          <w:rFonts w:ascii="Book Antiqua" w:eastAsia="Book Antiqua" w:hAnsi="Book Antiqua" w:cs="Book Antiqua"/>
          <w:color w:val="000000"/>
        </w:rPr>
        <w:t xml:space="preserve"> P, </w:t>
      </w:r>
      <w:proofErr w:type="spellStart"/>
      <w:r w:rsidRPr="00AE13C7">
        <w:rPr>
          <w:rFonts w:ascii="Book Antiqua" w:eastAsia="Book Antiqua" w:hAnsi="Book Antiqua" w:cs="Book Antiqua"/>
          <w:color w:val="000000"/>
        </w:rPr>
        <w:t>Dumonceau</w:t>
      </w:r>
      <w:proofErr w:type="spellEnd"/>
      <w:r w:rsidRPr="00AE13C7">
        <w:rPr>
          <w:rFonts w:ascii="Book Antiqua" w:eastAsia="Book Antiqua" w:hAnsi="Book Antiqua" w:cs="Book Antiqua"/>
          <w:color w:val="000000"/>
        </w:rPr>
        <w:t xml:space="preserve"> JM, </w:t>
      </w:r>
      <w:proofErr w:type="spellStart"/>
      <w:r w:rsidRPr="00AE13C7">
        <w:rPr>
          <w:rFonts w:ascii="Book Antiqua" w:eastAsia="Book Antiqua" w:hAnsi="Book Antiqua" w:cs="Book Antiqua"/>
          <w:color w:val="000000"/>
        </w:rPr>
        <w:t>Herth</w:t>
      </w:r>
      <w:proofErr w:type="spellEnd"/>
      <w:r w:rsidRPr="00AE13C7">
        <w:rPr>
          <w:rFonts w:ascii="Book Antiqua" w:eastAsia="Book Antiqua" w:hAnsi="Book Antiqua" w:cs="Book Antiqua"/>
          <w:color w:val="000000"/>
        </w:rPr>
        <w:t xml:space="preserve"> FJ, </w:t>
      </w:r>
      <w:proofErr w:type="spellStart"/>
      <w:r w:rsidRPr="00AE13C7">
        <w:rPr>
          <w:rFonts w:ascii="Book Antiqua" w:eastAsia="Book Antiqua" w:hAnsi="Book Antiqua" w:cs="Book Antiqua"/>
          <w:color w:val="000000"/>
        </w:rPr>
        <w:t>Larghi</w:t>
      </w:r>
      <w:proofErr w:type="spellEnd"/>
      <w:r w:rsidRPr="00AE13C7">
        <w:rPr>
          <w:rFonts w:ascii="Book Antiqua" w:eastAsia="Book Antiqua" w:hAnsi="Book Antiqua" w:cs="Book Antiqua"/>
          <w:color w:val="000000"/>
        </w:rPr>
        <w:t xml:space="preserve"> A, Vazquez-</w:t>
      </w:r>
      <w:proofErr w:type="spellStart"/>
      <w:r w:rsidRPr="00AE13C7">
        <w:rPr>
          <w:rFonts w:ascii="Book Antiqua" w:eastAsia="Book Antiqua" w:hAnsi="Book Antiqua" w:cs="Book Antiqua"/>
          <w:color w:val="000000"/>
        </w:rPr>
        <w:t>Sequeiros</w:t>
      </w:r>
      <w:proofErr w:type="spellEnd"/>
      <w:r w:rsidRPr="00AE13C7">
        <w:rPr>
          <w:rFonts w:ascii="Book Antiqua" w:eastAsia="Book Antiqua" w:hAnsi="Book Antiqua" w:cs="Book Antiqua"/>
          <w:color w:val="000000"/>
        </w:rPr>
        <w:t xml:space="preserve"> E, Hassan C, </w:t>
      </w:r>
      <w:proofErr w:type="spellStart"/>
      <w:r w:rsidRPr="00AE13C7">
        <w:rPr>
          <w:rFonts w:ascii="Book Antiqua" w:eastAsia="Book Antiqua" w:hAnsi="Book Antiqua" w:cs="Book Antiqua"/>
          <w:color w:val="000000"/>
        </w:rPr>
        <w:t>Crombag</w:t>
      </w:r>
      <w:proofErr w:type="spellEnd"/>
      <w:r w:rsidRPr="00AE13C7">
        <w:rPr>
          <w:rFonts w:ascii="Book Antiqua" w:eastAsia="Book Antiqua" w:hAnsi="Book Antiqua" w:cs="Book Antiqua"/>
          <w:color w:val="000000"/>
        </w:rPr>
        <w:t xml:space="preserve"> L, </w:t>
      </w:r>
      <w:proofErr w:type="spellStart"/>
      <w:r w:rsidRPr="00AE13C7">
        <w:rPr>
          <w:rFonts w:ascii="Book Antiqua" w:eastAsia="Book Antiqua" w:hAnsi="Book Antiqua" w:cs="Book Antiqua"/>
          <w:color w:val="000000"/>
        </w:rPr>
        <w:t>Korevaar</w:t>
      </w:r>
      <w:proofErr w:type="spellEnd"/>
      <w:r w:rsidRPr="00AE13C7">
        <w:rPr>
          <w:rFonts w:ascii="Book Antiqua" w:eastAsia="Book Antiqua" w:hAnsi="Book Antiqua" w:cs="Book Antiqua"/>
          <w:color w:val="000000"/>
        </w:rPr>
        <w:t xml:space="preserve"> DA, </w:t>
      </w:r>
      <w:proofErr w:type="spellStart"/>
      <w:r w:rsidRPr="00AE13C7">
        <w:rPr>
          <w:rFonts w:ascii="Book Antiqua" w:eastAsia="Book Antiqua" w:hAnsi="Book Antiqua" w:cs="Book Antiqua"/>
          <w:color w:val="000000"/>
        </w:rPr>
        <w:t>Konge</w:t>
      </w:r>
      <w:proofErr w:type="spellEnd"/>
      <w:r w:rsidRPr="00AE13C7">
        <w:rPr>
          <w:rFonts w:ascii="Book Antiqua" w:eastAsia="Book Antiqua" w:hAnsi="Book Antiqua" w:cs="Book Antiqua"/>
          <w:color w:val="000000"/>
        </w:rPr>
        <w:t xml:space="preserve"> L, </w:t>
      </w:r>
      <w:proofErr w:type="spellStart"/>
      <w:r w:rsidRPr="00AE13C7">
        <w:rPr>
          <w:rFonts w:ascii="Book Antiqua" w:eastAsia="Book Antiqua" w:hAnsi="Book Antiqua" w:cs="Book Antiqua"/>
          <w:color w:val="000000"/>
        </w:rPr>
        <w:t>Annema</w:t>
      </w:r>
      <w:proofErr w:type="spellEnd"/>
      <w:r w:rsidRPr="00AE13C7">
        <w:rPr>
          <w:rFonts w:ascii="Book Antiqua" w:eastAsia="Book Antiqua" w:hAnsi="Book Antiqua" w:cs="Book Antiqua"/>
          <w:color w:val="000000"/>
        </w:rPr>
        <w:t xml:space="preserve"> JT. Combined </w:t>
      </w:r>
      <w:proofErr w:type="spellStart"/>
      <w:r w:rsidRPr="00AE13C7">
        <w:rPr>
          <w:rFonts w:ascii="Book Antiqua" w:eastAsia="Book Antiqua" w:hAnsi="Book Antiqua" w:cs="Book Antiqua"/>
          <w:color w:val="000000"/>
        </w:rPr>
        <w:t>endobronchial</w:t>
      </w:r>
      <w:proofErr w:type="spellEnd"/>
      <w:r w:rsidRPr="00AE13C7">
        <w:rPr>
          <w:rFonts w:ascii="Book Antiqua" w:eastAsia="Book Antiqua" w:hAnsi="Book Antiqua" w:cs="Book Antiqua"/>
          <w:color w:val="000000"/>
        </w:rPr>
        <w:t xml:space="preserve"> and esophageal </w:t>
      </w:r>
      <w:proofErr w:type="spellStart"/>
      <w:r w:rsidRPr="00AE13C7">
        <w:rPr>
          <w:rFonts w:ascii="Book Antiqua" w:eastAsia="Book Antiqua" w:hAnsi="Book Antiqua" w:cs="Book Antiqua"/>
          <w:color w:val="000000"/>
        </w:rPr>
        <w:t>endosonography</w:t>
      </w:r>
      <w:proofErr w:type="spellEnd"/>
      <w:r w:rsidRPr="00AE13C7">
        <w:rPr>
          <w:rFonts w:ascii="Book Antiqua" w:eastAsia="Book Antiqua" w:hAnsi="Book Antiqua" w:cs="Book Antiqua"/>
          <w:color w:val="000000"/>
        </w:rPr>
        <w:t xml:space="preserve"> for the diagnosis and staging of lung cancer: European society of gastrointestinal endoscopy (</w:t>
      </w:r>
      <w:proofErr w:type="spellStart"/>
      <w:r w:rsidRPr="00AE13C7">
        <w:rPr>
          <w:rFonts w:ascii="Book Antiqua" w:eastAsia="Book Antiqua" w:hAnsi="Book Antiqua" w:cs="Book Antiqua"/>
          <w:color w:val="000000"/>
        </w:rPr>
        <w:t>esge</w:t>
      </w:r>
      <w:proofErr w:type="spellEnd"/>
      <w:r w:rsidRPr="00AE13C7">
        <w:rPr>
          <w:rFonts w:ascii="Book Antiqua" w:eastAsia="Book Antiqua" w:hAnsi="Book Antiqua" w:cs="Book Antiqua"/>
          <w:color w:val="000000"/>
        </w:rPr>
        <w:t xml:space="preserve">) guideline, in cooperation with the </w:t>
      </w:r>
      <w:proofErr w:type="spellStart"/>
      <w:r w:rsidRPr="00AE13C7">
        <w:rPr>
          <w:rFonts w:ascii="Book Antiqua" w:eastAsia="Book Antiqua" w:hAnsi="Book Antiqua" w:cs="Book Antiqua"/>
          <w:color w:val="000000"/>
        </w:rPr>
        <w:t>european</w:t>
      </w:r>
      <w:proofErr w:type="spellEnd"/>
      <w:r w:rsidRPr="00AE13C7">
        <w:rPr>
          <w:rFonts w:ascii="Book Antiqua" w:eastAsia="Book Antiqua" w:hAnsi="Book Antiqua" w:cs="Book Antiqua"/>
          <w:color w:val="000000"/>
        </w:rPr>
        <w:t xml:space="preserve"> respiratory society (</w:t>
      </w:r>
      <w:proofErr w:type="spellStart"/>
      <w:r w:rsidRPr="00AE13C7">
        <w:rPr>
          <w:rFonts w:ascii="Book Antiqua" w:eastAsia="Book Antiqua" w:hAnsi="Book Antiqua" w:cs="Book Antiqua"/>
          <w:color w:val="000000"/>
        </w:rPr>
        <w:t>ers</w:t>
      </w:r>
      <w:proofErr w:type="spellEnd"/>
      <w:r w:rsidRPr="00AE13C7">
        <w:rPr>
          <w:rFonts w:ascii="Book Antiqua" w:eastAsia="Book Antiqua" w:hAnsi="Book Antiqua" w:cs="Book Antiqua"/>
          <w:color w:val="000000"/>
        </w:rPr>
        <w:t xml:space="preserve">) and the </w:t>
      </w:r>
      <w:proofErr w:type="spellStart"/>
      <w:r w:rsidRPr="00AE13C7">
        <w:rPr>
          <w:rFonts w:ascii="Book Antiqua" w:eastAsia="Book Antiqua" w:hAnsi="Book Antiqua" w:cs="Book Antiqua"/>
          <w:color w:val="000000"/>
        </w:rPr>
        <w:t>european</w:t>
      </w:r>
      <w:proofErr w:type="spellEnd"/>
      <w:r w:rsidRPr="00AE13C7">
        <w:rPr>
          <w:rFonts w:ascii="Book Antiqua" w:eastAsia="Book Antiqua" w:hAnsi="Book Antiqua" w:cs="Book Antiqua"/>
          <w:color w:val="000000"/>
        </w:rPr>
        <w:t xml:space="preserve"> society of thoracic surgeons (</w:t>
      </w:r>
      <w:proofErr w:type="spellStart"/>
      <w:r w:rsidRPr="00AE13C7">
        <w:rPr>
          <w:rFonts w:ascii="Book Antiqua" w:eastAsia="Book Antiqua" w:hAnsi="Book Antiqua" w:cs="Book Antiqua"/>
          <w:color w:val="000000"/>
        </w:rPr>
        <w:t>ests</w:t>
      </w:r>
      <w:proofErr w:type="spellEnd"/>
      <w:r w:rsidRPr="00AE13C7">
        <w:rPr>
          <w:rFonts w:ascii="Book Antiqua" w:eastAsia="Book Antiqua" w:hAnsi="Book Antiqua" w:cs="Book Antiqua"/>
          <w:color w:val="000000"/>
        </w:rPr>
        <w:t xml:space="preserve">). </w:t>
      </w:r>
      <w:r w:rsidRPr="00AE13C7">
        <w:rPr>
          <w:rFonts w:ascii="Book Antiqua" w:eastAsia="Book Antiqua" w:hAnsi="Book Antiqua" w:cs="Book Antiqua"/>
          <w:i/>
          <w:iCs/>
          <w:color w:val="000000"/>
        </w:rPr>
        <w:t>Endoscopy</w:t>
      </w:r>
      <w:r w:rsidRPr="00AE13C7">
        <w:rPr>
          <w:rFonts w:ascii="Book Antiqua" w:eastAsia="Book Antiqua" w:hAnsi="Book Antiqua" w:cs="Book Antiqua"/>
          <w:color w:val="000000"/>
        </w:rPr>
        <w:t xml:space="preserve"> 2015; </w:t>
      </w:r>
      <w:r w:rsidRPr="00AE13C7">
        <w:rPr>
          <w:rFonts w:ascii="Book Antiqua" w:eastAsia="Book Antiqua" w:hAnsi="Book Antiqua" w:cs="Book Antiqua"/>
          <w:b/>
          <w:bCs/>
          <w:color w:val="000000"/>
        </w:rPr>
        <w:t>47</w:t>
      </w:r>
      <w:r w:rsidRPr="00AE13C7">
        <w:rPr>
          <w:rFonts w:ascii="Book Antiqua" w:eastAsia="Book Antiqua" w:hAnsi="Book Antiqua" w:cs="Book Antiqua"/>
          <w:color w:val="000000"/>
        </w:rPr>
        <w:t xml:space="preserve">: 545-559 [PMID: </w:t>
      </w:r>
      <w:r w:rsidR="00455441" w:rsidRPr="00AE13C7">
        <w:rPr>
          <w:rFonts w:ascii="Book Antiqua" w:eastAsia="Book Antiqua" w:hAnsi="Book Antiqua" w:cs="Book Antiqua"/>
          <w:color w:val="000000"/>
        </w:rPr>
        <w:t xml:space="preserve">26030890 </w:t>
      </w:r>
      <w:r w:rsidRPr="00AE13C7">
        <w:rPr>
          <w:rFonts w:ascii="Book Antiqua" w:eastAsia="Book Antiqua" w:hAnsi="Book Antiqua" w:cs="Book Antiqua"/>
          <w:color w:val="000000"/>
        </w:rPr>
        <w:t>DOI: 10.1055/s-0034-1392040</w:t>
      </w:r>
      <w:r w:rsidR="00BF4AD9" w:rsidRPr="00AE13C7">
        <w:rPr>
          <w:rFonts w:ascii="Book Antiqua" w:eastAsia="Book Antiqua" w:hAnsi="Book Antiqua" w:cs="Book Antiqua"/>
          <w:color w:val="000000"/>
        </w:rPr>
        <w:t>]</w:t>
      </w:r>
    </w:p>
    <w:p w14:paraId="4538132E" w14:textId="77777777" w:rsidR="00A77B3E" w:rsidRPr="00C57236" w:rsidRDefault="00231511">
      <w:pPr>
        <w:spacing w:line="360" w:lineRule="auto"/>
        <w:jc w:val="both"/>
        <w:rPr>
          <w:rFonts w:ascii="Book Antiqua" w:hAnsi="Book Antiqua"/>
        </w:rPr>
      </w:pPr>
      <w:r w:rsidRPr="00AE13C7">
        <w:rPr>
          <w:rFonts w:ascii="Book Antiqua" w:eastAsia="Book Antiqua" w:hAnsi="Book Antiqua" w:cs="Book Antiqua"/>
          <w:color w:val="000000"/>
        </w:rPr>
        <w:t xml:space="preserve">10 </w:t>
      </w:r>
      <w:r w:rsidRPr="00AE13C7">
        <w:rPr>
          <w:rFonts w:ascii="Book Antiqua" w:eastAsia="Book Antiqua" w:hAnsi="Book Antiqua" w:cs="Book Antiqua"/>
          <w:b/>
          <w:bCs/>
          <w:color w:val="000000"/>
        </w:rPr>
        <w:t>Noble HB</w:t>
      </w:r>
      <w:r w:rsidRPr="00AE13C7">
        <w:rPr>
          <w:rFonts w:ascii="Book Antiqua" w:eastAsia="Book Antiqua" w:hAnsi="Book Antiqua" w:cs="Book Antiqua"/>
          <w:color w:val="000000"/>
        </w:rPr>
        <w:t xml:space="preserve">, Porter M. The role of the team physician in school athletics. </w:t>
      </w:r>
      <w:r w:rsidRPr="00C57236">
        <w:rPr>
          <w:rFonts w:ascii="Book Antiqua" w:eastAsia="Book Antiqua" w:hAnsi="Book Antiqua" w:cs="Book Antiqua"/>
          <w:i/>
          <w:iCs/>
          <w:color w:val="000000"/>
        </w:rPr>
        <w:t>IMJ Ill Med J</w:t>
      </w:r>
      <w:r w:rsidRPr="00C57236">
        <w:rPr>
          <w:rFonts w:ascii="Book Antiqua" w:eastAsia="Book Antiqua" w:hAnsi="Book Antiqua" w:cs="Book Antiqua"/>
          <w:color w:val="000000"/>
        </w:rPr>
        <w:t xml:space="preserve"> 1982; </w:t>
      </w:r>
      <w:r w:rsidRPr="00C57236">
        <w:rPr>
          <w:rFonts w:ascii="Book Antiqua" w:eastAsia="Book Antiqua" w:hAnsi="Book Antiqua" w:cs="Book Antiqua"/>
          <w:b/>
          <w:bCs/>
          <w:color w:val="000000"/>
        </w:rPr>
        <w:t>161</w:t>
      </w:r>
      <w:r w:rsidRPr="00C57236">
        <w:rPr>
          <w:rFonts w:ascii="Book Antiqua" w:eastAsia="Book Antiqua" w:hAnsi="Book Antiqua" w:cs="Book Antiqua"/>
          <w:color w:val="000000"/>
        </w:rPr>
        <w:t>: 112-113 [PMID: 6122670 DOI: 10.1186/s12890-018-0713-6]</w:t>
      </w:r>
    </w:p>
    <w:p w14:paraId="1344A04F" w14:textId="77777777" w:rsidR="00A77B3E" w:rsidRPr="00AE13C7" w:rsidRDefault="00231511">
      <w:pPr>
        <w:spacing w:line="360" w:lineRule="auto"/>
        <w:jc w:val="both"/>
        <w:rPr>
          <w:rFonts w:ascii="Book Antiqua" w:hAnsi="Book Antiqua"/>
        </w:rPr>
      </w:pPr>
      <w:r w:rsidRPr="00C57236">
        <w:rPr>
          <w:rFonts w:ascii="Book Antiqua" w:eastAsia="Book Antiqua" w:hAnsi="Book Antiqua" w:cs="Book Antiqua"/>
          <w:color w:val="000000"/>
        </w:rPr>
        <w:t xml:space="preserve">11 </w:t>
      </w:r>
      <w:proofErr w:type="spellStart"/>
      <w:r w:rsidRPr="00C57236">
        <w:rPr>
          <w:rFonts w:ascii="Book Antiqua" w:eastAsia="Book Antiqua" w:hAnsi="Book Antiqua" w:cs="Book Antiqua"/>
          <w:b/>
          <w:bCs/>
          <w:color w:val="000000"/>
        </w:rPr>
        <w:t>Arvela</w:t>
      </w:r>
      <w:proofErr w:type="spellEnd"/>
      <w:r w:rsidRPr="00C57236">
        <w:rPr>
          <w:rFonts w:ascii="Book Antiqua" w:eastAsia="Book Antiqua" w:hAnsi="Book Antiqua" w:cs="Book Antiqua"/>
          <w:b/>
          <w:bCs/>
          <w:color w:val="000000"/>
        </w:rPr>
        <w:t xml:space="preserve"> P</w:t>
      </w:r>
      <w:r w:rsidRPr="00C57236">
        <w:rPr>
          <w:rFonts w:ascii="Book Antiqua" w:eastAsia="Book Antiqua" w:hAnsi="Book Antiqua" w:cs="Book Antiqua"/>
          <w:color w:val="000000"/>
        </w:rPr>
        <w:t xml:space="preserve">, </w:t>
      </w:r>
      <w:proofErr w:type="spellStart"/>
      <w:r w:rsidRPr="00C57236">
        <w:rPr>
          <w:rFonts w:ascii="Book Antiqua" w:eastAsia="Book Antiqua" w:hAnsi="Book Antiqua" w:cs="Book Antiqua"/>
          <w:color w:val="000000"/>
        </w:rPr>
        <w:t>Kärki</w:t>
      </w:r>
      <w:proofErr w:type="spellEnd"/>
      <w:r w:rsidRPr="00C57236">
        <w:rPr>
          <w:rFonts w:ascii="Book Antiqua" w:eastAsia="Book Antiqua" w:hAnsi="Book Antiqua" w:cs="Book Antiqua"/>
          <w:color w:val="000000"/>
        </w:rPr>
        <w:t xml:space="preserve"> NT. </w:t>
      </w:r>
      <w:r w:rsidRPr="00AE13C7">
        <w:rPr>
          <w:rFonts w:ascii="Book Antiqua" w:eastAsia="Book Antiqua" w:hAnsi="Book Antiqua" w:cs="Book Antiqua"/>
          <w:color w:val="000000"/>
        </w:rPr>
        <w:t xml:space="preserve">Effect of cerium on drug metabolizing activity in rat liver. </w:t>
      </w:r>
      <w:proofErr w:type="spellStart"/>
      <w:r w:rsidRPr="00AE13C7">
        <w:rPr>
          <w:rFonts w:ascii="Book Antiqua" w:eastAsia="Book Antiqua" w:hAnsi="Book Antiqua" w:cs="Book Antiqua"/>
          <w:i/>
          <w:iCs/>
          <w:color w:val="000000"/>
        </w:rPr>
        <w:t>Experientia</w:t>
      </w:r>
      <w:proofErr w:type="spellEnd"/>
      <w:r w:rsidRPr="00AE13C7">
        <w:rPr>
          <w:rFonts w:ascii="Book Antiqua" w:eastAsia="Book Antiqua" w:hAnsi="Book Antiqua" w:cs="Book Antiqua"/>
          <w:color w:val="000000"/>
        </w:rPr>
        <w:t xml:space="preserve"> 1971; </w:t>
      </w:r>
      <w:r w:rsidRPr="00AE13C7">
        <w:rPr>
          <w:rFonts w:ascii="Book Antiqua" w:eastAsia="Book Antiqua" w:hAnsi="Book Antiqua" w:cs="Book Antiqua"/>
          <w:b/>
          <w:bCs/>
          <w:color w:val="000000"/>
        </w:rPr>
        <w:t>27</w:t>
      </w:r>
      <w:r w:rsidRPr="00AE13C7">
        <w:rPr>
          <w:rFonts w:ascii="Book Antiqua" w:eastAsia="Book Antiqua" w:hAnsi="Book Antiqua" w:cs="Book Antiqua"/>
          <w:color w:val="000000"/>
        </w:rPr>
        <w:t>: 1189-1190 [PMID: 5127875 DOI: 10.1007/s00330-016-4357-8]</w:t>
      </w:r>
    </w:p>
    <w:p w14:paraId="4AC6ACF2"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color w:val="000000"/>
        </w:rPr>
        <w:t xml:space="preserve">12 </w:t>
      </w:r>
      <w:r w:rsidRPr="00AE13C7">
        <w:rPr>
          <w:rFonts w:ascii="Book Antiqua" w:eastAsia="Book Antiqua" w:hAnsi="Book Antiqua" w:cs="Book Antiqua"/>
          <w:b/>
          <w:bCs/>
          <w:color w:val="000000"/>
        </w:rPr>
        <w:t>Birch LL</w:t>
      </w:r>
      <w:r w:rsidRPr="00AE13C7">
        <w:rPr>
          <w:rFonts w:ascii="Book Antiqua" w:eastAsia="Book Antiqua" w:hAnsi="Book Antiqua" w:cs="Book Antiqua"/>
          <w:color w:val="000000"/>
        </w:rPr>
        <w:t xml:space="preserve">, Fisher JA. Appetite and eating behavior in children. </w:t>
      </w:r>
      <w:proofErr w:type="spellStart"/>
      <w:r w:rsidRPr="00AE13C7">
        <w:rPr>
          <w:rFonts w:ascii="Book Antiqua" w:eastAsia="Book Antiqua" w:hAnsi="Book Antiqua" w:cs="Book Antiqua"/>
          <w:i/>
          <w:iCs/>
          <w:color w:val="000000"/>
        </w:rPr>
        <w:t>Pediatr</w:t>
      </w:r>
      <w:proofErr w:type="spellEnd"/>
      <w:r w:rsidRPr="00AE13C7">
        <w:rPr>
          <w:rFonts w:ascii="Book Antiqua" w:eastAsia="Book Antiqua" w:hAnsi="Book Antiqua" w:cs="Book Antiqua"/>
          <w:i/>
          <w:iCs/>
          <w:color w:val="000000"/>
        </w:rPr>
        <w:t xml:space="preserve"> </w:t>
      </w:r>
      <w:proofErr w:type="spellStart"/>
      <w:r w:rsidRPr="00AE13C7">
        <w:rPr>
          <w:rFonts w:ascii="Book Antiqua" w:eastAsia="Book Antiqua" w:hAnsi="Book Antiqua" w:cs="Book Antiqua"/>
          <w:i/>
          <w:iCs/>
          <w:color w:val="000000"/>
        </w:rPr>
        <w:t>Clin</w:t>
      </w:r>
      <w:proofErr w:type="spellEnd"/>
      <w:r w:rsidRPr="00AE13C7">
        <w:rPr>
          <w:rFonts w:ascii="Book Antiqua" w:eastAsia="Book Antiqua" w:hAnsi="Book Antiqua" w:cs="Book Antiqua"/>
          <w:i/>
          <w:iCs/>
          <w:color w:val="000000"/>
        </w:rPr>
        <w:t xml:space="preserve"> North Am</w:t>
      </w:r>
      <w:r w:rsidRPr="00AE13C7">
        <w:rPr>
          <w:rFonts w:ascii="Book Antiqua" w:eastAsia="Book Antiqua" w:hAnsi="Book Antiqua" w:cs="Book Antiqua"/>
          <w:color w:val="000000"/>
        </w:rPr>
        <w:t xml:space="preserve"> 1995; </w:t>
      </w:r>
      <w:r w:rsidRPr="00AE13C7">
        <w:rPr>
          <w:rFonts w:ascii="Book Antiqua" w:eastAsia="Book Antiqua" w:hAnsi="Book Antiqua" w:cs="Book Antiqua"/>
          <w:b/>
          <w:bCs/>
          <w:color w:val="000000"/>
        </w:rPr>
        <w:t>42</w:t>
      </w:r>
      <w:r w:rsidRPr="00AE13C7">
        <w:rPr>
          <w:rFonts w:ascii="Book Antiqua" w:eastAsia="Book Antiqua" w:hAnsi="Book Antiqua" w:cs="Book Antiqua"/>
          <w:color w:val="000000"/>
        </w:rPr>
        <w:t>: 931-953 [PMID: 7610021 DOI: 10.1136/bmj.m4087]</w:t>
      </w:r>
    </w:p>
    <w:p w14:paraId="42E5AD3C"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color w:val="000000"/>
        </w:rPr>
        <w:t xml:space="preserve">13 </w:t>
      </w:r>
      <w:proofErr w:type="spellStart"/>
      <w:r w:rsidRPr="00AE13C7">
        <w:rPr>
          <w:rFonts w:ascii="Book Antiqua" w:eastAsia="Book Antiqua" w:hAnsi="Book Antiqua" w:cs="Book Antiqua"/>
          <w:b/>
          <w:bCs/>
          <w:color w:val="000000"/>
        </w:rPr>
        <w:t>Alanen</w:t>
      </w:r>
      <w:proofErr w:type="spellEnd"/>
      <w:r w:rsidRPr="00AE13C7">
        <w:rPr>
          <w:rFonts w:ascii="Book Antiqua" w:eastAsia="Book Antiqua" w:hAnsi="Book Antiqua" w:cs="Book Antiqua"/>
          <w:b/>
          <w:bCs/>
          <w:color w:val="000000"/>
        </w:rPr>
        <w:t xml:space="preserve"> V</w:t>
      </w:r>
      <w:r w:rsidRPr="00AE13C7">
        <w:rPr>
          <w:rFonts w:ascii="Book Antiqua" w:eastAsia="Book Antiqua" w:hAnsi="Book Antiqua" w:cs="Book Antiqua"/>
          <w:color w:val="000000"/>
        </w:rPr>
        <w:t xml:space="preserve">, </w:t>
      </w:r>
      <w:proofErr w:type="spellStart"/>
      <w:r w:rsidRPr="00AE13C7">
        <w:rPr>
          <w:rFonts w:ascii="Book Antiqua" w:eastAsia="Book Antiqua" w:hAnsi="Book Antiqua" w:cs="Book Antiqua"/>
          <w:color w:val="000000"/>
        </w:rPr>
        <w:t>Koivunen</w:t>
      </w:r>
      <w:proofErr w:type="spellEnd"/>
      <w:r w:rsidRPr="00AE13C7">
        <w:rPr>
          <w:rFonts w:ascii="Book Antiqua" w:eastAsia="Book Antiqua" w:hAnsi="Book Antiqua" w:cs="Book Antiqua"/>
          <w:color w:val="000000"/>
        </w:rPr>
        <w:t xml:space="preserve"> JP. Association of diagnostic delays to survival in lung cancer: single center experience. </w:t>
      </w:r>
      <w:r w:rsidRPr="00AE13C7">
        <w:rPr>
          <w:rFonts w:ascii="Book Antiqua" w:eastAsia="Book Antiqua" w:hAnsi="Book Antiqua" w:cs="Book Antiqua"/>
          <w:i/>
          <w:iCs/>
          <w:color w:val="000000"/>
        </w:rPr>
        <w:t>Acta Oncol</w:t>
      </w:r>
      <w:r w:rsidRPr="00AE13C7">
        <w:rPr>
          <w:rFonts w:ascii="Book Antiqua" w:eastAsia="Book Antiqua" w:hAnsi="Book Antiqua" w:cs="Book Antiqua"/>
          <w:color w:val="000000"/>
        </w:rPr>
        <w:t xml:space="preserve"> 2019; </w:t>
      </w:r>
      <w:r w:rsidRPr="00AE13C7">
        <w:rPr>
          <w:rFonts w:ascii="Book Antiqua" w:eastAsia="Book Antiqua" w:hAnsi="Book Antiqua" w:cs="Book Antiqua"/>
          <w:b/>
          <w:bCs/>
          <w:color w:val="000000"/>
        </w:rPr>
        <w:t>58</w:t>
      </w:r>
      <w:r w:rsidRPr="00AE13C7">
        <w:rPr>
          <w:rFonts w:ascii="Book Antiqua" w:eastAsia="Book Antiqua" w:hAnsi="Book Antiqua" w:cs="Book Antiqua"/>
          <w:color w:val="000000"/>
        </w:rPr>
        <w:t>: 1056-1061 [PMID: 30938249 DOI: 10.1080/0284186X.2019.1590635]</w:t>
      </w:r>
    </w:p>
    <w:p w14:paraId="0033B12A"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color w:val="000000"/>
        </w:rPr>
        <w:t xml:space="preserve">14 </w:t>
      </w:r>
      <w:proofErr w:type="spellStart"/>
      <w:r w:rsidRPr="00AE13C7">
        <w:rPr>
          <w:rFonts w:ascii="Book Antiqua" w:eastAsia="Book Antiqua" w:hAnsi="Book Antiqua" w:cs="Book Antiqua"/>
          <w:b/>
          <w:bCs/>
          <w:color w:val="000000"/>
        </w:rPr>
        <w:t>Goldstraw</w:t>
      </w:r>
      <w:proofErr w:type="spellEnd"/>
      <w:r w:rsidRPr="00AE13C7">
        <w:rPr>
          <w:rFonts w:ascii="Book Antiqua" w:eastAsia="Book Antiqua" w:hAnsi="Book Antiqua" w:cs="Book Antiqua"/>
          <w:b/>
          <w:bCs/>
          <w:color w:val="000000"/>
        </w:rPr>
        <w:t xml:space="preserve"> P</w:t>
      </w:r>
      <w:r w:rsidRPr="00AE13C7">
        <w:rPr>
          <w:rFonts w:ascii="Book Antiqua" w:eastAsia="Book Antiqua" w:hAnsi="Book Antiqua" w:cs="Book Antiqua"/>
          <w:color w:val="000000"/>
        </w:rPr>
        <w:t xml:space="preserve">, </w:t>
      </w:r>
      <w:proofErr w:type="spellStart"/>
      <w:r w:rsidRPr="00AE13C7">
        <w:rPr>
          <w:rFonts w:ascii="Book Antiqua" w:eastAsia="Book Antiqua" w:hAnsi="Book Antiqua" w:cs="Book Antiqua"/>
          <w:color w:val="000000"/>
        </w:rPr>
        <w:t>Chansky</w:t>
      </w:r>
      <w:proofErr w:type="spellEnd"/>
      <w:r w:rsidRPr="00AE13C7">
        <w:rPr>
          <w:rFonts w:ascii="Book Antiqua" w:eastAsia="Book Antiqua" w:hAnsi="Book Antiqua" w:cs="Book Antiqua"/>
          <w:color w:val="000000"/>
        </w:rPr>
        <w:t xml:space="preserve"> K, Crowley J, Rami-</w:t>
      </w:r>
      <w:proofErr w:type="spellStart"/>
      <w:r w:rsidRPr="00AE13C7">
        <w:rPr>
          <w:rFonts w:ascii="Book Antiqua" w:eastAsia="Book Antiqua" w:hAnsi="Book Antiqua" w:cs="Book Antiqua"/>
          <w:color w:val="000000"/>
        </w:rPr>
        <w:t>Porta</w:t>
      </w:r>
      <w:proofErr w:type="spellEnd"/>
      <w:r w:rsidRPr="00AE13C7">
        <w:rPr>
          <w:rFonts w:ascii="Book Antiqua" w:eastAsia="Book Antiqua" w:hAnsi="Book Antiqua" w:cs="Book Antiqua"/>
          <w:color w:val="000000"/>
        </w:rPr>
        <w:t xml:space="preserve"> R, </w:t>
      </w:r>
      <w:proofErr w:type="spellStart"/>
      <w:r w:rsidRPr="00AE13C7">
        <w:rPr>
          <w:rFonts w:ascii="Book Antiqua" w:eastAsia="Book Antiqua" w:hAnsi="Book Antiqua" w:cs="Book Antiqua"/>
          <w:color w:val="000000"/>
        </w:rPr>
        <w:t>Asamura</w:t>
      </w:r>
      <w:proofErr w:type="spellEnd"/>
      <w:r w:rsidRPr="00AE13C7">
        <w:rPr>
          <w:rFonts w:ascii="Book Antiqua" w:eastAsia="Book Antiqua" w:hAnsi="Book Antiqua" w:cs="Book Antiqua"/>
          <w:color w:val="000000"/>
        </w:rPr>
        <w:t xml:space="preserve"> H, </w:t>
      </w:r>
      <w:proofErr w:type="spellStart"/>
      <w:r w:rsidRPr="00AE13C7">
        <w:rPr>
          <w:rFonts w:ascii="Book Antiqua" w:eastAsia="Book Antiqua" w:hAnsi="Book Antiqua" w:cs="Book Antiqua"/>
          <w:color w:val="000000"/>
        </w:rPr>
        <w:t>Eberhardt</w:t>
      </w:r>
      <w:proofErr w:type="spellEnd"/>
      <w:r w:rsidRPr="00AE13C7">
        <w:rPr>
          <w:rFonts w:ascii="Book Antiqua" w:eastAsia="Book Antiqua" w:hAnsi="Book Antiqua" w:cs="Book Antiqua"/>
          <w:color w:val="000000"/>
        </w:rPr>
        <w:t xml:space="preserve"> WE, Nicholson AG, </w:t>
      </w:r>
      <w:proofErr w:type="spellStart"/>
      <w:r w:rsidRPr="00AE13C7">
        <w:rPr>
          <w:rFonts w:ascii="Book Antiqua" w:eastAsia="Book Antiqua" w:hAnsi="Book Antiqua" w:cs="Book Antiqua"/>
          <w:color w:val="000000"/>
        </w:rPr>
        <w:t>Groome</w:t>
      </w:r>
      <w:proofErr w:type="spellEnd"/>
      <w:r w:rsidRPr="00AE13C7">
        <w:rPr>
          <w:rFonts w:ascii="Book Antiqua" w:eastAsia="Book Antiqua" w:hAnsi="Book Antiqua" w:cs="Book Antiqua"/>
          <w:color w:val="000000"/>
        </w:rPr>
        <w:t xml:space="preserve"> P, Mitchell A, </w:t>
      </w:r>
      <w:proofErr w:type="spellStart"/>
      <w:r w:rsidRPr="00AE13C7">
        <w:rPr>
          <w:rFonts w:ascii="Book Antiqua" w:eastAsia="Book Antiqua" w:hAnsi="Book Antiqua" w:cs="Book Antiqua"/>
          <w:color w:val="000000"/>
        </w:rPr>
        <w:t>Bolejack</w:t>
      </w:r>
      <w:proofErr w:type="spellEnd"/>
      <w:r w:rsidRPr="00AE13C7">
        <w:rPr>
          <w:rFonts w:ascii="Book Antiqua" w:eastAsia="Book Antiqua" w:hAnsi="Book Antiqua" w:cs="Book Antiqua"/>
          <w:color w:val="000000"/>
        </w:rPr>
        <w:t xml:space="preserve"> V; International Association for the Study of Lung Cancer Staging and Prognostic Factors Committee, Advisory Boards, </w:t>
      </w:r>
      <w:r w:rsidRPr="00AE13C7">
        <w:rPr>
          <w:rFonts w:ascii="Book Antiqua" w:eastAsia="Book Antiqua" w:hAnsi="Book Antiqua" w:cs="Book Antiqua"/>
          <w:color w:val="000000"/>
        </w:rPr>
        <w:lastRenderedPageBreak/>
        <w:t xml:space="preserve">and Participating Institutions; International Association for the Study of Lung Cancer Staging and Prognostic Factors Committee Advisory Boards and Participating Institutions. The IASLC Lung Cancer Staging Project: Proposals for Revision of the TNM Stage Groupings in the Forthcoming (Eighth) Edition of the TNM Classification for Lung Cancer. </w:t>
      </w:r>
      <w:r w:rsidRPr="00AE13C7">
        <w:rPr>
          <w:rFonts w:ascii="Book Antiqua" w:eastAsia="Book Antiqua" w:hAnsi="Book Antiqua" w:cs="Book Antiqua"/>
          <w:i/>
          <w:iCs/>
          <w:color w:val="000000"/>
        </w:rPr>
        <w:t xml:space="preserve">J </w:t>
      </w:r>
      <w:proofErr w:type="spellStart"/>
      <w:r w:rsidRPr="00AE13C7">
        <w:rPr>
          <w:rFonts w:ascii="Book Antiqua" w:eastAsia="Book Antiqua" w:hAnsi="Book Antiqua" w:cs="Book Antiqua"/>
          <w:i/>
          <w:iCs/>
          <w:color w:val="000000"/>
        </w:rPr>
        <w:t>Thorac</w:t>
      </w:r>
      <w:proofErr w:type="spellEnd"/>
      <w:r w:rsidRPr="00AE13C7">
        <w:rPr>
          <w:rFonts w:ascii="Book Antiqua" w:eastAsia="Book Antiqua" w:hAnsi="Book Antiqua" w:cs="Book Antiqua"/>
          <w:i/>
          <w:iCs/>
          <w:color w:val="000000"/>
        </w:rPr>
        <w:t xml:space="preserve"> </w:t>
      </w:r>
      <w:proofErr w:type="spellStart"/>
      <w:r w:rsidRPr="00AE13C7">
        <w:rPr>
          <w:rFonts w:ascii="Book Antiqua" w:eastAsia="Book Antiqua" w:hAnsi="Book Antiqua" w:cs="Book Antiqua"/>
          <w:i/>
          <w:iCs/>
          <w:color w:val="000000"/>
        </w:rPr>
        <w:t>Oncol</w:t>
      </w:r>
      <w:proofErr w:type="spellEnd"/>
      <w:r w:rsidRPr="00AE13C7">
        <w:rPr>
          <w:rFonts w:ascii="Book Antiqua" w:eastAsia="Book Antiqua" w:hAnsi="Book Antiqua" w:cs="Book Antiqua"/>
          <w:color w:val="000000"/>
        </w:rPr>
        <w:t xml:space="preserve"> 2016; </w:t>
      </w:r>
      <w:r w:rsidRPr="00AE13C7">
        <w:rPr>
          <w:rFonts w:ascii="Book Antiqua" w:eastAsia="Book Antiqua" w:hAnsi="Book Antiqua" w:cs="Book Antiqua"/>
          <w:b/>
          <w:bCs/>
          <w:color w:val="000000"/>
        </w:rPr>
        <w:t>11</w:t>
      </w:r>
      <w:r w:rsidRPr="00AE13C7">
        <w:rPr>
          <w:rFonts w:ascii="Book Antiqua" w:eastAsia="Book Antiqua" w:hAnsi="Book Antiqua" w:cs="Book Antiqua"/>
          <w:color w:val="000000"/>
        </w:rPr>
        <w:t>: 39-51 [PMID: 26762738 DOI: 10.1016/j.jtho.2015.09.009]</w:t>
      </w:r>
    </w:p>
    <w:p w14:paraId="5A204DFB"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color w:val="000000"/>
        </w:rPr>
        <w:t xml:space="preserve">15 </w:t>
      </w:r>
      <w:proofErr w:type="spellStart"/>
      <w:r w:rsidRPr="00AE13C7">
        <w:rPr>
          <w:rFonts w:ascii="Book Antiqua" w:eastAsia="Book Antiqua" w:hAnsi="Book Antiqua" w:cs="Book Antiqua"/>
          <w:b/>
          <w:bCs/>
          <w:color w:val="000000"/>
        </w:rPr>
        <w:t>Lupi</w:t>
      </w:r>
      <w:proofErr w:type="spellEnd"/>
      <w:r w:rsidRPr="00AE13C7">
        <w:rPr>
          <w:rFonts w:ascii="Book Antiqua" w:eastAsia="Book Antiqua" w:hAnsi="Book Antiqua" w:cs="Book Antiqua"/>
          <w:b/>
          <w:bCs/>
          <w:color w:val="000000"/>
        </w:rPr>
        <w:t xml:space="preserve"> Herrera E</w:t>
      </w:r>
      <w:r w:rsidRPr="00AE13C7">
        <w:rPr>
          <w:rFonts w:ascii="Book Antiqua" w:eastAsia="Book Antiqua" w:hAnsi="Book Antiqua" w:cs="Book Antiqua"/>
          <w:color w:val="000000"/>
        </w:rPr>
        <w:t xml:space="preserve">, </w:t>
      </w:r>
      <w:proofErr w:type="spellStart"/>
      <w:r w:rsidRPr="00AE13C7">
        <w:rPr>
          <w:rFonts w:ascii="Book Antiqua" w:eastAsia="Book Antiqua" w:hAnsi="Book Antiqua" w:cs="Book Antiqua"/>
          <w:color w:val="000000"/>
        </w:rPr>
        <w:t>Horwitz</w:t>
      </w:r>
      <w:proofErr w:type="spellEnd"/>
      <w:r w:rsidRPr="00AE13C7">
        <w:rPr>
          <w:rFonts w:ascii="Book Antiqua" w:eastAsia="Book Antiqua" w:hAnsi="Book Antiqua" w:cs="Book Antiqua"/>
          <w:color w:val="000000"/>
        </w:rPr>
        <w:t xml:space="preserve"> S, Quintana F, </w:t>
      </w:r>
      <w:proofErr w:type="spellStart"/>
      <w:r w:rsidRPr="00AE13C7">
        <w:rPr>
          <w:rFonts w:ascii="Book Antiqua" w:eastAsia="Book Antiqua" w:hAnsi="Book Antiqua" w:cs="Book Antiqua"/>
          <w:color w:val="000000"/>
        </w:rPr>
        <w:t>Testelli</w:t>
      </w:r>
      <w:proofErr w:type="spellEnd"/>
      <w:r w:rsidRPr="00AE13C7">
        <w:rPr>
          <w:rFonts w:ascii="Book Antiqua" w:eastAsia="Book Antiqua" w:hAnsi="Book Antiqua" w:cs="Book Antiqua"/>
          <w:color w:val="000000"/>
        </w:rPr>
        <w:t xml:space="preserve"> M, </w:t>
      </w:r>
      <w:proofErr w:type="spellStart"/>
      <w:r w:rsidRPr="00AE13C7">
        <w:rPr>
          <w:rFonts w:ascii="Book Antiqua" w:eastAsia="Book Antiqua" w:hAnsi="Book Antiqua" w:cs="Book Antiqua"/>
          <w:color w:val="000000"/>
        </w:rPr>
        <w:t>Bialostozky</w:t>
      </w:r>
      <w:proofErr w:type="spellEnd"/>
      <w:r w:rsidRPr="00AE13C7">
        <w:rPr>
          <w:rFonts w:ascii="Book Antiqua" w:eastAsia="Book Antiqua" w:hAnsi="Book Antiqua" w:cs="Book Antiqua"/>
          <w:color w:val="000000"/>
        </w:rPr>
        <w:t xml:space="preserve"> D. [Radiology of </w:t>
      </w:r>
      <w:proofErr w:type="spellStart"/>
      <w:r w:rsidRPr="00AE13C7">
        <w:rPr>
          <w:rFonts w:ascii="Book Antiqua" w:eastAsia="Book Antiqua" w:hAnsi="Book Antiqua" w:cs="Book Antiqua"/>
          <w:color w:val="000000"/>
        </w:rPr>
        <w:t>Ebstein's</w:t>
      </w:r>
      <w:proofErr w:type="spellEnd"/>
      <w:r w:rsidRPr="00AE13C7">
        <w:rPr>
          <w:rFonts w:ascii="Book Antiqua" w:eastAsia="Book Antiqua" w:hAnsi="Book Antiqua" w:cs="Book Antiqua"/>
          <w:color w:val="000000"/>
        </w:rPr>
        <w:t xml:space="preserve"> anomaly. Report of new x-ray signs and review of the literature]. </w:t>
      </w:r>
      <w:r w:rsidRPr="00AE13C7">
        <w:rPr>
          <w:rFonts w:ascii="Book Antiqua" w:eastAsia="Book Antiqua" w:hAnsi="Book Antiqua" w:cs="Book Antiqua"/>
          <w:i/>
          <w:iCs/>
          <w:color w:val="000000"/>
        </w:rPr>
        <w:t xml:space="preserve">Arch </w:t>
      </w:r>
      <w:proofErr w:type="spellStart"/>
      <w:r w:rsidRPr="00AE13C7">
        <w:rPr>
          <w:rFonts w:ascii="Book Antiqua" w:eastAsia="Book Antiqua" w:hAnsi="Book Antiqua" w:cs="Book Antiqua"/>
          <w:i/>
          <w:iCs/>
          <w:color w:val="000000"/>
        </w:rPr>
        <w:t>Inst</w:t>
      </w:r>
      <w:proofErr w:type="spellEnd"/>
      <w:r w:rsidRPr="00AE13C7">
        <w:rPr>
          <w:rFonts w:ascii="Book Antiqua" w:eastAsia="Book Antiqua" w:hAnsi="Book Antiqua" w:cs="Book Antiqua"/>
          <w:i/>
          <w:iCs/>
          <w:color w:val="000000"/>
        </w:rPr>
        <w:t xml:space="preserve"> </w:t>
      </w:r>
      <w:proofErr w:type="spellStart"/>
      <w:r w:rsidRPr="00AE13C7">
        <w:rPr>
          <w:rFonts w:ascii="Book Antiqua" w:eastAsia="Book Antiqua" w:hAnsi="Book Antiqua" w:cs="Book Antiqua"/>
          <w:i/>
          <w:iCs/>
          <w:color w:val="000000"/>
        </w:rPr>
        <w:t>Cardiol</w:t>
      </w:r>
      <w:proofErr w:type="spellEnd"/>
      <w:r w:rsidRPr="00AE13C7">
        <w:rPr>
          <w:rFonts w:ascii="Book Antiqua" w:eastAsia="Book Antiqua" w:hAnsi="Book Antiqua" w:cs="Book Antiqua"/>
          <w:i/>
          <w:iCs/>
          <w:color w:val="000000"/>
        </w:rPr>
        <w:t xml:space="preserve"> </w:t>
      </w:r>
      <w:proofErr w:type="spellStart"/>
      <w:r w:rsidRPr="00AE13C7">
        <w:rPr>
          <w:rFonts w:ascii="Book Antiqua" w:eastAsia="Book Antiqua" w:hAnsi="Book Antiqua" w:cs="Book Antiqua"/>
          <w:i/>
          <w:iCs/>
          <w:color w:val="000000"/>
        </w:rPr>
        <w:t>Mex</w:t>
      </w:r>
      <w:proofErr w:type="spellEnd"/>
      <w:r w:rsidRPr="00AE13C7">
        <w:rPr>
          <w:rFonts w:ascii="Book Antiqua" w:eastAsia="Book Antiqua" w:hAnsi="Book Antiqua" w:cs="Book Antiqua"/>
          <w:color w:val="000000"/>
        </w:rPr>
        <w:t xml:space="preserve"> 1972; </w:t>
      </w:r>
      <w:r w:rsidRPr="00AE13C7">
        <w:rPr>
          <w:rFonts w:ascii="Book Antiqua" w:eastAsia="Book Antiqua" w:hAnsi="Book Antiqua" w:cs="Book Antiqua"/>
          <w:b/>
          <w:bCs/>
          <w:color w:val="000000"/>
        </w:rPr>
        <w:t>42</w:t>
      </w:r>
      <w:r w:rsidRPr="00AE13C7">
        <w:rPr>
          <w:rFonts w:ascii="Book Antiqua" w:eastAsia="Book Antiqua" w:hAnsi="Book Antiqua" w:cs="Book Antiqua"/>
          <w:color w:val="000000"/>
        </w:rPr>
        <w:t>: 861-874 [PMID: 4648022 DOI: 10.1016/S2213-2600(15)00029-6]</w:t>
      </w:r>
    </w:p>
    <w:p w14:paraId="245C7918"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color w:val="000000"/>
        </w:rPr>
        <w:t xml:space="preserve">16 </w:t>
      </w:r>
      <w:r w:rsidRPr="00AE13C7">
        <w:rPr>
          <w:rFonts w:ascii="Book Antiqua" w:eastAsia="Book Antiqua" w:hAnsi="Book Antiqua" w:cs="Book Antiqua"/>
          <w:b/>
          <w:bCs/>
          <w:color w:val="000000"/>
        </w:rPr>
        <w:t>Yang CJ</w:t>
      </w:r>
      <w:r w:rsidRPr="00AE13C7">
        <w:rPr>
          <w:rFonts w:ascii="Book Antiqua" w:eastAsia="Book Antiqua" w:hAnsi="Book Antiqua" w:cs="Book Antiqua"/>
          <w:color w:val="000000"/>
        </w:rPr>
        <w:t xml:space="preserve">, Wang H, Kumar A, Wang X, Hartwig MG, D'Amico TA, Berry MF. Impact of Timing of Lobectomy on Survival for Clinical Stage IA Lung Squamous Cell Carcinoma. </w:t>
      </w:r>
      <w:r w:rsidRPr="00AE13C7">
        <w:rPr>
          <w:rFonts w:ascii="Book Antiqua" w:eastAsia="Book Antiqua" w:hAnsi="Book Antiqua" w:cs="Book Antiqua"/>
          <w:i/>
          <w:iCs/>
          <w:color w:val="000000"/>
        </w:rPr>
        <w:t>Chest</w:t>
      </w:r>
      <w:r w:rsidRPr="00AE13C7">
        <w:rPr>
          <w:rFonts w:ascii="Book Antiqua" w:eastAsia="Book Antiqua" w:hAnsi="Book Antiqua" w:cs="Book Antiqua"/>
          <w:color w:val="000000"/>
        </w:rPr>
        <w:t xml:space="preserve"> 2017; </w:t>
      </w:r>
      <w:r w:rsidRPr="00AE13C7">
        <w:rPr>
          <w:rFonts w:ascii="Book Antiqua" w:eastAsia="Book Antiqua" w:hAnsi="Book Antiqua" w:cs="Book Antiqua"/>
          <w:b/>
          <w:bCs/>
          <w:color w:val="000000"/>
        </w:rPr>
        <w:t>152</w:t>
      </w:r>
      <w:r w:rsidRPr="00AE13C7">
        <w:rPr>
          <w:rFonts w:ascii="Book Antiqua" w:eastAsia="Book Antiqua" w:hAnsi="Book Antiqua" w:cs="Book Antiqua"/>
          <w:color w:val="000000"/>
        </w:rPr>
        <w:t>: 1239-1250 [PMID: 28800867 DOI: 10.1016/j.chest.2017.07.032]</w:t>
      </w:r>
    </w:p>
    <w:p w14:paraId="0A9E4698" w14:textId="22BE376F" w:rsidR="00A77B3E" w:rsidRPr="00AE13C7" w:rsidRDefault="00231511">
      <w:pPr>
        <w:spacing w:line="360" w:lineRule="auto"/>
        <w:jc w:val="both"/>
        <w:rPr>
          <w:rFonts w:ascii="Book Antiqua" w:hAnsi="Book Antiqua"/>
        </w:rPr>
      </w:pPr>
      <w:r w:rsidRPr="00AE13C7">
        <w:rPr>
          <w:rFonts w:ascii="Book Antiqua" w:eastAsia="Book Antiqua" w:hAnsi="Book Antiqua" w:cs="Book Antiqua"/>
          <w:color w:val="000000"/>
        </w:rPr>
        <w:t xml:space="preserve">17 </w:t>
      </w:r>
      <w:r w:rsidRPr="00AE13C7">
        <w:rPr>
          <w:rFonts w:ascii="Book Antiqua" w:eastAsia="Book Antiqua" w:hAnsi="Book Antiqua" w:cs="Book Antiqua"/>
          <w:b/>
          <w:bCs/>
          <w:color w:val="000000"/>
        </w:rPr>
        <w:t>Gomez DR</w:t>
      </w:r>
      <w:r w:rsidRPr="00D92C9F">
        <w:rPr>
          <w:rFonts w:ascii="Book Antiqua" w:eastAsia="Book Antiqua" w:hAnsi="Book Antiqua" w:cs="Book Antiqua"/>
          <w:bCs/>
          <w:color w:val="000000"/>
        </w:rPr>
        <w:t>,</w:t>
      </w:r>
      <w:r w:rsidRPr="00D92C9F">
        <w:rPr>
          <w:rFonts w:ascii="Book Antiqua" w:eastAsia="Book Antiqua" w:hAnsi="Book Antiqua" w:cs="Book Antiqua"/>
          <w:color w:val="000000"/>
        </w:rPr>
        <w:t xml:space="preserve"> </w:t>
      </w:r>
      <w:r w:rsidRPr="00AE13C7">
        <w:rPr>
          <w:rFonts w:ascii="Book Antiqua" w:eastAsia="Book Antiqua" w:hAnsi="Book Antiqua" w:cs="Book Antiqua"/>
          <w:color w:val="000000"/>
        </w:rPr>
        <w:t xml:space="preserve">Liao KP, Swisher SG, Blumenschein GR, Erasmus JJ Jr, Buchholz TA, Giordano SH, </w:t>
      </w:r>
      <w:proofErr w:type="gramStart"/>
      <w:r w:rsidRPr="00AE13C7">
        <w:rPr>
          <w:rFonts w:ascii="Book Antiqua" w:eastAsia="Book Antiqua" w:hAnsi="Book Antiqua" w:cs="Book Antiqua"/>
          <w:color w:val="000000"/>
        </w:rPr>
        <w:t>Smith</w:t>
      </w:r>
      <w:proofErr w:type="gramEnd"/>
      <w:r w:rsidRPr="00AE13C7">
        <w:rPr>
          <w:rFonts w:ascii="Book Antiqua" w:eastAsia="Book Antiqua" w:hAnsi="Book Antiqua" w:cs="Book Antiqua"/>
          <w:color w:val="000000"/>
        </w:rPr>
        <w:t xml:space="preserve"> BD. Time to treatment as a quality metric in lung cancer: Staging studies, time to treatment, and patient survival. </w:t>
      </w:r>
      <w:proofErr w:type="spellStart"/>
      <w:r w:rsidRPr="000B7E51">
        <w:rPr>
          <w:rFonts w:ascii="Book Antiqua" w:eastAsia="Book Antiqua" w:hAnsi="Book Antiqua" w:cs="Book Antiqua"/>
          <w:i/>
          <w:iCs/>
          <w:color w:val="000000"/>
        </w:rPr>
        <w:t>Radiother</w:t>
      </w:r>
      <w:proofErr w:type="spellEnd"/>
      <w:r w:rsidRPr="000B7E51">
        <w:rPr>
          <w:rFonts w:ascii="Book Antiqua" w:eastAsia="Book Antiqua" w:hAnsi="Book Antiqua" w:cs="Book Antiqua"/>
          <w:i/>
          <w:iCs/>
          <w:color w:val="000000"/>
        </w:rPr>
        <w:t xml:space="preserve"> </w:t>
      </w:r>
      <w:proofErr w:type="spellStart"/>
      <w:r w:rsidRPr="000B7E51">
        <w:rPr>
          <w:rFonts w:ascii="Book Antiqua" w:eastAsia="Book Antiqua" w:hAnsi="Book Antiqua" w:cs="Book Antiqua"/>
          <w:i/>
          <w:iCs/>
          <w:color w:val="000000"/>
        </w:rPr>
        <w:t>Oncol</w:t>
      </w:r>
      <w:proofErr w:type="spellEnd"/>
      <w:r w:rsidRPr="00AE13C7">
        <w:rPr>
          <w:rFonts w:ascii="Book Antiqua" w:eastAsia="Book Antiqua" w:hAnsi="Book Antiqua" w:cs="Book Antiqua"/>
          <w:color w:val="000000"/>
        </w:rPr>
        <w:t xml:space="preserve"> 2015; </w:t>
      </w:r>
      <w:r w:rsidRPr="00321F89">
        <w:rPr>
          <w:rFonts w:ascii="Book Antiqua" w:eastAsia="Book Antiqua" w:hAnsi="Book Antiqua" w:cs="Book Antiqua"/>
          <w:b/>
          <w:bCs/>
          <w:color w:val="000000"/>
        </w:rPr>
        <w:t>115</w:t>
      </w:r>
      <w:r w:rsidRPr="00AE13C7">
        <w:rPr>
          <w:rFonts w:ascii="Book Antiqua" w:eastAsia="Book Antiqua" w:hAnsi="Book Antiqua" w:cs="Book Antiqua"/>
          <w:color w:val="000000"/>
        </w:rPr>
        <w:t>: 257</w:t>
      </w:r>
      <w:r w:rsidR="000B7E51" w:rsidRPr="00AE13C7">
        <w:rPr>
          <w:rFonts w:ascii="Book Antiqua" w:eastAsia="Book Antiqua" w:hAnsi="Book Antiqua" w:cs="Book Antiqua"/>
          <w:color w:val="000000"/>
        </w:rPr>
        <w:t>-</w:t>
      </w:r>
      <w:r w:rsidRPr="00AE13C7">
        <w:rPr>
          <w:rFonts w:ascii="Book Antiqua" w:eastAsia="Book Antiqua" w:hAnsi="Book Antiqua" w:cs="Book Antiqua"/>
          <w:color w:val="000000"/>
        </w:rPr>
        <w:t xml:space="preserve">263 [PMID: </w:t>
      </w:r>
      <w:r w:rsidR="00B773AF" w:rsidRPr="00AE13C7">
        <w:rPr>
          <w:rFonts w:ascii="Book Antiqua" w:eastAsia="Book Antiqua" w:hAnsi="Book Antiqua" w:cs="Book Antiqua"/>
          <w:color w:val="000000"/>
        </w:rPr>
        <w:t xml:space="preserve">26013292 </w:t>
      </w:r>
      <w:r w:rsidRPr="00AE13C7">
        <w:rPr>
          <w:rFonts w:ascii="Book Antiqua" w:eastAsia="Book Antiqua" w:hAnsi="Book Antiqua" w:cs="Book Antiqua"/>
          <w:color w:val="000000"/>
        </w:rPr>
        <w:t>DOI: 10.1016/j.radonc.2015.04.01</w:t>
      </w:r>
      <w:r w:rsidR="00B773AF" w:rsidRPr="00AE13C7">
        <w:rPr>
          <w:rFonts w:ascii="Book Antiqua" w:eastAsia="Book Antiqua" w:hAnsi="Book Antiqua" w:cs="Book Antiqua"/>
          <w:color w:val="000000"/>
        </w:rPr>
        <w:t>0]</w:t>
      </w:r>
    </w:p>
    <w:p w14:paraId="7506E386" w14:textId="51FF34AC" w:rsidR="00A77B3E" w:rsidRPr="00AE13C7" w:rsidRDefault="00231511">
      <w:pPr>
        <w:spacing w:line="360" w:lineRule="auto"/>
        <w:jc w:val="both"/>
        <w:rPr>
          <w:rFonts w:ascii="Book Antiqua" w:hAnsi="Book Antiqua"/>
        </w:rPr>
      </w:pPr>
      <w:r w:rsidRPr="002D01C9">
        <w:rPr>
          <w:rFonts w:ascii="Book Antiqua" w:eastAsia="Book Antiqua" w:hAnsi="Book Antiqua" w:cs="Book Antiqua"/>
          <w:color w:val="000000"/>
        </w:rPr>
        <w:t xml:space="preserve">18 </w:t>
      </w:r>
      <w:r w:rsidRPr="002D01C9">
        <w:rPr>
          <w:rFonts w:ascii="Book Antiqua" w:eastAsia="Book Antiqua" w:hAnsi="Book Antiqua" w:cs="Book Antiqua"/>
          <w:b/>
          <w:bCs/>
          <w:color w:val="000000"/>
        </w:rPr>
        <w:t xml:space="preserve">The </w:t>
      </w:r>
      <w:proofErr w:type="spellStart"/>
      <w:r w:rsidRPr="002D01C9">
        <w:rPr>
          <w:rFonts w:ascii="Book Antiqua" w:eastAsia="Book Antiqua" w:hAnsi="Book Antiqua" w:cs="Book Antiqua"/>
          <w:b/>
          <w:bCs/>
          <w:color w:val="000000"/>
        </w:rPr>
        <w:t>Nordcan</w:t>
      </w:r>
      <w:proofErr w:type="spellEnd"/>
      <w:r w:rsidRPr="002D01C9">
        <w:rPr>
          <w:rFonts w:ascii="Book Antiqua" w:eastAsia="Book Antiqua" w:hAnsi="Book Antiqua" w:cs="Book Antiqua"/>
          <w:color w:val="000000"/>
        </w:rPr>
        <w:t xml:space="preserve">. The cancer statistics for the Nordic countries. </w:t>
      </w:r>
      <w:r w:rsidR="00E827EC" w:rsidRPr="002D01C9">
        <w:rPr>
          <w:rFonts w:ascii="Book Antiqua" w:eastAsia="Book Antiqua" w:hAnsi="Book Antiqua" w:cs="Book Antiqua"/>
          <w:color w:val="000000"/>
        </w:rPr>
        <w:t>[cited 25 February 2021].</w:t>
      </w:r>
      <w:r w:rsidR="0069457E" w:rsidRPr="002D01C9">
        <w:rPr>
          <w:rFonts w:ascii="Book Antiqua" w:eastAsia="Book Antiqua" w:hAnsi="Book Antiqua" w:cs="Book Antiqua"/>
          <w:color w:val="000000"/>
        </w:rPr>
        <w:t xml:space="preserve"> </w:t>
      </w:r>
      <w:r w:rsidR="00393419" w:rsidRPr="002D01C9">
        <w:rPr>
          <w:rFonts w:ascii="Book Antiqua" w:eastAsia="Book Antiqua" w:hAnsi="Book Antiqua" w:cs="Book Antiqua"/>
          <w:color w:val="000000"/>
        </w:rPr>
        <w:t xml:space="preserve">Available from: </w:t>
      </w:r>
      <w:r w:rsidRPr="002D01C9">
        <w:rPr>
          <w:rFonts w:ascii="Book Antiqua" w:eastAsia="Book Antiqua" w:hAnsi="Book Antiqua" w:cs="Book Antiqua"/>
          <w:color w:val="000000"/>
        </w:rPr>
        <w:t>https://www-dep.iarc.fr/NORDCAN/English/frame.asp</w:t>
      </w:r>
    </w:p>
    <w:p w14:paraId="24536F43"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color w:val="000000"/>
        </w:rPr>
        <w:t xml:space="preserve">19 </w:t>
      </w:r>
      <w:proofErr w:type="spellStart"/>
      <w:r w:rsidRPr="00AE13C7">
        <w:rPr>
          <w:rFonts w:ascii="Book Antiqua" w:eastAsia="Book Antiqua" w:hAnsi="Book Antiqua" w:cs="Book Antiqua"/>
          <w:b/>
          <w:bCs/>
          <w:color w:val="000000"/>
        </w:rPr>
        <w:t>Perales</w:t>
      </w:r>
      <w:proofErr w:type="spellEnd"/>
      <w:r w:rsidRPr="00AE13C7">
        <w:rPr>
          <w:rFonts w:ascii="Book Antiqua" w:eastAsia="Book Antiqua" w:hAnsi="Book Antiqua" w:cs="Book Antiqua"/>
          <w:b/>
          <w:bCs/>
          <w:color w:val="000000"/>
        </w:rPr>
        <w:t xml:space="preserve"> Palacios I</w:t>
      </w:r>
      <w:r w:rsidRPr="00AE13C7">
        <w:rPr>
          <w:rFonts w:ascii="Book Antiqua" w:eastAsia="Book Antiqua" w:hAnsi="Book Antiqua" w:cs="Book Antiqua"/>
          <w:color w:val="000000"/>
        </w:rPr>
        <w:t xml:space="preserve">, </w:t>
      </w:r>
      <w:proofErr w:type="spellStart"/>
      <w:r w:rsidRPr="00AE13C7">
        <w:rPr>
          <w:rFonts w:ascii="Book Antiqua" w:eastAsia="Book Antiqua" w:hAnsi="Book Antiqua" w:cs="Book Antiqua"/>
          <w:color w:val="000000"/>
        </w:rPr>
        <w:t>García</w:t>
      </w:r>
      <w:proofErr w:type="spellEnd"/>
      <w:r w:rsidRPr="00AE13C7">
        <w:rPr>
          <w:rFonts w:ascii="Book Antiqua" w:eastAsia="Book Antiqua" w:hAnsi="Book Antiqua" w:cs="Book Antiqua"/>
          <w:color w:val="000000"/>
        </w:rPr>
        <w:t xml:space="preserve"> Campos F, </w:t>
      </w:r>
      <w:proofErr w:type="spellStart"/>
      <w:r w:rsidRPr="00AE13C7">
        <w:rPr>
          <w:rFonts w:ascii="Book Antiqua" w:eastAsia="Book Antiqua" w:hAnsi="Book Antiqua" w:cs="Book Antiqua"/>
          <w:color w:val="000000"/>
        </w:rPr>
        <w:t>Michaus</w:t>
      </w:r>
      <w:proofErr w:type="spellEnd"/>
      <w:r w:rsidRPr="00AE13C7">
        <w:rPr>
          <w:rFonts w:ascii="Book Antiqua" w:eastAsia="Book Antiqua" w:hAnsi="Book Antiqua" w:cs="Book Antiqua"/>
          <w:color w:val="000000"/>
        </w:rPr>
        <w:t xml:space="preserve"> </w:t>
      </w:r>
      <w:proofErr w:type="spellStart"/>
      <w:r w:rsidRPr="00AE13C7">
        <w:rPr>
          <w:rFonts w:ascii="Book Antiqua" w:eastAsia="Book Antiqua" w:hAnsi="Book Antiqua" w:cs="Book Antiqua"/>
          <w:color w:val="000000"/>
        </w:rPr>
        <w:t>Oquiñena</w:t>
      </w:r>
      <w:proofErr w:type="spellEnd"/>
      <w:r w:rsidRPr="00AE13C7">
        <w:rPr>
          <w:rFonts w:ascii="Book Antiqua" w:eastAsia="Book Antiqua" w:hAnsi="Book Antiqua" w:cs="Book Antiqua"/>
          <w:color w:val="000000"/>
        </w:rPr>
        <w:t xml:space="preserve"> L, Blanco </w:t>
      </w:r>
      <w:proofErr w:type="spellStart"/>
      <w:r w:rsidRPr="00AE13C7">
        <w:rPr>
          <w:rFonts w:ascii="Book Antiqua" w:eastAsia="Book Antiqua" w:hAnsi="Book Antiqua" w:cs="Book Antiqua"/>
          <w:color w:val="000000"/>
        </w:rPr>
        <w:t>Guzmán</w:t>
      </w:r>
      <w:proofErr w:type="spellEnd"/>
      <w:r w:rsidRPr="00AE13C7">
        <w:rPr>
          <w:rFonts w:ascii="Book Antiqua" w:eastAsia="Book Antiqua" w:hAnsi="Book Antiqua" w:cs="Book Antiqua"/>
          <w:color w:val="000000"/>
        </w:rPr>
        <w:t xml:space="preserve"> S, </w:t>
      </w:r>
      <w:proofErr w:type="spellStart"/>
      <w:r w:rsidRPr="00AE13C7">
        <w:rPr>
          <w:rFonts w:ascii="Book Antiqua" w:eastAsia="Book Antiqua" w:hAnsi="Book Antiqua" w:cs="Book Antiqua"/>
          <w:color w:val="000000"/>
        </w:rPr>
        <w:t>Lantero</w:t>
      </w:r>
      <w:proofErr w:type="spellEnd"/>
      <w:r w:rsidRPr="00AE13C7">
        <w:rPr>
          <w:rFonts w:ascii="Book Antiqua" w:eastAsia="Book Antiqua" w:hAnsi="Book Antiqua" w:cs="Book Antiqua"/>
          <w:color w:val="000000"/>
        </w:rPr>
        <w:t xml:space="preserve"> </w:t>
      </w:r>
      <w:proofErr w:type="spellStart"/>
      <w:r w:rsidRPr="00AE13C7">
        <w:rPr>
          <w:rFonts w:ascii="Book Antiqua" w:eastAsia="Book Antiqua" w:hAnsi="Book Antiqua" w:cs="Book Antiqua"/>
          <w:color w:val="000000"/>
        </w:rPr>
        <w:t>Benedito</w:t>
      </w:r>
      <w:proofErr w:type="spellEnd"/>
      <w:r w:rsidRPr="00AE13C7">
        <w:rPr>
          <w:rFonts w:ascii="Book Antiqua" w:eastAsia="Book Antiqua" w:hAnsi="Book Antiqua" w:cs="Book Antiqua"/>
          <w:color w:val="000000"/>
        </w:rPr>
        <w:t xml:space="preserve"> M. [Isolation of </w:t>
      </w:r>
      <w:proofErr w:type="spellStart"/>
      <w:r w:rsidRPr="00AE13C7">
        <w:rPr>
          <w:rFonts w:ascii="Book Antiqua" w:eastAsia="Book Antiqua" w:hAnsi="Book Antiqua" w:cs="Book Antiqua"/>
          <w:color w:val="000000"/>
        </w:rPr>
        <w:t>Plesiomonas</w:t>
      </w:r>
      <w:proofErr w:type="spellEnd"/>
      <w:r w:rsidRPr="00AE13C7">
        <w:rPr>
          <w:rFonts w:ascii="Book Antiqua" w:eastAsia="Book Antiqua" w:hAnsi="Book Antiqua" w:cs="Book Antiqua"/>
          <w:color w:val="000000"/>
        </w:rPr>
        <w:t xml:space="preserve"> </w:t>
      </w:r>
      <w:proofErr w:type="spellStart"/>
      <w:r w:rsidRPr="00AE13C7">
        <w:rPr>
          <w:rFonts w:ascii="Book Antiqua" w:eastAsia="Book Antiqua" w:hAnsi="Book Antiqua" w:cs="Book Antiqua"/>
          <w:color w:val="000000"/>
        </w:rPr>
        <w:t>shigelloides</w:t>
      </w:r>
      <w:proofErr w:type="spellEnd"/>
      <w:r w:rsidRPr="00AE13C7">
        <w:rPr>
          <w:rFonts w:ascii="Book Antiqua" w:eastAsia="Book Antiqua" w:hAnsi="Book Antiqua" w:cs="Book Antiqua"/>
          <w:color w:val="000000"/>
        </w:rPr>
        <w:t xml:space="preserve"> in a case of gastroenteritis]. </w:t>
      </w:r>
      <w:r w:rsidRPr="00AE13C7">
        <w:rPr>
          <w:rFonts w:ascii="Book Antiqua" w:eastAsia="Book Antiqua" w:hAnsi="Book Antiqua" w:cs="Book Antiqua"/>
          <w:i/>
          <w:iCs/>
          <w:color w:val="000000"/>
        </w:rPr>
        <w:t xml:space="preserve">Rev </w:t>
      </w:r>
      <w:proofErr w:type="spellStart"/>
      <w:r w:rsidRPr="00AE13C7">
        <w:rPr>
          <w:rFonts w:ascii="Book Antiqua" w:eastAsia="Book Antiqua" w:hAnsi="Book Antiqua" w:cs="Book Antiqua"/>
          <w:i/>
          <w:iCs/>
          <w:color w:val="000000"/>
        </w:rPr>
        <w:t>Clin</w:t>
      </w:r>
      <w:proofErr w:type="spellEnd"/>
      <w:r w:rsidRPr="00AE13C7">
        <w:rPr>
          <w:rFonts w:ascii="Book Antiqua" w:eastAsia="Book Antiqua" w:hAnsi="Book Antiqua" w:cs="Book Antiqua"/>
          <w:i/>
          <w:iCs/>
          <w:color w:val="000000"/>
        </w:rPr>
        <w:t xml:space="preserve"> </w:t>
      </w:r>
      <w:proofErr w:type="spellStart"/>
      <w:r w:rsidRPr="00AE13C7">
        <w:rPr>
          <w:rFonts w:ascii="Book Antiqua" w:eastAsia="Book Antiqua" w:hAnsi="Book Antiqua" w:cs="Book Antiqua"/>
          <w:i/>
          <w:iCs/>
          <w:color w:val="000000"/>
        </w:rPr>
        <w:t>Esp</w:t>
      </w:r>
      <w:proofErr w:type="spellEnd"/>
      <w:r w:rsidRPr="00AE13C7">
        <w:rPr>
          <w:rFonts w:ascii="Book Antiqua" w:eastAsia="Book Antiqua" w:hAnsi="Book Antiqua" w:cs="Book Antiqua"/>
          <w:color w:val="000000"/>
        </w:rPr>
        <w:t xml:space="preserve"> 1983; </w:t>
      </w:r>
      <w:r w:rsidRPr="00AE13C7">
        <w:rPr>
          <w:rFonts w:ascii="Book Antiqua" w:eastAsia="Book Antiqua" w:hAnsi="Book Antiqua" w:cs="Book Antiqua"/>
          <w:b/>
          <w:bCs/>
          <w:color w:val="000000"/>
        </w:rPr>
        <w:t>171</w:t>
      </w:r>
      <w:r w:rsidRPr="00AE13C7">
        <w:rPr>
          <w:rFonts w:ascii="Book Antiqua" w:eastAsia="Book Antiqua" w:hAnsi="Book Antiqua" w:cs="Book Antiqua"/>
          <w:color w:val="000000"/>
        </w:rPr>
        <w:t>: 115-117 [PMID: 6658089 DOI: 10.1038/s41571-018-0002-6]</w:t>
      </w:r>
    </w:p>
    <w:p w14:paraId="2FE02041" w14:textId="37832BCD" w:rsidR="00A77B3E" w:rsidRPr="00AE13C7" w:rsidRDefault="00231511">
      <w:pPr>
        <w:spacing w:line="360" w:lineRule="auto"/>
        <w:jc w:val="both"/>
        <w:rPr>
          <w:rFonts w:ascii="Book Antiqua" w:hAnsi="Book Antiqua"/>
        </w:rPr>
      </w:pPr>
      <w:proofErr w:type="gramStart"/>
      <w:r w:rsidRPr="002D01C9">
        <w:rPr>
          <w:rFonts w:ascii="Book Antiqua" w:eastAsia="Book Antiqua" w:hAnsi="Book Antiqua" w:cs="Book Antiqua"/>
          <w:color w:val="000000"/>
        </w:rPr>
        <w:t>20</w:t>
      </w:r>
      <w:r w:rsidRPr="002D01C9">
        <w:rPr>
          <w:rFonts w:ascii="Book Antiqua" w:eastAsia="Book Antiqua" w:hAnsi="Book Antiqua" w:cs="Book Antiqua"/>
          <w:b/>
          <w:bCs/>
          <w:color w:val="000000"/>
        </w:rPr>
        <w:t xml:space="preserve"> NCCN Guidelines</w:t>
      </w:r>
      <w:r w:rsidRPr="002D01C9">
        <w:rPr>
          <w:rFonts w:ascii="Book Antiqua" w:eastAsia="Book Antiqua" w:hAnsi="Book Antiqua" w:cs="Book Antiqua"/>
          <w:bCs/>
          <w:color w:val="000000"/>
        </w:rPr>
        <w:t>.</w:t>
      </w:r>
      <w:proofErr w:type="gramEnd"/>
      <w:r w:rsidRPr="002D01C9">
        <w:rPr>
          <w:rFonts w:ascii="Book Antiqua" w:eastAsia="Book Antiqua" w:hAnsi="Book Antiqua" w:cs="Book Antiqua"/>
          <w:color w:val="000000"/>
        </w:rPr>
        <w:t xml:space="preserve"> </w:t>
      </w:r>
      <w:r w:rsidR="00D57C2F" w:rsidRPr="002D01C9">
        <w:rPr>
          <w:rFonts w:ascii="Book Antiqua" w:eastAsia="Book Antiqua" w:hAnsi="Book Antiqua" w:cs="Book Antiqua"/>
          <w:color w:val="000000"/>
        </w:rPr>
        <w:t>[cited 25 February 2021].</w:t>
      </w:r>
      <w:r w:rsidR="00316E65" w:rsidRPr="002D01C9">
        <w:rPr>
          <w:rFonts w:ascii="Book Antiqua" w:eastAsia="Book Antiqua" w:hAnsi="Book Antiqua" w:cs="Book Antiqua"/>
          <w:color w:val="000000"/>
        </w:rPr>
        <w:t xml:space="preserve"> </w:t>
      </w:r>
      <w:r w:rsidR="00750612" w:rsidRPr="002D01C9">
        <w:rPr>
          <w:rFonts w:ascii="Book Antiqua" w:eastAsia="Book Antiqua" w:hAnsi="Book Antiqua" w:cs="Book Antiqua"/>
          <w:color w:val="000000"/>
        </w:rPr>
        <w:t xml:space="preserve">Available from: </w:t>
      </w:r>
      <w:r w:rsidRPr="002D01C9">
        <w:rPr>
          <w:rFonts w:ascii="Book Antiqua" w:eastAsia="Book Antiqua" w:hAnsi="Book Antiqua" w:cs="Book Antiqua"/>
          <w:color w:val="000000"/>
        </w:rPr>
        <w:t>https://www.nccn.org/professionals/physician_gls</w:t>
      </w:r>
    </w:p>
    <w:p w14:paraId="444218F5"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color w:val="000000"/>
        </w:rPr>
        <w:t xml:space="preserve">21 </w:t>
      </w:r>
      <w:r w:rsidRPr="00AE13C7">
        <w:rPr>
          <w:rFonts w:ascii="Book Antiqua" w:eastAsia="Book Antiqua" w:hAnsi="Book Antiqua" w:cs="Book Antiqua"/>
          <w:b/>
          <w:bCs/>
          <w:color w:val="000000"/>
        </w:rPr>
        <w:t>Keeling P</w:t>
      </w:r>
      <w:r w:rsidRPr="00AE13C7">
        <w:rPr>
          <w:rFonts w:ascii="Book Antiqua" w:eastAsia="Book Antiqua" w:hAnsi="Book Antiqua" w:cs="Book Antiqua"/>
          <w:color w:val="000000"/>
        </w:rPr>
        <w:t xml:space="preserve">, Clark J, Finucane S. Challenges in the clinical implementation of precision medicine companion diagnostics. </w:t>
      </w:r>
      <w:r w:rsidRPr="00AE13C7">
        <w:rPr>
          <w:rFonts w:ascii="Book Antiqua" w:eastAsia="Book Antiqua" w:hAnsi="Book Antiqua" w:cs="Book Antiqua"/>
          <w:i/>
          <w:iCs/>
          <w:color w:val="000000"/>
        </w:rPr>
        <w:t>Expert Rev Mol Diagn</w:t>
      </w:r>
      <w:r w:rsidRPr="00AE13C7">
        <w:rPr>
          <w:rFonts w:ascii="Book Antiqua" w:eastAsia="Book Antiqua" w:hAnsi="Book Antiqua" w:cs="Book Antiqua"/>
          <w:color w:val="000000"/>
        </w:rPr>
        <w:t xml:space="preserve"> 2020; </w:t>
      </w:r>
      <w:r w:rsidRPr="00AE13C7">
        <w:rPr>
          <w:rFonts w:ascii="Book Antiqua" w:eastAsia="Book Antiqua" w:hAnsi="Book Antiqua" w:cs="Book Antiqua"/>
          <w:b/>
          <w:bCs/>
          <w:color w:val="000000"/>
        </w:rPr>
        <w:t>20</w:t>
      </w:r>
      <w:r w:rsidRPr="00AE13C7">
        <w:rPr>
          <w:rFonts w:ascii="Book Antiqua" w:eastAsia="Book Antiqua" w:hAnsi="Book Antiqua" w:cs="Book Antiqua"/>
          <w:color w:val="000000"/>
        </w:rPr>
        <w:t>: 593-599 [PMID: 32336167 DOI: 10.1080/14737159.2020.1757436]</w:t>
      </w:r>
    </w:p>
    <w:p w14:paraId="36C44373"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color w:val="000000"/>
        </w:rPr>
        <w:t xml:space="preserve">22 </w:t>
      </w:r>
      <w:r w:rsidRPr="00AE13C7">
        <w:rPr>
          <w:rFonts w:ascii="Book Antiqua" w:eastAsia="Book Antiqua" w:hAnsi="Book Antiqua" w:cs="Book Antiqua"/>
          <w:b/>
          <w:bCs/>
          <w:color w:val="000000"/>
        </w:rPr>
        <w:t>Lim SD</w:t>
      </w:r>
      <w:r w:rsidRPr="00AE13C7">
        <w:rPr>
          <w:rFonts w:ascii="Book Antiqua" w:eastAsia="Book Antiqua" w:hAnsi="Book Antiqua" w:cs="Book Antiqua"/>
          <w:color w:val="000000"/>
        </w:rPr>
        <w:t xml:space="preserve">, Woo CS, </w:t>
      </w:r>
      <w:proofErr w:type="spellStart"/>
      <w:r w:rsidRPr="00AE13C7">
        <w:rPr>
          <w:rFonts w:ascii="Book Antiqua" w:eastAsia="Book Antiqua" w:hAnsi="Book Antiqua" w:cs="Book Antiqua"/>
          <w:color w:val="000000"/>
        </w:rPr>
        <w:t>Youn</w:t>
      </w:r>
      <w:proofErr w:type="spellEnd"/>
      <w:r w:rsidRPr="00AE13C7">
        <w:rPr>
          <w:rFonts w:ascii="Book Antiqua" w:eastAsia="Book Antiqua" w:hAnsi="Book Antiqua" w:cs="Book Antiqua"/>
          <w:color w:val="000000"/>
        </w:rPr>
        <w:t xml:space="preserve"> JI, Kim YW, Kim DI, </w:t>
      </w:r>
      <w:proofErr w:type="spellStart"/>
      <w:r w:rsidRPr="00AE13C7">
        <w:rPr>
          <w:rFonts w:ascii="Book Antiqua" w:eastAsia="Book Antiqua" w:hAnsi="Book Antiqua" w:cs="Book Antiqua"/>
          <w:color w:val="000000"/>
        </w:rPr>
        <w:t>Fusaro</w:t>
      </w:r>
      <w:proofErr w:type="spellEnd"/>
      <w:r w:rsidRPr="00AE13C7">
        <w:rPr>
          <w:rFonts w:ascii="Book Antiqua" w:eastAsia="Book Antiqua" w:hAnsi="Book Antiqua" w:cs="Book Antiqua"/>
          <w:color w:val="000000"/>
        </w:rPr>
        <w:t xml:space="preserve"> RM. Leprosy. XII. T-cell subsets in lepromatous leprosy. </w:t>
      </w:r>
      <w:r w:rsidRPr="00AE13C7">
        <w:rPr>
          <w:rFonts w:ascii="Book Antiqua" w:eastAsia="Book Antiqua" w:hAnsi="Book Antiqua" w:cs="Book Antiqua"/>
          <w:i/>
          <w:iCs/>
          <w:color w:val="000000"/>
        </w:rPr>
        <w:t>Int J Dermatol</w:t>
      </w:r>
      <w:r w:rsidRPr="00AE13C7">
        <w:rPr>
          <w:rFonts w:ascii="Book Antiqua" w:eastAsia="Book Antiqua" w:hAnsi="Book Antiqua" w:cs="Book Antiqua"/>
          <w:color w:val="000000"/>
        </w:rPr>
        <w:t xml:space="preserve"> 1982; </w:t>
      </w:r>
      <w:r w:rsidRPr="00AE13C7">
        <w:rPr>
          <w:rFonts w:ascii="Book Antiqua" w:eastAsia="Book Antiqua" w:hAnsi="Book Antiqua" w:cs="Book Antiqua"/>
          <w:b/>
          <w:bCs/>
          <w:color w:val="000000"/>
        </w:rPr>
        <w:t>21</w:t>
      </w:r>
      <w:r w:rsidRPr="00AE13C7">
        <w:rPr>
          <w:rFonts w:ascii="Book Antiqua" w:eastAsia="Book Antiqua" w:hAnsi="Book Antiqua" w:cs="Book Antiqua"/>
          <w:color w:val="000000"/>
        </w:rPr>
        <w:t>: 458-464 [PMID: 6983504 DOI: 10.1111/bcp.14130]</w:t>
      </w:r>
    </w:p>
    <w:p w14:paraId="225C6174"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color w:val="000000"/>
        </w:rPr>
        <w:lastRenderedPageBreak/>
        <w:t xml:space="preserve">23 </w:t>
      </w:r>
      <w:proofErr w:type="spellStart"/>
      <w:r w:rsidRPr="00AE13C7">
        <w:rPr>
          <w:rFonts w:ascii="Book Antiqua" w:eastAsia="Book Antiqua" w:hAnsi="Book Antiqua" w:cs="Book Antiqua"/>
          <w:b/>
          <w:bCs/>
          <w:color w:val="000000"/>
        </w:rPr>
        <w:t>Theissen</w:t>
      </w:r>
      <w:proofErr w:type="spellEnd"/>
      <w:r w:rsidRPr="00AE13C7">
        <w:rPr>
          <w:rFonts w:ascii="Book Antiqua" w:eastAsia="Book Antiqua" w:hAnsi="Book Antiqua" w:cs="Book Antiqua"/>
          <w:b/>
          <w:bCs/>
          <w:color w:val="000000"/>
        </w:rPr>
        <w:t xml:space="preserve"> JL</w:t>
      </w:r>
      <w:r w:rsidRPr="00AE13C7">
        <w:rPr>
          <w:rFonts w:ascii="Book Antiqua" w:eastAsia="Book Antiqua" w:hAnsi="Book Antiqua" w:cs="Book Antiqua"/>
          <w:color w:val="000000"/>
        </w:rPr>
        <w:t xml:space="preserve">, Zahn P, </w:t>
      </w:r>
      <w:proofErr w:type="spellStart"/>
      <w:r w:rsidRPr="00AE13C7">
        <w:rPr>
          <w:rFonts w:ascii="Book Antiqua" w:eastAsia="Book Antiqua" w:hAnsi="Book Antiqua" w:cs="Book Antiqua"/>
          <w:color w:val="000000"/>
        </w:rPr>
        <w:t>Theissen</w:t>
      </w:r>
      <w:proofErr w:type="spellEnd"/>
      <w:r w:rsidRPr="00AE13C7">
        <w:rPr>
          <w:rFonts w:ascii="Book Antiqua" w:eastAsia="Book Antiqua" w:hAnsi="Book Antiqua" w:cs="Book Antiqua"/>
          <w:color w:val="000000"/>
        </w:rPr>
        <w:t xml:space="preserve"> U, </w:t>
      </w:r>
      <w:proofErr w:type="spellStart"/>
      <w:r w:rsidRPr="00AE13C7">
        <w:rPr>
          <w:rFonts w:ascii="Book Antiqua" w:eastAsia="Book Antiqua" w:hAnsi="Book Antiqua" w:cs="Book Antiqua"/>
          <w:color w:val="000000"/>
        </w:rPr>
        <w:t>Brehler</w:t>
      </w:r>
      <w:proofErr w:type="spellEnd"/>
      <w:r w:rsidRPr="00AE13C7">
        <w:rPr>
          <w:rFonts w:ascii="Book Antiqua" w:eastAsia="Book Antiqua" w:hAnsi="Book Antiqua" w:cs="Book Antiqua"/>
          <w:color w:val="000000"/>
        </w:rPr>
        <w:t xml:space="preserve"> R. [Allergic and pseudo-allergic reactions in anesthesia. II: Symptoms, diagnosis, therapy, prevention]. </w:t>
      </w:r>
      <w:proofErr w:type="spellStart"/>
      <w:r w:rsidRPr="00AE13C7">
        <w:rPr>
          <w:rFonts w:ascii="Book Antiqua" w:eastAsia="Book Antiqua" w:hAnsi="Book Antiqua" w:cs="Book Antiqua"/>
          <w:i/>
          <w:iCs/>
          <w:color w:val="000000"/>
        </w:rPr>
        <w:t>Anasthesiol</w:t>
      </w:r>
      <w:proofErr w:type="spellEnd"/>
      <w:r w:rsidRPr="00AE13C7">
        <w:rPr>
          <w:rFonts w:ascii="Book Antiqua" w:eastAsia="Book Antiqua" w:hAnsi="Book Antiqua" w:cs="Book Antiqua"/>
          <w:i/>
          <w:iCs/>
          <w:color w:val="000000"/>
        </w:rPr>
        <w:t xml:space="preserve"> </w:t>
      </w:r>
      <w:proofErr w:type="spellStart"/>
      <w:r w:rsidRPr="00AE13C7">
        <w:rPr>
          <w:rFonts w:ascii="Book Antiqua" w:eastAsia="Book Antiqua" w:hAnsi="Book Antiqua" w:cs="Book Antiqua"/>
          <w:i/>
          <w:iCs/>
          <w:color w:val="000000"/>
        </w:rPr>
        <w:t>Intensivmed</w:t>
      </w:r>
      <w:proofErr w:type="spellEnd"/>
      <w:r w:rsidRPr="00AE13C7">
        <w:rPr>
          <w:rFonts w:ascii="Book Antiqua" w:eastAsia="Book Antiqua" w:hAnsi="Book Antiqua" w:cs="Book Antiqua"/>
          <w:i/>
          <w:iCs/>
          <w:color w:val="000000"/>
        </w:rPr>
        <w:t xml:space="preserve"> </w:t>
      </w:r>
      <w:proofErr w:type="spellStart"/>
      <w:r w:rsidRPr="00AE13C7">
        <w:rPr>
          <w:rFonts w:ascii="Book Antiqua" w:eastAsia="Book Antiqua" w:hAnsi="Book Antiqua" w:cs="Book Antiqua"/>
          <w:i/>
          <w:iCs/>
          <w:color w:val="000000"/>
        </w:rPr>
        <w:t>Notfallmed</w:t>
      </w:r>
      <w:proofErr w:type="spellEnd"/>
      <w:r w:rsidRPr="00AE13C7">
        <w:rPr>
          <w:rFonts w:ascii="Book Antiqua" w:eastAsia="Book Antiqua" w:hAnsi="Book Antiqua" w:cs="Book Antiqua"/>
          <w:i/>
          <w:iCs/>
          <w:color w:val="000000"/>
        </w:rPr>
        <w:t xml:space="preserve"> </w:t>
      </w:r>
      <w:proofErr w:type="spellStart"/>
      <w:r w:rsidRPr="00AE13C7">
        <w:rPr>
          <w:rFonts w:ascii="Book Antiqua" w:eastAsia="Book Antiqua" w:hAnsi="Book Antiqua" w:cs="Book Antiqua"/>
          <w:i/>
          <w:iCs/>
          <w:color w:val="000000"/>
        </w:rPr>
        <w:t>Schmerzther</w:t>
      </w:r>
      <w:proofErr w:type="spellEnd"/>
      <w:r w:rsidRPr="00AE13C7">
        <w:rPr>
          <w:rFonts w:ascii="Book Antiqua" w:eastAsia="Book Antiqua" w:hAnsi="Book Antiqua" w:cs="Book Antiqua"/>
          <w:color w:val="000000"/>
        </w:rPr>
        <w:t xml:space="preserve"> 1995; </w:t>
      </w:r>
      <w:r w:rsidRPr="00AE13C7">
        <w:rPr>
          <w:rFonts w:ascii="Book Antiqua" w:eastAsia="Book Antiqua" w:hAnsi="Book Antiqua" w:cs="Book Antiqua"/>
          <w:b/>
          <w:bCs/>
          <w:color w:val="000000"/>
        </w:rPr>
        <w:t>30</w:t>
      </w:r>
      <w:r w:rsidRPr="00AE13C7">
        <w:rPr>
          <w:rFonts w:ascii="Book Antiqua" w:eastAsia="Book Antiqua" w:hAnsi="Book Antiqua" w:cs="Book Antiqua"/>
          <w:color w:val="000000"/>
        </w:rPr>
        <w:t>: 71-76 [PMID: 7772660 DOI: 10.1111/1468-0009.12476]</w:t>
      </w:r>
    </w:p>
    <w:bookmarkEnd w:id="5"/>
    <w:p w14:paraId="4D136E57" w14:textId="77777777" w:rsidR="00A77B3E" w:rsidRPr="00AE13C7" w:rsidRDefault="00A77B3E">
      <w:pPr>
        <w:spacing w:line="360" w:lineRule="auto"/>
        <w:jc w:val="both"/>
        <w:rPr>
          <w:rFonts w:ascii="Book Antiqua" w:hAnsi="Book Antiqua"/>
        </w:rPr>
        <w:sectPr w:rsidR="00A77B3E" w:rsidRPr="00AE13C7">
          <w:pgSz w:w="12240" w:h="15840"/>
          <w:pgMar w:top="1440" w:right="1440" w:bottom="1440" w:left="1440" w:header="720" w:footer="720" w:gutter="0"/>
          <w:cols w:space="720"/>
          <w:docGrid w:linePitch="360"/>
        </w:sectPr>
      </w:pPr>
    </w:p>
    <w:p w14:paraId="7D7CD937"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b/>
          <w:color w:val="000000"/>
        </w:rPr>
        <w:lastRenderedPageBreak/>
        <w:t>Footnotes</w:t>
      </w:r>
    </w:p>
    <w:p w14:paraId="39A61C79" w14:textId="0C72D4A7" w:rsidR="00A77B3E" w:rsidRPr="00AE13C7" w:rsidRDefault="00231511">
      <w:pPr>
        <w:spacing w:line="360" w:lineRule="auto"/>
        <w:jc w:val="both"/>
        <w:rPr>
          <w:rFonts w:ascii="Book Antiqua" w:hAnsi="Book Antiqua"/>
        </w:rPr>
      </w:pPr>
      <w:r w:rsidRPr="00AE13C7">
        <w:rPr>
          <w:rFonts w:ascii="Book Antiqua" w:eastAsia="Book Antiqua" w:hAnsi="Book Antiqua" w:cs="Book Antiqua"/>
          <w:b/>
          <w:bCs/>
          <w:color w:val="000000"/>
        </w:rPr>
        <w:t xml:space="preserve">Conflict-of-interest statement: </w:t>
      </w:r>
      <w:r w:rsidR="0022273D">
        <w:rPr>
          <w:rFonts w:ascii="Book Antiqua" w:eastAsia="Book Antiqua" w:hAnsi="Book Antiqua" w:cs="Book Antiqua"/>
          <w:color w:val="000000"/>
          <w:shd w:val="clear" w:color="auto" w:fill="FFFFFF"/>
        </w:rPr>
        <w:t xml:space="preserve">All </w:t>
      </w:r>
      <w:r w:rsidRPr="00AE13C7">
        <w:rPr>
          <w:rFonts w:ascii="Book Antiqua" w:eastAsia="Book Antiqua" w:hAnsi="Book Antiqua" w:cs="Book Antiqua"/>
          <w:color w:val="000000"/>
          <w:shd w:val="clear" w:color="auto" w:fill="FFFFFF"/>
        </w:rPr>
        <w:t>authors declare that there is no other conflict of interest.</w:t>
      </w:r>
    </w:p>
    <w:p w14:paraId="349F33C9" w14:textId="77777777" w:rsidR="00A77B3E" w:rsidRPr="00AE13C7" w:rsidRDefault="00A77B3E">
      <w:pPr>
        <w:spacing w:line="360" w:lineRule="auto"/>
        <w:jc w:val="both"/>
        <w:rPr>
          <w:rFonts w:ascii="Book Antiqua" w:hAnsi="Book Antiqua"/>
        </w:rPr>
      </w:pPr>
    </w:p>
    <w:p w14:paraId="5A927A16"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b/>
          <w:bCs/>
          <w:color w:val="000000"/>
        </w:rPr>
        <w:t xml:space="preserve">Open-Access: </w:t>
      </w:r>
      <w:r w:rsidRPr="00AE13C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E13C7">
        <w:rPr>
          <w:rFonts w:ascii="Book Antiqua" w:eastAsia="Book Antiqua" w:hAnsi="Book Antiqua" w:cs="Book Antiqua"/>
          <w:color w:val="000000"/>
        </w:rPr>
        <w:t>NonCommercial</w:t>
      </w:r>
      <w:proofErr w:type="spellEnd"/>
      <w:r w:rsidRPr="00AE13C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62968D" w14:textId="77777777" w:rsidR="00A77B3E" w:rsidRPr="00AE13C7" w:rsidRDefault="00A77B3E">
      <w:pPr>
        <w:spacing w:line="360" w:lineRule="auto"/>
        <w:jc w:val="both"/>
        <w:rPr>
          <w:rFonts w:ascii="Book Antiqua" w:hAnsi="Book Antiqua"/>
        </w:rPr>
      </w:pPr>
    </w:p>
    <w:p w14:paraId="21368308" w14:textId="79D4A57C" w:rsidR="00A77B3E" w:rsidRPr="00AE13C7" w:rsidRDefault="00231511">
      <w:pPr>
        <w:spacing w:line="360" w:lineRule="auto"/>
        <w:jc w:val="both"/>
        <w:rPr>
          <w:rFonts w:ascii="Book Antiqua" w:hAnsi="Book Antiqua"/>
        </w:rPr>
      </w:pPr>
      <w:r w:rsidRPr="00AE13C7">
        <w:rPr>
          <w:rFonts w:ascii="Book Antiqua" w:eastAsia="Book Antiqua" w:hAnsi="Book Antiqua" w:cs="Book Antiqua"/>
          <w:b/>
          <w:color w:val="000000"/>
        </w:rPr>
        <w:t xml:space="preserve">Manuscript source: </w:t>
      </w:r>
      <w:r w:rsidRPr="00AE13C7">
        <w:rPr>
          <w:rFonts w:ascii="Book Antiqua" w:eastAsia="Book Antiqua" w:hAnsi="Book Antiqua" w:cs="Book Antiqua"/>
          <w:color w:val="000000"/>
        </w:rPr>
        <w:t>In</w:t>
      </w:r>
      <w:r w:rsidR="008F314A" w:rsidRPr="00AE13C7">
        <w:rPr>
          <w:rFonts w:ascii="Book Antiqua" w:eastAsia="Book Antiqua" w:hAnsi="Book Antiqua" w:cs="Book Antiqua"/>
          <w:color w:val="000000"/>
        </w:rPr>
        <w:t>vited manusc</w:t>
      </w:r>
      <w:r w:rsidRPr="00AE13C7">
        <w:rPr>
          <w:rFonts w:ascii="Book Antiqua" w:eastAsia="Book Antiqua" w:hAnsi="Book Antiqua" w:cs="Book Antiqua"/>
          <w:color w:val="000000"/>
        </w:rPr>
        <w:t>ript</w:t>
      </w:r>
    </w:p>
    <w:p w14:paraId="434D7B49" w14:textId="77777777" w:rsidR="00A77B3E" w:rsidRPr="00AE13C7" w:rsidRDefault="00A77B3E">
      <w:pPr>
        <w:spacing w:line="360" w:lineRule="auto"/>
        <w:jc w:val="both"/>
        <w:rPr>
          <w:rFonts w:ascii="Book Antiqua" w:hAnsi="Book Antiqua"/>
        </w:rPr>
      </w:pPr>
    </w:p>
    <w:p w14:paraId="0E7F6DE6"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b/>
          <w:color w:val="000000"/>
        </w:rPr>
        <w:t xml:space="preserve">Peer-review started: </w:t>
      </w:r>
      <w:r w:rsidRPr="00AE13C7">
        <w:rPr>
          <w:rFonts w:ascii="Book Antiqua" w:eastAsia="Book Antiqua" w:hAnsi="Book Antiqua" w:cs="Book Antiqua"/>
          <w:color w:val="000000"/>
        </w:rPr>
        <w:t>February 25, 2021</w:t>
      </w:r>
    </w:p>
    <w:p w14:paraId="49A7C3E1"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b/>
          <w:color w:val="000000"/>
        </w:rPr>
        <w:t xml:space="preserve">First decision: </w:t>
      </w:r>
      <w:r w:rsidRPr="00AE13C7">
        <w:rPr>
          <w:rFonts w:ascii="Book Antiqua" w:eastAsia="Book Antiqua" w:hAnsi="Book Antiqua" w:cs="Book Antiqua"/>
          <w:color w:val="000000"/>
        </w:rPr>
        <w:t>May 7, 2021</w:t>
      </w:r>
    </w:p>
    <w:p w14:paraId="441278D6" w14:textId="2A5A03E0" w:rsidR="00A77B3E" w:rsidRPr="00AE13C7" w:rsidRDefault="00231511">
      <w:pPr>
        <w:spacing w:line="360" w:lineRule="auto"/>
        <w:jc w:val="both"/>
        <w:rPr>
          <w:rFonts w:ascii="Book Antiqua" w:hAnsi="Book Antiqua"/>
        </w:rPr>
      </w:pPr>
      <w:r w:rsidRPr="00AE13C7">
        <w:rPr>
          <w:rFonts w:ascii="Book Antiqua" w:eastAsia="Book Antiqua" w:hAnsi="Book Antiqua" w:cs="Book Antiqua"/>
          <w:b/>
          <w:color w:val="000000"/>
        </w:rPr>
        <w:t xml:space="preserve">Article in press: </w:t>
      </w:r>
      <w:r w:rsidR="006B6B99">
        <w:rPr>
          <w:rFonts w:ascii="Book Antiqua" w:eastAsia="宋体" w:hAnsi="Book Antiqua" w:hint="eastAsia"/>
          <w:color w:val="000000" w:themeColor="text1"/>
        </w:rPr>
        <w:t>Au</w:t>
      </w:r>
      <w:r w:rsidR="006B6B99">
        <w:rPr>
          <w:rFonts w:ascii="Book Antiqua" w:eastAsia="宋体" w:hAnsi="Book Antiqua"/>
          <w:color w:val="000000" w:themeColor="text1"/>
        </w:rPr>
        <w:t>gust</w:t>
      </w:r>
      <w:r w:rsidR="006B6B99" w:rsidRPr="00F06907">
        <w:rPr>
          <w:rFonts w:ascii="Book Antiqua" w:eastAsia="宋体" w:hAnsi="Book Antiqua"/>
          <w:color w:val="000000" w:themeColor="text1"/>
        </w:rPr>
        <w:t xml:space="preserve"> </w:t>
      </w:r>
      <w:r w:rsidR="006B6B99">
        <w:rPr>
          <w:rFonts w:ascii="Book Antiqua" w:eastAsia="宋体" w:hAnsi="Book Antiqua"/>
          <w:color w:val="000000" w:themeColor="text1"/>
        </w:rPr>
        <w:t>6</w:t>
      </w:r>
      <w:r w:rsidR="006B6B99" w:rsidRPr="00F06907">
        <w:rPr>
          <w:rFonts w:ascii="Book Antiqua" w:eastAsia="宋体" w:hAnsi="Book Antiqua"/>
          <w:color w:val="000000" w:themeColor="text1"/>
        </w:rPr>
        <w:t>, 2021</w:t>
      </w:r>
    </w:p>
    <w:p w14:paraId="13B28B60" w14:textId="77777777" w:rsidR="00A77B3E" w:rsidRPr="00AE13C7" w:rsidRDefault="00A77B3E">
      <w:pPr>
        <w:spacing w:line="360" w:lineRule="auto"/>
        <w:jc w:val="both"/>
        <w:rPr>
          <w:rFonts w:ascii="Book Antiqua" w:hAnsi="Book Antiqua"/>
        </w:rPr>
      </w:pPr>
    </w:p>
    <w:p w14:paraId="4399AF5A"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b/>
          <w:color w:val="000000"/>
        </w:rPr>
        <w:t xml:space="preserve">Specialty type: </w:t>
      </w:r>
      <w:r w:rsidRPr="00AE13C7">
        <w:rPr>
          <w:rFonts w:ascii="Book Antiqua" w:eastAsia="Book Antiqua" w:hAnsi="Book Antiqua" w:cs="Book Antiqua"/>
          <w:color w:val="000000"/>
        </w:rPr>
        <w:t xml:space="preserve">Oncology </w:t>
      </w:r>
    </w:p>
    <w:p w14:paraId="79E8E27D"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b/>
          <w:color w:val="000000"/>
        </w:rPr>
        <w:t xml:space="preserve">Country/Territory of origin: </w:t>
      </w:r>
      <w:r w:rsidRPr="00AE13C7">
        <w:rPr>
          <w:rFonts w:ascii="Book Antiqua" w:eastAsia="Book Antiqua" w:hAnsi="Book Antiqua" w:cs="Book Antiqua"/>
          <w:color w:val="000000"/>
        </w:rPr>
        <w:t>Finland</w:t>
      </w:r>
    </w:p>
    <w:p w14:paraId="7645CA98"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b/>
          <w:color w:val="000000"/>
        </w:rPr>
        <w:t>Peer-review report’s scientific quality classification</w:t>
      </w:r>
    </w:p>
    <w:p w14:paraId="6E7A2CB7"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color w:val="000000"/>
        </w:rPr>
        <w:t>Grade A (Excellent): 0</w:t>
      </w:r>
    </w:p>
    <w:p w14:paraId="6012604A"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color w:val="000000"/>
        </w:rPr>
        <w:t>Grade B (Very good): 0</w:t>
      </w:r>
    </w:p>
    <w:p w14:paraId="3C04E1CE"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color w:val="000000"/>
        </w:rPr>
        <w:t>Grade C (Good): C, C</w:t>
      </w:r>
    </w:p>
    <w:p w14:paraId="22577D65"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color w:val="000000"/>
        </w:rPr>
        <w:t>Grade D (Fair): 0</w:t>
      </w:r>
    </w:p>
    <w:p w14:paraId="11725234"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color w:val="000000"/>
        </w:rPr>
        <w:t>Grade E (Poor): 0</w:t>
      </w:r>
    </w:p>
    <w:p w14:paraId="69C84571" w14:textId="77777777" w:rsidR="00A77B3E" w:rsidRPr="00AE13C7" w:rsidRDefault="00A77B3E">
      <w:pPr>
        <w:spacing w:line="360" w:lineRule="auto"/>
        <w:jc w:val="both"/>
        <w:rPr>
          <w:rFonts w:ascii="Book Antiqua" w:hAnsi="Book Antiqua"/>
        </w:rPr>
      </w:pPr>
    </w:p>
    <w:p w14:paraId="431CF4DD" w14:textId="3057354D" w:rsidR="00A77B3E" w:rsidRPr="00AE13C7" w:rsidRDefault="00231511">
      <w:pPr>
        <w:spacing w:line="360" w:lineRule="auto"/>
        <w:jc w:val="both"/>
        <w:rPr>
          <w:rFonts w:ascii="Book Antiqua" w:hAnsi="Book Antiqua"/>
        </w:rPr>
        <w:sectPr w:rsidR="00A77B3E" w:rsidRPr="00AE13C7">
          <w:pgSz w:w="12240" w:h="15840"/>
          <w:pgMar w:top="1440" w:right="1440" w:bottom="1440" w:left="1440" w:header="720" w:footer="720" w:gutter="0"/>
          <w:cols w:space="720"/>
          <w:docGrid w:linePitch="360"/>
        </w:sectPr>
      </w:pPr>
      <w:r w:rsidRPr="00AE13C7">
        <w:rPr>
          <w:rFonts w:ascii="Book Antiqua" w:eastAsia="Book Antiqua" w:hAnsi="Book Antiqua" w:cs="Book Antiqua"/>
          <w:b/>
          <w:color w:val="000000"/>
        </w:rPr>
        <w:t xml:space="preserve">P-Reviewer: </w:t>
      </w:r>
      <w:r w:rsidRPr="00AE13C7">
        <w:rPr>
          <w:rFonts w:ascii="Book Antiqua" w:eastAsia="Book Antiqua" w:hAnsi="Book Antiqua" w:cs="Book Antiqua"/>
          <w:color w:val="000000"/>
        </w:rPr>
        <w:t>Xu S, Zhao W</w:t>
      </w:r>
      <w:r w:rsidRPr="00AE13C7">
        <w:rPr>
          <w:rFonts w:ascii="Book Antiqua" w:eastAsia="Book Antiqua" w:hAnsi="Book Antiqua" w:cs="Book Antiqua"/>
          <w:b/>
          <w:color w:val="000000"/>
        </w:rPr>
        <w:t xml:space="preserve"> S-Editor: </w:t>
      </w:r>
      <w:r w:rsidRPr="00AE13C7">
        <w:rPr>
          <w:rFonts w:ascii="Book Antiqua" w:eastAsia="Book Antiqua" w:hAnsi="Book Antiqua" w:cs="Book Antiqua"/>
          <w:color w:val="000000"/>
        </w:rPr>
        <w:t>W</w:t>
      </w:r>
      <w:r w:rsidR="00FF5F7C">
        <w:rPr>
          <w:rFonts w:ascii="Book Antiqua" w:eastAsia="Book Antiqua" w:hAnsi="Book Antiqua" w:cs="Book Antiqua"/>
          <w:color w:val="000000"/>
        </w:rPr>
        <w:t>u YXJ</w:t>
      </w:r>
      <w:r w:rsidRPr="00AE13C7">
        <w:rPr>
          <w:rFonts w:ascii="Book Antiqua" w:eastAsia="Book Antiqua" w:hAnsi="Book Antiqua" w:cs="Book Antiqua"/>
          <w:b/>
          <w:color w:val="000000"/>
        </w:rPr>
        <w:t xml:space="preserve"> L-Editor: </w:t>
      </w:r>
      <w:r w:rsidR="00CA7717">
        <w:rPr>
          <w:rFonts w:ascii="Book Antiqua" w:eastAsia="Book Antiqua" w:hAnsi="Book Antiqua" w:cs="Book Antiqua"/>
          <w:bCs/>
          <w:color w:val="000000"/>
        </w:rPr>
        <w:t>A</w:t>
      </w:r>
      <w:r w:rsidRPr="00AE13C7">
        <w:rPr>
          <w:rFonts w:ascii="Book Antiqua" w:eastAsia="Book Antiqua" w:hAnsi="Book Antiqua" w:cs="Book Antiqua"/>
          <w:b/>
          <w:color w:val="000000"/>
        </w:rPr>
        <w:t xml:space="preserve"> P-Editor: </w:t>
      </w:r>
      <w:r w:rsidR="00CA7717">
        <w:rPr>
          <w:rFonts w:ascii="Book Antiqua" w:eastAsia="Book Antiqua" w:hAnsi="Book Antiqua" w:cs="Book Antiqua"/>
          <w:bCs/>
          <w:color w:val="000000"/>
        </w:rPr>
        <w:t>Wang LYT</w:t>
      </w:r>
    </w:p>
    <w:p w14:paraId="48EAA2F1" w14:textId="77777777" w:rsidR="00A77B3E" w:rsidRPr="00AE13C7" w:rsidRDefault="00231511">
      <w:pPr>
        <w:spacing w:line="360" w:lineRule="auto"/>
        <w:jc w:val="both"/>
        <w:rPr>
          <w:rFonts w:ascii="Book Antiqua" w:hAnsi="Book Antiqua"/>
        </w:rPr>
      </w:pPr>
      <w:r w:rsidRPr="00AE13C7">
        <w:rPr>
          <w:rFonts w:ascii="Book Antiqua" w:eastAsia="Book Antiqua" w:hAnsi="Book Antiqua" w:cs="Book Antiqua"/>
          <w:b/>
          <w:color w:val="000000"/>
        </w:rPr>
        <w:lastRenderedPageBreak/>
        <w:t>Figure Legends</w:t>
      </w:r>
    </w:p>
    <w:p w14:paraId="763A416F" w14:textId="55ED3435" w:rsidR="002A5094" w:rsidRDefault="003E2844">
      <w:pPr>
        <w:spacing w:line="360" w:lineRule="auto"/>
        <w:jc w:val="both"/>
        <w:rPr>
          <w:rFonts w:ascii="Book Antiqua" w:eastAsia="Book Antiqua" w:hAnsi="Book Antiqua" w:cs="Book Antiqua"/>
          <w:b/>
          <w:bCs/>
          <w:color w:val="000000"/>
        </w:rPr>
      </w:pPr>
      <w:r>
        <w:rPr>
          <w:noProof/>
          <w:lang w:eastAsia="zh-CN"/>
        </w:rPr>
        <w:drawing>
          <wp:inline distT="0" distB="0" distL="0" distR="0" wp14:anchorId="07F8AE46" wp14:editId="1B2390B1">
            <wp:extent cx="5080000" cy="295519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80000" cy="2955192"/>
                    </a:xfrm>
                    <a:prstGeom prst="rect">
                      <a:avLst/>
                    </a:prstGeom>
                  </pic:spPr>
                </pic:pic>
              </a:graphicData>
            </a:graphic>
          </wp:inline>
        </w:drawing>
      </w:r>
    </w:p>
    <w:p w14:paraId="6C79DD87" w14:textId="19EC8CBA" w:rsidR="00A77B3E" w:rsidRPr="00FB5A99" w:rsidRDefault="00231511">
      <w:pPr>
        <w:spacing w:line="360" w:lineRule="auto"/>
        <w:jc w:val="both"/>
        <w:rPr>
          <w:rFonts w:ascii="Book Antiqua" w:eastAsia="Book Antiqua" w:hAnsi="Book Antiqua" w:cs="Book Antiqua"/>
          <w:color w:val="000000"/>
        </w:rPr>
      </w:pPr>
      <w:r w:rsidRPr="00AE13C7">
        <w:rPr>
          <w:rFonts w:ascii="Book Antiqua" w:eastAsia="Book Antiqua" w:hAnsi="Book Antiqua" w:cs="Book Antiqua"/>
          <w:b/>
          <w:bCs/>
          <w:color w:val="000000"/>
        </w:rPr>
        <w:t>Figure 1</w:t>
      </w:r>
      <w:r w:rsidR="002A5094">
        <w:rPr>
          <w:rFonts w:ascii="Book Antiqua" w:eastAsia="Book Antiqua" w:hAnsi="Book Antiqua" w:cs="Book Antiqua"/>
          <w:b/>
          <w:bCs/>
          <w:color w:val="000000"/>
        </w:rPr>
        <w:t xml:space="preserve"> </w:t>
      </w:r>
      <w:r w:rsidRPr="002A5094">
        <w:rPr>
          <w:rFonts w:ascii="Book Antiqua" w:eastAsia="Book Antiqua" w:hAnsi="Book Antiqua" w:cs="Book Antiqua"/>
          <w:b/>
          <w:bCs/>
          <w:color w:val="000000"/>
        </w:rPr>
        <w:t>Process of treatment decision in lung cancer.</w:t>
      </w:r>
      <w:r w:rsidRPr="00AE13C7">
        <w:rPr>
          <w:rFonts w:ascii="Book Antiqua" w:eastAsia="Book Antiqua" w:hAnsi="Book Antiqua" w:cs="Book Antiqua"/>
          <w:color w:val="000000"/>
        </w:rPr>
        <w:t xml:space="preserve"> After referral of patients</w:t>
      </w:r>
      <w:r w:rsidR="002A5094">
        <w:rPr>
          <w:rFonts w:ascii="Book Antiqua" w:eastAsia="Book Antiqua" w:hAnsi="Book Antiqua" w:cs="Book Antiqua"/>
          <w:color w:val="000000"/>
        </w:rPr>
        <w:t>’</w:t>
      </w:r>
      <w:r w:rsidRPr="00AE13C7">
        <w:rPr>
          <w:rFonts w:ascii="Book Antiqua" w:eastAsia="Book Antiqua" w:hAnsi="Book Antiqua" w:cs="Book Antiqua"/>
          <w:color w:val="000000"/>
        </w:rPr>
        <w:t xml:space="preserve"> lung function tests, blood samples, </w:t>
      </w:r>
      <w:r w:rsidR="002A5094" w:rsidRPr="002A5094">
        <w:rPr>
          <w:rFonts w:ascii="Book Antiqua" w:eastAsia="Book Antiqua" w:hAnsi="Book Antiqua" w:cs="Book Antiqua"/>
          <w:color w:val="000000"/>
        </w:rPr>
        <w:t>computed tomography</w:t>
      </w:r>
      <w:r w:rsidRPr="00AE13C7">
        <w:rPr>
          <w:rFonts w:ascii="Book Antiqua" w:eastAsia="Book Antiqua" w:hAnsi="Book Antiqua" w:cs="Book Antiqua"/>
          <w:color w:val="000000"/>
        </w:rPr>
        <w:t xml:space="preserve"> scans, and star climbing tests are reviewed in multidiscipline team (MDT) and the diagnostic plan formed, after which doctor's visit and defined examinations. Treatment decision including operation, radiotherapy and systemic therapy by MDT planning meeting is based on performance status, stage and histology.</w:t>
      </w:r>
      <w:r w:rsidR="00A27BFE">
        <w:rPr>
          <w:rFonts w:ascii="Book Antiqua" w:eastAsia="Book Antiqua" w:hAnsi="Book Antiqua" w:cs="Book Antiqua"/>
          <w:color w:val="000000"/>
        </w:rPr>
        <w:t xml:space="preserve"> PET: </w:t>
      </w:r>
      <w:r w:rsidR="00FB5A99">
        <w:rPr>
          <w:rFonts w:ascii="Book Antiqua" w:eastAsia="Book Antiqua" w:hAnsi="Book Antiqua" w:cs="Book Antiqua"/>
          <w:color w:val="000000"/>
        </w:rPr>
        <w:t>P</w:t>
      </w:r>
      <w:r w:rsidR="00A27BFE">
        <w:rPr>
          <w:rFonts w:ascii="Book Antiqua" w:eastAsia="Book Antiqua" w:hAnsi="Book Antiqua" w:cs="Book Antiqua"/>
          <w:color w:val="000000"/>
        </w:rPr>
        <w:t>ositron emission tomography</w:t>
      </w:r>
      <w:r w:rsidR="00FB5A99">
        <w:rPr>
          <w:rFonts w:ascii="Book Antiqua" w:eastAsia="Book Antiqua" w:hAnsi="Book Antiqua" w:cs="Book Antiqua"/>
          <w:color w:val="000000"/>
        </w:rPr>
        <w:t>; CT</w:t>
      </w:r>
      <w:r w:rsidR="00FB5A99" w:rsidRPr="00FB5A99">
        <w:rPr>
          <w:rFonts w:ascii="Book Antiqua" w:eastAsia="Book Antiqua" w:hAnsi="Book Antiqua" w:cs="Book Antiqua" w:hint="eastAsia"/>
          <w:color w:val="000000"/>
        </w:rPr>
        <w:t>:</w:t>
      </w:r>
      <w:r w:rsidR="00FB5A99">
        <w:rPr>
          <w:rFonts w:ascii="Book Antiqua" w:eastAsia="Book Antiqua" w:hAnsi="Book Antiqua" w:cs="Book Antiqua"/>
          <w:color w:val="000000"/>
        </w:rPr>
        <w:t xml:space="preserve"> C</w:t>
      </w:r>
      <w:r w:rsidR="00FB5A99" w:rsidRPr="002A5094">
        <w:rPr>
          <w:rFonts w:ascii="Book Antiqua" w:eastAsia="Book Antiqua" w:hAnsi="Book Antiqua" w:cs="Book Antiqua"/>
          <w:color w:val="000000"/>
        </w:rPr>
        <w:t>omputed tomography</w:t>
      </w:r>
      <w:r w:rsidR="00FB5A99">
        <w:rPr>
          <w:rFonts w:ascii="Book Antiqua" w:eastAsia="Book Antiqua" w:hAnsi="Book Antiqua" w:cs="Book Antiqua"/>
          <w:color w:val="000000"/>
        </w:rPr>
        <w:t>; EBUS: E</w:t>
      </w:r>
      <w:r w:rsidR="00FB5A99" w:rsidRPr="00FB5A99">
        <w:rPr>
          <w:rFonts w:ascii="Book Antiqua" w:eastAsia="Book Antiqua" w:hAnsi="Book Antiqua" w:cs="Book Antiqua"/>
          <w:color w:val="000000"/>
        </w:rPr>
        <w:t>ndobronchial ultrasound</w:t>
      </w:r>
      <w:r w:rsidR="00FB5A99">
        <w:rPr>
          <w:rFonts w:ascii="Book Antiqua" w:eastAsia="Book Antiqua" w:hAnsi="Book Antiqua" w:cs="Book Antiqua"/>
          <w:color w:val="000000"/>
        </w:rPr>
        <w:t xml:space="preserve">; </w:t>
      </w:r>
      <w:r w:rsidR="00FB5A99" w:rsidRPr="00AE13C7">
        <w:rPr>
          <w:rFonts w:ascii="Book Antiqua" w:eastAsia="Book Antiqua" w:hAnsi="Book Antiqua" w:cs="Book Antiqua"/>
          <w:color w:val="000000"/>
        </w:rPr>
        <w:t>MDT</w:t>
      </w:r>
      <w:r w:rsidR="00FB5A99">
        <w:rPr>
          <w:rFonts w:ascii="Book Antiqua" w:eastAsia="Book Antiqua" w:hAnsi="Book Antiqua" w:cs="Book Antiqua"/>
          <w:color w:val="000000"/>
        </w:rPr>
        <w:t xml:space="preserve">: </w:t>
      </w:r>
      <w:r w:rsidR="000D4A3E">
        <w:rPr>
          <w:rFonts w:ascii="Book Antiqua" w:eastAsia="Book Antiqua" w:hAnsi="Book Antiqua" w:cs="Book Antiqua"/>
          <w:color w:val="000000"/>
        </w:rPr>
        <w:t>M</w:t>
      </w:r>
      <w:r w:rsidR="00FB5A99" w:rsidRPr="00AE13C7">
        <w:rPr>
          <w:rFonts w:ascii="Book Antiqua" w:eastAsia="Book Antiqua" w:hAnsi="Book Antiqua" w:cs="Book Antiqua"/>
          <w:color w:val="000000"/>
        </w:rPr>
        <w:t>ultidiscipline team</w:t>
      </w:r>
      <w:r w:rsidR="00FB5A99">
        <w:rPr>
          <w:rFonts w:ascii="Book Antiqua" w:eastAsia="Book Antiqua" w:hAnsi="Book Antiqua" w:cs="Book Antiqua"/>
          <w:color w:val="000000"/>
        </w:rPr>
        <w:t>.</w:t>
      </w:r>
    </w:p>
    <w:p w14:paraId="1A34660D" w14:textId="77777777" w:rsidR="00A77B3E" w:rsidRPr="00AE13C7" w:rsidRDefault="00A77B3E">
      <w:pPr>
        <w:spacing w:line="360" w:lineRule="auto"/>
        <w:jc w:val="both"/>
        <w:rPr>
          <w:rFonts w:ascii="Book Antiqua" w:hAnsi="Book Antiqua"/>
        </w:rPr>
      </w:pPr>
    </w:p>
    <w:p w14:paraId="3CE02861" w14:textId="77777777" w:rsidR="002A5094" w:rsidRDefault="002A5094">
      <w:pPr>
        <w:spacing w:line="360" w:lineRule="auto"/>
        <w:jc w:val="both"/>
        <w:rPr>
          <w:rFonts w:ascii="Book Antiqua" w:hAnsi="Book Antiqua"/>
        </w:rPr>
        <w:sectPr w:rsidR="002A5094">
          <w:pgSz w:w="12240" w:h="15840"/>
          <w:pgMar w:top="1440" w:right="1440" w:bottom="1440" w:left="1440" w:header="720" w:footer="720" w:gutter="0"/>
          <w:cols w:space="720"/>
          <w:docGrid w:linePitch="360"/>
        </w:sectPr>
      </w:pPr>
    </w:p>
    <w:p w14:paraId="673BCAAD" w14:textId="27516205" w:rsidR="00A77B3E" w:rsidRPr="00AE13C7" w:rsidRDefault="00751DE2">
      <w:pPr>
        <w:spacing w:line="360" w:lineRule="auto"/>
        <w:jc w:val="both"/>
        <w:rPr>
          <w:rFonts w:ascii="Book Antiqua" w:hAnsi="Book Antiqua"/>
        </w:rPr>
      </w:pPr>
      <w:r>
        <w:rPr>
          <w:noProof/>
          <w:lang w:eastAsia="zh-CN"/>
        </w:rPr>
        <w:lastRenderedPageBreak/>
        <w:drawing>
          <wp:inline distT="0" distB="0" distL="0" distR="0" wp14:anchorId="782A3141" wp14:editId="541FC7DC">
            <wp:extent cx="4768397" cy="3225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68397" cy="3225800"/>
                    </a:xfrm>
                    <a:prstGeom prst="rect">
                      <a:avLst/>
                    </a:prstGeom>
                  </pic:spPr>
                </pic:pic>
              </a:graphicData>
            </a:graphic>
          </wp:inline>
        </w:drawing>
      </w:r>
    </w:p>
    <w:p w14:paraId="122AA690" w14:textId="0BB54048" w:rsidR="006F6CEB" w:rsidRPr="00FB5A99" w:rsidRDefault="00231511" w:rsidP="006F6CEB">
      <w:pPr>
        <w:spacing w:line="360" w:lineRule="auto"/>
        <w:jc w:val="both"/>
        <w:rPr>
          <w:rFonts w:ascii="Book Antiqua" w:eastAsia="Book Antiqua" w:hAnsi="Book Antiqua" w:cs="Book Antiqua"/>
          <w:color w:val="000000"/>
        </w:rPr>
      </w:pPr>
      <w:r w:rsidRPr="00AE13C7">
        <w:rPr>
          <w:rFonts w:ascii="Book Antiqua" w:eastAsia="Book Antiqua" w:hAnsi="Book Antiqua" w:cs="Book Antiqua"/>
          <w:b/>
          <w:bCs/>
          <w:color w:val="000000"/>
        </w:rPr>
        <w:t>Figure 2</w:t>
      </w:r>
      <w:r w:rsidRPr="00D64DDA">
        <w:rPr>
          <w:rFonts w:ascii="Book Antiqua" w:eastAsia="Book Antiqua" w:hAnsi="Book Antiqua" w:cs="Book Antiqua"/>
          <w:b/>
          <w:bCs/>
          <w:color w:val="000000"/>
        </w:rPr>
        <w:t xml:space="preserve"> Presenting the history of the European Medicines Agency</w:t>
      </w:r>
      <w:r w:rsidR="00A06096">
        <w:rPr>
          <w:rFonts w:ascii="Book Antiqua" w:eastAsia="Book Antiqua" w:hAnsi="Book Antiqua" w:cs="Book Antiqua"/>
          <w:b/>
          <w:bCs/>
          <w:color w:val="000000"/>
        </w:rPr>
        <w:t xml:space="preserve"> </w:t>
      </w:r>
      <w:r w:rsidRPr="00D64DDA">
        <w:rPr>
          <w:rFonts w:ascii="Book Antiqua" w:eastAsia="Book Antiqua" w:hAnsi="Book Antiqua" w:cs="Book Antiqua"/>
          <w:b/>
          <w:bCs/>
          <w:color w:val="000000"/>
        </w:rPr>
        <w:t>approvals and reimbursement situation in Finland (40% reimbursement and 100% reimbursement), concerning gene-driven therapies for lung cancer.</w:t>
      </w:r>
      <w:r w:rsidR="006F6CEB">
        <w:rPr>
          <w:rFonts w:ascii="Book Antiqua" w:eastAsia="Book Antiqua" w:hAnsi="Book Antiqua" w:cs="Book Antiqua"/>
          <w:b/>
          <w:bCs/>
          <w:color w:val="000000"/>
        </w:rPr>
        <w:t xml:space="preserve"> </w:t>
      </w:r>
      <w:r w:rsidR="00B50D64" w:rsidRPr="00B50D64">
        <w:rPr>
          <w:rFonts w:ascii="Book Antiqua" w:eastAsia="Book Antiqua" w:hAnsi="Book Antiqua" w:cs="Book Antiqua"/>
          <w:color w:val="000000"/>
        </w:rPr>
        <w:t xml:space="preserve">NTRK: </w:t>
      </w:r>
      <w:r w:rsidR="00B50D64">
        <w:rPr>
          <w:rFonts w:ascii="Book Antiqua" w:eastAsia="Book Antiqua" w:hAnsi="Book Antiqua" w:cs="Book Antiqua"/>
          <w:color w:val="000000"/>
        </w:rPr>
        <w:t>N</w:t>
      </w:r>
      <w:r w:rsidR="00B50D64" w:rsidRPr="00B50D64">
        <w:rPr>
          <w:rFonts w:ascii="Book Antiqua" w:eastAsia="Book Antiqua" w:hAnsi="Book Antiqua" w:cs="Book Antiqua"/>
          <w:color w:val="000000"/>
        </w:rPr>
        <w:t xml:space="preserve">eurotrophic receptor tyrosine kinase; </w:t>
      </w:r>
      <w:r w:rsidR="006F6CEB">
        <w:rPr>
          <w:rFonts w:ascii="Book Antiqua" w:eastAsia="Book Antiqua" w:hAnsi="Book Antiqua" w:cs="Book Antiqua"/>
          <w:color w:val="000000"/>
        </w:rPr>
        <w:t>PET: Positron emission tomography; CT</w:t>
      </w:r>
      <w:r w:rsidR="006F6CEB" w:rsidRPr="00FB5A99">
        <w:rPr>
          <w:rFonts w:ascii="Book Antiqua" w:eastAsia="Book Antiqua" w:hAnsi="Book Antiqua" w:cs="Book Antiqua" w:hint="eastAsia"/>
          <w:color w:val="000000"/>
        </w:rPr>
        <w:t>:</w:t>
      </w:r>
      <w:r w:rsidR="006F6CEB">
        <w:rPr>
          <w:rFonts w:ascii="Book Antiqua" w:eastAsia="Book Antiqua" w:hAnsi="Book Antiqua" w:cs="Book Antiqua"/>
          <w:color w:val="000000"/>
        </w:rPr>
        <w:t xml:space="preserve"> C</w:t>
      </w:r>
      <w:r w:rsidR="006F6CEB" w:rsidRPr="002A5094">
        <w:rPr>
          <w:rFonts w:ascii="Book Antiqua" w:eastAsia="Book Antiqua" w:hAnsi="Book Antiqua" w:cs="Book Antiqua"/>
          <w:color w:val="000000"/>
        </w:rPr>
        <w:t>omputed tomography</w:t>
      </w:r>
      <w:r w:rsidR="006F6CEB">
        <w:rPr>
          <w:rFonts w:ascii="Book Antiqua" w:eastAsia="Book Antiqua" w:hAnsi="Book Antiqua" w:cs="Book Antiqua"/>
          <w:color w:val="000000"/>
        </w:rPr>
        <w:t>;</w:t>
      </w:r>
      <w:r w:rsidR="00B50D64">
        <w:rPr>
          <w:rFonts w:ascii="Book Antiqua" w:eastAsia="Book Antiqua" w:hAnsi="Book Antiqua" w:cs="Book Antiqua"/>
          <w:color w:val="000000"/>
        </w:rPr>
        <w:t xml:space="preserve"> EMA: </w:t>
      </w:r>
      <w:r w:rsidR="00B50D64" w:rsidRPr="00B50D64">
        <w:rPr>
          <w:rFonts w:ascii="Book Antiqua" w:eastAsia="Book Antiqua" w:hAnsi="Book Antiqua" w:cs="Book Antiqua"/>
          <w:color w:val="000000"/>
        </w:rPr>
        <w:t>European Medicines Agency</w:t>
      </w:r>
      <w:r w:rsidR="00B50D64">
        <w:rPr>
          <w:rFonts w:ascii="Book Antiqua" w:eastAsia="Book Antiqua" w:hAnsi="Book Antiqua" w:cs="Book Antiqua"/>
          <w:color w:val="000000"/>
        </w:rPr>
        <w:t xml:space="preserve">; </w:t>
      </w:r>
      <w:r w:rsidR="00E50AE4">
        <w:rPr>
          <w:rFonts w:ascii="Book Antiqua" w:eastAsia="Book Antiqua" w:hAnsi="Book Antiqua" w:cs="Book Antiqua"/>
          <w:color w:val="000000"/>
        </w:rPr>
        <w:t xml:space="preserve">ALK: </w:t>
      </w:r>
      <w:r w:rsidR="00E50AE4" w:rsidRPr="00E50AE4">
        <w:rPr>
          <w:rFonts w:ascii="Book Antiqua" w:eastAsia="Book Antiqua" w:hAnsi="Book Antiqua" w:cs="Book Antiqua"/>
          <w:color w:val="000000"/>
        </w:rPr>
        <w:t>Anaplastic lymphoma kinase</w:t>
      </w:r>
      <w:r w:rsidR="00E50AE4">
        <w:rPr>
          <w:rFonts w:ascii="Book Antiqua" w:eastAsia="Book Antiqua" w:hAnsi="Book Antiqua" w:cs="Book Antiqua"/>
          <w:color w:val="000000"/>
        </w:rPr>
        <w:t>;</w:t>
      </w:r>
      <w:r w:rsidR="006F6CEB">
        <w:rPr>
          <w:rFonts w:ascii="Book Antiqua" w:eastAsia="Book Antiqua" w:hAnsi="Book Antiqua" w:cs="Book Antiqua"/>
          <w:color w:val="000000"/>
        </w:rPr>
        <w:t xml:space="preserve"> </w:t>
      </w:r>
      <w:r w:rsidR="002279A4" w:rsidRPr="002279A4">
        <w:rPr>
          <w:rFonts w:ascii="Book Antiqua" w:eastAsia="Book Antiqua" w:hAnsi="Book Antiqua" w:cs="Book Antiqua"/>
          <w:color w:val="000000"/>
        </w:rPr>
        <w:t>EGFR</w:t>
      </w:r>
      <w:r w:rsidR="006F6CEB">
        <w:rPr>
          <w:rFonts w:ascii="Book Antiqua" w:eastAsia="Book Antiqua" w:hAnsi="Book Antiqua" w:cs="Book Antiqua"/>
          <w:color w:val="000000"/>
        </w:rPr>
        <w:t>: E</w:t>
      </w:r>
      <w:r w:rsidR="002279A4" w:rsidRPr="002279A4">
        <w:rPr>
          <w:rFonts w:ascii="Book Antiqua" w:eastAsia="Book Antiqua" w:hAnsi="Book Antiqua" w:cs="Book Antiqua"/>
          <w:color w:val="000000"/>
        </w:rPr>
        <w:t>pidermal growth factor receptor</w:t>
      </w:r>
      <w:r w:rsidR="006F6CEB">
        <w:rPr>
          <w:rFonts w:ascii="Book Antiqua" w:eastAsia="Book Antiqua" w:hAnsi="Book Antiqua" w:cs="Book Antiqua"/>
          <w:color w:val="000000"/>
        </w:rPr>
        <w:t>.</w:t>
      </w:r>
    </w:p>
    <w:p w14:paraId="5A6C7151" w14:textId="77777777" w:rsidR="00B10422" w:rsidRDefault="00B10422">
      <w:pPr>
        <w:spacing w:line="360" w:lineRule="auto"/>
        <w:jc w:val="both"/>
        <w:rPr>
          <w:rFonts w:ascii="Book Antiqua" w:hAnsi="Book Antiqua"/>
        </w:rPr>
        <w:sectPr w:rsidR="00B10422">
          <w:pgSz w:w="12240" w:h="15840"/>
          <w:pgMar w:top="1440" w:right="1440" w:bottom="1440" w:left="1440" w:header="720" w:footer="720" w:gutter="0"/>
          <w:cols w:space="720"/>
          <w:docGrid w:linePitch="360"/>
        </w:sectPr>
      </w:pPr>
    </w:p>
    <w:p w14:paraId="5083A772" w14:textId="76F2D631" w:rsidR="00F277C1" w:rsidRPr="00F802DD" w:rsidRDefault="00F277C1" w:rsidP="00F277C1">
      <w:pPr>
        <w:spacing w:line="360" w:lineRule="auto"/>
        <w:jc w:val="both"/>
        <w:rPr>
          <w:rFonts w:ascii="Book Antiqua" w:hAnsi="Book Antiqua"/>
          <w:b/>
        </w:rPr>
      </w:pPr>
      <w:r w:rsidRPr="004C6238">
        <w:rPr>
          <w:rFonts w:ascii="Book Antiqua" w:hAnsi="Book Antiqua"/>
          <w:b/>
        </w:rPr>
        <w:lastRenderedPageBreak/>
        <w:t>Table 1</w:t>
      </w:r>
      <w:r w:rsidR="002C5D5F" w:rsidRPr="004C6238">
        <w:rPr>
          <w:rFonts w:ascii="Book Antiqua" w:hAnsi="Book Antiqua"/>
          <w:b/>
        </w:rPr>
        <w:t xml:space="preserve"> </w:t>
      </w:r>
      <w:r w:rsidRPr="004C6238">
        <w:rPr>
          <w:rFonts w:ascii="Book Antiqua" w:hAnsi="Book Antiqua"/>
          <w:b/>
        </w:rPr>
        <w:t>Number of tested patients during years 2016-2019</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
        <w:gridCol w:w="1976"/>
        <w:gridCol w:w="1509"/>
        <w:gridCol w:w="910"/>
        <w:gridCol w:w="1003"/>
        <w:gridCol w:w="960"/>
        <w:gridCol w:w="960"/>
      </w:tblGrid>
      <w:tr w:rsidR="00F277C1" w:rsidRPr="006133F1" w14:paraId="2DBA8F08" w14:textId="77777777" w:rsidTr="00F802DD">
        <w:trPr>
          <w:trHeight w:val="288"/>
        </w:trPr>
        <w:tc>
          <w:tcPr>
            <w:tcW w:w="960" w:type="dxa"/>
            <w:tcBorders>
              <w:top w:val="single" w:sz="4" w:space="0" w:color="auto"/>
              <w:bottom w:val="single" w:sz="4" w:space="0" w:color="auto"/>
            </w:tcBorders>
            <w:noWrap/>
            <w:hideMark/>
          </w:tcPr>
          <w:p w14:paraId="65BB95E8" w14:textId="5D100E95" w:rsidR="00F277C1" w:rsidRPr="006133F1" w:rsidRDefault="00F277C1" w:rsidP="00D53E5E">
            <w:pPr>
              <w:spacing w:line="360" w:lineRule="auto"/>
              <w:jc w:val="both"/>
              <w:rPr>
                <w:rFonts w:ascii="Book Antiqua" w:hAnsi="Book Antiqua"/>
                <w:lang w:val="en-US"/>
              </w:rPr>
            </w:pPr>
          </w:p>
        </w:tc>
        <w:tc>
          <w:tcPr>
            <w:tcW w:w="1976" w:type="dxa"/>
            <w:tcBorders>
              <w:top w:val="single" w:sz="4" w:space="0" w:color="auto"/>
              <w:bottom w:val="single" w:sz="4" w:space="0" w:color="auto"/>
            </w:tcBorders>
            <w:noWrap/>
            <w:hideMark/>
          </w:tcPr>
          <w:p w14:paraId="6872C8C9" w14:textId="77777777" w:rsidR="00F277C1" w:rsidRPr="00F802DD" w:rsidRDefault="00F277C1" w:rsidP="00D53E5E">
            <w:pPr>
              <w:spacing w:line="360" w:lineRule="auto"/>
              <w:jc w:val="both"/>
              <w:rPr>
                <w:rFonts w:ascii="Book Antiqua" w:hAnsi="Book Antiqua"/>
                <w:b/>
                <w:bCs/>
              </w:rPr>
            </w:pPr>
            <w:r w:rsidRPr="00F802DD">
              <w:rPr>
                <w:rFonts w:ascii="Book Antiqua" w:hAnsi="Book Antiqua"/>
                <w:b/>
                <w:bCs/>
              </w:rPr>
              <w:t>Pyrosequencing (all patients)</w:t>
            </w:r>
          </w:p>
        </w:tc>
        <w:tc>
          <w:tcPr>
            <w:tcW w:w="1509" w:type="dxa"/>
            <w:tcBorders>
              <w:top w:val="single" w:sz="4" w:space="0" w:color="auto"/>
              <w:bottom w:val="single" w:sz="4" w:space="0" w:color="auto"/>
            </w:tcBorders>
            <w:noWrap/>
            <w:hideMark/>
          </w:tcPr>
          <w:p w14:paraId="168DA941" w14:textId="77777777" w:rsidR="00F277C1" w:rsidRPr="00F802DD" w:rsidRDefault="00F277C1" w:rsidP="00D53E5E">
            <w:pPr>
              <w:spacing w:line="360" w:lineRule="auto"/>
              <w:jc w:val="both"/>
              <w:rPr>
                <w:rFonts w:ascii="Book Antiqua" w:hAnsi="Book Antiqua"/>
                <w:b/>
                <w:bCs/>
              </w:rPr>
            </w:pPr>
            <w:r w:rsidRPr="00F802DD">
              <w:rPr>
                <w:rFonts w:ascii="Book Antiqua" w:hAnsi="Book Antiqua"/>
                <w:b/>
                <w:bCs/>
              </w:rPr>
              <w:t>NGS</w:t>
            </w:r>
          </w:p>
          <w:p w14:paraId="53A2DB1C" w14:textId="77777777" w:rsidR="00F277C1" w:rsidRPr="00F802DD" w:rsidRDefault="00F277C1" w:rsidP="00D53E5E">
            <w:pPr>
              <w:spacing w:line="360" w:lineRule="auto"/>
              <w:jc w:val="both"/>
              <w:rPr>
                <w:rFonts w:ascii="Book Antiqua" w:hAnsi="Book Antiqua"/>
                <w:b/>
                <w:bCs/>
              </w:rPr>
            </w:pPr>
            <w:r w:rsidRPr="00F802DD">
              <w:rPr>
                <w:rFonts w:ascii="Book Antiqua" w:hAnsi="Book Antiqua"/>
                <w:b/>
                <w:bCs/>
              </w:rPr>
              <w:t>(all patients)</w:t>
            </w:r>
          </w:p>
        </w:tc>
        <w:tc>
          <w:tcPr>
            <w:tcW w:w="910" w:type="dxa"/>
            <w:tcBorders>
              <w:top w:val="single" w:sz="4" w:space="0" w:color="auto"/>
              <w:bottom w:val="single" w:sz="4" w:space="0" w:color="auto"/>
            </w:tcBorders>
            <w:noWrap/>
            <w:hideMark/>
          </w:tcPr>
          <w:p w14:paraId="29BC995D" w14:textId="77777777" w:rsidR="00F277C1" w:rsidRPr="00F802DD" w:rsidRDefault="00F277C1" w:rsidP="00D53E5E">
            <w:pPr>
              <w:spacing w:line="360" w:lineRule="auto"/>
              <w:jc w:val="both"/>
              <w:rPr>
                <w:rFonts w:ascii="Book Antiqua" w:hAnsi="Book Antiqua"/>
                <w:b/>
                <w:bCs/>
              </w:rPr>
            </w:pPr>
            <w:r w:rsidRPr="00F802DD">
              <w:rPr>
                <w:rFonts w:ascii="Book Antiqua" w:hAnsi="Book Antiqua"/>
                <w:b/>
                <w:bCs/>
              </w:rPr>
              <w:t>Lung cancer</w:t>
            </w:r>
          </w:p>
        </w:tc>
        <w:tc>
          <w:tcPr>
            <w:tcW w:w="1003" w:type="dxa"/>
            <w:tcBorders>
              <w:top w:val="single" w:sz="4" w:space="0" w:color="auto"/>
              <w:bottom w:val="single" w:sz="4" w:space="0" w:color="auto"/>
            </w:tcBorders>
            <w:noWrap/>
            <w:hideMark/>
          </w:tcPr>
          <w:p w14:paraId="4354569B" w14:textId="77777777" w:rsidR="00F277C1" w:rsidRPr="00F802DD" w:rsidRDefault="00F277C1" w:rsidP="00D53E5E">
            <w:pPr>
              <w:spacing w:line="360" w:lineRule="auto"/>
              <w:jc w:val="both"/>
              <w:rPr>
                <w:rFonts w:ascii="Book Antiqua" w:hAnsi="Book Antiqua"/>
                <w:b/>
                <w:bCs/>
              </w:rPr>
            </w:pPr>
            <w:r w:rsidRPr="00F802DD">
              <w:rPr>
                <w:rFonts w:ascii="Book Antiqua" w:hAnsi="Book Antiqua"/>
                <w:b/>
                <w:bCs/>
              </w:rPr>
              <w:t>cfDNA</w:t>
            </w:r>
          </w:p>
        </w:tc>
        <w:tc>
          <w:tcPr>
            <w:tcW w:w="960" w:type="dxa"/>
            <w:tcBorders>
              <w:top w:val="single" w:sz="4" w:space="0" w:color="auto"/>
              <w:bottom w:val="single" w:sz="4" w:space="0" w:color="auto"/>
            </w:tcBorders>
            <w:noWrap/>
            <w:hideMark/>
          </w:tcPr>
          <w:p w14:paraId="158B5FA3" w14:textId="77777777" w:rsidR="00F277C1" w:rsidRPr="00F802DD" w:rsidRDefault="00F277C1" w:rsidP="00D53E5E">
            <w:pPr>
              <w:spacing w:line="360" w:lineRule="auto"/>
              <w:jc w:val="both"/>
              <w:rPr>
                <w:rFonts w:ascii="Book Antiqua" w:hAnsi="Book Antiqua"/>
                <w:b/>
                <w:bCs/>
              </w:rPr>
            </w:pPr>
            <w:r w:rsidRPr="00F802DD">
              <w:rPr>
                <w:rFonts w:ascii="Book Antiqua" w:hAnsi="Book Antiqua"/>
                <w:b/>
                <w:bCs/>
              </w:rPr>
              <w:t>ALK (IHC)</w:t>
            </w:r>
          </w:p>
        </w:tc>
        <w:tc>
          <w:tcPr>
            <w:tcW w:w="960" w:type="dxa"/>
            <w:tcBorders>
              <w:top w:val="single" w:sz="4" w:space="0" w:color="auto"/>
              <w:bottom w:val="single" w:sz="4" w:space="0" w:color="auto"/>
            </w:tcBorders>
            <w:noWrap/>
            <w:hideMark/>
          </w:tcPr>
          <w:p w14:paraId="1EE0B633" w14:textId="77777777" w:rsidR="00F277C1" w:rsidRPr="00F802DD" w:rsidRDefault="00F277C1" w:rsidP="00D53E5E">
            <w:pPr>
              <w:spacing w:line="360" w:lineRule="auto"/>
              <w:jc w:val="both"/>
              <w:rPr>
                <w:rFonts w:ascii="Book Antiqua" w:hAnsi="Book Antiqua"/>
                <w:b/>
                <w:bCs/>
              </w:rPr>
            </w:pPr>
            <w:r w:rsidRPr="00F802DD">
              <w:rPr>
                <w:rFonts w:ascii="Book Antiqua" w:hAnsi="Book Antiqua"/>
                <w:b/>
                <w:bCs/>
              </w:rPr>
              <w:t>ROS-1 (IHC)</w:t>
            </w:r>
          </w:p>
        </w:tc>
      </w:tr>
      <w:tr w:rsidR="00F277C1" w:rsidRPr="006133F1" w14:paraId="726CA386" w14:textId="77777777" w:rsidTr="00F802DD">
        <w:trPr>
          <w:trHeight w:val="288"/>
        </w:trPr>
        <w:tc>
          <w:tcPr>
            <w:tcW w:w="960" w:type="dxa"/>
            <w:tcBorders>
              <w:top w:val="single" w:sz="4" w:space="0" w:color="auto"/>
            </w:tcBorders>
            <w:noWrap/>
            <w:hideMark/>
          </w:tcPr>
          <w:p w14:paraId="690DEAD7" w14:textId="77777777" w:rsidR="00F277C1" w:rsidRPr="006133F1" w:rsidRDefault="00F277C1" w:rsidP="00D53E5E">
            <w:pPr>
              <w:spacing w:line="360" w:lineRule="auto"/>
              <w:jc w:val="both"/>
              <w:rPr>
                <w:rFonts w:ascii="Book Antiqua" w:hAnsi="Book Antiqua"/>
              </w:rPr>
            </w:pPr>
            <w:r w:rsidRPr="006133F1">
              <w:rPr>
                <w:rFonts w:ascii="Book Antiqua" w:hAnsi="Book Antiqua"/>
              </w:rPr>
              <w:t>2016</w:t>
            </w:r>
          </w:p>
        </w:tc>
        <w:tc>
          <w:tcPr>
            <w:tcW w:w="1976" w:type="dxa"/>
            <w:tcBorders>
              <w:top w:val="single" w:sz="4" w:space="0" w:color="auto"/>
            </w:tcBorders>
            <w:noWrap/>
            <w:hideMark/>
          </w:tcPr>
          <w:p w14:paraId="55F71824" w14:textId="77777777" w:rsidR="00F277C1" w:rsidRPr="006133F1" w:rsidRDefault="00F277C1" w:rsidP="00D53E5E">
            <w:pPr>
              <w:spacing w:line="360" w:lineRule="auto"/>
              <w:jc w:val="both"/>
              <w:rPr>
                <w:rFonts w:ascii="Book Antiqua" w:hAnsi="Book Antiqua"/>
              </w:rPr>
            </w:pPr>
            <w:r w:rsidRPr="006133F1">
              <w:rPr>
                <w:rFonts w:ascii="Book Antiqua" w:hAnsi="Book Antiqua"/>
              </w:rPr>
              <w:t>128</w:t>
            </w:r>
          </w:p>
        </w:tc>
        <w:tc>
          <w:tcPr>
            <w:tcW w:w="1509" w:type="dxa"/>
            <w:tcBorders>
              <w:top w:val="single" w:sz="4" w:space="0" w:color="auto"/>
            </w:tcBorders>
            <w:noWrap/>
            <w:hideMark/>
          </w:tcPr>
          <w:p w14:paraId="0365F559" w14:textId="77777777" w:rsidR="00F277C1" w:rsidRPr="006133F1" w:rsidRDefault="00F277C1" w:rsidP="00D53E5E">
            <w:pPr>
              <w:spacing w:line="360" w:lineRule="auto"/>
              <w:jc w:val="both"/>
              <w:rPr>
                <w:rFonts w:ascii="Book Antiqua" w:hAnsi="Book Antiqua"/>
              </w:rPr>
            </w:pPr>
            <w:r w:rsidRPr="006133F1">
              <w:rPr>
                <w:rFonts w:ascii="Book Antiqua" w:hAnsi="Book Antiqua"/>
              </w:rPr>
              <w:t>1</w:t>
            </w:r>
          </w:p>
        </w:tc>
        <w:tc>
          <w:tcPr>
            <w:tcW w:w="910" w:type="dxa"/>
            <w:tcBorders>
              <w:top w:val="single" w:sz="4" w:space="0" w:color="auto"/>
            </w:tcBorders>
            <w:noWrap/>
            <w:hideMark/>
          </w:tcPr>
          <w:p w14:paraId="798209C1" w14:textId="77777777" w:rsidR="00F277C1" w:rsidRPr="006133F1" w:rsidRDefault="00F277C1" w:rsidP="00D53E5E">
            <w:pPr>
              <w:spacing w:line="360" w:lineRule="auto"/>
              <w:jc w:val="both"/>
              <w:rPr>
                <w:rFonts w:ascii="Book Antiqua" w:hAnsi="Book Antiqua"/>
              </w:rPr>
            </w:pPr>
            <w:r w:rsidRPr="006133F1">
              <w:rPr>
                <w:rFonts w:ascii="Book Antiqua" w:hAnsi="Book Antiqua"/>
              </w:rPr>
              <w:t>39</w:t>
            </w:r>
          </w:p>
        </w:tc>
        <w:tc>
          <w:tcPr>
            <w:tcW w:w="1003" w:type="dxa"/>
            <w:tcBorders>
              <w:top w:val="single" w:sz="4" w:space="0" w:color="auto"/>
            </w:tcBorders>
            <w:noWrap/>
            <w:hideMark/>
          </w:tcPr>
          <w:p w14:paraId="0CBD3AAF" w14:textId="77777777" w:rsidR="00F277C1" w:rsidRPr="006133F1" w:rsidRDefault="00F277C1" w:rsidP="00D53E5E">
            <w:pPr>
              <w:spacing w:line="360" w:lineRule="auto"/>
              <w:jc w:val="both"/>
              <w:rPr>
                <w:rFonts w:ascii="Book Antiqua" w:hAnsi="Book Antiqua"/>
              </w:rPr>
            </w:pPr>
            <w:r w:rsidRPr="006133F1">
              <w:rPr>
                <w:rFonts w:ascii="Book Antiqua" w:hAnsi="Book Antiqua"/>
              </w:rPr>
              <w:t>5</w:t>
            </w:r>
          </w:p>
        </w:tc>
        <w:tc>
          <w:tcPr>
            <w:tcW w:w="960" w:type="dxa"/>
            <w:tcBorders>
              <w:top w:val="single" w:sz="4" w:space="0" w:color="auto"/>
            </w:tcBorders>
            <w:noWrap/>
            <w:hideMark/>
          </w:tcPr>
          <w:p w14:paraId="528111EE" w14:textId="77777777" w:rsidR="00F277C1" w:rsidRPr="006133F1" w:rsidRDefault="00F277C1" w:rsidP="00D53E5E">
            <w:pPr>
              <w:spacing w:line="360" w:lineRule="auto"/>
              <w:jc w:val="both"/>
              <w:rPr>
                <w:rFonts w:ascii="Book Antiqua" w:hAnsi="Book Antiqua"/>
              </w:rPr>
            </w:pPr>
            <w:r w:rsidRPr="006133F1">
              <w:rPr>
                <w:rFonts w:ascii="Book Antiqua" w:hAnsi="Book Antiqua"/>
              </w:rPr>
              <w:t>8</w:t>
            </w:r>
          </w:p>
        </w:tc>
        <w:tc>
          <w:tcPr>
            <w:tcW w:w="960" w:type="dxa"/>
            <w:tcBorders>
              <w:top w:val="single" w:sz="4" w:space="0" w:color="auto"/>
            </w:tcBorders>
            <w:noWrap/>
            <w:hideMark/>
          </w:tcPr>
          <w:p w14:paraId="3C99C6CE" w14:textId="77777777" w:rsidR="00F277C1" w:rsidRPr="006133F1" w:rsidRDefault="00F277C1" w:rsidP="00D53E5E">
            <w:pPr>
              <w:spacing w:line="360" w:lineRule="auto"/>
              <w:jc w:val="both"/>
              <w:rPr>
                <w:rFonts w:ascii="Book Antiqua" w:hAnsi="Book Antiqua"/>
              </w:rPr>
            </w:pPr>
            <w:r w:rsidRPr="006133F1">
              <w:rPr>
                <w:rFonts w:ascii="Book Antiqua" w:hAnsi="Book Antiqua"/>
              </w:rPr>
              <w:t>0</w:t>
            </w:r>
          </w:p>
        </w:tc>
      </w:tr>
      <w:tr w:rsidR="00F277C1" w:rsidRPr="006133F1" w14:paraId="76EBBB95" w14:textId="77777777" w:rsidTr="00F802DD">
        <w:trPr>
          <w:trHeight w:val="288"/>
        </w:trPr>
        <w:tc>
          <w:tcPr>
            <w:tcW w:w="960" w:type="dxa"/>
            <w:noWrap/>
            <w:hideMark/>
          </w:tcPr>
          <w:p w14:paraId="4CCA51F3" w14:textId="77777777" w:rsidR="00F277C1" w:rsidRPr="006133F1" w:rsidRDefault="00F277C1" w:rsidP="00D53E5E">
            <w:pPr>
              <w:spacing w:line="360" w:lineRule="auto"/>
              <w:jc w:val="both"/>
              <w:rPr>
                <w:rFonts w:ascii="Book Antiqua" w:hAnsi="Book Antiqua"/>
              </w:rPr>
            </w:pPr>
            <w:r w:rsidRPr="006133F1">
              <w:rPr>
                <w:rFonts w:ascii="Book Antiqua" w:hAnsi="Book Antiqua"/>
              </w:rPr>
              <w:t>2017</w:t>
            </w:r>
          </w:p>
        </w:tc>
        <w:tc>
          <w:tcPr>
            <w:tcW w:w="1976" w:type="dxa"/>
            <w:noWrap/>
            <w:hideMark/>
          </w:tcPr>
          <w:p w14:paraId="08B6C44D" w14:textId="77777777" w:rsidR="00F277C1" w:rsidRPr="006133F1" w:rsidRDefault="00F277C1" w:rsidP="00D53E5E">
            <w:pPr>
              <w:spacing w:line="360" w:lineRule="auto"/>
              <w:jc w:val="both"/>
              <w:rPr>
                <w:rFonts w:ascii="Book Antiqua" w:hAnsi="Book Antiqua"/>
              </w:rPr>
            </w:pPr>
            <w:r w:rsidRPr="006133F1">
              <w:rPr>
                <w:rFonts w:ascii="Book Antiqua" w:hAnsi="Book Antiqua"/>
              </w:rPr>
              <w:t>82</w:t>
            </w:r>
          </w:p>
        </w:tc>
        <w:tc>
          <w:tcPr>
            <w:tcW w:w="1509" w:type="dxa"/>
            <w:noWrap/>
            <w:hideMark/>
          </w:tcPr>
          <w:p w14:paraId="66957C76" w14:textId="77777777" w:rsidR="00F277C1" w:rsidRPr="006133F1" w:rsidRDefault="00F277C1" w:rsidP="00D53E5E">
            <w:pPr>
              <w:spacing w:line="360" w:lineRule="auto"/>
              <w:jc w:val="both"/>
              <w:rPr>
                <w:rFonts w:ascii="Book Antiqua" w:hAnsi="Book Antiqua"/>
              </w:rPr>
            </w:pPr>
            <w:r w:rsidRPr="006133F1">
              <w:rPr>
                <w:rFonts w:ascii="Book Antiqua" w:hAnsi="Book Antiqua"/>
              </w:rPr>
              <w:t>29</w:t>
            </w:r>
          </w:p>
        </w:tc>
        <w:tc>
          <w:tcPr>
            <w:tcW w:w="910" w:type="dxa"/>
            <w:noWrap/>
            <w:hideMark/>
          </w:tcPr>
          <w:p w14:paraId="0FD4A771" w14:textId="77777777" w:rsidR="00F277C1" w:rsidRPr="006133F1" w:rsidRDefault="00F277C1" w:rsidP="00D53E5E">
            <w:pPr>
              <w:spacing w:line="360" w:lineRule="auto"/>
              <w:jc w:val="both"/>
              <w:rPr>
                <w:rFonts w:ascii="Book Antiqua" w:hAnsi="Book Antiqua"/>
              </w:rPr>
            </w:pPr>
            <w:r w:rsidRPr="006133F1">
              <w:rPr>
                <w:rFonts w:ascii="Book Antiqua" w:hAnsi="Book Antiqua"/>
              </w:rPr>
              <w:t>38</w:t>
            </w:r>
          </w:p>
        </w:tc>
        <w:tc>
          <w:tcPr>
            <w:tcW w:w="1003" w:type="dxa"/>
            <w:noWrap/>
            <w:hideMark/>
          </w:tcPr>
          <w:p w14:paraId="6C285518" w14:textId="77777777" w:rsidR="00F277C1" w:rsidRPr="006133F1" w:rsidRDefault="00F277C1" w:rsidP="00D53E5E">
            <w:pPr>
              <w:spacing w:line="360" w:lineRule="auto"/>
              <w:jc w:val="both"/>
              <w:rPr>
                <w:rFonts w:ascii="Book Antiqua" w:hAnsi="Book Antiqua"/>
              </w:rPr>
            </w:pPr>
            <w:r w:rsidRPr="006133F1">
              <w:rPr>
                <w:rFonts w:ascii="Book Antiqua" w:hAnsi="Book Antiqua"/>
              </w:rPr>
              <w:t>10</w:t>
            </w:r>
          </w:p>
        </w:tc>
        <w:tc>
          <w:tcPr>
            <w:tcW w:w="960" w:type="dxa"/>
            <w:noWrap/>
            <w:hideMark/>
          </w:tcPr>
          <w:p w14:paraId="625558A7" w14:textId="77777777" w:rsidR="00F277C1" w:rsidRPr="006133F1" w:rsidRDefault="00F277C1" w:rsidP="00D53E5E">
            <w:pPr>
              <w:spacing w:line="360" w:lineRule="auto"/>
              <w:jc w:val="both"/>
              <w:rPr>
                <w:rFonts w:ascii="Book Antiqua" w:hAnsi="Book Antiqua"/>
              </w:rPr>
            </w:pPr>
            <w:r w:rsidRPr="006133F1">
              <w:rPr>
                <w:rFonts w:ascii="Book Antiqua" w:hAnsi="Book Antiqua"/>
              </w:rPr>
              <w:t>6</w:t>
            </w:r>
          </w:p>
        </w:tc>
        <w:tc>
          <w:tcPr>
            <w:tcW w:w="960" w:type="dxa"/>
            <w:noWrap/>
            <w:hideMark/>
          </w:tcPr>
          <w:p w14:paraId="7F36DDE6" w14:textId="77777777" w:rsidR="00F277C1" w:rsidRPr="006133F1" w:rsidRDefault="00F277C1" w:rsidP="00D53E5E">
            <w:pPr>
              <w:spacing w:line="360" w:lineRule="auto"/>
              <w:jc w:val="both"/>
              <w:rPr>
                <w:rFonts w:ascii="Book Antiqua" w:hAnsi="Book Antiqua"/>
              </w:rPr>
            </w:pPr>
            <w:r w:rsidRPr="006133F1">
              <w:rPr>
                <w:rFonts w:ascii="Book Antiqua" w:hAnsi="Book Antiqua"/>
              </w:rPr>
              <w:t>0</w:t>
            </w:r>
          </w:p>
        </w:tc>
      </w:tr>
      <w:tr w:rsidR="00F277C1" w:rsidRPr="006133F1" w14:paraId="248ED889" w14:textId="77777777" w:rsidTr="00F802DD">
        <w:trPr>
          <w:trHeight w:val="288"/>
        </w:trPr>
        <w:tc>
          <w:tcPr>
            <w:tcW w:w="960" w:type="dxa"/>
            <w:noWrap/>
            <w:hideMark/>
          </w:tcPr>
          <w:p w14:paraId="4C884D39" w14:textId="77777777" w:rsidR="00F277C1" w:rsidRPr="006133F1" w:rsidRDefault="00F277C1" w:rsidP="00D53E5E">
            <w:pPr>
              <w:spacing w:line="360" w:lineRule="auto"/>
              <w:jc w:val="both"/>
              <w:rPr>
                <w:rFonts w:ascii="Book Antiqua" w:hAnsi="Book Antiqua"/>
              </w:rPr>
            </w:pPr>
            <w:r w:rsidRPr="006133F1">
              <w:rPr>
                <w:rFonts w:ascii="Book Antiqua" w:hAnsi="Book Antiqua"/>
              </w:rPr>
              <w:t>2018</w:t>
            </w:r>
          </w:p>
        </w:tc>
        <w:tc>
          <w:tcPr>
            <w:tcW w:w="1976" w:type="dxa"/>
            <w:noWrap/>
            <w:hideMark/>
          </w:tcPr>
          <w:p w14:paraId="2407548F" w14:textId="77777777" w:rsidR="00F277C1" w:rsidRPr="006133F1" w:rsidRDefault="00F277C1" w:rsidP="00D53E5E">
            <w:pPr>
              <w:spacing w:line="360" w:lineRule="auto"/>
              <w:jc w:val="both"/>
              <w:rPr>
                <w:rFonts w:ascii="Book Antiqua" w:hAnsi="Book Antiqua"/>
              </w:rPr>
            </w:pPr>
            <w:r w:rsidRPr="006133F1">
              <w:rPr>
                <w:rFonts w:ascii="Book Antiqua" w:hAnsi="Book Antiqua"/>
              </w:rPr>
              <w:t>0</w:t>
            </w:r>
          </w:p>
        </w:tc>
        <w:tc>
          <w:tcPr>
            <w:tcW w:w="1509" w:type="dxa"/>
            <w:noWrap/>
            <w:hideMark/>
          </w:tcPr>
          <w:p w14:paraId="4843A50D" w14:textId="77777777" w:rsidR="00F277C1" w:rsidRPr="006133F1" w:rsidRDefault="00F277C1" w:rsidP="00D53E5E">
            <w:pPr>
              <w:spacing w:line="360" w:lineRule="auto"/>
              <w:jc w:val="both"/>
              <w:rPr>
                <w:rFonts w:ascii="Book Antiqua" w:hAnsi="Book Antiqua"/>
              </w:rPr>
            </w:pPr>
            <w:r w:rsidRPr="006133F1">
              <w:rPr>
                <w:rFonts w:ascii="Book Antiqua" w:hAnsi="Book Antiqua"/>
              </w:rPr>
              <w:t>125</w:t>
            </w:r>
          </w:p>
        </w:tc>
        <w:tc>
          <w:tcPr>
            <w:tcW w:w="910" w:type="dxa"/>
            <w:noWrap/>
            <w:hideMark/>
          </w:tcPr>
          <w:p w14:paraId="661FB8EA" w14:textId="77777777" w:rsidR="00F277C1" w:rsidRPr="006133F1" w:rsidRDefault="00F277C1" w:rsidP="00D53E5E">
            <w:pPr>
              <w:spacing w:line="360" w:lineRule="auto"/>
              <w:jc w:val="both"/>
              <w:rPr>
                <w:rFonts w:ascii="Book Antiqua" w:hAnsi="Book Antiqua"/>
              </w:rPr>
            </w:pPr>
            <w:r w:rsidRPr="006133F1">
              <w:rPr>
                <w:rFonts w:ascii="Book Antiqua" w:hAnsi="Book Antiqua"/>
              </w:rPr>
              <w:t>49</w:t>
            </w:r>
          </w:p>
        </w:tc>
        <w:tc>
          <w:tcPr>
            <w:tcW w:w="1003" w:type="dxa"/>
            <w:noWrap/>
            <w:hideMark/>
          </w:tcPr>
          <w:p w14:paraId="6A05D700" w14:textId="77777777" w:rsidR="00F277C1" w:rsidRPr="006133F1" w:rsidRDefault="00F277C1" w:rsidP="00D53E5E">
            <w:pPr>
              <w:spacing w:line="360" w:lineRule="auto"/>
              <w:jc w:val="both"/>
              <w:rPr>
                <w:rFonts w:ascii="Book Antiqua" w:hAnsi="Book Antiqua"/>
              </w:rPr>
            </w:pPr>
            <w:r w:rsidRPr="006133F1">
              <w:rPr>
                <w:rFonts w:ascii="Book Antiqua" w:hAnsi="Book Antiqua"/>
              </w:rPr>
              <w:t>28</w:t>
            </w:r>
          </w:p>
        </w:tc>
        <w:tc>
          <w:tcPr>
            <w:tcW w:w="960" w:type="dxa"/>
            <w:noWrap/>
            <w:hideMark/>
          </w:tcPr>
          <w:p w14:paraId="7D160DB6" w14:textId="77777777" w:rsidR="00F277C1" w:rsidRPr="006133F1" w:rsidRDefault="00F277C1" w:rsidP="00D53E5E">
            <w:pPr>
              <w:spacing w:line="360" w:lineRule="auto"/>
              <w:jc w:val="both"/>
              <w:rPr>
                <w:rFonts w:ascii="Book Antiqua" w:hAnsi="Book Antiqua"/>
              </w:rPr>
            </w:pPr>
            <w:r w:rsidRPr="006133F1">
              <w:rPr>
                <w:rFonts w:ascii="Book Antiqua" w:hAnsi="Book Antiqua"/>
              </w:rPr>
              <w:t>51</w:t>
            </w:r>
          </w:p>
        </w:tc>
        <w:tc>
          <w:tcPr>
            <w:tcW w:w="960" w:type="dxa"/>
            <w:noWrap/>
            <w:hideMark/>
          </w:tcPr>
          <w:p w14:paraId="521902D7" w14:textId="77777777" w:rsidR="00F277C1" w:rsidRPr="006133F1" w:rsidRDefault="00F277C1" w:rsidP="00D53E5E">
            <w:pPr>
              <w:spacing w:line="360" w:lineRule="auto"/>
              <w:jc w:val="both"/>
              <w:rPr>
                <w:rFonts w:ascii="Book Antiqua" w:hAnsi="Book Antiqua"/>
              </w:rPr>
            </w:pPr>
            <w:r w:rsidRPr="006133F1">
              <w:rPr>
                <w:rFonts w:ascii="Book Antiqua" w:hAnsi="Book Antiqua"/>
              </w:rPr>
              <w:t>0</w:t>
            </w:r>
          </w:p>
        </w:tc>
      </w:tr>
      <w:tr w:rsidR="00F277C1" w:rsidRPr="006133F1" w14:paraId="7692D96F" w14:textId="77777777" w:rsidTr="00F802DD">
        <w:trPr>
          <w:trHeight w:val="300"/>
        </w:trPr>
        <w:tc>
          <w:tcPr>
            <w:tcW w:w="960" w:type="dxa"/>
            <w:tcBorders>
              <w:bottom w:val="single" w:sz="4" w:space="0" w:color="auto"/>
            </w:tcBorders>
            <w:noWrap/>
            <w:hideMark/>
          </w:tcPr>
          <w:p w14:paraId="1715BEDD" w14:textId="77777777" w:rsidR="00F277C1" w:rsidRPr="006133F1" w:rsidRDefault="00F277C1" w:rsidP="00D53E5E">
            <w:pPr>
              <w:spacing w:line="360" w:lineRule="auto"/>
              <w:jc w:val="both"/>
              <w:rPr>
                <w:rFonts w:ascii="Book Antiqua" w:hAnsi="Book Antiqua"/>
              </w:rPr>
            </w:pPr>
            <w:r w:rsidRPr="006133F1">
              <w:rPr>
                <w:rFonts w:ascii="Book Antiqua" w:hAnsi="Book Antiqua"/>
              </w:rPr>
              <w:t>2019</w:t>
            </w:r>
          </w:p>
        </w:tc>
        <w:tc>
          <w:tcPr>
            <w:tcW w:w="1976" w:type="dxa"/>
            <w:tcBorders>
              <w:bottom w:val="single" w:sz="4" w:space="0" w:color="auto"/>
            </w:tcBorders>
            <w:noWrap/>
            <w:hideMark/>
          </w:tcPr>
          <w:p w14:paraId="3847D584" w14:textId="77777777" w:rsidR="00F277C1" w:rsidRPr="006133F1" w:rsidRDefault="00F277C1" w:rsidP="00D53E5E">
            <w:pPr>
              <w:spacing w:line="360" w:lineRule="auto"/>
              <w:jc w:val="both"/>
              <w:rPr>
                <w:rFonts w:ascii="Book Antiqua" w:hAnsi="Book Antiqua"/>
              </w:rPr>
            </w:pPr>
            <w:r w:rsidRPr="006133F1">
              <w:rPr>
                <w:rFonts w:ascii="Book Antiqua" w:hAnsi="Book Antiqua"/>
              </w:rPr>
              <w:t>0</w:t>
            </w:r>
          </w:p>
        </w:tc>
        <w:tc>
          <w:tcPr>
            <w:tcW w:w="1509" w:type="dxa"/>
            <w:tcBorders>
              <w:bottom w:val="single" w:sz="4" w:space="0" w:color="auto"/>
            </w:tcBorders>
            <w:noWrap/>
            <w:hideMark/>
          </w:tcPr>
          <w:p w14:paraId="36D6E964" w14:textId="77777777" w:rsidR="00F277C1" w:rsidRPr="006133F1" w:rsidRDefault="00F277C1" w:rsidP="00D53E5E">
            <w:pPr>
              <w:spacing w:line="360" w:lineRule="auto"/>
              <w:jc w:val="both"/>
              <w:rPr>
                <w:rFonts w:ascii="Book Antiqua" w:hAnsi="Book Antiqua"/>
              </w:rPr>
            </w:pPr>
            <w:r w:rsidRPr="006133F1">
              <w:rPr>
                <w:rFonts w:ascii="Book Antiqua" w:hAnsi="Book Antiqua"/>
              </w:rPr>
              <w:t>93</w:t>
            </w:r>
          </w:p>
        </w:tc>
        <w:tc>
          <w:tcPr>
            <w:tcW w:w="910" w:type="dxa"/>
            <w:tcBorders>
              <w:bottom w:val="single" w:sz="4" w:space="0" w:color="auto"/>
            </w:tcBorders>
            <w:noWrap/>
            <w:hideMark/>
          </w:tcPr>
          <w:p w14:paraId="6DC48342" w14:textId="77777777" w:rsidR="00F277C1" w:rsidRPr="006133F1" w:rsidRDefault="00F277C1" w:rsidP="00D53E5E">
            <w:pPr>
              <w:spacing w:line="360" w:lineRule="auto"/>
              <w:jc w:val="both"/>
              <w:rPr>
                <w:rFonts w:ascii="Book Antiqua" w:hAnsi="Book Antiqua"/>
              </w:rPr>
            </w:pPr>
            <w:r w:rsidRPr="006133F1">
              <w:rPr>
                <w:rFonts w:ascii="Book Antiqua" w:hAnsi="Book Antiqua"/>
              </w:rPr>
              <w:t>33</w:t>
            </w:r>
          </w:p>
        </w:tc>
        <w:tc>
          <w:tcPr>
            <w:tcW w:w="1003" w:type="dxa"/>
            <w:tcBorders>
              <w:bottom w:val="single" w:sz="4" w:space="0" w:color="auto"/>
            </w:tcBorders>
            <w:noWrap/>
            <w:hideMark/>
          </w:tcPr>
          <w:p w14:paraId="26EC6454" w14:textId="77777777" w:rsidR="00F277C1" w:rsidRPr="006133F1" w:rsidRDefault="00F277C1" w:rsidP="00D53E5E">
            <w:pPr>
              <w:spacing w:line="360" w:lineRule="auto"/>
              <w:jc w:val="both"/>
              <w:rPr>
                <w:rFonts w:ascii="Book Antiqua" w:hAnsi="Book Antiqua"/>
              </w:rPr>
            </w:pPr>
            <w:r w:rsidRPr="006133F1">
              <w:rPr>
                <w:rFonts w:ascii="Book Antiqua" w:hAnsi="Book Antiqua"/>
              </w:rPr>
              <w:t>12</w:t>
            </w:r>
          </w:p>
        </w:tc>
        <w:tc>
          <w:tcPr>
            <w:tcW w:w="960" w:type="dxa"/>
            <w:tcBorders>
              <w:bottom w:val="single" w:sz="4" w:space="0" w:color="auto"/>
            </w:tcBorders>
            <w:noWrap/>
            <w:hideMark/>
          </w:tcPr>
          <w:p w14:paraId="55D1ACFA" w14:textId="77777777" w:rsidR="00F277C1" w:rsidRPr="006133F1" w:rsidRDefault="00F277C1" w:rsidP="00D53E5E">
            <w:pPr>
              <w:spacing w:line="360" w:lineRule="auto"/>
              <w:jc w:val="both"/>
              <w:rPr>
                <w:rFonts w:ascii="Book Antiqua" w:hAnsi="Book Antiqua"/>
              </w:rPr>
            </w:pPr>
            <w:r w:rsidRPr="006133F1">
              <w:rPr>
                <w:rFonts w:ascii="Book Antiqua" w:hAnsi="Book Antiqua"/>
              </w:rPr>
              <w:t>34</w:t>
            </w:r>
          </w:p>
        </w:tc>
        <w:tc>
          <w:tcPr>
            <w:tcW w:w="960" w:type="dxa"/>
            <w:tcBorders>
              <w:bottom w:val="single" w:sz="4" w:space="0" w:color="auto"/>
            </w:tcBorders>
            <w:noWrap/>
            <w:hideMark/>
          </w:tcPr>
          <w:p w14:paraId="67E5D114" w14:textId="77777777" w:rsidR="00F277C1" w:rsidRPr="006133F1" w:rsidRDefault="00F277C1" w:rsidP="00D53E5E">
            <w:pPr>
              <w:spacing w:line="360" w:lineRule="auto"/>
              <w:jc w:val="both"/>
              <w:rPr>
                <w:rFonts w:ascii="Book Antiqua" w:hAnsi="Book Antiqua"/>
              </w:rPr>
            </w:pPr>
            <w:r w:rsidRPr="006133F1">
              <w:rPr>
                <w:rFonts w:ascii="Book Antiqua" w:hAnsi="Book Antiqua"/>
              </w:rPr>
              <w:t>16</w:t>
            </w:r>
          </w:p>
        </w:tc>
      </w:tr>
    </w:tbl>
    <w:p w14:paraId="7630CACF" w14:textId="373E9985" w:rsidR="00F802DD" w:rsidRDefault="00F802DD" w:rsidP="00F277C1">
      <w:pPr>
        <w:spacing w:line="360" w:lineRule="auto"/>
        <w:jc w:val="both"/>
        <w:rPr>
          <w:rFonts w:ascii="Book Antiqua" w:hAnsi="Book Antiqua"/>
        </w:rPr>
      </w:pPr>
      <w:r w:rsidRPr="00F802DD">
        <w:rPr>
          <w:rFonts w:ascii="Book Antiqua" w:hAnsi="Book Antiqua"/>
        </w:rPr>
        <w:t>NGS</w:t>
      </w:r>
      <w:r>
        <w:rPr>
          <w:rFonts w:ascii="Book Antiqua" w:hAnsi="Book Antiqua"/>
        </w:rPr>
        <w:t xml:space="preserve">: </w:t>
      </w:r>
      <w:r w:rsidR="00D3717E" w:rsidRPr="00D3717E">
        <w:rPr>
          <w:rFonts w:ascii="Book Antiqua" w:hAnsi="Book Antiqua"/>
        </w:rPr>
        <w:t>Next generation sequencing</w:t>
      </w:r>
      <w:r w:rsidR="0053458B">
        <w:rPr>
          <w:rFonts w:ascii="Book Antiqua" w:hAnsi="Book Antiqua"/>
        </w:rPr>
        <w:t xml:space="preserve">; </w:t>
      </w:r>
      <w:r w:rsidR="00724416">
        <w:rPr>
          <w:rFonts w:ascii="Book Antiqua" w:hAnsi="Book Antiqua"/>
        </w:rPr>
        <w:t xml:space="preserve">ALK: </w:t>
      </w:r>
      <w:r w:rsidR="00724416" w:rsidRPr="00724416">
        <w:rPr>
          <w:rFonts w:ascii="Book Antiqua" w:hAnsi="Book Antiqua"/>
        </w:rPr>
        <w:t>Anaplastic lymphoma kinase</w:t>
      </w:r>
      <w:r w:rsidR="00724416">
        <w:rPr>
          <w:rFonts w:ascii="Book Antiqua" w:hAnsi="Book Antiqua"/>
        </w:rPr>
        <w:t xml:space="preserve">; IHC: </w:t>
      </w:r>
      <w:r w:rsidR="005265E5" w:rsidRPr="005265E5">
        <w:rPr>
          <w:rFonts w:ascii="Book Antiqua" w:hAnsi="Book Antiqua"/>
        </w:rPr>
        <w:t>Immunohistochemistry</w:t>
      </w:r>
      <w:r w:rsidR="005265E5">
        <w:rPr>
          <w:rFonts w:ascii="Book Antiqua" w:hAnsi="Book Antiqua"/>
        </w:rPr>
        <w:t>.</w:t>
      </w:r>
    </w:p>
    <w:p w14:paraId="076E8D04" w14:textId="77777777" w:rsidR="00F802DD" w:rsidRPr="006133F1" w:rsidRDefault="00F802DD" w:rsidP="00F277C1">
      <w:pPr>
        <w:spacing w:line="360" w:lineRule="auto"/>
        <w:jc w:val="both"/>
        <w:rPr>
          <w:rFonts w:ascii="Book Antiqua" w:hAnsi="Book Antiqua"/>
        </w:rPr>
      </w:pPr>
    </w:p>
    <w:p w14:paraId="4092D1B6" w14:textId="77777777" w:rsidR="00F802DD" w:rsidRDefault="00F802DD" w:rsidP="00F277C1">
      <w:pPr>
        <w:spacing w:line="360" w:lineRule="auto"/>
        <w:jc w:val="both"/>
        <w:rPr>
          <w:rFonts w:ascii="Book Antiqua" w:hAnsi="Book Antiqua"/>
        </w:rPr>
        <w:sectPr w:rsidR="00F802DD">
          <w:pgSz w:w="12240" w:h="15840"/>
          <w:pgMar w:top="1440" w:right="1440" w:bottom="1440" w:left="1440" w:header="720" w:footer="720" w:gutter="0"/>
          <w:cols w:space="720"/>
          <w:docGrid w:linePitch="360"/>
        </w:sectPr>
      </w:pPr>
    </w:p>
    <w:p w14:paraId="02D8D4D1" w14:textId="1A7F08E7" w:rsidR="00F277C1" w:rsidRPr="00F569E1" w:rsidRDefault="00F277C1" w:rsidP="00F277C1">
      <w:pPr>
        <w:spacing w:line="360" w:lineRule="auto"/>
        <w:jc w:val="both"/>
        <w:rPr>
          <w:rFonts w:ascii="Book Antiqua" w:hAnsi="Book Antiqua"/>
          <w:b/>
          <w:bCs/>
        </w:rPr>
      </w:pPr>
      <w:r w:rsidRPr="006133F1">
        <w:rPr>
          <w:rFonts w:ascii="Book Antiqua" w:hAnsi="Book Antiqua"/>
          <w:b/>
        </w:rPr>
        <w:lastRenderedPageBreak/>
        <w:t>Table 2</w:t>
      </w:r>
      <w:r w:rsidRPr="00D66B97">
        <w:rPr>
          <w:rFonts w:ascii="Book Antiqua" w:hAnsi="Book Antiqua"/>
          <w:b/>
          <w:bCs/>
        </w:rPr>
        <w:t xml:space="preserve"> Number of mutations found in genetic testing of lung cancer patients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
        <w:gridCol w:w="1275"/>
        <w:gridCol w:w="1134"/>
        <w:gridCol w:w="1275"/>
        <w:gridCol w:w="1276"/>
        <w:gridCol w:w="1134"/>
        <w:gridCol w:w="1049"/>
      </w:tblGrid>
      <w:tr w:rsidR="00F277C1" w:rsidRPr="006133F1" w14:paraId="3DCC1AC4" w14:textId="77777777" w:rsidTr="00D703BF">
        <w:trPr>
          <w:trHeight w:val="288"/>
        </w:trPr>
        <w:tc>
          <w:tcPr>
            <w:tcW w:w="960" w:type="dxa"/>
            <w:tcBorders>
              <w:top w:val="single" w:sz="4" w:space="0" w:color="auto"/>
              <w:bottom w:val="single" w:sz="4" w:space="0" w:color="auto"/>
            </w:tcBorders>
            <w:noWrap/>
            <w:hideMark/>
          </w:tcPr>
          <w:p w14:paraId="536907C1" w14:textId="77777777" w:rsidR="00F277C1" w:rsidRPr="004E3431" w:rsidRDefault="00F277C1" w:rsidP="001B0F4E">
            <w:pPr>
              <w:spacing w:line="360" w:lineRule="auto"/>
              <w:jc w:val="both"/>
              <w:rPr>
                <w:rFonts w:ascii="Book Antiqua" w:hAnsi="Book Antiqua"/>
                <w:b/>
                <w:bCs/>
                <w:lang w:val="en-US"/>
              </w:rPr>
            </w:pPr>
          </w:p>
        </w:tc>
        <w:tc>
          <w:tcPr>
            <w:tcW w:w="1275" w:type="dxa"/>
            <w:tcBorders>
              <w:top w:val="single" w:sz="4" w:space="0" w:color="auto"/>
              <w:bottom w:val="single" w:sz="4" w:space="0" w:color="auto"/>
            </w:tcBorders>
            <w:noWrap/>
            <w:hideMark/>
          </w:tcPr>
          <w:p w14:paraId="7F5B48EF" w14:textId="77777777" w:rsidR="00F277C1" w:rsidRPr="004E3431" w:rsidRDefault="00F277C1" w:rsidP="001B0F4E">
            <w:pPr>
              <w:spacing w:line="360" w:lineRule="auto"/>
              <w:jc w:val="both"/>
              <w:rPr>
                <w:rFonts w:ascii="Book Antiqua" w:hAnsi="Book Antiqua"/>
                <w:b/>
                <w:bCs/>
              </w:rPr>
            </w:pPr>
            <w:r w:rsidRPr="004E3431">
              <w:rPr>
                <w:rFonts w:ascii="Book Antiqua" w:hAnsi="Book Antiqua"/>
                <w:b/>
                <w:bCs/>
              </w:rPr>
              <w:t>EGFR-pos</w:t>
            </w:r>
          </w:p>
        </w:tc>
        <w:tc>
          <w:tcPr>
            <w:tcW w:w="1134" w:type="dxa"/>
            <w:tcBorders>
              <w:top w:val="single" w:sz="4" w:space="0" w:color="auto"/>
              <w:bottom w:val="single" w:sz="4" w:space="0" w:color="auto"/>
            </w:tcBorders>
            <w:noWrap/>
            <w:hideMark/>
          </w:tcPr>
          <w:p w14:paraId="6C09F727" w14:textId="77777777" w:rsidR="00F277C1" w:rsidRPr="004E3431" w:rsidRDefault="00F277C1" w:rsidP="001B0F4E">
            <w:pPr>
              <w:spacing w:line="360" w:lineRule="auto"/>
              <w:jc w:val="both"/>
              <w:rPr>
                <w:rFonts w:ascii="Book Antiqua" w:hAnsi="Book Antiqua"/>
                <w:b/>
                <w:bCs/>
              </w:rPr>
            </w:pPr>
            <w:r w:rsidRPr="004E3431">
              <w:rPr>
                <w:rFonts w:ascii="Book Antiqua" w:hAnsi="Book Antiqua"/>
                <w:b/>
                <w:bCs/>
              </w:rPr>
              <w:t>BRAF pos</w:t>
            </w:r>
          </w:p>
        </w:tc>
        <w:tc>
          <w:tcPr>
            <w:tcW w:w="1275" w:type="dxa"/>
            <w:tcBorders>
              <w:top w:val="single" w:sz="4" w:space="0" w:color="auto"/>
              <w:bottom w:val="single" w:sz="4" w:space="0" w:color="auto"/>
            </w:tcBorders>
            <w:noWrap/>
            <w:hideMark/>
          </w:tcPr>
          <w:p w14:paraId="555B7699" w14:textId="77777777" w:rsidR="00F277C1" w:rsidRPr="004E3431" w:rsidRDefault="00F277C1" w:rsidP="001B0F4E">
            <w:pPr>
              <w:spacing w:line="360" w:lineRule="auto"/>
              <w:jc w:val="both"/>
              <w:rPr>
                <w:rFonts w:ascii="Book Antiqua" w:hAnsi="Book Antiqua"/>
                <w:b/>
                <w:bCs/>
              </w:rPr>
            </w:pPr>
            <w:r w:rsidRPr="004E3431">
              <w:rPr>
                <w:rFonts w:ascii="Book Antiqua" w:hAnsi="Book Antiqua"/>
                <w:b/>
                <w:bCs/>
              </w:rPr>
              <w:t>KRAS pos</w:t>
            </w:r>
          </w:p>
        </w:tc>
        <w:tc>
          <w:tcPr>
            <w:tcW w:w="1276" w:type="dxa"/>
            <w:tcBorders>
              <w:top w:val="single" w:sz="4" w:space="0" w:color="auto"/>
              <w:bottom w:val="single" w:sz="4" w:space="0" w:color="auto"/>
            </w:tcBorders>
            <w:noWrap/>
            <w:hideMark/>
          </w:tcPr>
          <w:p w14:paraId="30E1A6EC" w14:textId="77777777" w:rsidR="00F277C1" w:rsidRPr="004E3431" w:rsidRDefault="00F277C1" w:rsidP="001B0F4E">
            <w:pPr>
              <w:spacing w:line="360" w:lineRule="auto"/>
              <w:jc w:val="both"/>
              <w:rPr>
                <w:rFonts w:ascii="Book Antiqua" w:hAnsi="Book Antiqua"/>
                <w:b/>
                <w:bCs/>
              </w:rPr>
            </w:pPr>
            <w:r w:rsidRPr="004E3431">
              <w:rPr>
                <w:rFonts w:ascii="Book Antiqua" w:hAnsi="Book Antiqua"/>
                <w:b/>
                <w:bCs/>
              </w:rPr>
              <w:t>cfDNA EGFR-pos</w:t>
            </w:r>
          </w:p>
        </w:tc>
        <w:tc>
          <w:tcPr>
            <w:tcW w:w="1134" w:type="dxa"/>
            <w:tcBorders>
              <w:top w:val="single" w:sz="4" w:space="0" w:color="auto"/>
              <w:bottom w:val="single" w:sz="4" w:space="0" w:color="auto"/>
            </w:tcBorders>
            <w:noWrap/>
            <w:hideMark/>
          </w:tcPr>
          <w:p w14:paraId="5BCD6F51" w14:textId="77777777" w:rsidR="00F277C1" w:rsidRPr="004E3431" w:rsidRDefault="00F277C1" w:rsidP="001B0F4E">
            <w:pPr>
              <w:spacing w:line="360" w:lineRule="auto"/>
              <w:jc w:val="both"/>
              <w:rPr>
                <w:rFonts w:ascii="Book Antiqua" w:hAnsi="Book Antiqua"/>
                <w:b/>
                <w:bCs/>
              </w:rPr>
            </w:pPr>
            <w:r w:rsidRPr="004E3431">
              <w:rPr>
                <w:rFonts w:ascii="Book Antiqua" w:hAnsi="Book Antiqua"/>
                <w:b/>
                <w:bCs/>
              </w:rPr>
              <w:t>ALK-pos</w:t>
            </w:r>
          </w:p>
        </w:tc>
        <w:tc>
          <w:tcPr>
            <w:tcW w:w="1049" w:type="dxa"/>
            <w:tcBorders>
              <w:top w:val="single" w:sz="4" w:space="0" w:color="auto"/>
              <w:bottom w:val="single" w:sz="4" w:space="0" w:color="auto"/>
            </w:tcBorders>
            <w:noWrap/>
            <w:hideMark/>
          </w:tcPr>
          <w:p w14:paraId="7334707B" w14:textId="77777777" w:rsidR="00F277C1" w:rsidRPr="004E3431" w:rsidRDefault="00F277C1" w:rsidP="001B0F4E">
            <w:pPr>
              <w:spacing w:line="360" w:lineRule="auto"/>
              <w:jc w:val="both"/>
              <w:rPr>
                <w:rFonts w:ascii="Book Antiqua" w:hAnsi="Book Antiqua"/>
                <w:b/>
                <w:bCs/>
              </w:rPr>
            </w:pPr>
            <w:r w:rsidRPr="004E3431">
              <w:rPr>
                <w:rFonts w:ascii="Book Antiqua" w:hAnsi="Book Antiqua"/>
                <w:b/>
                <w:bCs/>
              </w:rPr>
              <w:t>ROS-1-pos</w:t>
            </w:r>
          </w:p>
        </w:tc>
      </w:tr>
      <w:tr w:rsidR="00E83A76" w:rsidRPr="006133F1" w14:paraId="036F5A4F" w14:textId="77777777" w:rsidTr="00D703BF">
        <w:trPr>
          <w:trHeight w:val="288"/>
        </w:trPr>
        <w:tc>
          <w:tcPr>
            <w:tcW w:w="960" w:type="dxa"/>
            <w:tcBorders>
              <w:top w:val="single" w:sz="4" w:space="0" w:color="auto"/>
            </w:tcBorders>
            <w:noWrap/>
            <w:hideMark/>
          </w:tcPr>
          <w:p w14:paraId="5A2BA340" w14:textId="77777777" w:rsidR="00E83A76" w:rsidRPr="006133F1" w:rsidRDefault="00E83A76" w:rsidP="00E83A76">
            <w:pPr>
              <w:spacing w:line="360" w:lineRule="auto"/>
              <w:jc w:val="both"/>
              <w:rPr>
                <w:rFonts w:ascii="Book Antiqua" w:hAnsi="Book Antiqua"/>
              </w:rPr>
            </w:pPr>
            <w:r w:rsidRPr="006133F1">
              <w:rPr>
                <w:rFonts w:ascii="Book Antiqua" w:hAnsi="Book Antiqua"/>
              </w:rPr>
              <w:t>2016</w:t>
            </w:r>
          </w:p>
        </w:tc>
        <w:tc>
          <w:tcPr>
            <w:tcW w:w="1275" w:type="dxa"/>
            <w:tcBorders>
              <w:top w:val="single" w:sz="4" w:space="0" w:color="auto"/>
            </w:tcBorders>
            <w:noWrap/>
            <w:hideMark/>
          </w:tcPr>
          <w:p w14:paraId="5722A41E" w14:textId="77777777" w:rsidR="00E83A76" w:rsidRPr="006133F1" w:rsidRDefault="00E83A76" w:rsidP="00E83A76">
            <w:pPr>
              <w:spacing w:line="360" w:lineRule="auto"/>
              <w:jc w:val="both"/>
              <w:rPr>
                <w:rFonts w:ascii="Book Antiqua" w:hAnsi="Book Antiqua"/>
              </w:rPr>
            </w:pPr>
            <w:r w:rsidRPr="006133F1">
              <w:rPr>
                <w:rFonts w:ascii="Book Antiqua" w:hAnsi="Book Antiqua"/>
              </w:rPr>
              <w:t>2 (5%)</w:t>
            </w:r>
          </w:p>
        </w:tc>
        <w:tc>
          <w:tcPr>
            <w:tcW w:w="1134" w:type="dxa"/>
            <w:tcBorders>
              <w:top w:val="single" w:sz="4" w:space="0" w:color="auto"/>
            </w:tcBorders>
            <w:noWrap/>
            <w:hideMark/>
          </w:tcPr>
          <w:p w14:paraId="66FEF2E1" w14:textId="306A4EE7" w:rsidR="00E83A76" w:rsidRPr="006133F1" w:rsidRDefault="00E83A76" w:rsidP="00E83A76">
            <w:pPr>
              <w:spacing w:line="360" w:lineRule="auto"/>
              <w:jc w:val="both"/>
              <w:rPr>
                <w:rFonts w:ascii="Book Antiqua" w:hAnsi="Book Antiqua"/>
              </w:rPr>
            </w:pPr>
            <w:r w:rsidRPr="00E9093C">
              <w:rPr>
                <w:rFonts w:ascii="Book Antiqua" w:hAnsi="Book Antiqua"/>
              </w:rPr>
              <w:t>NR</w:t>
            </w:r>
          </w:p>
        </w:tc>
        <w:tc>
          <w:tcPr>
            <w:tcW w:w="1275" w:type="dxa"/>
            <w:tcBorders>
              <w:top w:val="single" w:sz="4" w:space="0" w:color="auto"/>
            </w:tcBorders>
            <w:noWrap/>
            <w:hideMark/>
          </w:tcPr>
          <w:p w14:paraId="5DB895BA" w14:textId="5D1593AA" w:rsidR="00E83A76" w:rsidRPr="006133F1" w:rsidRDefault="00E83A76" w:rsidP="00E83A76">
            <w:pPr>
              <w:spacing w:line="360" w:lineRule="auto"/>
              <w:jc w:val="both"/>
              <w:rPr>
                <w:rFonts w:ascii="Book Antiqua" w:hAnsi="Book Antiqua"/>
              </w:rPr>
            </w:pPr>
            <w:r w:rsidRPr="003B5FEC">
              <w:rPr>
                <w:rFonts w:ascii="Book Antiqua" w:hAnsi="Book Antiqua"/>
              </w:rPr>
              <w:t>NR</w:t>
            </w:r>
          </w:p>
        </w:tc>
        <w:tc>
          <w:tcPr>
            <w:tcW w:w="1276" w:type="dxa"/>
            <w:tcBorders>
              <w:top w:val="single" w:sz="4" w:space="0" w:color="auto"/>
            </w:tcBorders>
            <w:noWrap/>
            <w:hideMark/>
          </w:tcPr>
          <w:p w14:paraId="0D54E14E" w14:textId="77777777" w:rsidR="00E83A76" w:rsidRPr="006133F1" w:rsidRDefault="00E83A76" w:rsidP="00E83A76">
            <w:pPr>
              <w:spacing w:line="360" w:lineRule="auto"/>
              <w:jc w:val="both"/>
              <w:rPr>
                <w:rFonts w:ascii="Book Antiqua" w:hAnsi="Book Antiqua"/>
              </w:rPr>
            </w:pPr>
            <w:r w:rsidRPr="006133F1">
              <w:rPr>
                <w:rFonts w:ascii="Book Antiqua" w:hAnsi="Book Antiqua"/>
              </w:rPr>
              <w:t>1 (20%)</w:t>
            </w:r>
          </w:p>
        </w:tc>
        <w:tc>
          <w:tcPr>
            <w:tcW w:w="1134" w:type="dxa"/>
            <w:tcBorders>
              <w:top w:val="single" w:sz="4" w:space="0" w:color="auto"/>
            </w:tcBorders>
            <w:noWrap/>
            <w:hideMark/>
          </w:tcPr>
          <w:p w14:paraId="0C5433EC" w14:textId="77777777" w:rsidR="00E83A76" w:rsidRPr="006133F1" w:rsidRDefault="00E83A76" w:rsidP="00E83A76">
            <w:pPr>
              <w:spacing w:line="360" w:lineRule="auto"/>
              <w:jc w:val="both"/>
              <w:rPr>
                <w:rFonts w:ascii="Book Antiqua" w:hAnsi="Book Antiqua"/>
              </w:rPr>
            </w:pPr>
            <w:r w:rsidRPr="006133F1">
              <w:rPr>
                <w:rFonts w:ascii="Book Antiqua" w:hAnsi="Book Antiqua"/>
              </w:rPr>
              <w:t>0</w:t>
            </w:r>
          </w:p>
        </w:tc>
        <w:tc>
          <w:tcPr>
            <w:tcW w:w="1049" w:type="dxa"/>
            <w:tcBorders>
              <w:top w:val="single" w:sz="4" w:space="0" w:color="auto"/>
            </w:tcBorders>
            <w:noWrap/>
            <w:hideMark/>
          </w:tcPr>
          <w:p w14:paraId="15589C42" w14:textId="77777777" w:rsidR="00E83A76" w:rsidRPr="006133F1" w:rsidRDefault="00E83A76" w:rsidP="00E83A76">
            <w:pPr>
              <w:spacing w:line="360" w:lineRule="auto"/>
              <w:jc w:val="both"/>
              <w:rPr>
                <w:rFonts w:ascii="Book Antiqua" w:hAnsi="Book Antiqua"/>
              </w:rPr>
            </w:pPr>
            <w:r w:rsidRPr="006133F1">
              <w:rPr>
                <w:rFonts w:ascii="Book Antiqua" w:hAnsi="Book Antiqua"/>
              </w:rPr>
              <w:t>0</w:t>
            </w:r>
          </w:p>
        </w:tc>
      </w:tr>
      <w:tr w:rsidR="00E83A76" w:rsidRPr="006133F1" w14:paraId="7DEFD8B6" w14:textId="77777777" w:rsidTr="00D703BF">
        <w:trPr>
          <w:trHeight w:val="288"/>
        </w:trPr>
        <w:tc>
          <w:tcPr>
            <w:tcW w:w="960" w:type="dxa"/>
            <w:noWrap/>
            <w:hideMark/>
          </w:tcPr>
          <w:p w14:paraId="61E8435E" w14:textId="77777777" w:rsidR="00E83A76" w:rsidRPr="006133F1" w:rsidRDefault="00E83A76" w:rsidP="00E83A76">
            <w:pPr>
              <w:spacing w:line="360" w:lineRule="auto"/>
              <w:jc w:val="both"/>
              <w:rPr>
                <w:rFonts w:ascii="Book Antiqua" w:hAnsi="Book Antiqua"/>
              </w:rPr>
            </w:pPr>
            <w:r w:rsidRPr="006133F1">
              <w:rPr>
                <w:rFonts w:ascii="Book Antiqua" w:hAnsi="Book Antiqua"/>
              </w:rPr>
              <w:t>2017</w:t>
            </w:r>
          </w:p>
        </w:tc>
        <w:tc>
          <w:tcPr>
            <w:tcW w:w="1275" w:type="dxa"/>
            <w:noWrap/>
            <w:hideMark/>
          </w:tcPr>
          <w:p w14:paraId="266D4F9B" w14:textId="77777777" w:rsidR="00E83A76" w:rsidRPr="006133F1" w:rsidRDefault="00E83A76" w:rsidP="00E83A76">
            <w:pPr>
              <w:spacing w:line="360" w:lineRule="auto"/>
              <w:jc w:val="both"/>
              <w:rPr>
                <w:rFonts w:ascii="Book Antiqua" w:hAnsi="Book Antiqua"/>
              </w:rPr>
            </w:pPr>
            <w:r w:rsidRPr="006133F1">
              <w:rPr>
                <w:rFonts w:ascii="Book Antiqua" w:hAnsi="Book Antiqua"/>
              </w:rPr>
              <w:t>2 (5%)</w:t>
            </w:r>
          </w:p>
        </w:tc>
        <w:tc>
          <w:tcPr>
            <w:tcW w:w="1134" w:type="dxa"/>
            <w:noWrap/>
            <w:hideMark/>
          </w:tcPr>
          <w:p w14:paraId="4A93BAB6" w14:textId="37562634" w:rsidR="00E83A76" w:rsidRPr="006133F1" w:rsidRDefault="00E83A76" w:rsidP="00E83A76">
            <w:pPr>
              <w:spacing w:line="360" w:lineRule="auto"/>
              <w:jc w:val="both"/>
              <w:rPr>
                <w:rFonts w:ascii="Book Antiqua" w:hAnsi="Book Antiqua"/>
              </w:rPr>
            </w:pPr>
            <w:r w:rsidRPr="00E9093C">
              <w:rPr>
                <w:rFonts w:ascii="Book Antiqua" w:hAnsi="Book Antiqua"/>
              </w:rPr>
              <w:t>NR</w:t>
            </w:r>
          </w:p>
        </w:tc>
        <w:tc>
          <w:tcPr>
            <w:tcW w:w="1275" w:type="dxa"/>
            <w:noWrap/>
            <w:hideMark/>
          </w:tcPr>
          <w:p w14:paraId="206EA3F2" w14:textId="5AA81C6E" w:rsidR="00E83A76" w:rsidRPr="006133F1" w:rsidRDefault="00E83A76" w:rsidP="00E83A76">
            <w:pPr>
              <w:spacing w:line="360" w:lineRule="auto"/>
              <w:jc w:val="both"/>
              <w:rPr>
                <w:rFonts w:ascii="Book Antiqua" w:hAnsi="Book Antiqua"/>
              </w:rPr>
            </w:pPr>
            <w:r w:rsidRPr="003B5FEC">
              <w:rPr>
                <w:rFonts w:ascii="Book Antiqua" w:hAnsi="Book Antiqua"/>
              </w:rPr>
              <w:t>NR</w:t>
            </w:r>
          </w:p>
        </w:tc>
        <w:tc>
          <w:tcPr>
            <w:tcW w:w="1276" w:type="dxa"/>
            <w:noWrap/>
            <w:hideMark/>
          </w:tcPr>
          <w:p w14:paraId="4F944DDC" w14:textId="77777777" w:rsidR="00E83A76" w:rsidRPr="006133F1" w:rsidRDefault="00E83A76" w:rsidP="00E83A76">
            <w:pPr>
              <w:spacing w:line="360" w:lineRule="auto"/>
              <w:jc w:val="both"/>
              <w:rPr>
                <w:rFonts w:ascii="Book Antiqua" w:hAnsi="Book Antiqua"/>
              </w:rPr>
            </w:pPr>
            <w:r w:rsidRPr="006133F1">
              <w:rPr>
                <w:rFonts w:ascii="Book Antiqua" w:hAnsi="Book Antiqua"/>
              </w:rPr>
              <w:t>2 (20%)</w:t>
            </w:r>
          </w:p>
        </w:tc>
        <w:tc>
          <w:tcPr>
            <w:tcW w:w="1134" w:type="dxa"/>
            <w:noWrap/>
            <w:hideMark/>
          </w:tcPr>
          <w:p w14:paraId="077BCDB0" w14:textId="77777777" w:rsidR="00E83A76" w:rsidRPr="006133F1" w:rsidRDefault="00E83A76" w:rsidP="00E83A76">
            <w:pPr>
              <w:spacing w:line="360" w:lineRule="auto"/>
              <w:jc w:val="both"/>
              <w:rPr>
                <w:rFonts w:ascii="Book Antiqua" w:hAnsi="Book Antiqua"/>
              </w:rPr>
            </w:pPr>
            <w:r w:rsidRPr="006133F1">
              <w:rPr>
                <w:rFonts w:ascii="Book Antiqua" w:hAnsi="Book Antiqua"/>
              </w:rPr>
              <w:t>0</w:t>
            </w:r>
          </w:p>
        </w:tc>
        <w:tc>
          <w:tcPr>
            <w:tcW w:w="1049" w:type="dxa"/>
            <w:noWrap/>
            <w:hideMark/>
          </w:tcPr>
          <w:p w14:paraId="338E8778" w14:textId="77777777" w:rsidR="00E83A76" w:rsidRPr="006133F1" w:rsidRDefault="00E83A76" w:rsidP="00E83A76">
            <w:pPr>
              <w:spacing w:line="360" w:lineRule="auto"/>
              <w:jc w:val="both"/>
              <w:rPr>
                <w:rFonts w:ascii="Book Antiqua" w:hAnsi="Book Antiqua"/>
              </w:rPr>
            </w:pPr>
            <w:r w:rsidRPr="006133F1">
              <w:rPr>
                <w:rFonts w:ascii="Book Antiqua" w:hAnsi="Book Antiqua"/>
              </w:rPr>
              <w:t>0</w:t>
            </w:r>
          </w:p>
        </w:tc>
      </w:tr>
      <w:tr w:rsidR="00F277C1" w:rsidRPr="006133F1" w14:paraId="74F62030" w14:textId="77777777" w:rsidTr="00D703BF">
        <w:trPr>
          <w:trHeight w:val="288"/>
        </w:trPr>
        <w:tc>
          <w:tcPr>
            <w:tcW w:w="960" w:type="dxa"/>
            <w:noWrap/>
            <w:hideMark/>
          </w:tcPr>
          <w:p w14:paraId="7559C150" w14:textId="77777777" w:rsidR="00F277C1" w:rsidRPr="006133F1" w:rsidRDefault="00F277C1" w:rsidP="001B0F4E">
            <w:pPr>
              <w:spacing w:line="360" w:lineRule="auto"/>
              <w:jc w:val="both"/>
              <w:rPr>
                <w:rFonts w:ascii="Book Antiqua" w:hAnsi="Book Antiqua"/>
              </w:rPr>
            </w:pPr>
            <w:r w:rsidRPr="006133F1">
              <w:rPr>
                <w:rFonts w:ascii="Book Antiqua" w:hAnsi="Book Antiqua"/>
              </w:rPr>
              <w:t>2018</w:t>
            </w:r>
          </w:p>
        </w:tc>
        <w:tc>
          <w:tcPr>
            <w:tcW w:w="1275" w:type="dxa"/>
            <w:noWrap/>
            <w:hideMark/>
          </w:tcPr>
          <w:p w14:paraId="0F5A1C5E" w14:textId="77777777" w:rsidR="00F277C1" w:rsidRPr="006133F1" w:rsidRDefault="00F277C1" w:rsidP="001B0F4E">
            <w:pPr>
              <w:spacing w:line="360" w:lineRule="auto"/>
              <w:jc w:val="both"/>
              <w:rPr>
                <w:rFonts w:ascii="Book Antiqua" w:hAnsi="Book Antiqua"/>
              </w:rPr>
            </w:pPr>
            <w:r w:rsidRPr="006133F1">
              <w:rPr>
                <w:rFonts w:ascii="Book Antiqua" w:hAnsi="Book Antiqua"/>
              </w:rPr>
              <w:t>6 (12%)</w:t>
            </w:r>
          </w:p>
        </w:tc>
        <w:tc>
          <w:tcPr>
            <w:tcW w:w="1134" w:type="dxa"/>
            <w:noWrap/>
            <w:hideMark/>
          </w:tcPr>
          <w:p w14:paraId="0EFEF0D5" w14:textId="77777777" w:rsidR="00F277C1" w:rsidRPr="006133F1" w:rsidRDefault="00F277C1" w:rsidP="001B0F4E">
            <w:pPr>
              <w:spacing w:line="360" w:lineRule="auto"/>
              <w:jc w:val="both"/>
              <w:rPr>
                <w:rFonts w:ascii="Book Antiqua" w:hAnsi="Book Antiqua"/>
              </w:rPr>
            </w:pPr>
            <w:r w:rsidRPr="006133F1">
              <w:rPr>
                <w:rFonts w:ascii="Book Antiqua" w:hAnsi="Book Antiqua"/>
              </w:rPr>
              <w:t>1 (2%)</w:t>
            </w:r>
          </w:p>
        </w:tc>
        <w:tc>
          <w:tcPr>
            <w:tcW w:w="1275" w:type="dxa"/>
            <w:noWrap/>
            <w:hideMark/>
          </w:tcPr>
          <w:p w14:paraId="6569D512" w14:textId="77777777" w:rsidR="00F277C1" w:rsidRPr="006133F1" w:rsidRDefault="00F277C1" w:rsidP="001B0F4E">
            <w:pPr>
              <w:spacing w:line="360" w:lineRule="auto"/>
              <w:jc w:val="both"/>
              <w:rPr>
                <w:rFonts w:ascii="Book Antiqua" w:hAnsi="Book Antiqua"/>
              </w:rPr>
            </w:pPr>
            <w:r w:rsidRPr="006133F1">
              <w:rPr>
                <w:rFonts w:ascii="Book Antiqua" w:hAnsi="Book Antiqua"/>
              </w:rPr>
              <w:t>9 (18%)</w:t>
            </w:r>
          </w:p>
        </w:tc>
        <w:tc>
          <w:tcPr>
            <w:tcW w:w="1276" w:type="dxa"/>
            <w:noWrap/>
            <w:hideMark/>
          </w:tcPr>
          <w:p w14:paraId="28200E80" w14:textId="77777777" w:rsidR="00F277C1" w:rsidRPr="006133F1" w:rsidRDefault="00F277C1" w:rsidP="001B0F4E">
            <w:pPr>
              <w:spacing w:line="360" w:lineRule="auto"/>
              <w:jc w:val="both"/>
              <w:rPr>
                <w:rFonts w:ascii="Book Antiqua" w:hAnsi="Book Antiqua"/>
              </w:rPr>
            </w:pPr>
            <w:r w:rsidRPr="006133F1">
              <w:rPr>
                <w:rFonts w:ascii="Book Antiqua" w:hAnsi="Book Antiqua"/>
              </w:rPr>
              <w:t>6 (21%)</w:t>
            </w:r>
          </w:p>
        </w:tc>
        <w:tc>
          <w:tcPr>
            <w:tcW w:w="1134" w:type="dxa"/>
            <w:noWrap/>
            <w:hideMark/>
          </w:tcPr>
          <w:p w14:paraId="70D8FABF" w14:textId="77777777" w:rsidR="00F277C1" w:rsidRPr="006133F1" w:rsidRDefault="00F277C1" w:rsidP="001B0F4E">
            <w:pPr>
              <w:spacing w:line="360" w:lineRule="auto"/>
              <w:jc w:val="both"/>
              <w:rPr>
                <w:rFonts w:ascii="Book Antiqua" w:hAnsi="Book Antiqua"/>
              </w:rPr>
            </w:pPr>
            <w:r w:rsidRPr="006133F1">
              <w:rPr>
                <w:rFonts w:ascii="Book Antiqua" w:hAnsi="Book Antiqua"/>
              </w:rPr>
              <w:t>2 (4%)</w:t>
            </w:r>
          </w:p>
        </w:tc>
        <w:tc>
          <w:tcPr>
            <w:tcW w:w="1049" w:type="dxa"/>
            <w:noWrap/>
            <w:hideMark/>
          </w:tcPr>
          <w:p w14:paraId="4F185EB5" w14:textId="77777777" w:rsidR="00F277C1" w:rsidRPr="006133F1" w:rsidRDefault="00F277C1" w:rsidP="001B0F4E">
            <w:pPr>
              <w:spacing w:line="360" w:lineRule="auto"/>
              <w:jc w:val="both"/>
              <w:rPr>
                <w:rFonts w:ascii="Book Antiqua" w:hAnsi="Book Antiqua"/>
              </w:rPr>
            </w:pPr>
            <w:r w:rsidRPr="006133F1">
              <w:rPr>
                <w:rFonts w:ascii="Book Antiqua" w:hAnsi="Book Antiqua"/>
              </w:rPr>
              <w:t>0</w:t>
            </w:r>
          </w:p>
        </w:tc>
      </w:tr>
      <w:tr w:rsidR="00F277C1" w:rsidRPr="006133F1" w14:paraId="446591B6" w14:textId="77777777" w:rsidTr="00D703BF">
        <w:trPr>
          <w:trHeight w:val="300"/>
        </w:trPr>
        <w:tc>
          <w:tcPr>
            <w:tcW w:w="960" w:type="dxa"/>
            <w:tcBorders>
              <w:bottom w:val="single" w:sz="4" w:space="0" w:color="auto"/>
            </w:tcBorders>
            <w:noWrap/>
            <w:hideMark/>
          </w:tcPr>
          <w:p w14:paraId="213DDADC" w14:textId="77777777" w:rsidR="00F277C1" w:rsidRPr="006133F1" w:rsidRDefault="00F277C1" w:rsidP="001B0F4E">
            <w:pPr>
              <w:spacing w:line="360" w:lineRule="auto"/>
              <w:jc w:val="both"/>
              <w:rPr>
                <w:rFonts w:ascii="Book Antiqua" w:hAnsi="Book Antiqua"/>
              </w:rPr>
            </w:pPr>
            <w:r w:rsidRPr="006133F1">
              <w:rPr>
                <w:rFonts w:ascii="Book Antiqua" w:hAnsi="Book Antiqua"/>
              </w:rPr>
              <w:t>2019</w:t>
            </w:r>
          </w:p>
        </w:tc>
        <w:tc>
          <w:tcPr>
            <w:tcW w:w="1275" w:type="dxa"/>
            <w:tcBorders>
              <w:bottom w:val="single" w:sz="4" w:space="0" w:color="auto"/>
            </w:tcBorders>
            <w:noWrap/>
            <w:hideMark/>
          </w:tcPr>
          <w:p w14:paraId="5D01E27E" w14:textId="77777777" w:rsidR="00F277C1" w:rsidRPr="006133F1" w:rsidRDefault="00F277C1" w:rsidP="001B0F4E">
            <w:pPr>
              <w:spacing w:line="360" w:lineRule="auto"/>
              <w:jc w:val="both"/>
              <w:rPr>
                <w:rFonts w:ascii="Book Antiqua" w:hAnsi="Book Antiqua"/>
              </w:rPr>
            </w:pPr>
            <w:r w:rsidRPr="006133F1">
              <w:rPr>
                <w:rFonts w:ascii="Book Antiqua" w:hAnsi="Book Antiqua"/>
              </w:rPr>
              <w:t>6 (18%)</w:t>
            </w:r>
          </w:p>
        </w:tc>
        <w:tc>
          <w:tcPr>
            <w:tcW w:w="1134" w:type="dxa"/>
            <w:tcBorders>
              <w:bottom w:val="single" w:sz="4" w:space="0" w:color="auto"/>
            </w:tcBorders>
            <w:noWrap/>
            <w:hideMark/>
          </w:tcPr>
          <w:p w14:paraId="2C5ADAEF" w14:textId="77777777" w:rsidR="00F277C1" w:rsidRPr="006133F1" w:rsidRDefault="00F277C1" w:rsidP="001B0F4E">
            <w:pPr>
              <w:spacing w:line="360" w:lineRule="auto"/>
              <w:jc w:val="both"/>
              <w:rPr>
                <w:rFonts w:ascii="Book Antiqua" w:hAnsi="Book Antiqua"/>
              </w:rPr>
            </w:pPr>
            <w:r w:rsidRPr="006133F1">
              <w:rPr>
                <w:rFonts w:ascii="Book Antiqua" w:hAnsi="Book Antiqua"/>
              </w:rPr>
              <w:t>2 (6%)</w:t>
            </w:r>
          </w:p>
        </w:tc>
        <w:tc>
          <w:tcPr>
            <w:tcW w:w="1275" w:type="dxa"/>
            <w:tcBorders>
              <w:bottom w:val="single" w:sz="4" w:space="0" w:color="auto"/>
            </w:tcBorders>
            <w:noWrap/>
            <w:hideMark/>
          </w:tcPr>
          <w:p w14:paraId="348DD087" w14:textId="77777777" w:rsidR="00F277C1" w:rsidRPr="006133F1" w:rsidRDefault="00F277C1" w:rsidP="001B0F4E">
            <w:pPr>
              <w:spacing w:line="360" w:lineRule="auto"/>
              <w:jc w:val="both"/>
              <w:rPr>
                <w:rFonts w:ascii="Book Antiqua" w:hAnsi="Book Antiqua"/>
              </w:rPr>
            </w:pPr>
            <w:r w:rsidRPr="006133F1">
              <w:rPr>
                <w:rFonts w:ascii="Book Antiqua" w:hAnsi="Book Antiqua"/>
              </w:rPr>
              <w:t>10 (30%)</w:t>
            </w:r>
          </w:p>
        </w:tc>
        <w:tc>
          <w:tcPr>
            <w:tcW w:w="1276" w:type="dxa"/>
            <w:tcBorders>
              <w:bottom w:val="single" w:sz="4" w:space="0" w:color="auto"/>
            </w:tcBorders>
            <w:noWrap/>
            <w:hideMark/>
          </w:tcPr>
          <w:p w14:paraId="3F858C61" w14:textId="77777777" w:rsidR="00F277C1" w:rsidRPr="006133F1" w:rsidRDefault="00F277C1" w:rsidP="001B0F4E">
            <w:pPr>
              <w:spacing w:line="360" w:lineRule="auto"/>
              <w:jc w:val="both"/>
              <w:rPr>
                <w:rFonts w:ascii="Book Antiqua" w:hAnsi="Book Antiqua"/>
              </w:rPr>
            </w:pPr>
            <w:r w:rsidRPr="006133F1">
              <w:rPr>
                <w:rFonts w:ascii="Book Antiqua" w:hAnsi="Book Antiqua"/>
              </w:rPr>
              <w:t>3 (25%)</w:t>
            </w:r>
          </w:p>
        </w:tc>
        <w:tc>
          <w:tcPr>
            <w:tcW w:w="1134" w:type="dxa"/>
            <w:tcBorders>
              <w:bottom w:val="single" w:sz="4" w:space="0" w:color="auto"/>
            </w:tcBorders>
            <w:noWrap/>
            <w:hideMark/>
          </w:tcPr>
          <w:p w14:paraId="01674E11" w14:textId="77777777" w:rsidR="00F277C1" w:rsidRPr="006133F1" w:rsidRDefault="00F277C1" w:rsidP="001B0F4E">
            <w:pPr>
              <w:spacing w:line="360" w:lineRule="auto"/>
              <w:jc w:val="both"/>
              <w:rPr>
                <w:rFonts w:ascii="Book Antiqua" w:hAnsi="Book Antiqua"/>
              </w:rPr>
            </w:pPr>
            <w:r w:rsidRPr="006133F1">
              <w:rPr>
                <w:rFonts w:ascii="Book Antiqua" w:hAnsi="Book Antiqua"/>
              </w:rPr>
              <w:t>0</w:t>
            </w:r>
          </w:p>
        </w:tc>
        <w:tc>
          <w:tcPr>
            <w:tcW w:w="1049" w:type="dxa"/>
            <w:tcBorders>
              <w:bottom w:val="single" w:sz="4" w:space="0" w:color="auto"/>
            </w:tcBorders>
            <w:noWrap/>
            <w:hideMark/>
          </w:tcPr>
          <w:p w14:paraId="732A9A12" w14:textId="77777777" w:rsidR="00F277C1" w:rsidRPr="006133F1" w:rsidRDefault="00F277C1" w:rsidP="001B0F4E">
            <w:pPr>
              <w:spacing w:line="360" w:lineRule="auto"/>
              <w:jc w:val="both"/>
              <w:rPr>
                <w:rFonts w:ascii="Book Antiqua" w:hAnsi="Book Antiqua"/>
              </w:rPr>
            </w:pPr>
            <w:r w:rsidRPr="006133F1">
              <w:rPr>
                <w:rFonts w:ascii="Book Antiqua" w:hAnsi="Book Antiqua"/>
              </w:rPr>
              <w:t>0</w:t>
            </w:r>
          </w:p>
        </w:tc>
      </w:tr>
    </w:tbl>
    <w:p w14:paraId="66270182" w14:textId="5EB964B4" w:rsidR="00AB3694" w:rsidRDefault="00383334">
      <w:pPr>
        <w:spacing w:line="360" w:lineRule="auto"/>
        <w:jc w:val="both"/>
        <w:rPr>
          <w:rFonts w:ascii="Book Antiqua" w:hAnsi="Book Antiqua"/>
          <w:lang w:eastAsia="zh-CN"/>
        </w:rPr>
      </w:pPr>
      <w:r w:rsidRPr="002279A4">
        <w:rPr>
          <w:rFonts w:ascii="Book Antiqua" w:eastAsia="Book Antiqua" w:hAnsi="Book Antiqua" w:cs="Book Antiqua"/>
          <w:color w:val="000000"/>
        </w:rPr>
        <w:t>EGFR</w:t>
      </w:r>
      <w:r>
        <w:rPr>
          <w:rFonts w:ascii="Book Antiqua" w:eastAsia="Book Antiqua" w:hAnsi="Book Antiqua" w:cs="Book Antiqua"/>
          <w:color w:val="000000"/>
        </w:rPr>
        <w:t>: E</w:t>
      </w:r>
      <w:r w:rsidRPr="002279A4">
        <w:rPr>
          <w:rFonts w:ascii="Book Antiqua" w:eastAsia="Book Antiqua" w:hAnsi="Book Antiqua" w:cs="Book Antiqua"/>
          <w:color w:val="000000"/>
        </w:rPr>
        <w:t>pidermal growth factor receptor</w:t>
      </w:r>
      <w:r>
        <w:rPr>
          <w:rFonts w:ascii="Book Antiqua" w:hAnsi="Book Antiqua"/>
        </w:rPr>
        <w:t xml:space="preserve">; </w:t>
      </w:r>
      <w:r w:rsidR="007072FB">
        <w:rPr>
          <w:rFonts w:ascii="Book Antiqua" w:hAnsi="Book Antiqua"/>
        </w:rPr>
        <w:t xml:space="preserve">ALK: </w:t>
      </w:r>
      <w:r w:rsidR="007072FB" w:rsidRPr="00724416">
        <w:rPr>
          <w:rFonts w:ascii="Book Antiqua" w:hAnsi="Book Antiqua"/>
        </w:rPr>
        <w:t>Anaplastic lymphoma kinase</w:t>
      </w:r>
      <w:r w:rsidR="007072FB">
        <w:rPr>
          <w:rFonts w:ascii="Book Antiqua" w:hAnsi="Book Antiqua"/>
        </w:rPr>
        <w:t xml:space="preserve">; </w:t>
      </w:r>
      <w:r w:rsidR="00D703BF">
        <w:rPr>
          <w:rFonts w:ascii="Book Antiqua" w:hAnsi="Book Antiqua"/>
        </w:rPr>
        <w:t>NR</w:t>
      </w:r>
      <w:r w:rsidR="00005CD5">
        <w:rPr>
          <w:rFonts w:ascii="Book Antiqua" w:hAnsi="Book Antiqua"/>
        </w:rPr>
        <w:t>: N</w:t>
      </w:r>
      <w:r w:rsidR="00F277C1" w:rsidRPr="006133F1">
        <w:rPr>
          <w:rFonts w:ascii="Book Antiqua" w:hAnsi="Book Antiqua"/>
        </w:rPr>
        <w:t>ot reported</w:t>
      </w:r>
      <w:r w:rsidR="00532092">
        <w:rPr>
          <w:rFonts w:ascii="Book Antiqua" w:hAnsi="Book Antiqua" w:hint="eastAsia"/>
          <w:lang w:eastAsia="zh-CN"/>
        </w:rPr>
        <w:t>.</w:t>
      </w:r>
    </w:p>
    <w:p w14:paraId="5CA9807D" w14:textId="74628267" w:rsidR="002B552E" w:rsidRDefault="002B552E">
      <w:pPr>
        <w:rPr>
          <w:rFonts w:ascii="Book Antiqua" w:hAnsi="Book Antiqua"/>
          <w:lang w:eastAsia="zh-CN"/>
        </w:rPr>
      </w:pPr>
      <w:r>
        <w:rPr>
          <w:rFonts w:ascii="Book Antiqua" w:hAnsi="Book Antiqua"/>
          <w:lang w:eastAsia="zh-CN"/>
        </w:rPr>
        <w:br w:type="page"/>
      </w:r>
    </w:p>
    <w:p w14:paraId="67A3C8E0" w14:textId="77777777" w:rsidR="002B552E" w:rsidRDefault="002B552E" w:rsidP="002B552E">
      <w:pPr>
        <w:jc w:val="center"/>
        <w:rPr>
          <w:rFonts w:ascii="Book Antiqua" w:hAnsi="Book Antiqua"/>
        </w:rPr>
      </w:pPr>
    </w:p>
    <w:p w14:paraId="115E3323" w14:textId="77777777" w:rsidR="002B552E" w:rsidRDefault="002B552E" w:rsidP="002B552E">
      <w:pPr>
        <w:jc w:val="center"/>
        <w:rPr>
          <w:rFonts w:ascii="Book Antiqua" w:hAnsi="Book Antiqua"/>
        </w:rPr>
      </w:pPr>
    </w:p>
    <w:p w14:paraId="65DC7F8F" w14:textId="77777777" w:rsidR="002B552E" w:rsidRDefault="002B552E" w:rsidP="002B552E">
      <w:pPr>
        <w:jc w:val="center"/>
        <w:rPr>
          <w:rFonts w:ascii="Book Antiqua" w:hAnsi="Book Antiqua"/>
        </w:rPr>
      </w:pPr>
    </w:p>
    <w:p w14:paraId="5716737B" w14:textId="77777777" w:rsidR="002B552E" w:rsidRDefault="002B552E" w:rsidP="002B552E">
      <w:pPr>
        <w:jc w:val="center"/>
        <w:rPr>
          <w:rFonts w:ascii="Book Antiqua" w:hAnsi="Book Antiqua"/>
        </w:rPr>
      </w:pPr>
    </w:p>
    <w:p w14:paraId="13590A0E" w14:textId="77777777" w:rsidR="002B552E" w:rsidRDefault="002B552E" w:rsidP="002B552E">
      <w:pPr>
        <w:jc w:val="center"/>
        <w:rPr>
          <w:rFonts w:ascii="Book Antiqua" w:hAnsi="Book Antiqua"/>
        </w:rPr>
      </w:pPr>
    </w:p>
    <w:p w14:paraId="59E382CB" w14:textId="422781BA" w:rsidR="002B552E" w:rsidRDefault="002B552E" w:rsidP="002B552E">
      <w:pPr>
        <w:jc w:val="center"/>
        <w:rPr>
          <w:rFonts w:ascii="Book Antiqua" w:hAnsi="Book Antiqua"/>
        </w:rPr>
      </w:pPr>
      <w:r>
        <w:rPr>
          <w:rFonts w:ascii="Book Antiqua" w:hAnsi="Book Antiqua"/>
          <w:noProof/>
          <w:lang w:eastAsia="zh-CN"/>
        </w:rPr>
        <w:drawing>
          <wp:inline distT="0" distB="0" distL="0" distR="0" wp14:anchorId="68336957" wp14:editId="3FE7FED2">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81D7912" w14:textId="77777777" w:rsidR="002B552E" w:rsidRDefault="002B552E" w:rsidP="002B552E">
      <w:pPr>
        <w:jc w:val="center"/>
        <w:rPr>
          <w:rFonts w:ascii="Book Antiqua" w:hAnsi="Book Antiqua"/>
        </w:rPr>
      </w:pPr>
    </w:p>
    <w:p w14:paraId="6DBA5A6A" w14:textId="77777777" w:rsidR="002B552E" w:rsidRDefault="002B552E" w:rsidP="002B552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12B7B29" w14:textId="77777777" w:rsidR="002B552E" w:rsidRDefault="002B552E" w:rsidP="002B552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C20A7E4" w14:textId="77777777" w:rsidR="002B552E" w:rsidRDefault="002B552E" w:rsidP="002B552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BD5A10F" w14:textId="77777777" w:rsidR="002B552E" w:rsidRDefault="002B552E" w:rsidP="002B552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D907E03" w14:textId="77777777" w:rsidR="002B552E" w:rsidRDefault="002B552E" w:rsidP="002B552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B3F1074" w14:textId="77777777" w:rsidR="002B552E" w:rsidRDefault="002B552E" w:rsidP="002B552E">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D672A66" w14:textId="77777777" w:rsidR="002B552E" w:rsidRDefault="002B552E" w:rsidP="002B552E">
      <w:pPr>
        <w:jc w:val="center"/>
        <w:rPr>
          <w:rFonts w:ascii="Book Antiqua" w:hAnsi="Book Antiqua"/>
        </w:rPr>
      </w:pPr>
    </w:p>
    <w:p w14:paraId="29D2796D" w14:textId="77777777" w:rsidR="002B552E" w:rsidRDefault="002B552E" w:rsidP="002B552E">
      <w:pPr>
        <w:jc w:val="center"/>
        <w:rPr>
          <w:rFonts w:ascii="Book Antiqua" w:hAnsi="Book Antiqua"/>
        </w:rPr>
      </w:pPr>
    </w:p>
    <w:p w14:paraId="0A891382" w14:textId="77777777" w:rsidR="002B552E" w:rsidRDefault="002B552E" w:rsidP="002B552E">
      <w:pPr>
        <w:jc w:val="center"/>
        <w:rPr>
          <w:rFonts w:ascii="Book Antiqua" w:hAnsi="Book Antiqua"/>
        </w:rPr>
      </w:pPr>
    </w:p>
    <w:p w14:paraId="47BE0B96" w14:textId="2421C7DB" w:rsidR="002B552E" w:rsidRDefault="002B552E" w:rsidP="002B552E">
      <w:pPr>
        <w:jc w:val="center"/>
        <w:rPr>
          <w:rFonts w:ascii="Book Antiqua" w:hAnsi="Book Antiqua"/>
        </w:rPr>
      </w:pPr>
      <w:r>
        <w:rPr>
          <w:rFonts w:ascii="Book Antiqua" w:hAnsi="Book Antiqua"/>
          <w:noProof/>
          <w:lang w:eastAsia="zh-CN"/>
        </w:rPr>
        <w:drawing>
          <wp:inline distT="0" distB="0" distL="0" distR="0" wp14:anchorId="175D0C0B" wp14:editId="118E88C6">
            <wp:extent cx="1447800" cy="1440180"/>
            <wp:effectExtent l="0" t="0" r="0" b="7620"/>
            <wp:docPr id="3" name="图片 3"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0CF5D85" w14:textId="77777777" w:rsidR="002B552E" w:rsidRDefault="002B552E" w:rsidP="002B552E">
      <w:pPr>
        <w:jc w:val="center"/>
        <w:rPr>
          <w:rFonts w:ascii="Book Antiqua" w:hAnsi="Book Antiqua"/>
        </w:rPr>
      </w:pPr>
    </w:p>
    <w:p w14:paraId="0E43A3F7" w14:textId="77777777" w:rsidR="002B552E" w:rsidRDefault="002B552E" w:rsidP="002B552E">
      <w:pPr>
        <w:jc w:val="center"/>
        <w:rPr>
          <w:rFonts w:ascii="Book Antiqua" w:hAnsi="Book Antiqua"/>
        </w:rPr>
      </w:pPr>
    </w:p>
    <w:p w14:paraId="53F5FCBE" w14:textId="77777777" w:rsidR="002B552E" w:rsidRDefault="002B552E" w:rsidP="002B552E">
      <w:pPr>
        <w:jc w:val="center"/>
        <w:rPr>
          <w:rFonts w:ascii="Book Antiqua" w:hAnsi="Book Antiqua"/>
        </w:rPr>
      </w:pPr>
    </w:p>
    <w:p w14:paraId="1EEDDFD7" w14:textId="77777777" w:rsidR="002B552E" w:rsidRDefault="002B552E" w:rsidP="002B552E">
      <w:pPr>
        <w:jc w:val="center"/>
        <w:rPr>
          <w:rFonts w:ascii="Book Antiqua" w:hAnsi="Book Antiqua"/>
        </w:rPr>
      </w:pPr>
    </w:p>
    <w:p w14:paraId="26B0F447" w14:textId="77777777" w:rsidR="002B552E" w:rsidRDefault="002B552E" w:rsidP="002B552E">
      <w:pPr>
        <w:jc w:val="center"/>
        <w:rPr>
          <w:rFonts w:ascii="Book Antiqua" w:hAnsi="Book Antiqua"/>
        </w:rPr>
      </w:pPr>
    </w:p>
    <w:p w14:paraId="6D9811F8" w14:textId="77777777" w:rsidR="002B552E" w:rsidRDefault="002B552E" w:rsidP="002B552E">
      <w:pPr>
        <w:jc w:val="center"/>
        <w:rPr>
          <w:rFonts w:ascii="Book Antiqua" w:hAnsi="Book Antiqua"/>
        </w:rPr>
      </w:pPr>
    </w:p>
    <w:p w14:paraId="7DF6508D" w14:textId="77777777" w:rsidR="002B552E" w:rsidRDefault="002B552E" w:rsidP="002B552E">
      <w:pPr>
        <w:jc w:val="center"/>
        <w:rPr>
          <w:rFonts w:ascii="Book Antiqua" w:hAnsi="Book Antiqua"/>
        </w:rPr>
      </w:pPr>
    </w:p>
    <w:p w14:paraId="6D7D1BFE" w14:textId="77777777" w:rsidR="002B552E" w:rsidRDefault="002B552E" w:rsidP="002B552E">
      <w:pPr>
        <w:jc w:val="center"/>
        <w:rPr>
          <w:rFonts w:ascii="Book Antiqua" w:hAnsi="Book Antiqua"/>
        </w:rPr>
      </w:pPr>
    </w:p>
    <w:p w14:paraId="73A7D954" w14:textId="77777777" w:rsidR="002B552E" w:rsidRDefault="002B552E" w:rsidP="002B552E">
      <w:pPr>
        <w:jc w:val="center"/>
        <w:rPr>
          <w:rFonts w:ascii="Book Antiqua" w:hAnsi="Book Antiqua"/>
        </w:rPr>
      </w:pPr>
    </w:p>
    <w:p w14:paraId="094967AD" w14:textId="77777777" w:rsidR="002B552E" w:rsidRDefault="002B552E" w:rsidP="002B552E">
      <w:pPr>
        <w:jc w:val="right"/>
        <w:rPr>
          <w:rFonts w:ascii="Book Antiqua" w:hAnsi="Book Antiqua"/>
          <w:color w:val="000000" w:themeColor="text1"/>
        </w:rPr>
      </w:pPr>
    </w:p>
    <w:p w14:paraId="601B0A93" w14:textId="77777777" w:rsidR="002B552E" w:rsidRDefault="002B552E" w:rsidP="002B552E">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2319877" w14:textId="77777777" w:rsidR="00F774E1" w:rsidRPr="002B552E" w:rsidRDefault="00F774E1">
      <w:pPr>
        <w:spacing w:line="360" w:lineRule="auto"/>
        <w:jc w:val="both"/>
        <w:rPr>
          <w:rFonts w:ascii="Book Antiqua" w:hAnsi="Book Antiqua"/>
          <w:lang w:eastAsia="zh-CN"/>
        </w:rPr>
      </w:pPr>
    </w:p>
    <w:sectPr w:rsidR="00F774E1" w:rsidRPr="002B5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D2C9A" w14:textId="77777777" w:rsidR="005D6151" w:rsidRDefault="005D6151" w:rsidP="002A1B2B">
      <w:r>
        <w:separator/>
      </w:r>
    </w:p>
  </w:endnote>
  <w:endnote w:type="continuationSeparator" w:id="0">
    <w:p w14:paraId="051E4B36" w14:textId="77777777" w:rsidR="005D6151" w:rsidRDefault="005D6151" w:rsidP="002A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68EDF" w14:textId="3B22B3EE" w:rsidR="00793FF3" w:rsidRPr="00793FF3" w:rsidRDefault="00793FF3" w:rsidP="00793FF3">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4519A0">
      <w:rPr>
        <w:rFonts w:ascii="Book Antiqua" w:hAnsi="Book Antiqua"/>
        <w:noProof/>
        <w:sz w:val="24"/>
        <w:szCs w:val="24"/>
      </w:rPr>
      <w:t>10</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Arabic  \* MERGEFORMAT </w:instrText>
    </w:r>
    <w:r>
      <w:rPr>
        <w:rFonts w:ascii="Book Antiqua" w:hAnsi="Book Antiqua"/>
        <w:sz w:val="24"/>
        <w:szCs w:val="24"/>
      </w:rPr>
      <w:fldChar w:fldCharType="separate"/>
    </w:r>
    <w:r w:rsidR="004519A0">
      <w:rPr>
        <w:rFonts w:ascii="Book Antiqua" w:hAnsi="Book Antiqua"/>
        <w:noProof/>
        <w:sz w:val="24"/>
        <w:szCs w:val="24"/>
      </w:rPr>
      <w:t>22</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7B9CE" w14:textId="77777777" w:rsidR="005D6151" w:rsidRDefault="005D6151" w:rsidP="002A1B2B">
      <w:r>
        <w:separator/>
      </w:r>
    </w:p>
  </w:footnote>
  <w:footnote w:type="continuationSeparator" w:id="0">
    <w:p w14:paraId="244F31B4" w14:textId="77777777" w:rsidR="005D6151" w:rsidRDefault="005D6151" w:rsidP="002A1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i-FI"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CD5"/>
    <w:rsid w:val="00014F18"/>
    <w:rsid w:val="00022D7C"/>
    <w:rsid w:val="000721C6"/>
    <w:rsid w:val="000965A0"/>
    <w:rsid w:val="000B7E51"/>
    <w:rsid w:val="000C2A49"/>
    <w:rsid w:val="000D4A3E"/>
    <w:rsid w:val="000E51E5"/>
    <w:rsid w:val="000F14E7"/>
    <w:rsid w:val="00107EDB"/>
    <w:rsid w:val="001227B8"/>
    <w:rsid w:val="001435D0"/>
    <w:rsid w:val="001553FD"/>
    <w:rsid w:val="00156CFF"/>
    <w:rsid w:val="00162A59"/>
    <w:rsid w:val="001666D7"/>
    <w:rsid w:val="00195B50"/>
    <w:rsid w:val="001D37A9"/>
    <w:rsid w:val="001D61EF"/>
    <w:rsid w:val="001D7A2E"/>
    <w:rsid w:val="0022273D"/>
    <w:rsid w:val="002279A4"/>
    <w:rsid w:val="00231511"/>
    <w:rsid w:val="00243F61"/>
    <w:rsid w:val="002500A6"/>
    <w:rsid w:val="002507E7"/>
    <w:rsid w:val="0025191B"/>
    <w:rsid w:val="00263898"/>
    <w:rsid w:val="002A1B2B"/>
    <w:rsid w:val="002A5094"/>
    <w:rsid w:val="002A6E6A"/>
    <w:rsid w:val="002B552E"/>
    <w:rsid w:val="002C5D5F"/>
    <w:rsid w:val="002D01C9"/>
    <w:rsid w:val="002D11F8"/>
    <w:rsid w:val="002E5E7F"/>
    <w:rsid w:val="002F0BD3"/>
    <w:rsid w:val="002F58E4"/>
    <w:rsid w:val="002F66C6"/>
    <w:rsid w:val="00316E65"/>
    <w:rsid w:val="00321F89"/>
    <w:rsid w:val="003403EF"/>
    <w:rsid w:val="00345878"/>
    <w:rsid w:val="003604DC"/>
    <w:rsid w:val="00370C7D"/>
    <w:rsid w:val="003769AC"/>
    <w:rsid w:val="0038197F"/>
    <w:rsid w:val="00383334"/>
    <w:rsid w:val="00393419"/>
    <w:rsid w:val="00394D15"/>
    <w:rsid w:val="003A56EC"/>
    <w:rsid w:val="003A79E5"/>
    <w:rsid w:val="003B3EE9"/>
    <w:rsid w:val="003D23DF"/>
    <w:rsid w:val="003D3B92"/>
    <w:rsid w:val="003E2844"/>
    <w:rsid w:val="00401385"/>
    <w:rsid w:val="00405DCB"/>
    <w:rsid w:val="00431F38"/>
    <w:rsid w:val="004519A0"/>
    <w:rsid w:val="00455441"/>
    <w:rsid w:val="00460EE2"/>
    <w:rsid w:val="00472F02"/>
    <w:rsid w:val="00477A78"/>
    <w:rsid w:val="00495621"/>
    <w:rsid w:val="00497402"/>
    <w:rsid w:val="004C6238"/>
    <w:rsid w:val="004D6971"/>
    <w:rsid w:val="004E3431"/>
    <w:rsid w:val="004E6452"/>
    <w:rsid w:val="004E6C3D"/>
    <w:rsid w:val="005029A0"/>
    <w:rsid w:val="005248CE"/>
    <w:rsid w:val="005265E5"/>
    <w:rsid w:val="005317E6"/>
    <w:rsid w:val="00532092"/>
    <w:rsid w:val="0053458B"/>
    <w:rsid w:val="005453F3"/>
    <w:rsid w:val="00546DC1"/>
    <w:rsid w:val="00552B6C"/>
    <w:rsid w:val="00572087"/>
    <w:rsid w:val="0058639A"/>
    <w:rsid w:val="005A024B"/>
    <w:rsid w:val="005A25B0"/>
    <w:rsid w:val="005B30ED"/>
    <w:rsid w:val="005B41A9"/>
    <w:rsid w:val="005B6699"/>
    <w:rsid w:val="005D6151"/>
    <w:rsid w:val="005E2B38"/>
    <w:rsid w:val="005E60E4"/>
    <w:rsid w:val="005F70C0"/>
    <w:rsid w:val="005F7E10"/>
    <w:rsid w:val="006030A0"/>
    <w:rsid w:val="00604E0D"/>
    <w:rsid w:val="006056A2"/>
    <w:rsid w:val="00664D42"/>
    <w:rsid w:val="00680BFB"/>
    <w:rsid w:val="0069457E"/>
    <w:rsid w:val="006B5B30"/>
    <w:rsid w:val="006B6B99"/>
    <w:rsid w:val="006D0C31"/>
    <w:rsid w:val="006D3F8F"/>
    <w:rsid w:val="006F6CEB"/>
    <w:rsid w:val="00704614"/>
    <w:rsid w:val="007072FB"/>
    <w:rsid w:val="00721376"/>
    <w:rsid w:val="00724416"/>
    <w:rsid w:val="00732FA1"/>
    <w:rsid w:val="00745DB3"/>
    <w:rsid w:val="00750612"/>
    <w:rsid w:val="00751DE2"/>
    <w:rsid w:val="00762572"/>
    <w:rsid w:val="00767202"/>
    <w:rsid w:val="00774D00"/>
    <w:rsid w:val="007854F9"/>
    <w:rsid w:val="00793FF3"/>
    <w:rsid w:val="007A7778"/>
    <w:rsid w:val="007B0418"/>
    <w:rsid w:val="007B66A8"/>
    <w:rsid w:val="007C0659"/>
    <w:rsid w:val="007C0837"/>
    <w:rsid w:val="00814150"/>
    <w:rsid w:val="0082361B"/>
    <w:rsid w:val="00866A53"/>
    <w:rsid w:val="0088243F"/>
    <w:rsid w:val="0089311A"/>
    <w:rsid w:val="008936AF"/>
    <w:rsid w:val="008C78C1"/>
    <w:rsid w:val="008D76C0"/>
    <w:rsid w:val="008E4883"/>
    <w:rsid w:val="008F314A"/>
    <w:rsid w:val="008F7FFE"/>
    <w:rsid w:val="009035F8"/>
    <w:rsid w:val="00926176"/>
    <w:rsid w:val="00934E86"/>
    <w:rsid w:val="0096439E"/>
    <w:rsid w:val="00976981"/>
    <w:rsid w:val="009864A4"/>
    <w:rsid w:val="009A2A97"/>
    <w:rsid w:val="009B4F47"/>
    <w:rsid w:val="009F0C0C"/>
    <w:rsid w:val="009F174F"/>
    <w:rsid w:val="009F4445"/>
    <w:rsid w:val="009F50AE"/>
    <w:rsid w:val="00A06096"/>
    <w:rsid w:val="00A124BB"/>
    <w:rsid w:val="00A27BFE"/>
    <w:rsid w:val="00A57325"/>
    <w:rsid w:val="00A77B3E"/>
    <w:rsid w:val="00A85900"/>
    <w:rsid w:val="00A9002A"/>
    <w:rsid w:val="00A96144"/>
    <w:rsid w:val="00AB3694"/>
    <w:rsid w:val="00AE13C7"/>
    <w:rsid w:val="00AE7C85"/>
    <w:rsid w:val="00AE7FD1"/>
    <w:rsid w:val="00B10422"/>
    <w:rsid w:val="00B10EEF"/>
    <w:rsid w:val="00B50D64"/>
    <w:rsid w:val="00B773AF"/>
    <w:rsid w:val="00BA2D66"/>
    <w:rsid w:val="00BF3796"/>
    <w:rsid w:val="00BF4AD9"/>
    <w:rsid w:val="00C02C7F"/>
    <w:rsid w:val="00C11BF7"/>
    <w:rsid w:val="00C26D76"/>
    <w:rsid w:val="00C50D37"/>
    <w:rsid w:val="00C57236"/>
    <w:rsid w:val="00C63A53"/>
    <w:rsid w:val="00C94F37"/>
    <w:rsid w:val="00CA2A55"/>
    <w:rsid w:val="00CA7717"/>
    <w:rsid w:val="00CC415E"/>
    <w:rsid w:val="00CD1D07"/>
    <w:rsid w:val="00D0684C"/>
    <w:rsid w:val="00D2738C"/>
    <w:rsid w:val="00D3717E"/>
    <w:rsid w:val="00D53E5E"/>
    <w:rsid w:val="00D544AB"/>
    <w:rsid w:val="00D57C2F"/>
    <w:rsid w:val="00D64DDA"/>
    <w:rsid w:val="00D66B97"/>
    <w:rsid w:val="00D67D0C"/>
    <w:rsid w:val="00D703BF"/>
    <w:rsid w:val="00D7068C"/>
    <w:rsid w:val="00D92C9F"/>
    <w:rsid w:val="00D93708"/>
    <w:rsid w:val="00D93B27"/>
    <w:rsid w:val="00D949B8"/>
    <w:rsid w:val="00D97269"/>
    <w:rsid w:val="00DD1176"/>
    <w:rsid w:val="00DE0A71"/>
    <w:rsid w:val="00DE1884"/>
    <w:rsid w:val="00E30394"/>
    <w:rsid w:val="00E30B7C"/>
    <w:rsid w:val="00E44B1C"/>
    <w:rsid w:val="00E50AE4"/>
    <w:rsid w:val="00E573A3"/>
    <w:rsid w:val="00E827EC"/>
    <w:rsid w:val="00E83A76"/>
    <w:rsid w:val="00E91467"/>
    <w:rsid w:val="00ED6F5C"/>
    <w:rsid w:val="00F155BF"/>
    <w:rsid w:val="00F277C1"/>
    <w:rsid w:val="00F30B20"/>
    <w:rsid w:val="00F32046"/>
    <w:rsid w:val="00F569E1"/>
    <w:rsid w:val="00F774E1"/>
    <w:rsid w:val="00F802DD"/>
    <w:rsid w:val="00FA3366"/>
    <w:rsid w:val="00FB5A99"/>
    <w:rsid w:val="00FC0953"/>
    <w:rsid w:val="00FC7197"/>
    <w:rsid w:val="00FE4A9F"/>
    <w:rsid w:val="00FF3D61"/>
    <w:rsid w:val="00FF4A32"/>
    <w:rsid w:val="00FF5F7C"/>
    <w:rsid w:val="00FF6E85"/>
    <w:rsid w:val="00FF7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6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A1B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A1B2B"/>
    <w:rPr>
      <w:sz w:val="18"/>
      <w:szCs w:val="18"/>
    </w:rPr>
  </w:style>
  <w:style w:type="paragraph" w:styleId="a4">
    <w:name w:val="footer"/>
    <w:basedOn w:val="a"/>
    <w:link w:val="Char0"/>
    <w:unhideWhenUsed/>
    <w:rsid w:val="002A1B2B"/>
    <w:pPr>
      <w:tabs>
        <w:tab w:val="center" w:pos="4153"/>
        <w:tab w:val="right" w:pos="8306"/>
      </w:tabs>
      <w:snapToGrid w:val="0"/>
    </w:pPr>
    <w:rPr>
      <w:sz w:val="18"/>
      <w:szCs w:val="18"/>
    </w:rPr>
  </w:style>
  <w:style w:type="character" w:customStyle="1" w:styleId="Char0">
    <w:name w:val="页脚 Char"/>
    <w:basedOn w:val="a0"/>
    <w:link w:val="a4"/>
    <w:rsid w:val="002A1B2B"/>
    <w:rPr>
      <w:sz w:val="18"/>
      <w:szCs w:val="18"/>
    </w:rPr>
  </w:style>
  <w:style w:type="table" w:styleId="a5">
    <w:name w:val="Table Grid"/>
    <w:basedOn w:val="a1"/>
    <w:rsid w:val="00F277C1"/>
    <w:rPr>
      <w:rFonts w:eastAsia="Times New Roman"/>
      <w:lang w:val="fi-FI" w:eastAsia="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C57236"/>
    <w:rPr>
      <w:rFonts w:ascii="Segoe UI" w:hAnsi="Segoe UI" w:cs="Segoe UI"/>
      <w:sz w:val="18"/>
      <w:szCs w:val="18"/>
    </w:rPr>
  </w:style>
  <w:style w:type="character" w:customStyle="1" w:styleId="Char1">
    <w:name w:val="批注框文本 Char"/>
    <w:basedOn w:val="a0"/>
    <w:link w:val="a6"/>
    <w:rsid w:val="00C57236"/>
    <w:rPr>
      <w:rFonts w:ascii="Segoe UI" w:hAnsi="Segoe UI" w:cs="Segoe UI"/>
      <w:sz w:val="18"/>
      <w:szCs w:val="18"/>
    </w:rPr>
  </w:style>
  <w:style w:type="character" w:styleId="a7">
    <w:name w:val="Hyperlink"/>
    <w:basedOn w:val="a0"/>
    <w:unhideWhenUsed/>
    <w:rsid w:val="002B55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A1B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A1B2B"/>
    <w:rPr>
      <w:sz w:val="18"/>
      <w:szCs w:val="18"/>
    </w:rPr>
  </w:style>
  <w:style w:type="paragraph" w:styleId="a4">
    <w:name w:val="footer"/>
    <w:basedOn w:val="a"/>
    <w:link w:val="Char0"/>
    <w:unhideWhenUsed/>
    <w:rsid w:val="002A1B2B"/>
    <w:pPr>
      <w:tabs>
        <w:tab w:val="center" w:pos="4153"/>
        <w:tab w:val="right" w:pos="8306"/>
      </w:tabs>
      <w:snapToGrid w:val="0"/>
    </w:pPr>
    <w:rPr>
      <w:sz w:val="18"/>
      <w:szCs w:val="18"/>
    </w:rPr>
  </w:style>
  <w:style w:type="character" w:customStyle="1" w:styleId="Char0">
    <w:name w:val="页脚 Char"/>
    <w:basedOn w:val="a0"/>
    <w:link w:val="a4"/>
    <w:rsid w:val="002A1B2B"/>
    <w:rPr>
      <w:sz w:val="18"/>
      <w:szCs w:val="18"/>
    </w:rPr>
  </w:style>
  <w:style w:type="table" w:styleId="a5">
    <w:name w:val="Table Grid"/>
    <w:basedOn w:val="a1"/>
    <w:rsid w:val="00F277C1"/>
    <w:rPr>
      <w:rFonts w:eastAsia="Times New Roman"/>
      <w:lang w:val="fi-FI" w:eastAsia="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C57236"/>
    <w:rPr>
      <w:rFonts w:ascii="Segoe UI" w:hAnsi="Segoe UI" w:cs="Segoe UI"/>
      <w:sz w:val="18"/>
      <w:szCs w:val="18"/>
    </w:rPr>
  </w:style>
  <w:style w:type="character" w:customStyle="1" w:styleId="Char1">
    <w:name w:val="批注框文本 Char"/>
    <w:basedOn w:val="a0"/>
    <w:link w:val="a6"/>
    <w:rsid w:val="00C57236"/>
    <w:rPr>
      <w:rFonts w:ascii="Segoe UI" w:hAnsi="Segoe UI" w:cs="Segoe UI"/>
      <w:sz w:val="18"/>
      <w:szCs w:val="18"/>
    </w:rPr>
  </w:style>
  <w:style w:type="character" w:styleId="a7">
    <w:name w:val="Hyperlink"/>
    <w:basedOn w:val="a0"/>
    <w:unhideWhenUsed/>
    <w:rsid w:val="002B55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820618">
      <w:bodyDiv w:val="1"/>
      <w:marLeft w:val="0"/>
      <w:marRight w:val="0"/>
      <w:marTop w:val="0"/>
      <w:marBottom w:val="0"/>
      <w:divBdr>
        <w:top w:val="none" w:sz="0" w:space="0" w:color="auto"/>
        <w:left w:val="none" w:sz="0" w:space="0" w:color="auto"/>
        <w:bottom w:val="none" w:sz="0" w:space="0" w:color="auto"/>
        <w:right w:val="none" w:sz="0" w:space="0" w:color="auto"/>
      </w:divBdr>
    </w:div>
    <w:div w:id="1204168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22</Pages>
  <Words>4560</Words>
  <Characters>25992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Saarenheimo Jatta</dc:creator>
  <cp:lastModifiedBy>HP</cp:lastModifiedBy>
  <cp:revision>20</cp:revision>
  <dcterms:created xsi:type="dcterms:W3CDTF">2021-08-05T01:24:00Z</dcterms:created>
  <dcterms:modified xsi:type="dcterms:W3CDTF">2021-08-23T03:49:00Z</dcterms:modified>
</cp:coreProperties>
</file>