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A334"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543C627"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64865</w:t>
      </w:r>
    </w:p>
    <w:p w14:paraId="64158BD9"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9A30130" w14:textId="77777777" w:rsidR="004E6ADE" w:rsidRDefault="004E6ADE">
      <w:pPr>
        <w:spacing w:line="360" w:lineRule="auto"/>
        <w:jc w:val="both"/>
        <w:rPr>
          <w:rFonts w:ascii="Book Antiqua" w:hAnsi="Book Antiqua"/>
        </w:rPr>
      </w:pPr>
    </w:p>
    <w:p w14:paraId="6D7163DA"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Pathogenesis of autoimmune hepatitis</w:t>
      </w:r>
    </w:p>
    <w:p w14:paraId="3210A519" w14:textId="77777777" w:rsidR="004E6ADE" w:rsidRDefault="004E6ADE">
      <w:pPr>
        <w:spacing w:line="360" w:lineRule="auto"/>
        <w:jc w:val="both"/>
        <w:rPr>
          <w:rFonts w:ascii="Book Antiqua" w:hAnsi="Book Antiqua"/>
        </w:rPr>
      </w:pPr>
    </w:p>
    <w:p w14:paraId="439A7025"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Fan JH, </w:t>
      </w:r>
      <w:r>
        <w:rPr>
          <w:rFonts w:ascii="Book Antiqua" w:eastAsia="Book Antiqua" w:hAnsi="Book Antiqua" w:cs="Book Antiqua"/>
          <w:i/>
          <w:iCs/>
          <w:color w:val="000000"/>
        </w:rPr>
        <w:t>et al</w:t>
      </w:r>
      <w:r>
        <w:rPr>
          <w:rFonts w:ascii="Book Antiqua" w:eastAsia="Book Antiqua" w:hAnsi="Book Antiqua" w:cs="Book Antiqua"/>
          <w:color w:val="000000"/>
        </w:rPr>
        <w:t>. Pathogenesis of autoimmune hepatitis</w:t>
      </w:r>
    </w:p>
    <w:p w14:paraId="16CD20E6" w14:textId="77777777" w:rsidR="004E6ADE" w:rsidRDefault="004E6ADE">
      <w:pPr>
        <w:spacing w:line="360" w:lineRule="auto"/>
        <w:jc w:val="both"/>
        <w:rPr>
          <w:rFonts w:ascii="Book Antiqua" w:hAnsi="Book Antiqua"/>
        </w:rPr>
      </w:pPr>
    </w:p>
    <w:p w14:paraId="5673C8C8" w14:textId="77777777" w:rsidR="004E6ADE" w:rsidRDefault="00032766">
      <w:pPr>
        <w:spacing w:line="360" w:lineRule="auto"/>
        <w:jc w:val="both"/>
        <w:rPr>
          <w:rFonts w:ascii="Book Antiqua" w:hAnsi="Book Antiqua"/>
          <w:bCs/>
        </w:rPr>
      </w:pPr>
      <w:r>
        <w:rPr>
          <w:rFonts w:ascii="Book Antiqua" w:hAnsi="Book Antiqua"/>
          <w:bCs/>
        </w:rPr>
        <w:t xml:space="preserve">Jun-Hua Fan, </w:t>
      </w:r>
      <w:proofErr w:type="spellStart"/>
      <w:r>
        <w:rPr>
          <w:rFonts w:ascii="Book Antiqua" w:hAnsi="Book Antiqua"/>
          <w:bCs/>
        </w:rPr>
        <w:t>Geng</w:t>
      </w:r>
      <w:proofErr w:type="spellEnd"/>
      <w:r>
        <w:rPr>
          <w:rFonts w:ascii="Book Antiqua" w:hAnsi="Book Antiqua"/>
          <w:bCs/>
        </w:rPr>
        <w:t>-Feng Liu, Xiao-Dan</w:t>
      </w:r>
      <w:r>
        <w:rPr>
          <w:rFonts w:ascii="Book Antiqua" w:hAnsi="Book Antiqua" w:hint="eastAsia"/>
          <w:bCs/>
          <w:lang w:eastAsia="zh-CN"/>
        </w:rPr>
        <w:t xml:space="preserve"> </w:t>
      </w:r>
      <w:proofErr w:type="spellStart"/>
      <w:r>
        <w:rPr>
          <w:rFonts w:ascii="Book Antiqua" w:hAnsi="Book Antiqua" w:hint="eastAsia"/>
          <w:bCs/>
          <w:lang w:eastAsia="zh-CN"/>
        </w:rPr>
        <w:t>L</w:t>
      </w:r>
      <w:r>
        <w:rPr>
          <w:rFonts w:ascii="Book Antiqua" w:hAnsi="Book Antiqua"/>
          <w:bCs/>
        </w:rPr>
        <w:t>v</w:t>
      </w:r>
      <w:proofErr w:type="spellEnd"/>
      <w:r>
        <w:rPr>
          <w:rFonts w:ascii="Book Antiqua" w:hAnsi="Book Antiqua"/>
          <w:bCs/>
        </w:rPr>
        <w:t>, Rui-</w:t>
      </w:r>
      <w:proofErr w:type="spellStart"/>
      <w:r>
        <w:rPr>
          <w:rFonts w:ascii="Book Antiqua" w:hAnsi="Book Antiqua"/>
          <w:bCs/>
        </w:rPr>
        <w:t>Zhi</w:t>
      </w:r>
      <w:proofErr w:type="spellEnd"/>
      <w:r>
        <w:rPr>
          <w:rFonts w:ascii="Book Antiqua" w:hAnsi="Book Antiqua"/>
          <w:bCs/>
        </w:rPr>
        <w:t xml:space="preserve"> Zeng, Ling-Ling Zhan, Xiao-Ping </w:t>
      </w:r>
      <w:proofErr w:type="spellStart"/>
      <w:r>
        <w:rPr>
          <w:rFonts w:ascii="Book Antiqua" w:hAnsi="Book Antiqua"/>
          <w:bCs/>
        </w:rPr>
        <w:t>Lv</w:t>
      </w:r>
      <w:proofErr w:type="spellEnd"/>
      <w:r>
        <w:rPr>
          <w:rFonts w:ascii="Book Antiqua" w:hAnsi="Book Antiqua"/>
          <w:bCs/>
        </w:rPr>
        <w:t xml:space="preserve"> </w:t>
      </w:r>
    </w:p>
    <w:p w14:paraId="32EA8776" w14:textId="77777777" w:rsidR="004E6ADE" w:rsidRDefault="00032766">
      <w:pPr>
        <w:spacing w:line="360" w:lineRule="auto"/>
        <w:jc w:val="both"/>
        <w:rPr>
          <w:rFonts w:ascii="Book Antiqua" w:hAnsi="Book Antiqua"/>
          <w:b/>
          <w:bCs/>
        </w:rPr>
      </w:pPr>
      <w:r>
        <w:rPr>
          <w:rFonts w:ascii="Book Antiqua" w:hAnsi="Book Antiqua"/>
          <w:b/>
          <w:bCs/>
        </w:rPr>
        <w:t xml:space="preserve"> </w:t>
      </w:r>
    </w:p>
    <w:p w14:paraId="6A5B756F" w14:textId="3A3DB5CF" w:rsidR="004E6ADE" w:rsidRDefault="00032766">
      <w:pPr>
        <w:spacing w:line="360" w:lineRule="auto"/>
        <w:jc w:val="both"/>
        <w:rPr>
          <w:rFonts w:ascii="Book Antiqua" w:hAnsi="Book Antiqua"/>
          <w:bCs/>
        </w:rPr>
      </w:pPr>
      <w:r>
        <w:rPr>
          <w:rFonts w:ascii="Book Antiqua" w:hAnsi="Book Antiqua"/>
          <w:b/>
          <w:bCs/>
        </w:rPr>
        <w:t xml:space="preserve">Jun-Hua Fan, </w:t>
      </w:r>
      <w:proofErr w:type="spellStart"/>
      <w:r>
        <w:rPr>
          <w:rFonts w:ascii="Book Antiqua" w:hAnsi="Book Antiqua"/>
          <w:b/>
          <w:bCs/>
        </w:rPr>
        <w:t>Geng</w:t>
      </w:r>
      <w:proofErr w:type="spellEnd"/>
      <w:r>
        <w:rPr>
          <w:rFonts w:ascii="Book Antiqua" w:hAnsi="Book Antiqua"/>
          <w:b/>
          <w:bCs/>
        </w:rPr>
        <w:t>-Feng Liu, Rui-</w:t>
      </w:r>
      <w:proofErr w:type="spellStart"/>
      <w:r>
        <w:rPr>
          <w:rFonts w:ascii="Book Antiqua" w:hAnsi="Book Antiqua"/>
          <w:b/>
          <w:bCs/>
        </w:rPr>
        <w:t>Zhi</w:t>
      </w:r>
      <w:proofErr w:type="spellEnd"/>
      <w:r>
        <w:rPr>
          <w:rFonts w:ascii="Book Antiqua" w:hAnsi="Book Antiqua"/>
          <w:b/>
          <w:bCs/>
        </w:rPr>
        <w:t xml:space="preserve"> Zeng, Xiao-Ping </w:t>
      </w:r>
      <w:proofErr w:type="spellStart"/>
      <w:r>
        <w:rPr>
          <w:rFonts w:ascii="Book Antiqua" w:hAnsi="Book Antiqua"/>
          <w:b/>
          <w:bCs/>
        </w:rPr>
        <w:t>Lv</w:t>
      </w:r>
      <w:proofErr w:type="spellEnd"/>
      <w:r>
        <w:rPr>
          <w:rFonts w:ascii="Book Antiqua" w:hAnsi="Book Antiqua"/>
          <w:b/>
          <w:bCs/>
        </w:rPr>
        <w:t>,</w:t>
      </w:r>
      <w:r>
        <w:rPr>
          <w:rFonts w:ascii="Book Antiqua" w:hAnsi="Book Antiqua"/>
          <w:bCs/>
        </w:rPr>
        <w:t xml:space="preserve"> Department of Gastroenterology, </w:t>
      </w:r>
      <w:r w:rsidR="00942A40">
        <w:rPr>
          <w:rFonts w:ascii="Book Antiqua" w:hAnsi="Book Antiqua"/>
          <w:bCs/>
        </w:rPr>
        <w:t>T</w:t>
      </w:r>
      <w:r>
        <w:rPr>
          <w:rFonts w:ascii="Book Antiqua" w:hAnsi="Book Antiqua"/>
          <w:bCs/>
        </w:rPr>
        <w:t>he First Affiliated Hospital of Guangxi Medical University, Nanning 530021, Guangxi Zhuang Autonomous Region, China</w:t>
      </w:r>
    </w:p>
    <w:p w14:paraId="51B50CAC" w14:textId="77777777" w:rsidR="004E6ADE" w:rsidRDefault="00032766">
      <w:pPr>
        <w:spacing w:line="360" w:lineRule="auto"/>
        <w:jc w:val="both"/>
        <w:rPr>
          <w:rFonts w:ascii="Book Antiqua" w:hAnsi="Book Antiqua"/>
          <w:bCs/>
        </w:rPr>
      </w:pPr>
      <w:r>
        <w:rPr>
          <w:rFonts w:ascii="Book Antiqua" w:hAnsi="Book Antiqua"/>
          <w:bCs/>
        </w:rPr>
        <w:t xml:space="preserve"> </w:t>
      </w:r>
    </w:p>
    <w:p w14:paraId="29B40B29" w14:textId="51716E33" w:rsidR="004E6ADE" w:rsidRDefault="00032766">
      <w:pPr>
        <w:spacing w:line="360" w:lineRule="auto"/>
        <w:jc w:val="both"/>
        <w:rPr>
          <w:rFonts w:ascii="Book Antiqua" w:hAnsi="Book Antiqua"/>
          <w:bCs/>
          <w:lang w:eastAsia="zh-CN"/>
        </w:rPr>
      </w:pPr>
      <w:r>
        <w:rPr>
          <w:rFonts w:ascii="Book Antiqua" w:hAnsi="Book Antiqua"/>
          <w:b/>
        </w:rPr>
        <w:t xml:space="preserve">Xiao-Dan </w:t>
      </w:r>
      <w:proofErr w:type="spellStart"/>
      <w:r>
        <w:rPr>
          <w:rFonts w:ascii="Book Antiqua" w:hAnsi="Book Antiqua" w:hint="eastAsia"/>
          <w:b/>
          <w:lang w:eastAsia="zh-CN"/>
        </w:rPr>
        <w:t>L</w:t>
      </w:r>
      <w:r>
        <w:rPr>
          <w:rFonts w:ascii="Book Antiqua" w:hAnsi="Book Antiqua"/>
          <w:b/>
        </w:rPr>
        <w:t>v</w:t>
      </w:r>
      <w:proofErr w:type="spellEnd"/>
      <w:r>
        <w:rPr>
          <w:rFonts w:ascii="Book Antiqua" w:hAnsi="Book Antiqua"/>
          <w:b/>
        </w:rPr>
        <w:t>, Ling-Ling Zhan,</w:t>
      </w:r>
      <w:r>
        <w:rPr>
          <w:rFonts w:ascii="Book Antiqua" w:hAnsi="Book Antiqua"/>
          <w:bCs/>
        </w:rPr>
        <w:t xml:space="preserve"> Department of Clinical Experimental Medicine, </w:t>
      </w:r>
      <w:r w:rsidR="00942A40">
        <w:rPr>
          <w:rFonts w:ascii="Book Antiqua" w:hAnsi="Book Antiqua"/>
          <w:bCs/>
        </w:rPr>
        <w:t>T</w:t>
      </w:r>
      <w:r>
        <w:rPr>
          <w:rFonts w:ascii="Book Antiqua" w:hAnsi="Book Antiqua"/>
          <w:bCs/>
        </w:rPr>
        <w:t>he First Affiliated Hospital of Guangxi Medical University, Nanning 530021, Guangxi Zhuang Autonomous Region, China</w:t>
      </w:r>
    </w:p>
    <w:p w14:paraId="7B1CF437" w14:textId="77777777" w:rsidR="004E6ADE" w:rsidRDefault="004E6ADE">
      <w:pPr>
        <w:spacing w:line="360" w:lineRule="auto"/>
        <w:jc w:val="both"/>
        <w:rPr>
          <w:rFonts w:ascii="Book Antiqua" w:hAnsi="Book Antiqua"/>
        </w:rPr>
      </w:pPr>
    </w:p>
    <w:p w14:paraId="20D1D765"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Fan JH,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XD, Zeng RZ and Liu GF collected the data; Fan JH, Zhan LL 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XP designed the study and wrote the paper</w:t>
      </w:r>
      <w:r>
        <w:rPr>
          <w:rFonts w:ascii="Book Antiqua" w:hAnsi="Book Antiqua" w:cs="Book Antiqua" w:hint="eastAsia"/>
          <w:color w:val="000000"/>
          <w:lang w:eastAsia="zh-CN"/>
        </w:rPr>
        <w:t>; a</w:t>
      </w:r>
      <w:r>
        <w:rPr>
          <w:rFonts w:ascii="Book Antiqua" w:eastAsia="Book Antiqua" w:hAnsi="Book Antiqua" w:cs="Book Antiqua"/>
          <w:color w:val="000000"/>
        </w:rPr>
        <w:t>ll authors approved the final version.</w:t>
      </w:r>
    </w:p>
    <w:p w14:paraId="2D410972" w14:textId="77777777" w:rsidR="004E6ADE" w:rsidRDefault="004E6ADE">
      <w:pPr>
        <w:spacing w:line="360" w:lineRule="auto"/>
        <w:jc w:val="both"/>
        <w:rPr>
          <w:rFonts w:ascii="Book Antiqua" w:hAnsi="Book Antiqua"/>
        </w:rPr>
      </w:pPr>
    </w:p>
    <w:p w14:paraId="33142664" w14:textId="0BD65C6D"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81860120 and No.</w:t>
      </w:r>
      <w:r>
        <w:rPr>
          <w:rFonts w:ascii="Book Antiqua" w:hAnsi="Book Antiqua" w:cs="Book Antiqua" w:hint="eastAsia"/>
          <w:color w:val="000000"/>
          <w:lang w:eastAsia="zh-CN"/>
        </w:rPr>
        <w:t xml:space="preserve"> </w:t>
      </w:r>
      <w:r>
        <w:rPr>
          <w:rFonts w:ascii="Book Antiqua" w:eastAsia="Book Antiqua" w:hAnsi="Book Antiqua" w:cs="Book Antiqua"/>
          <w:color w:val="000000"/>
        </w:rPr>
        <w:t>81860104; Guangxi Natural Science Foundation, No. 2017GXNSFBA198134, No.</w:t>
      </w:r>
      <w:r>
        <w:rPr>
          <w:rFonts w:ascii="Book Antiqua" w:hAnsi="Book Antiqua" w:cs="Book Antiqua" w:hint="eastAsia"/>
          <w:color w:val="000000"/>
          <w:lang w:eastAsia="zh-CN"/>
        </w:rPr>
        <w:t xml:space="preserve"> </w:t>
      </w:r>
      <w:r>
        <w:rPr>
          <w:rFonts w:ascii="Book Antiqua" w:eastAsia="Book Antiqua" w:hAnsi="Book Antiqua" w:cs="Book Antiqua"/>
          <w:color w:val="000000"/>
        </w:rPr>
        <w:t>2017GXNSFAA198299 and No.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2015GXNSFCA139024; </w:t>
      </w:r>
      <w:r w:rsidR="00942A40">
        <w:rPr>
          <w:rFonts w:ascii="Book Antiqua" w:eastAsia="Book Antiqua" w:hAnsi="Book Antiqua" w:cs="Book Antiqua"/>
          <w:color w:val="000000"/>
        </w:rPr>
        <w:t xml:space="preserve">and </w:t>
      </w:r>
      <w:r>
        <w:rPr>
          <w:rFonts w:ascii="Book Antiqua" w:eastAsia="Book Antiqua" w:hAnsi="Book Antiqua" w:cs="Book Antiqua"/>
          <w:color w:val="000000"/>
        </w:rPr>
        <w:t>Development and Application of Medical and Health Appropriate Technology Project in Guangxi Zhuang Autonomous Region, No. S2018049.</w:t>
      </w:r>
    </w:p>
    <w:p w14:paraId="2711AB36" w14:textId="77777777" w:rsidR="004E6ADE" w:rsidRDefault="004E6ADE">
      <w:pPr>
        <w:spacing w:line="360" w:lineRule="auto"/>
        <w:jc w:val="both"/>
        <w:rPr>
          <w:rFonts w:ascii="Book Antiqua" w:hAnsi="Book Antiqua"/>
        </w:rPr>
      </w:pPr>
    </w:p>
    <w:p w14:paraId="6BE20B22" w14:textId="76292031" w:rsidR="004E6ADE" w:rsidRDefault="00032766">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w:t>
      </w:r>
      <w:r>
        <w:rPr>
          <w:rFonts w:ascii="Book Antiqua" w:hAnsi="Book Antiqua" w:cs="Book Antiqua" w:hint="eastAsia"/>
          <w:b/>
          <w:bCs/>
          <w:color w:val="000000"/>
          <w:lang w:eastAsia="zh-CN"/>
        </w:rPr>
        <w:t>X</w:t>
      </w:r>
      <w:r>
        <w:rPr>
          <w:rFonts w:ascii="Book Antiqua" w:eastAsia="Book Antiqua" w:hAnsi="Book Antiqua" w:cs="Book Antiqua"/>
          <w:b/>
          <w:bCs/>
          <w:color w:val="000000"/>
        </w:rPr>
        <w:t>iao</w:t>
      </w:r>
      <w:r>
        <w:rPr>
          <w:rFonts w:ascii="Book Antiqua" w:hAnsi="Book Antiqua" w:cs="Book Antiqua" w:hint="eastAsia"/>
          <w:b/>
          <w:bCs/>
          <w:color w:val="000000"/>
          <w:lang w:eastAsia="zh-CN"/>
        </w:rPr>
        <w:t>-P</w:t>
      </w:r>
      <w:r>
        <w:rPr>
          <w:rFonts w:ascii="Book Antiqua" w:eastAsia="Book Antiqua" w:hAnsi="Book Antiqua" w:cs="Book Antiqua"/>
          <w:b/>
          <w:bCs/>
          <w:color w:val="000000"/>
        </w:rPr>
        <w:t xml:space="preserve">ing </w:t>
      </w:r>
      <w:proofErr w:type="spellStart"/>
      <w:r>
        <w:rPr>
          <w:rFonts w:ascii="Book Antiqua" w:hAnsi="Book Antiqua" w:cs="Book Antiqua" w:hint="eastAsia"/>
          <w:b/>
          <w:bCs/>
          <w:color w:val="000000"/>
          <w:lang w:eastAsia="zh-CN"/>
        </w:rPr>
        <w:t>L</w:t>
      </w:r>
      <w:r>
        <w:rPr>
          <w:rFonts w:ascii="Book Antiqua" w:eastAsia="Book Antiqua" w:hAnsi="Book Antiqua" w:cs="Book Antiqua"/>
          <w:b/>
          <w:bCs/>
          <w:color w:val="000000"/>
        </w:rPr>
        <w:t>v</w:t>
      </w:r>
      <w:proofErr w:type="spellEnd"/>
      <w:r>
        <w:rPr>
          <w:rFonts w:ascii="Book Antiqua" w:eastAsia="Book Antiqua" w:hAnsi="Book Antiqua" w:cs="Book Antiqua"/>
          <w:b/>
          <w:bCs/>
          <w:color w:val="000000"/>
        </w:rPr>
        <w:t xml:space="preserve">, PhD, Chairman, Chief Doctor, </w:t>
      </w:r>
      <w:r>
        <w:rPr>
          <w:rFonts w:ascii="Book Antiqua" w:eastAsia="Book Antiqua" w:hAnsi="Book Antiqua" w:cs="Book Antiqua"/>
          <w:color w:val="000000"/>
        </w:rPr>
        <w:t xml:space="preserve">Department of Gastroenterology, </w:t>
      </w:r>
      <w:r w:rsidR="00942A40">
        <w:rPr>
          <w:rFonts w:ascii="Book Antiqua" w:eastAsia="Book Antiqua" w:hAnsi="Book Antiqua" w:cs="Book Antiqua"/>
          <w:color w:val="000000"/>
        </w:rPr>
        <w:t>T</w:t>
      </w:r>
      <w:r>
        <w:rPr>
          <w:rFonts w:ascii="Book Antiqua" w:eastAsia="Book Antiqua" w:hAnsi="Book Antiqua" w:cs="Book Antiqua"/>
          <w:color w:val="000000"/>
        </w:rPr>
        <w:t>he First Affiliated Hospital of Guangxi Medical University, No</w:t>
      </w:r>
      <w:r>
        <w:rPr>
          <w:rFonts w:ascii="Book Antiqua" w:hAnsi="Book Antiqua" w:cs="Book Antiqua" w:hint="eastAsia"/>
          <w:color w:val="000000"/>
          <w:lang w:eastAsia="zh-CN"/>
        </w:rPr>
        <w:t>.</w:t>
      </w:r>
      <w:r>
        <w:rPr>
          <w:rFonts w:ascii="Book Antiqua" w:eastAsia="Book Antiqua" w:hAnsi="Book Antiqua" w:cs="Book Antiqua"/>
          <w:color w:val="000000"/>
        </w:rPr>
        <w:t xml:space="preserve"> 6</w:t>
      </w:r>
      <w:r>
        <w:rPr>
          <w:rFonts w:ascii="Book Antiqua" w:eastAsia="宋体" w:hAnsi="Book Antiqua" w:cs="宋体" w:hint="eastAsia"/>
          <w:color w:val="000000"/>
          <w:lang w:eastAsia="zh-CN"/>
        </w:rPr>
        <w:t xml:space="preserve"> </w:t>
      </w:r>
      <w:proofErr w:type="spellStart"/>
      <w:r>
        <w:rPr>
          <w:rFonts w:ascii="Book Antiqua" w:hAnsi="Book Antiqua" w:cs="Book Antiqua" w:hint="eastAsia"/>
          <w:color w:val="000000"/>
          <w:lang w:eastAsia="zh-CN"/>
        </w:rPr>
        <w:t>S</w:t>
      </w:r>
      <w:r>
        <w:rPr>
          <w:rFonts w:ascii="Book Antiqua" w:eastAsia="Book Antiqua" w:hAnsi="Book Antiqua" w:cs="Book Antiqua"/>
          <w:color w:val="000000"/>
        </w:rPr>
        <w:t>huangyong</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oad, Nanning 530021, Guangxi Zhuang Autonomous Region, China. lxxp58@hotmail.com</w:t>
      </w:r>
    </w:p>
    <w:p w14:paraId="59D2135B" w14:textId="77777777" w:rsidR="004E6ADE" w:rsidRDefault="004E6ADE">
      <w:pPr>
        <w:spacing w:line="360" w:lineRule="auto"/>
        <w:jc w:val="both"/>
        <w:rPr>
          <w:rFonts w:ascii="Book Antiqua" w:hAnsi="Book Antiqua"/>
        </w:rPr>
      </w:pPr>
    </w:p>
    <w:p w14:paraId="6B3D7B93"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30BA975C"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15, 2021</w:t>
      </w:r>
    </w:p>
    <w:p w14:paraId="014D8010" w14:textId="3E923D83"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942A40">
        <w:rPr>
          <w:rFonts w:ascii="Book Antiqua" w:eastAsia="宋体" w:hAnsi="Book Antiqua" w:hint="eastAsia"/>
          <w:color w:val="000000" w:themeColor="text1"/>
        </w:rPr>
        <w:t>A</w:t>
      </w:r>
      <w:r w:rsidR="00942A40">
        <w:rPr>
          <w:rFonts w:ascii="Book Antiqua" w:eastAsia="宋体" w:hAnsi="Book Antiqua" w:hint="eastAsia"/>
          <w:color w:val="000000" w:themeColor="text1"/>
          <w:lang w:eastAsia="zh-CN"/>
        </w:rPr>
        <w:t>u</w:t>
      </w:r>
      <w:r w:rsidR="00942A40">
        <w:rPr>
          <w:rFonts w:ascii="Book Antiqua" w:eastAsia="宋体" w:hAnsi="Book Antiqua"/>
          <w:color w:val="000000" w:themeColor="text1"/>
        </w:rPr>
        <w:t>gust</w:t>
      </w:r>
      <w:r w:rsidR="00942A40" w:rsidRPr="00F06907">
        <w:rPr>
          <w:rFonts w:ascii="Book Antiqua" w:eastAsia="宋体" w:hAnsi="Book Antiqua"/>
          <w:color w:val="000000" w:themeColor="text1"/>
        </w:rPr>
        <w:t xml:space="preserve"> </w:t>
      </w:r>
      <w:r w:rsidR="00942A40">
        <w:rPr>
          <w:rFonts w:ascii="Book Antiqua" w:eastAsia="宋体" w:hAnsi="Book Antiqua"/>
          <w:color w:val="000000" w:themeColor="text1"/>
        </w:rPr>
        <w:t>2</w:t>
      </w:r>
      <w:r w:rsidR="00942A40" w:rsidRPr="00F06907">
        <w:rPr>
          <w:rFonts w:ascii="Book Antiqua" w:eastAsia="宋体" w:hAnsi="Book Antiqua"/>
          <w:color w:val="000000" w:themeColor="text1"/>
        </w:rPr>
        <w:t>, 2021</w:t>
      </w:r>
      <w:bookmarkEnd w:id="0"/>
      <w:bookmarkEnd w:id="1"/>
      <w:bookmarkEnd w:id="2"/>
    </w:p>
    <w:p w14:paraId="15369EE9"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B7B13DB" w14:textId="77777777" w:rsidR="004E6ADE" w:rsidRDefault="004E6ADE">
      <w:pPr>
        <w:spacing w:line="360" w:lineRule="auto"/>
        <w:jc w:val="both"/>
        <w:rPr>
          <w:rFonts w:ascii="Book Antiqua" w:hAnsi="Book Antiqua"/>
        </w:rPr>
        <w:sectPr w:rsidR="004E6ADE">
          <w:footerReference w:type="default" r:id="rId7"/>
          <w:pgSz w:w="12240" w:h="15840"/>
          <w:pgMar w:top="1440" w:right="1440" w:bottom="1440" w:left="1440" w:header="720" w:footer="720" w:gutter="0"/>
          <w:cols w:space="720"/>
          <w:docGrid w:linePitch="360"/>
        </w:sectPr>
      </w:pPr>
    </w:p>
    <w:p w14:paraId="6BB59B46"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112C571"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Autoimmune hepatitis (AIH) is a chronic progressive liver disease whose etiology and pathogenesis are not yet clear. It is currently believed that the occurrence of AIH is closely related to genetic susceptibility and immune abnormalities, and other factors such as environment, viral infection and drugs that may cause immune dysfunction. This article reviews the pathogenesis of AIH and describes the latest research results in the past 5 years. </w:t>
      </w:r>
    </w:p>
    <w:p w14:paraId="382D4104" w14:textId="77777777" w:rsidR="004E6ADE" w:rsidRDefault="004E6ADE">
      <w:pPr>
        <w:spacing w:line="360" w:lineRule="auto"/>
        <w:jc w:val="both"/>
        <w:rPr>
          <w:rFonts w:ascii="Book Antiqua" w:hAnsi="Book Antiqua"/>
        </w:rPr>
      </w:pPr>
    </w:p>
    <w:p w14:paraId="3B23FC70"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Autoimmune hepatitis; Genetic susceptibility; environmental factors; Immunomodulation; Drug-induced liver injury; Intestinal microbes </w:t>
      </w:r>
    </w:p>
    <w:p w14:paraId="6E982130" w14:textId="77777777" w:rsidR="004E6ADE" w:rsidRDefault="004E6ADE">
      <w:pPr>
        <w:spacing w:line="360" w:lineRule="auto"/>
        <w:jc w:val="both"/>
        <w:rPr>
          <w:rFonts w:ascii="Book Antiqua" w:hAnsi="Book Antiqua"/>
        </w:rPr>
      </w:pPr>
    </w:p>
    <w:p w14:paraId="5D3E19BC" w14:textId="77777777" w:rsidR="004E6ADE" w:rsidRDefault="00032766">
      <w:pPr>
        <w:spacing w:line="360" w:lineRule="auto"/>
        <w:jc w:val="both"/>
        <w:rPr>
          <w:rFonts w:ascii="Book Antiqua" w:hAnsi="Book Antiqua"/>
        </w:rPr>
      </w:pPr>
      <w:r>
        <w:rPr>
          <w:rFonts w:ascii="Book Antiqua" w:hAnsi="Book Antiqua"/>
          <w:bCs/>
        </w:rPr>
        <w:t>Fan</w:t>
      </w:r>
      <w:r>
        <w:rPr>
          <w:rFonts w:ascii="Book Antiqua" w:hAnsi="Book Antiqua" w:hint="eastAsia"/>
          <w:bCs/>
          <w:lang w:eastAsia="zh-CN"/>
        </w:rPr>
        <w:t xml:space="preserve"> JH</w:t>
      </w:r>
      <w:r>
        <w:rPr>
          <w:rFonts w:ascii="Book Antiqua" w:hAnsi="Book Antiqua"/>
          <w:bCs/>
        </w:rPr>
        <w:t>, Liu</w:t>
      </w:r>
      <w:r>
        <w:rPr>
          <w:rFonts w:ascii="Book Antiqua" w:hAnsi="Book Antiqua" w:hint="eastAsia"/>
          <w:bCs/>
          <w:lang w:eastAsia="zh-CN"/>
        </w:rPr>
        <w:t xml:space="preserve"> GF</w:t>
      </w:r>
      <w:r>
        <w:rPr>
          <w:rFonts w:ascii="Book Antiqua" w:hAnsi="Book Antiqua"/>
          <w:bCs/>
        </w:rPr>
        <w:t xml:space="preserve">, </w:t>
      </w:r>
      <w:proofErr w:type="spellStart"/>
      <w:r>
        <w:rPr>
          <w:rFonts w:ascii="Book Antiqua" w:hAnsi="Book Antiqua" w:hint="eastAsia"/>
          <w:bCs/>
          <w:lang w:eastAsia="zh-CN"/>
        </w:rPr>
        <w:t>L</w:t>
      </w:r>
      <w:r>
        <w:rPr>
          <w:rFonts w:ascii="Book Antiqua" w:hAnsi="Book Antiqua"/>
          <w:bCs/>
        </w:rPr>
        <w:t>v</w:t>
      </w:r>
      <w:proofErr w:type="spellEnd"/>
      <w:r>
        <w:rPr>
          <w:rFonts w:ascii="Book Antiqua" w:hAnsi="Book Antiqua" w:hint="eastAsia"/>
          <w:bCs/>
          <w:lang w:eastAsia="zh-CN"/>
        </w:rPr>
        <w:t xml:space="preserve"> XD</w:t>
      </w:r>
      <w:r>
        <w:rPr>
          <w:rFonts w:ascii="Book Antiqua" w:hAnsi="Book Antiqua"/>
          <w:bCs/>
        </w:rPr>
        <w:t>, Zeng</w:t>
      </w:r>
      <w:r>
        <w:rPr>
          <w:rFonts w:ascii="Book Antiqua" w:hAnsi="Book Antiqua" w:hint="eastAsia"/>
          <w:bCs/>
          <w:lang w:eastAsia="zh-CN"/>
        </w:rPr>
        <w:t xml:space="preserve"> RZ</w:t>
      </w:r>
      <w:r>
        <w:rPr>
          <w:rFonts w:ascii="Book Antiqua" w:hAnsi="Book Antiqua"/>
          <w:bCs/>
        </w:rPr>
        <w:t>, Zhan</w:t>
      </w:r>
      <w:r>
        <w:rPr>
          <w:rFonts w:ascii="Book Antiqua" w:hAnsi="Book Antiqua" w:hint="eastAsia"/>
          <w:bCs/>
          <w:lang w:eastAsia="zh-CN"/>
        </w:rPr>
        <w:t xml:space="preserve"> LL</w:t>
      </w:r>
      <w:r>
        <w:rPr>
          <w:rFonts w:ascii="Book Antiqua" w:hAnsi="Book Antiqua"/>
          <w:bCs/>
        </w:rPr>
        <w:t xml:space="preserve">, </w:t>
      </w:r>
      <w:proofErr w:type="spellStart"/>
      <w:r>
        <w:rPr>
          <w:rFonts w:ascii="Book Antiqua" w:hAnsi="Book Antiqua"/>
          <w:bCs/>
        </w:rPr>
        <w:t>Lv</w:t>
      </w:r>
      <w:proofErr w:type="spellEnd"/>
      <w:r>
        <w:rPr>
          <w:rFonts w:ascii="Book Antiqua" w:hAnsi="Book Antiqua" w:hint="eastAsia"/>
          <w:bCs/>
          <w:lang w:eastAsia="zh-CN"/>
        </w:rPr>
        <w:t xml:space="preserve"> XP</w:t>
      </w:r>
      <w:r>
        <w:rPr>
          <w:rFonts w:ascii="Book Antiqua" w:eastAsia="Book Antiqua" w:hAnsi="Book Antiqua" w:cs="Book Antiqua"/>
          <w:color w:val="000000"/>
        </w:rPr>
        <w:t xml:space="preserve">. Pathogenesis of autoimmune hepatitis.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326E1F55" w14:textId="77777777" w:rsidR="004E6ADE" w:rsidRDefault="004E6ADE">
      <w:pPr>
        <w:spacing w:line="360" w:lineRule="auto"/>
        <w:jc w:val="both"/>
        <w:rPr>
          <w:rFonts w:ascii="Book Antiqua" w:hAnsi="Book Antiqua"/>
        </w:rPr>
      </w:pPr>
    </w:p>
    <w:p w14:paraId="45B4D825"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Autoimmune hepatitis (AIH) has no specific clinical manifestations. AIH patients often require steroid hormones plus immunosuppressive maintenance therapy. Long-term medication may cause various adverse reactions, complications, and relapse after drug withdrawal, which imposes a heavy burden on patient's health and quality of life. Although the exact pathogenesis of AIH is still unclear, there are multiple theories, and continuous in-depth research on its pathogenesis has led to development in treatment of AIH. Genetic susceptibility, environmental factors (viruses, parasites, pets, </w:t>
      </w:r>
      <w:r>
        <w:rPr>
          <w:rFonts w:ascii="Book Antiqua" w:eastAsia="Book Antiqua" w:hAnsi="Book Antiqua" w:cs="Book Antiqua"/>
          <w:i/>
          <w:iCs/>
          <w:color w:val="000000"/>
        </w:rPr>
        <w:t>etc.</w:t>
      </w:r>
      <w:r>
        <w:rPr>
          <w:rFonts w:ascii="Book Antiqua" w:eastAsia="Book Antiqua" w:hAnsi="Book Antiqua" w:cs="Book Antiqua"/>
          <w:color w:val="000000"/>
        </w:rPr>
        <w:t xml:space="preserve">), immune system, drugs and biological agents, pregnancy and liver transplantation have been reported to be associated with AIH. </w:t>
      </w:r>
    </w:p>
    <w:p w14:paraId="45D4DC3B" w14:textId="77777777" w:rsidR="004E6ADE" w:rsidRDefault="004E6ADE">
      <w:pPr>
        <w:spacing w:line="360" w:lineRule="auto"/>
        <w:jc w:val="both"/>
        <w:rPr>
          <w:rFonts w:ascii="Book Antiqua" w:hAnsi="Book Antiqua"/>
        </w:rPr>
      </w:pPr>
    </w:p>
    <w:p w14:paraId="1211A6A4" w14:textId="77777777" w:rsidR="004E6ADE" w:rsidRDefault="00032766">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A32A7EF"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Autoimmune hepatitis (AIH) is more common in female patients. There are no specific clinical symptoms in the early stage. Serology mainly manifests as hypergammaglobulinemia and multiple autoantibodies. Histologically, a large number of plasma cells infiltrate the portal area and involve the surrounding liver parenchyma to form interface hepatitis. AIH was first proposed in 1950. Because of the similar clinical manifestations and autoantibodies between this disease and systemic lupus erythematosus, it was originally called lupus-like hepatitis. After 10 years, it was discovered that this disease had obvious differences in clinical manifestations and autoantibodies from systemic lupus erythematosus, and autoimmune liver disease and autoimmune chronic active hepatitis are collectively referred to as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AIH has a global distribution and can occur in men or women of any age and race. The age of onset is bimodal. The peak onset is in adolescence and middle age, especially menopausal women. At present, the clinical treatment of AIH is unsatisfactory, and with the increase of morbidity, it imposes a heavy burden on health and quality of life. Although the exact pathogenesis of AIH is still unclear, there are many theories, and the continuous in-depth research on its pathogenesis has led to development in treatment of AIH. This article summarizes recent progress of research into the pathogenesis of AIH.</w:t>
      </w:r>
    </w:p>
    <w:p w14:paraId="14616B2C" w14:textId="77777777" w:rsidR="004E6ADE" w:rsidRDefault="004E6ADE">
      <w:pPr>
        <w:spacing w:line="360" w:lineRule="auto"/>
        <w:jc w:val="both"/>
        <w:rPr>
          <w:rFonts w:ascii="Book Antiqua" w:hAnsi="Book Antiqua"/>
        </w:rPr>
      </w:pPr>
    </w:p>
    <w:p w14:paraId="7859274F" w14:textId="77777777" w:rsidR="004E6ADE" w:rsidRDefault="00032766">
      <w:pPr>
        <w:spacing w:line="360" w:lineRule="auto"/>
        <w:jc w:val="both"/>
        <w:rPr>
          <w:rFonts w:ascii="Book Antiqua" w:hAnsi="Book Antiqua"/>
          <w:u w:val="single"/>
        </w:rPr>
      </w:pPr>
      <w:r>
        <w:rPr>
          <w:rFonts w:ascii="Book Antiqua" w:eastAsia="Book Antiqua" w:hAnsi="Book Antiqua" w:cs="Book Antiqua"/>
          <w:b/>
          <w:bCs/>
          <w:color w:val="000000"/>
          <w:u w:val="single"/>
        </w:rPr>
        <w:t>GENETIC PREDISPOSITION</w:t>
      </w:r>
    </w:p>
    <w:p w14:paraId="0F4607F9"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AIH is a polygenic disease. HLA class II DRB1 alleles are associated with AIH in different populations (Table 1). HLA-DRB1*13:01 and *03:01 alleles are related to AIH type I. In South America, AIH is mainly related to HLA-DRB1*1301 alleles, while HLA-DRB1*0301-negative type I AIH is mostly related to HLA-DRB1*0401</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in Japan it is related to HLA-DRB1*0405, *0401, *0802 and *0803. It may be that the amino acid sequence in the binding region of HLA-II molecules of different races differs </w:t>
      </w:r>
      <w:proofErr w:type="gramStart"/>
      <w:r>
        <w:rPr>
          <w:rFonts w:ascii="Book Antiqua" w:eastAsia="Book Antiqua" w:hAnsi="Book Antiqua" w:cs="Book Antiqua"/>
          <w:color w:val="000000"/>
        </w:rPr>
        <w:t>slightly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high frequency of HLA-DRB3*0101 and HLA- DQB1*0201 haploid is also related to type I AIH. In South America, HLA-DQ2 is a risk factor for AIH, and HLA-DR5 and </w:t>
      </w:r>
      <w:r>
        <w:rPr>
          <w:rFonts w:ascii="Book Antiqua" w:eastAsia="Book Antiqua" w:hAnsi="Book Antiqua" w:cs="Book Antiqua"/>
          <w:color w:val="000000"/>
        </w:rPr>
        <w:lastRenderedPageBreak/>
        <w:t xml:space="preserve">DQ3 are protective factors for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HLA-DRB1*0405, HLA-DRB1*1301, HLA-DQB1*02 and HLA-DQB1*0603 are the main risk factors for the onset of AIH, while HLA-DRB1*1302 and DQB1*0301 are protective factors. These HLA molecules have P1, P4, and P6 pockets. The physicochemical acquaintances and differences of the key amino acids encoded by the peptide-binding grooves illustrate their influence on the development of disease. In Europe and Japan, HLA-DRB1*1501 is also a protective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HLA-DRB1*0701, *0301, and *0201 alleles are associated with AIH type II. Patients with HLA-DRB1*0701 have rapid disease progression and poor prognosis. The genetic susceptibility and severity of disease in British and Brazilian type II AIH patients are related to HLA-DRB1*0301 </w:t>
      </w:r>
      <w:proofErr w:type="gramStart"/>
      <w:r>
        <w:rPr>
          <w:rFonts w:ascii="Book Antiqua" w:eastAsia="Book Antiqua" w:hAnsi="Book Antiqua" w:cs="Book Antiqua"/>
          <w:color w:val="000000"/>
        </w:rPr>
        <w:t>alleles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Gene mutations other than HLA are also related to AIH susceptibility or progression: Fas-670a/g and Fas-1377g/a </w:t>
      </w:r>
      <w:proofErr w:type="gramStart"/>
      <w:r>
        <w:rPr>
          <w:rFonts w:ascii="Book Antiqua" w:eastAsia="Book Antiqua" w:hAnsi="Book Antiqua" w:cs="Book Antiqua"/>
          <w:color w:val="000000"/>
        </w:rPr>
        <w:t>polymorphisms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VDR</w:t>
      </w:r>
      <w:r>
        <w:rPr>
          <w:rFonts w:ascii="Book Antiqua" w:eastAsia="Book Antiqua" w:hAnsi="Book Antiqua" w:cs="Book Antiqua"/>
          <w:color w:val="000000"/>
          <w:vertAlign w:val="superscript"/>
        </w:rPr>
        <w:t>[6]</w:t>
      </w:r>
      <w:r>
        <w:rPr>
          <w:rFonts w:ascii="Book Antiqua" w:eastAsia="Book Antiqua" w:hAnsi="Book Antiqua" w:cs="Book Antiqua"/>
          <w:color w:val="000000"/>
        </w:rPr>
        <w:t>, and GATA-2</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are closely related to the onset of AIH. The high-affinity combination of y1 and -1993 c alleles inhibits expression of tbx21, which may inhibit the occurrence of AIH I by inhibiting the type 1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haplotypes of the rs7582694-c and rs7574865-t alleles in the stat4 allele are related to the increased risk of AIH I, while the rs2476601 in the ptpn22 allele is related to reduced risk of AIH </w:t>
      </w:r>
      <w:proofErr w:type="gramStart"/>
      <w:r>
        <w:rPr>
          <w:rFonts w:ascii="Book Antiqua" w:eastAsia="Book Antiqua" w:hAnsi="Book Antiqua" w:cs="Book Antiqua"/>
          <w:color w:val="000000"/>
        </w:rPr>
        <w:t>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CTLA-4 molecule is a key regulator of lymphocyte response, and ctla4a/a is a protective genotype of Tunisian patients, and the Ctla4 gene +49 polymorphism is related to AIH susceptibility. Ctla4 gene mutations may lead to changes in the structure of CTLA-4 protein, leading to onset of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a20 encoded by Tnfaip3 is an inhibitor of the nuclear factor (NF)-kB signaling pathway and a susceptibility gene for autoimmune diseases. The harmful mutations of tnfaip3 and drb1 alleles may be independently related to type I AIH, and are related to AIH and liver cirrhosis in </w:t>
      </w:r>
      <w:proofErr w:type="gramStart"/>
      <w:r>
        <w:rPr>
          <w:rFonts w:ascii="Book Antiqua" w:eastAsia="Book Antiqua" w:hAnsi="Book Antiqua" w:cs="Book Antiqua"/>
          <w:color w:val="000000"/>
        </w:rPr>
        <w:t>Japan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GATA2 encodes a transcription factor for hematopoietic cells, and mutations may be manifested as a reduction in monocytes, lack of dendritic cells and B cells, bone marrow dysplasia and immunodeficiency, which are related to the pathogenesis of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HLA-DRB15 is significantly correlated with increased levels of interleukin </w:t>
      </w:r>
      <w:r>
        <w:rPr>
          <w:rFonts w:ascii="Book Antiqua" w:eastAsia="Book Antiqua" w:hAnsi="Book Antiqua" w:cs="Book Antiqua" w:hint="eastAsia"/>
          <w:color w:val="000000"/>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 xml:space="preserve">-8. IL-6, IL-8 and </w:t>
      </w:r>
      <w:r>
        <w:rPr>
          <w:rFonts w:ascii="Book Antiqua" w:eastAsia="Book Antiqua" w:hAnsi="Book Antiqua" w:cs="Book Antiqua" w:hint="eastAsia"/>
          <w:color w:val="000000"/>
        </w:rPr>
        <w:t>t</w:t>
      </w:r>
      <w:r>
        <w:rPr>
          <w:rFonts w:ascii="Book Antiqua" w:eastAsia="Book Antiqua" w:hAnsi="Book Antiqua" w:cs="Book Antiqua"/>
          <w:color w:val="000000"/>
        </w:rPr>
        <w:t xml:space="preserve">umor necrosis factor </w:t>
      </w:r>
      <w:r>
        <w:rPr>
          <w:rFonts w:ascii="Book Antiqua" w:eastAsia="Book Antiqua" w:hAnsi="Book Antiqua" w:cs="Book Antiqua" w:hint="eastAsia"/>
          <w:color w:val="000000"/>
        </w:rPr>
        <w:t>(</w:t>
      </w:r>
      <w:r>
        <w:rPr>
          <w:rFonts w:ascii="Book Antiqua" w:eastAsia="Book Antiqua" w:hAnsi="Book Antiqua" w:cs="Book Antiqua"/>
          <w:color w:val="000000"/>
        </w:rPr>
        <w:t>TNF</w:t>
      </w:r>
      <w:r>
        <w:rPr>
          <w:rFonts w:ascii="Book Antiqua" w:hAnsi="Book Antiqua" w:cs="Book Antiqua" w:hint="eastAsia"/>
          <w:color w:val="000000"/>
          <w:lang w:eastAsia="zh-CN"/>
        </w:rPr>
        <w:t>)</w:t>
      </w:r>
      <w:r>
        <w:rPr>
          <w:rFonts w:ascii="Book Antiqua" w:eastAsia="Book Antiqua" w:hAnsi="Book Antiqua" w:cs="Book Antiqua"/>
          <w:color w:val="000000"/>
        </w:rPr>
        <w:t>-</w:t>
      </w:r>
      <w:r>
        <w:rPr>
          <w:rFonts w:ascii="Book Antiqua" w:hAnsi="Book Antiqua"/>
        </w:rPr>
        <w:t>α</w:t>
      </w:r>
      <w:r>
        <w:rPr>
          <w:rFonts w:ascii="Book Antiqua" w:eastAsia="Book Antiqua" w:hAnsi="Book Antiqua" w:cs="Book Antiqua"/>
          <w:color w:val="000000"/>
        </w:rPr>
        <w:t xml:space="preserve"> may be biomarkers of AIH activity. </w:t>
      </w:r>
      <w:r>
        <w:rPr>
          <w:rFonts w:ascii="Book Antiqua" w:eastAsia="Book Antiqua" w:hAnsi="Book Antiqua" w:cs="Book Antiqua"/>
          <w:i/>
          <w:color w:val="000000"/>
        </w:rPr>
        <w:t>HLA</w:t>
      </w:r>
      <w:r>
        <w:rPr>
          <w:rFonts w:ascii="Book Antiqua" w:eastAsia="Book Antiqua" w:hAnsi="Book Antiqua" w:cs="Book Antiqua"/>
          <w:color w:val="000000"/>
        </w:rPr>
        <w:t xml:space="preserve"> gene expression may play a role in the production of cytokines, and </w:t>
      </w:r>
      <w:r>
        <w:rPr>
          <w:rFonts w:ascii="Book Antiqua" w:eastAsia="Book Antiqua" w:hAnsi="Book Antiqua" w:cs="Book Antiqua"/>
          <w:color w:val="000000"/>
        </w:rPr>
        <w:lastRenderedPageBreak/>
        <w:t xml:space="preserve">enable earlier diagnosis and better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Recent studies have reported that AIH I in Dutch adults is associated with mutations in the MHC region, and identified sh2b3 and card10 mutations as possible risk factors. These findings support the complex genetic basis of AIH pathogenesis and indicate partial inheritance. Susceptibility overlaps with other immune-mediated liver diseases. However, in the Japanese population, there is no connection between the card10 rs6000782 variant and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Mif-173 </w:t>
      </w:r>
      <w:proofErr w:type="spellStart"/>
      <w:r>
        <w:rPr>
          <w:rFonts w:ascii="Book Antiqua" w:eastAsia="Book Antiqua" w:hAnsi="Book Antiqua" w:cs="Book Antiqua"/>
          <w:color w:val="000000"/>
        </w:rPr>
        <w:t>gc</w:t>
      </w:r>
      <w:proofErr w:type="spellEnd"/>
      <w:r>
        <w:rPr>
          <w:rFonts w:ascii="Book Antiqua" w:eastAsia="Book Antiqua" w:hAnsi="Book Antiqua" w:cs="Book Antiqua"/>
          <w:color w:val="000000"/>
        </w:rPr>
        <w:t xml:space="preserve"> polymorphism is associated with the severity of AIH in children, and may help predict the increase in serum</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a</w:t>
      </w:r>
      <w:r>
        <w:rPr>
          <w:rFonts w:ascii="Book Antiqua" w:eastAsia="Book Antiqua" w:hAnsi="Book Antiqua" w:cs="Book Antiqua"/>
          <w:color w:val="000000"/>
        </w:rPr>
        <w:t xml:space="preserve">lanine aminotransferase (ALT) levels in the early stage of onset and necrotizing inflammation/fibrosis after immunosuppressive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TIPE2 has a protective effect on AIH. The expression of TIPE2 in mice with AIH is significantly reduced, while the serum ALT and aspartate aminotransferase (AST) levels of TIPE2-deficient mice are significantly increased, the release of pro-inflammatory cytokines is increased, and hepatitis is more serious. It is suggested that TIPE2 alleviates liver dysfunction after AIH and inhibits harmful inflammatory immune responses, so it can be used as a new drug for the treatment of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Immunogenetic factors can affect the clinical manifestations of AIH in ethnic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The prognosis of AIH patients in Asians is poor. The indigenous Alaskan population has acute jaundice hepatitis, while the Spanish ethnic group is prone to cirrhosis. HLA-DRB1*0301/*0401 also has a significant impact on the clinical manifestations of AIH. DRB1*0301-positive patients are younger and more ill. They have a poor response to glucocorticoid treatment and are prone to relapse. It is more common to die of liver failure, and the probability of liver transplantation is high. Patients who are positive for HLA-DRB1*0401 are generally elderly women, who are relatively mildly ill, often accompanied by other autoimmune diseases, and hormone therapy is effective.</w:t>
      </w:r>
    </w:p>
    <w:p w14:paraId="0CACA21E" w14:textId="77777777" w:rsidR="004E6ADE" w:rsidRDefault="004E6ADE">
      <w:pPr>
        <w:spacing w:line="360" w:lineRule="auto"/>
        <w:jc w:val="both"/>
        <w:rPr>
          <w:rFonts w:ascii="Book Antiqua" w:hAnsi="Book Antiqua"/>
        </w:rPr>
      </w:pPr>
    </w:p>
    <w:p w14:paraId="55D41763" w14:textId="77777777" w:rsidR="004E6ADE" w:rsidRDefault="00032766">
      <w:pPr>
        <w:spacing w:line="360" w:lineRule="auto"/>
        <w:jc w:val="both"/>
        <w:rPr>
          <w:rFonts w:ascii="Book Antiqua" w:hAnsi="Book Antiqua"/>
          <w:u w:val="single"/>
        </w:rPr>
      </w:pPr>
      <w:r>
        <w:rPr>
          <w:rFonts w:ascii="Book Antiqua" w:eastAsia="Book Antiqua" w:hAnsi="Book Antiqua" w:cs="Book Antiqua"/>
          <w:b/>
          <w:bCs/>
          <w:color w:val="000000"/>
          <w:u w:val="single"/>
        </w:rPr>
        <w:t>ENVIRONMENTAL FACTORS</w:t>
      </w:r>
    </w:p>
    <w:p w14:paraId="44921D89" w14:textId="77777777" w:rsidR="004E6ADE" w:rsidRDefault="00032766">
      <w:pPr>
        <w:spacing w:line="360" w:lineRule="auto"/>
        <w:jc w:val="both"/>
        <w:rPr>
          <w:rFonts w:ascii="Book Antiqua" w:hAnsi="Book Antiqua"/>
        </w:rPr>
      </w:pPr>
      <w:r>
        <w:rPr>
          <w:rFonts w:ascii="Book Antiqua" w:eastAsia="Book Antiqua" w:hAnsi="Book Antiqua" w:cs="Book Antiqua"/>
          <w:b/>
          <w:bCs/>
          <w:i/>
          <w:iCs/>
          <w:color w:val="000000"/>
        </w:rPr>
        <w:t>Peptides of some viruses and hepatocyte antigens can cross-react</w:t>
      </w:r>
      <w:r>
        <w:rPr>
          <w:rFonts w:ascii="Book Antiqua" w:eastAsia="Book Antiqua" w:hAnsi="Book Antiqua" w:cs="Book Antiqua"/>
          <w:i/>
          <w:iCs/>
          <w:color w:val="000000"/>
        </w:rPr>
        <w:t xml:space="preserve"> </w:t>
      </w:r>
    </w:p>
    <w:p w14:paraId="3483F22D" w14:textId="77777777" w:rsidR="004E6ADE" w:rsidRDefault="00032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Since immune cross-reaction is not seen until a long time after virus infection, it is difficult to find the basis for viral infection. Common viruses include hepatitis viruses, </w:t>
      </w:r>
      <w:r>
        <w:rPr>
          <w:rFonts w:ascii="Book Antiqua" w:eastAsia="Book Antiqua" w:hAnsi="Book Antiqua" w:cs="Book Antiqua"/>
          <w:color w:val="000000"/>
        </w:rPr>
        <w:lastRenderedPageBreak/>
        <w:t xml:space="preserve">measles virus, cytomegalovirus, Epstein–Barr virus, and varicella–zoster virus, and the most evidence is related to hepatitis </w:t>
      </w:r>
      <w:proofErr w:type="gramStart"/>
      <w:r>
        <w:rPr>
          <w:rFonts w:ascii="Book Antiqua" w:eastAsia="Book Antiqua" w:hAnsi="Book Antiqua" w:cs="Book Antiqua"/>
          <w:color w:val="000000"/>
        </w:rPr>
        <w:t>viruses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There is no difference between hepatitis E virus (HEV) seroprevalence rate in AIH patients in Catalonia and the general population. In patients with acute AIH, higher </w:t>
      </w:r>
      <w:proofErr w:type="spellStart"/>
      <w:r>
        <w:rPr>
          <w:rFonts w:ascii="Book Antiqua" w:eastAsia="Book Antiqua" w:hAnsi="Book Antiqua" w:cs="Book Antiqua"/>
          <w:color w:val="000000"/>
        </w:rPr>
        <w:t>gammaglobulin</w:t>
      </w:r>
      <w:proofErr w:type="spellEnd"/>
      <w:r>
        <w:rPr>
          <w:rFonts w:ascii="Book Antiqua" w:eastAsia="Book Antiqua" w:hAnsi="Book Antiqua" w:cs="Book Antiqua"/>
          <w:color w:val="000000"/>
        </w:rPr>
        <w:t xml:space="preserve"> levels and antibody titers, and higher HEV seropositivity indicate that there is a cross-reaction between HEV and liver </w:t>
      </w:r>
      <w:proofErr w:type="gramStart"/>
      <w:r>
        <w:rPr>
          <w:rFonts w:ascii="Book Antiqua" w:eastAsia="Book Antiqua" w:hAnsi="Book Antiqua" w:cs="Book Antiqua"/>
          <w:color w:val="000000"/>
        </w:rPr>
        <w:t>antigens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HEV infection may induce onset of AIH and affect its therapeutic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During acute HEV infection, AIH needs to be ruled out. Similarly, before diagnosis of AIH, acute HEV infection should be excluded. Immunization may also cause AIH, and influenza vaccination may trigger the development of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4EE8748" w14:textId="77777777" w:rsidR="004E6ADE" w:rsidRDefault="004E6ADE">
      <w:pPr>
        <w:spacing w:line="360" w:lineRule="auto"/>
        <w:jc w:val="both"/>
        <w:rPr>
          <w:rFonts w:ascii="Book Antiqua" w:hAnsi="Book Antiqua"/>
          <w:lang w:eastAsia="zh-CN"/>
        </w:rPr>
      </w:pPr>
    </w:p>
    <w:p w14:paraId="0DC8B452" w14:textId="77777777" w:rsidR="004E6ADE" w:rsidRDefault="00032766">
      <w:pPr>
        <w:spacing w:line="360" w:lineRule="auto"/>
        <w:jc w:val="both"/>
        <w:rPr>
          <w:rFonts w:ascii="Book Antiqua" w:hAnsi="Book Antiqua"/>
        </w:rPr>
      </w:pPr>
      <w:r>
        <w:rPr>
          <w:rFonts w:ascii="Book Antiqua" w:eastAsia="Book Antiqua" w:hAnsi="Book Antiqua" w:cs="Book Antiqua"/>
          <w:b/>
          <w:bCs/>
          <w:i/>
          <w:iCs/>
          <w:color w:val="000000"/>
        </w:rPr>
        <w:t>Vitamin D</w:t>
      </w:r>
      <w:r>
        <w:rPr>
          <w:rFonts w:ascii="Book Antiqua" w:eastAsia="Book Antiqua" w:hAnsi="Book Antiqua" w:cs="Book Antiqua"/>
          <w:i/>
          <w:iCs/>
          <w:color w:val="000000"/>
        </w:rPr>
        <w:t xml:space="preserve"> </w:t>
      </w:r>
    </w:p>
    <w:p w14:paraId="67BA5520" w14:textId="77777777" w:rsidR="004E6ADE" w:rsidRDefault="00032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Vitamin D has immunoregulatory, anti-inflammatory, antioxidative and antifibrotic effects, which may affect the occurrence and outcome of immune-mediated diseases. Macrophages and dendritic cells produce 1,25-dihydroxyvitamin D in the microenvironment, which can inhibit proliferation of immune cells, promote distribution of anti-inflammatory cytokines, expand regulatory T cells (Tregs), enhance the effect of glucocorticoids, increase production of glutathione, and inhibit hepatic stellate cells. Vitamin D deficiency usually exists in patients with immune-mediated liver disease and non-liver disease, and is related to the histological severity of AIH, advanced liver fibrosis, the ineffectiveness of conventional glucocorticoid therapy, and the need for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Another study found that genetic variants of VDR genes (TaqI-rs731236, BsmI-rs1544410 and ApaI-rs7975232) can affect the susceptibility of individuals to chronic autoimmune liver diseases (such as AIH and </w:t>
      </w:r>
      <w:r>
        <w:rPr>
          <w:rFonts w:ascii="Book Antiqua" w:eastAsia="Book Antiqua" w:hAnsi="Book Antiqua" w:cs="Book Antiqua"/>
          <w:color w:val="000000"/>
          <w:shd w:val="clear" w:color="auto" w:fill="FFFFFF"/>
        </w:rPr>
        <w:t>primary biliary cholangitis</w:t>
      </w:r>
      <w:r>
        <w:rPr>
          <w:rFonts w:ascii="Book Antiqua" w:eastAsia="Book Antiqua" w:hAnsi="Book Antiqua" w:cs="Book Antiqua"/>
          <w:color w:val="000000"/>
        </w:rPr>
        <w:t xml:space="preserve">, and affect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72609453" w14:textId="77777777" w:rsidR="004E6ADE" w:rsidRDefault="004E6ADE">
      <w:pPr>
        <w:spacing w:line="360" w:lineRule="auto"/>
        <w:jc w:val="both"/>
        <w:rPr>
          <w:rFonts w:ascii="Book Antiqua" w:hAnsi="Book Antiqua"/>
          <w:lang w:eastAsia="zh-CN"/>
        </w:rPr>
      </w:pPr>
    </w:p>
    <w:p w14:paraId="7E271CF9" w14:textId="77777777" w:rsidR="004E6ADE" w:rsidRDefault="00032766">
      <w:pPr>
        <w:spacing w:line="360" w:lineRule="auto"/>
        <w:jc w:val="both"/>
        <w:rPr>
          <w:rFonts w:ascii="Book Antiqua" w:hAnsi="Book Antiqua"/>
        </w:rPr>
      </w:pPr>
      <w:r>
        <w:rPr>
          <w:rFonts w:ascii="Book Antiqua" w:eastAsia="Book Antiqua" w:hAnsi="Book Antiqua" w:cs="Book Antiqua"/>
          <w:b/>
          <w:bCs/>
          <w:i/>
          <w:iCs/>
          <w:color w:val="000000"/>
        </w:rPr>
        <w:t>Intestinal microenvironment and intestinal barrier</w:t>
      </w:r>
      <w:r>
        <w:rPr>
          <w:rFonts w:ascii="Book Antiqua" w:eastAsia="Book Antiqua" w:hAnsi="Book Antiqua" w:cs="Book Antiqua"/>
          <w:i/>
          <w:iCs/>
          <w:color w:val="000000"/>
        </w:rPr>
        <w:t xml:space="preserve"> </w:t>
      </w:r>
    </w:p>
    <w:p w14:paraId="3D8F8128" w14:textId="77777777" w:rsidR="004E6ADE" w:rsidRDefault="00032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Intestinal barrier dysfunction and bacterial translocation can initiate autoimmune responses in AIH. Intestinal leakage in AIH patients is related to abnormal intestinal </w:t>
      </w:r>
      <w:r>
        <w:rPr>
          <w:rFonts w:ascii="Book Antiqua" w:eastAsia="Book Antiqua" w:hAnsi="Book Antiqua" w:cs="Book Antiqua"/>
          <w:color w:val="000000"/>
        </w:rPr>
        <w:lastRenderedPageBreak/>
        <w:t xml:space="preserve">microbes. Damage to the intestinal barrier can cause pathogenic bacteria and their products such as lipopolysaccharide and DNA-containing unmethylated CpG to enter the liver. These gut-derived toxins may promote the signaling pathways related to liver inflammation through the abnormal activation of the innate immune system, such as activating NF-kB, inducing activation of macrophages and releasing various pathogenic inflammatory cytokines, leading to occurrence of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Because AIH patients have impaired integrity of intestinal tight junctions, they also have intestinal flora imbalance, characterized by decrease of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and changes in fecal microbes of specific diseases have been found. AIH patients may have bacterial flora migration, and intestinal barrier dysfunction and bacterial translocation are related to disease severity/increased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Study of the changes in the composition and function of the intestinal microbiome in AIH, using the intestinal microbiota as a non-invasive biomarker, can be used to assess disease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These results indicate that the intestinal flora provides new diagnostic methods and therapeutic targets in AIH.</w:t>
      </w:r>
    </w:p>
    <w:p w14:paraId="455AA962" w14:textId="77777777" w:rsidR="004E6ADE" w:rsidRDefault="004E6ADE">
      <w:pPr>
        <w:spacing w:line="360" w:lineRule="auto"/>
        <w:jc w:val="both"/>
        <w:rPr>
          <w:rFonts w:ascii="Book Antiqua" w:hAnsi="Book Antiqua"/>
          <w:lang w:eastAsia="zh-CN"/>
        </w:rPr>
      </w:pPr>
    </w:p>
    <w:p w14:paraId="4220E3E0" w14:textId="77777777" w:rsidR="004E6ADE" w:rsidRDefault="00032766">
      <w:pPr>
        <w:spacing w:line="360" w:lineRule="auto"/>
        <w:jc w:val="both"/>
        <w:rPr>
          <w:rFonts w:ascii="Book Antiqua" w:hAnsi="Book Antiqua"/>
        </w:rPr>
      </w:pPr>
      <w:r>
        <w:rPr>
          <w:rFonts w:ascii="Book Antiqua" w:eastAsia="Book Antiqua" w:hAnsi="Book Antiqua" w:cs="Book Antiqua"/>
          <w:b/>
          <w:bCs/>
          <w:i/>
          <w:iCs/>
          <w:color w:val="000000"/>
        </w:rPr>
        <w:t>Alcohol, pets and parasites</w:t>
      </w:r>
      <w:r>
        <w:rPr>
          <w:rFonts w:ascii="Book Antiqua" w:eastAsia="Book Antiqua" w:hAnsi="Book Antiqua" w:cs="Book Antiqua"/>
          <w:i/>
          <w:iCs/>
          <w:color w:val="000000"/>
        </w:rPr>
        <w:t xml:space="preserve"> </w:t>
      </w:r>
    </w:p>
    <w:p w14:paraId="02D2E8F6"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Alcohol exposure can affect the function of dendritic cells, reduce antigen presentation, and thereby inhibit the immune response. Studies have pointed out that antibiotics are an independent risk factor for the occurrence of AIH. Wood heating of households is an independent protective factor for prevention of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Close contact with pets (especially cats) is a risk factor for autoimmune liver disease. This finding indicates that an unknown substance (</w:t>
      </w:r>
      <w:r>
        <w:rPr>
          <w:rFonts w:ascii="Book Antiqua" w:eastAsia="Book Antiqua" w:hAnsi="Book Antiqua" w:cs="Book Antiqua"/>
          <w:i/>
          <w:color w:val="000000"/>
        </w:rPr>
        <w:t>i.e.</w:t>
      </w:r>
      <w:r>
        <w:rPr>
          <w:rFonts w:ascii="Book Antiqua" w:eastAsia="Book Antiqua" w:hAnsi="Book Antiqua" w:cs="Book Antiqua"/>
          <w:color w:val="000000"/>
        </w:rPr>
        <w:t xml:space="preserve">, toxin/microorganism) is involved in the triggering of these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Parasite studies have shown that soluble liver antigen/</w:t>
      </w:r>
      <w:r>
        <w:rPr>
          <w:rFonts w:ascii="Book Antiqua" w:hAnsi="Book Antiqua" w:cs="Book Antiqua" w:hint="eastAsia"/>
          <w:color w:val="000000"/>
          <w:lang w:eastAsia="zh-CN"/>
        </w:rPr>
        <w:t>l</w:t>
      </w:r>
      <w:r>
        <w:rPr>
          <w:rFonts w:ascii="Book Antiqua" w:eastAsia="Book Antiqua" w:hAnsi="Book Antiqua" w:cs="Book Antiqua"/>
          <w:color w:val="000000"/>
        </w:rPr>
        <w:t xml:space="preserve">iver pancreas (SLA/LP) protein is a highly specific diagnostic marker for AIH. The immunodominant regions of SLA/LP and </w:t>
      </w:r>
      <w:proofErr w:type="spellStart"/>
      <w:r>
        <w:rPr>
          <w:rFonts w:ascii="Book Antiqua" w:eastAsia="Book Antiqua" w:hAnsi="Book Antiqua" w:cs="Book Antiqua"/>
          <w:color w:val="000000"/>
        </w:rPr>
        <w:t>rickettsial</w:t>
      </w:r>
      <w:proofErr w:type="spellEnd"/>
      <w:r>
        <w:rPr>
          <w:rFonts w:ascii="Book Antiqua" w:eastAsia="Book Antiqua" w:hAnsi="Book Antiqua" w:cs="Book Antiqua"/>
          <w:color w:val="000000"/>
        </w:rPr>
        <w:t xml:space="preserve"> surface antigen ps120 are structurally similar, and may drive the autoimmune response mediated by CD4+ T </w:t>
      </w:r>
      <w:proofErr w:type="gramStart"/>
      <w:r>
        <w:rPr>
          <w:rFonts w:ascii="Book Antiqua" w:eastAsia="Book Antiqua" w:hAnsi="Book Antiqua" w:cs="Book Antiqua"/>
          <w:color w:val="000000"/>
        </w:rPr>
        <w:t>lymphocytes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p>
    <w:p w14:paraId="703FDE03" w14:textId="77777777" w:rsidR="004E6ADE" w:rsidRDefault="004E6ADE">
      <w:pPr>
        <w:spacing w:line="360" w:lineRule="auto"/>
        <w:jc w:val="both"/>
        <w:rPr>
          <w:rFonts w:ascii="Book Antiqua" w:hAnsi="Book Antiqua"/>
        </w:rPr>
      </w:pPr>
    </w:p>
    <w:p w14:paraId="5D34FF38" w14:textId="77777777" w:rsidR="004E6ADE" w:rsidRDefault="00032766">
      <w:pPr>
        <w:spacing w:line="360" w:lineRule="auto"/>
        <w:jc w:val="both"/>
        <w:rPr>
          <w:rFonts w:ascii="Book Antiqua" w:hAnsi="Book Antiqua"/>
          <w:u w:val="single"/>
          <w:lang w:eastAsia="zh-CN"/>
        </w:rPr>
      </w:pPr>
      <w:r>
        <w:rPr>
          <w:rFonts w:ascii="Book Antiqua" w:eastAsia="Book Antiqua" w:hAnsi="Book Antiqua" w:cs="Book Antiqua"/>
          <w:b/>
          <w:bCs/>
          <w:color w:val="000000"/>
          <w:u w:val="single"/>
        </w:rPr>
        <w:t>DRUG OR BIOLOGICAL AGENT INDUCTION OF AIH</w:t>
      </w:r>
    </w:p>
    <w:p w14:paraId="552FE7ED"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lastRenderedPageBreak/>
        <w:t xml:space="preserve">Drug-induced AIH (DIAIH) occurs in patients who have not previously been diagnosed with AIH or are susceptible to AIH. Many drugs can induce AIH, including nitrofurantoin, minocycline, hydralazine, methyldopa, indomethacin, diclofenac, atorvastatin, </w:t>
      </w:r>
      <w:proofErr w:type="spellStart"/>
      <w:r>
        <w:rPr>
          <w:rFonts w:ascii="Book Antiqua" w:eastAsia="Book Antiqua" w:hAnsi="Book Antiqua" w:cs="Book Antiqua"/>
          <w:color w:val="000000"/>
          <w:shd w:val="clear" w:color="auto" w:fill="FFFFFF"/>
        </w:rPr>
        <w:t>Tienilic</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acid, interferon, TNF-</w:t>
      </w:r>
      <w:r>
        <w:rPr>
          <w:rFonts w:ascii="Book Antiqua" w:hAnsi="Book Antiqua"/>
        </w:rPr>
        <w:t>α</w:t>
      </w:r>
      <w:r>
        <w:rPr>
          <w:rFonts w:ascii="Book Antiqua" w:eastAsia="Book Antiqua" w:hAnsi="Book Antiqua" w:cs="Book Antiqua"/>
          <w:color w:val="000000"/>
        </w:rPr>
        <w:t xml:space="preserve">, and some Chinese herbal medicines. The occurrence of DIAIH is related to gender, age, drug dose, genetic polymorphism, and drugs. Its pathogenesis is related to autoantibodies against proteins expressed in liver cells, and results from the reaction of unstable drug metabolites with cellular components. In particular, proteins in the P450 cytochrome system are considered </w:t>
      </w:r>
      <w:proofErr w:type="gramStart"/>
      <w:r>
        <w:rPr>
          <w:rFonts w:ascii="Book Antiqua" w:eastAsia="Book Antiqua" w:hAnsi="Book Antiqua" w:cs="Book Antiqua"/>
          <w:color w:val="000000"/>
        </w:rPr>
        <w:t>neoantigens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DIAIH is different from other forms of hepatotoxicity in which autoantibodies are usually negative. DIAIH has antinuclear antibodies, elevated anti-smooth muscle antibodies or </w:t>
      </w:r>
      <w:proofErr w:type="spellStart"/>
      <w:r>
        <w:rPr>
          <w:rFonts w:ascii="Book Antiqua" w:eastAsia="Book Antiqua" w:hAnsi="Book Antiqua" w:cs="Book Antiqua"/>
          <w:color w:val="000000"/>
        </w:rPr>
        <w:t>gammaglobulin</w:t>
      </w:r>
      <w:proofErr w:type="spellEnd"/>
      <w:r>
        <w:rPr>
          <w:rFonts w:ascii="Book Antiqua" w:eastAsia="Book Antiqua" w:hAnsi="Book Antiqua" w:cs="Book Antiqua"/>
          <w:color w:val="000000"/>
        </w:rPr>
        <w:t xml:space="preserve">, and/or a specific HLA </w:t>
      </w:r>
      <w:proofErr w:type="gramStart"/>
      <w:r>
        <w:rPr>
          <w:rFonts w:ascii="Book Antiqua" w:eastAsia="Book Antiqua" w:hAnsi="Book Antiqua" w:cs="Book Antiqua"/>
          <w:color w:val="000000"/>
        </w:rPr>
        <w:t>haplotype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28]</w:t>
      </w:r>
      <w:r>
        <w:rPr>
          <w:rFonts w:ascii="Book Antiqua" w:eastAsia="Book Antiqua" w:hAnsi="Book Antiqua" w:cs="Book Antiqua"/>
          <w:color w:val="000000"/>
        </w:rPr>
        <w:t>. The difference in the incidence of DIAIH among countries may be due to population differences and the heterogeneity of the drug supply. Nitrofurantoin and minocycline are the main causes of DIAIH. Among cases of hepatotoxicity with nitrofurantoin and minocycline, DIAIH accounts for 82% and 73%, respectively. The incidence of AIH induced by methyldopa is 55%, and 43% for hydralazine. A prospective study of the Drug-induced Liver Injury Network (DILIN) showed that nitrofurantoin and nonsteroidal anti-inflammatory drugs accounted for 84% of DIAIH cases, and nitrofurantoin cases were as high as 67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Biological agents (</w:t>
      </w:r>
      <w:r>
        <w:rPr>
          <w:rFonts w:ascii="Book Antiqua" w:eastAsia="Book Antiqua" w:hAnsi="Book Antiqua" w:cs="Book Antiqua"/>
          <w:i/>
          <w:color w:val="000000"/>
        </w:rPr>
        <w:t>e.g.</w:t>
      </w:r>
      <w:r>
        <w:rPr>
          <w:rFonts w:ascii="Book Antiqua" w:eastAsia="Book Antiqua" w:hAnsi="Book Antiqua" w:cs="Book Antiqua"/>
          <w:color w:val="000000"/>
        </w:rPr>
        <w:t xml:space="preserve">, infliximab/adalimumab) have recently begun to constitute a cause of DIAIH, appearing in the early stage of drug withdrawal (as early as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accompanied by short-term immunity inhibition, but there are no records of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Diagnosis of DIAIH and AIH is difficult to distinguish. The response of DIAIH to hormone therapy is similar to that of AIH, but DIAIH has good prognosis. After discontinuation of immunosuppressive therapy, no patients have relapsed or progressed to cirrhosis or required liver transplantation. AIH has a higher degree of fibrosis than DIAIH has, and relapse can occur after drug discontinuation, with later progress to liver cirrhosis or even liver transplantation. More importantly, compared with AIH, patients with DIAIH have higher serum ALT and AST levels, more severe lobular inflammation, and higher </w:t>
      </w:r>
      <w:r>
        <w:rPr>
          <w:rFonts w:ascii="Book Antiqua" w:eastAsia="Book Antiqua" w:hAnsi="Book Antiqua" w:cs="Book Antiqua"/>
          <w:color w:val="000000"/>
        </w:rPr>
        <w:lastRenderedPageBreak/>
        <w:t>frequency of necrosis, the number of CD4 + Foxp3 + CD25 +/- Tregs in hepatic lobules is higher, but there is no significant difference in the frequency of peripheral blood CD4+ Foxp3+ CD25+/- Tregs between DIAIH and AIH</w:t>
      </w:r>
      <w:r>
        <w:rPr>
          <w:rFonts w:ascii="Book Antiqua" w:eastAsia="Book Antiqua" w:hAnsi="Book Antiqua" w:cs="Book Antiqua"/>
          <w:color w:val="000000"/>
          <w:vertAlign w:val="superscript"/>
        </w:rPr>
        <w:t>[30]</w:t>
      </w:r>
      <w:r>
        <w:rPr>
          <w:rFonts w:ascii="Book Antiqua" w:eastAsia="Book Antiqua" w:hAnsi="Book Antiqua" w:cs="Book Antiqua"/>
          <w:color w:val="000000"/>
        </w:rPr>
        <w:t>. An increasing number of studies have shown that drugs have some effect on AIH, but the specific pathogenesis needs further research.</w:t>
      </w:r>
    </w:p>
    <w:p w14:paraId="29E14E1C" w14:textId="77777777" w:rsidR="004E6ADE" w:rsidRDefault="004E6ADE">
      <w:pPr>
        <w:spacing w:line="360" w:lineRule="auto"/>
        <w:jc w:val="both"/>
        <w:rPr>
          <w:rFonts w:ascii="Book Antiqua" w:hAnsi="Book Antiqua"/>
        </w:rPr>
      </w:pPr>
    </w:p>
    <w:p w14:paraId="437E47F0" w14:textId="77777777" w:rsidR="004E6ADE" w:rsidRDefault="00032766">
      <w:pPr>
        <w:spacing w:line="360" w:lineRule="auto"/>
        <w:jc w:val="both"/>
        <w:rPr>
          <w:rFonts w:ascii="Book Antiqua" w:hAnsi="Book Antiqua"/>
          <w:u w:val="single"/>
          <w:lang w:eastAsia="zh-CN"/>
        </w:rPr>
      </w:pPr>
      <w:r>
        <w:rPr>
          <w:rFonts w:ascii="Book Antiqua" w:eastAsia="Book Antiqua" w:hAnsi="Book Antiqua" w:cs="Book Antiqua"/>
          <w:b/>
          <w:bCs/>
          <w:color w:val="000000"/>
          <w:u w:val="single"/>
        </w:rPr>
        <w:t xml:space="preserve">ABNORMAL AUTOIMMUNE REGULATORY MECHANISM </w:t>
      </w:r>
    </w:p>
    <w:p w14:paraId="5E9A8BC4"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It is currently believed that the immune response of AIH is likely initiated by the presentation of autoantigens to uncommitted naive CD4+ helper T (Th0) cells. CD4+ Th0 cells are activated in the antigen presentation process in the presence of appropriate co-stimulatory signals, and differentiate into different helper T cell populations according to the cytokine environment to which they are exposed. Th0 cells in the presence of IL-12 differentiate into Th1 cells, differentiate into Th2 in the presence of IL-4, and differentiate into Tregs or Th17 cells in the presence of TGF-</w:t>
      </w:r>
      <w:proofErr w:type="gramStart"/>
      <w:r>
        <w:rPr>
          <w:rFonts w:ascii="Book Antiqua" w:eastAsia="Book Antiqua" w:hAnsi="Book Antiqua" w:cs="Book Antiqua"/>
          <w:color w:val="000000"/>
        </w:rPr>
        <w:t>β</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Tregs and Th17 cells play an important role in the occurrence and development of immune-mediated hepatitis. Tregs include two subgroups, CD4+ CD25+ and CD8+. The former is the main factor in maintaining immune tolerance. The surface of Tregs can express IL-2 receptor, glucocorticoid-induced TNF receptor, Foxp3, CTLA-4, and chemokine receptors 4, 6, 7, 8 and 10. CD4+ CD25+ Foxp3+ Tregs inhibitory effector cells play an important role in maintaining cell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AIH patients have low expression of F0xp3 in peripheral blood, decreased Tregs, and decreased ability to regulate CD4+ and CD8+ effector T cell proliferation. Th17/Th22 cells in AIH peripheral circulation and liver are increased; </w:t>
      </w:r>
      <w:r>
        <w:rPr>
          <w:rFonts w:ascii="Book Antiqua" w:eastAsia="Book Antiqua" w:hAnsi="Book Antiqua" w:cs="Book Antiqua" w:hint="eastAsia"/>
          <w:color w:val="000000"/>
        </w:rPr>
        <w:t>i</w:t>
      </w:r>
      <w:r>
        <w:rPr>
          <w:rFonts w:ascii="Book Antiqua" w:eastAsia="Book Antiqua" w:hAnsi="Book Antiqua" w:cs="Book Antiqua"/>
          <w:color w:val="000000"/>
        </w:rPr>
        <w:t xml:space="preserve">nterferon-γ, IL-17 and IL-22 </w:t>
      </w:r>
      <w:r>
        <w:rPr>
          <w:rFonts w:ascii="Book Antiqua" w:hAnsi="Book Antiqua" w:cs="Book Antiqua" w:hint="eastAsia"/>
          <w:color w:val="000000"/>
          <w:lang w:eastAsia="zh-CN"/>
        </w:rPr>
        <w:t>l</w:t>
      </w:r>
      <w:r>
        <w:rPr>
          <w:rFonts w:ascii="Book Antiqua" w:eastAsia="Book Antiqua" w:hAnsi="Book Antiqua" w:cs="Book Antiqua"/>
          <w:color w:val="000000"/>
        </w:rPr>
        <w:t>evels increase; IL-17 increases release of inflammatory factors such as TNF-</w:t>
      </w:r>
      <w:r>
        <w:rPr>
          <w:rFonts w:ascii="Book Antiqua" w:hAnsi="Book Antiqua"/>
        </w:rPr>
        <w:t>α</w:t>
      </w:r>
      <w:r>
        <w:rPr>
          <w:rFonts w:ascii="Book Antiqua" w:eastAsia="Book Antiqua" w:hAnsi="Book Antiqua" w:cs="Book Antiqua"/>
          <w:color w:val="000000"/>
        </w:rPr>
        <w:t xml:space="preserve"> and IL-6, and induces an immune inflammatory response. The imbalance between Tregs and Th1 and Th17/Th22 cells, activated macrophages, complement and natural killer cell activation may all participate in the pathogenesis of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IL-1 family has a proinflammatory function, and IL-33 is a ligand for receptors of IL-1 receptor-related protein ST2 (IL1RL1/ST2) and IL-1 receptor accessory protein (IL-1RaP). The interaction of IL-33 </w:t>
      </w:r>
      <w:r>
        <w:rPr>
          <w:rFonts w:ascii="Book Antiqua" w:eastAsia="Book Antiqua" w:hAnsi="Book Antiqua" w:cs="Book Antiqua"/>
          <w:color w:val="000000"/>
        </w:rPr>
        <w:lastRenderedPageBreak/>
        <w:t>with these receptors triggers the signaling pathways related to MyD88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The interaction between IL-33 and IL1RL1/ST2 receptors regulates Th2 response, and serves as an important part of the Th1/Th17-mediated response and inflammation induced by innate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IL-33 and its soluble receptor ST2 play a vital role in the pathogenesis and severity of type I AIH, and may be a new target for the treatment of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w:t>
      </w:r>
    </w:p>
    <w:p w14:paraId="69F0C647" w14:textId="77777777" w:rsidR="004E6ADE" w:rsidRDefault="004E6ADE">
      <w:pPr>
        <w:spacing w:line="360" w:lineRule="auto"/>
        <w:jc w:val="both"/>
        <w:rPr>
          <w:rFonts w:ascii="Book Antiqua" w:hAnsi="Book Antiqua"/>
        </w:rPr>
      </w:pPr>
    </w:p>
    <w:p w14:paraId="54F37718" w14:textId="77777777" w:rsidR="004E6ADE" w:rsidRDefault="00032766">
      <w:pPr>
        <w:spacing w:line="360" w:lineRule="auto"/>
        <w:jc w:val="both"/>
        <w:rPr>
          <w:rFonts w:ascii="Book Antiqua" w:hAnsi="Book Antiqua"/>
          <w:u w:val="single"/>
        </w:rPr>
      </w:pPr>
      <w:r>
        <w:rPr>
          <w:rFonts w:ascii="Book Antiqua" w:eastAsia="Book Antiqua" w:hAnsi="Book Antiqua" w:cs="Book Antiqua"/>
          <w:b/>
          <w:bCs/>
          <w:color w:val="000000"/>
          <w:u w:val="single"/>
        </w:rPr>
        <w:t xml:space="preserve">PREGNANCY AND LIVER TRANSPLANTION </w:t>
      </w:r>
    </w:p>
    <w:p w14:paraId="1B2CC3BD"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Patients with a past history of AIH during pregnancy have an increased risk of recurrence of AIH. The maternal immune system expands through Foxp3+ Tregs during pregnancy and guides Th2 transformation to maintain immune tolerance and immune response in the fetus to protect against invasive organisms. However, this immunotolerant state returns to Th1 dominance, leading to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Therefore, patients with elevated transaminase or </w:t>
      </w:r>
      <w:r>
        <w:rPr>
          <w:rFonts w:ascii="Book Antiqua" w:eastAsia="Book Antiqua" w:hAnsi="Book Antiqua" w:cs="Book Antiqua" w:hint="eastAsia"/>
          <w:color w:val="000000"/>
        </w:rPr>
        <w:t>i</w:t>
      </w:r>
      <w:r>
        <w:rPr>
          <w:rFonts w:ascii="Book Antiqua" w:eastAsia="Book Antiqua" w:hAnsi="Book Antiqua" w:cs="Book Antiqua"/>
          <w:color w:val="000000"/>
        </w:rPr>
        <w:t xml:space="preserve">mmunoglobulin G (IgG) levels during pregnancy or postpartum should be alert to the possibility of secondary AIH. AIH can appear or recur after liver transplantation, and is called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AIH or recurrent AIH. AIH may occur in patients undergoing liver transplantation due to different diseases.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AIH after transplantation may be caused by an immune response to an allogeneic antigen that triggers an autoimmune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Recurrent AIH is associated with elevated liver enzymes and IgG before liver transplantation, lymphoplasmacytic infiltration and steroid deficiency after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43,44]</w:t>
      </w:r>
      <w:r>
        <w:rPr>
          <w:rFonts w:ascii="Book Antiqua" w:eastAsia="Book Antiqua" w:hAnsi="Book Antiqua" w:cs="Book Antiqua"/>
          <w:color w:val="000000"/>
        </w:rPr>
        <w:t>. Although the prognosis after liver transplantation is good, AIH may still occur/relapse after transplantation, with an estimated 1-year recurrence rate of 8%–12% and 5-year recurrence rate of 36%–68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pathogenesis of recurrent or </w:t>
      </w:r>
      <w:r>
        <w:rPr>
          <w:rFonts w:ascii="Book Antiqua" w:eastAsia="Book Antiqua" w:hAnsi="Book Antiqua" w:cs="Book Antiqua"/>
          <w:i/>
          <w:iCs/>
          <w:color w:val="000000"/>
        </w:rPr>
        <w:t xml:space="preserve">de novo </w:t>
      </w:r>
      <w:r>
        <w:rPr>
          <w:rFonts w:ascii="Book Antiqua" w:eastAsia="Book Antiqua" w:hAnsi="Book Antiqua" w:cs="Book Antiqua"/>
          <w:color w:val="000000"/>
        </w:rPr>
        <w:t xml:space="preserve">AIH after liver transplantation is unclear, and may be related to factors such as transplanted organs and immunosuppressive drug treatment. Early rapid diagnosis can avoid strong rejection and possible secondary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1F5DF258" w14:textId="77777777" w:rsidR="004E6ADE" w:rsidRDefault="004E6ADE">
      <w:pPr>
        <w:spacing w:line="360" w:lineRule="auto"/>
        <w:jc w:val="both"/>
        <w:rPr>
          <w:rFonts w:ascii="Book Antiqua" w:hAnsi="Book Antiqua"/>
        </w:rPr>
      </w:pPr>
    </w:p>
    <w:p w14:paraId="7226D4C9" w14:textId="77777777" w:rsidR="004E6ADE" w:rsidRDefault="00032766">
      <w:pPr>
        <w:spacing w:line="360" w:lineRule="auto"/>
        <w:jc w:val="both"/>
        <w:rPr>
          <w:rFonts w:ascii="Book Antiqua" w:hAnsi="Book Antiqua"/>
          <w:u w:val="single"/>
        </w:rPr>
      </w:pPr>
      <w:r>
        <w:rPr>
          <w:rFonts w:ascii="Book Antiqua" w:eastAsia="Book Antiqua" w:hAnsi="Book Antiqua" w:cs="Book Antiqua"/>
          <w:b/>
          <w:bCs/>
          <w:color w:val="000000"/>
          <w:u w:val="single"/>
        </w:rPr>
        <w:t>SUMMARY AND OUTLOOK</w:t>
      </w:r>
    </w:p>
    <w:p w14:paraId="56BE1369"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lastRenderedPageBreak/>
        <w:t xml:space="preserve">AIH has no specific clinical manifestations. AIH patients often require steroid hormones plus immunosuppressive maintenance therapy. Long-term medication may lead to various adverse reactions, complications, and relapse after drug withdrawal, which imposes a heavy burden on patient's health and quality of life. The etiology of AIH has not yet been fully clarified. </w:t>
      </w:r>
    </w:p>
    <w:p w14:paraId="54FB8EAA" w14:textId="77777777" w:rsidR="004E6ADE" w:rsidRDefault="004E6ADE">
      <w:pPr>
        <w:spacing w:line="360" w:lineRule="auto"/>
        <w:jc w:val="both"/>
        <w:rPr>
          <w:rFonts w:ascii="Book Antiqua" w:hAnsi="Book Antiqua"/>
        </w:rPr>
      </w:pPr>
    </w:p>
    <w:p w14:paraId="519D02B2" w14:textId="77777777" w:rsidR="004E6ADE" w:rsidRDefault="0003276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F7D58EF"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Genetic susceptibility, environmental factors (viruses, parasites, pets, </w:t>
      </w:r>
      <w:r>
        <w:rPr>
          <w:rFonts w:ascii="Book Antiqua" w:eastAsia="Book Antiqua" w:hAnsi="Book Antiqua" w:cs="Book Antiqua"/>
          <w:i/>
          <w:iCs/>
          <w:color w:val="000000"/>
        </w:rPr>
        <w:t>etc.</w:t>
      </w:r>
      <w:r>
        <w:rPr>
          <w:rFonts w:ascii="Book Antiqua" w:eastAsia="Book Antiqua" w:hAnsi="Book Antiqua" w:cs="Book Antiqua"/>
          <w:color w:val="000000"/>
        </w:rPr>
        <w:t>), immune system, drugs and biological agents, pregnancy and liver transplantation have been reported to be associated with AIH. The pathogenesis of AIH still needs further research.</w:t>
      </w:r>
    </w:p>
    <w:p w14:paraId="56C97C60" w14:textId="77777777" w:rsidR="004E6ADE" w:rsidRDefault="004E6ADE">
      <w:pPr>
        <w:spacing w:line="360" w:lineRule="auto"/>
        <w:jc w:val="both"/>
        <w:rPr>
          <w:rFonts w:ascii="Book Antiqua" w:hAnsi="Book Antiqua"/>
        </w:rPr>
      </w:pPr>
    </w:p>
    <w:p w14:paraId="0AB54785" w14:textId="77777777" w:rsidR="004E6ADE" w:rsidRDefault="00032766">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7856838" w14:textId="76BEEEE3"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The authors wish to express their gratitude to their colleagues in the Departments of Gastroenterology and Clinical Experimental Medicine, </w:t>
      </w:r>
      <w:r w:rsidR="00942A40">
        <w:rPr>
          <w:rFonts w:ascii="Book Antiqua" w:eastAsia="Book Antiqua" w:hAnsi="Book Antiqua" w:cs="Book Antiqua"/>
          <w:color w:val="000000"/>
        </w:rPr>
        <w:t>T</w:t>
      </w:r>
      <w:r>
        <w:rPr>
          <w:rFonts w:ascii="Book Antiqua" w:eastAsia="Book Antiqua" w:hAnsi="Book Antiqua" w:cs="Book Antiqua"/>
          <w:color w:val="000000"/>
        </w:rPr>
        <w:t>he First Affiliated Hospital of Guangxi Medical University for their theoretical guidance.</w:t>
      </w:r>
    </w:p>
    <w:p w14:paraId="03FC2150" w14:textId="77777777" w:rsidR="004E6ADE" w:rsidRDefault="004E6ADE">
      <w:pPr>
        <w:spacing w:line="360" w:lineRule="auto"/>
        <w:jc w:val="both"/>
        <w:rPr>
          <w:rFonts w:ascii="Book Antiqua" w:hAnsi="Book Antiqua"/>
        </w:rPr>
      </w:pPr>
    </w:p>
    <w:p w14:paraId="7A969BED" w14:textId="77777777" w:rsidR="004E6ADE" w:rsidRDefault="00032766">
      <w:pPr>
        <w:spacing w:line="360" w:lineRule="auto"/>
        <w:jc w:val="both"/>
        <w:rPr>
          <w:rFonts w:ascii="Book Antiqua" w:hAnsi="Book Antiqua"/>
          <w:lang w:eastAsia="zh-CN"/>
        </w:rPr>
      </w:pPr>
      <w:r>
        <w:rPr>
          <w:rFonts w:ascii="Book Antiqua" w:eastAsia="Book Antiqua" w:hAnsi="Book Antiqua" w:cs="Book Antiqua"/>
          <w:b/>
          <w:color w:val="000000"/>
        </w:rPr>
        <w:t>REFERENCES</w:t>
      </w:r>
      <w:r>
        <w:rPr>
          <w:rFonts w:ascii="Book Antiqua" w:hAnsi="Book Antiqua"/>
        </w:rPr>
        <w:t xml:space="preserve"> </w:t>
      </w:r>
    </w:p>
    <w:p w14:paraId="7EE8D731" w14:textId="77777777" w:rsidR="004E6ADE" w:rsidRDefault="00032766">
      <w:pPr>
        <w:spacing w:line="360" w:lineRule="auto"/>
        <w:jc w:val="both"/>
        <w:rPr>
          <w:rFonts w:ascii="Book Antiqua" w:hAnsi="Book Antiqua"/>
        </w:rPr>
      </w:pPr>
      <w:r>
        <w:rPr>
          <w:rFonts w:ascii="Book Antiqua" w:hAnsi="Book Antiqua"/>
        </w:rPr>
        <w:t xml:space="preserve">1 </w:t>
      </w:r>
      <w:r>
        <w:rPr>
          <w:rFonts w:ascii="Book Antiqua" w:hAnsi="Book Antiqua"/>
          <w:b/>
          <w:bCs/>
        </w:rPr>
        <w:t>Higuchi T</w:t>
      </w:r>
      <w:r>
        <w:rPr>
          <w:rFonts w:ascii="Book Antiqua" w:hAnsi="Book Antiqua"/>
        </w:rPr>
        <w:t xml:space="preserve">, Oka S, Furukawa H, </w:t>
      </w:r>
      <w:proofErr w:type="spellStart"/>
      <w:r>
        <w:rPr>
          <w:rFonts w:ascii="Book Antiqua" w:hAnsi="Book Antiqua"/>
        </w:rPr>
        <w:t>Tohma</w:t>
      </w:r>
      <w:proofErr w:type="spellEnd"/>
      <w:r>
        <w:rPr>
          <w:rFonts w:ascii="Book Antiqua" w:hAnsi="Book Antiqua"/>
        </w:rPr>
        <w:t xml:space="preserve"> S, </w:t>
      </w:r>
      <w:proofErr w:type="spellStart"/>
      <w:r>
        <w:rPr>
          <w:rFonts w:ascii="Book Antiqua" w:hAnsi="Book Antiqua"/>
        </w:rPr>
        <w:t>Yatsuhashi</w:t>
      </w:r>
      <w:proofErr w:type="spellEnd"/>
      <w:r>
        <w:rPr>
          <w:rFonts w:ascii="Book Antiqua" w:hAnsi="Book Antiqua"/>
        </w:rPr>
        <w:t xml:space="preserve"> H, Migita K. Genetic risk factors for autoimmune hepatitis: implications for phenotypic heterogeneity and biomarkers for drug response. </w:t>
      </w:r>
      <w:r>
        <w:rPr>
          <w:rFonts w:ascii="Book Antiqua" w:hAnsi="Book Antiqua"/>
          <w:i/>
          <w:iCs/>
        </w:rPr>
        <w:t>Hum Genomics</w:t>
      </w:r>
      <w:r>
        <w:rPr>
          <w:rFonts w:ascii="Book Antiqua" w:hAnsi="Book Antiqua"/>
        </w:rPr>
        <w:t xml:space="preserve"> 2021; </w:t>
      </w:r>
      <w:r>
        <w:rPr>
          <w:rFonts w:ascii="Book Antiqua" w:hAnsi="Book Antiqua"/>
          <w:b/>
          <w:bCs/>
        </w:rPr>
        <w:t>15</w:t>
      </w:r>
      <w:r>
        <w:rPr>
          <w:rFonts w:ascii="Book Antiqua" w:hAnsi="Book Antiqua"/>
        </w:rPr>
        <w:t>: 6 [PMID: 33509297 DOI: 10.1186/s40246-020-00301-4]</w:t>
      </w:r>
    </w:p>
    <w:p w14:paraId="45947BFF" w14:textId="77777777" w:rsidR="004E6ADE" w:rsidRDefault="00032766">
      <w:pPr>
        <w:spacing w:line="360" w:lineRule="auto"/>
        <w:jc w:val="both"/>
        <w:rPr>
          <w:rFonts w:ascii="Book Antiqua" w:hAnsi="Book Antiqua"/>
        </w:rPr>
      </w:pPr>
      <w:r>
        <w:rPr>
          <w:rFonts w:ascii="Book Antiqua" w:hAnsi="Book Antiqua"/>
        </w:rPr>
        <w:t xml:space="preserve">2 </w:t>
      </w:r>
      <w:r>
        <w:rPr>
          <w:rFonts w:ascii="Book Antiqua" w:hAnsi="Book Antiqua"/>
          <w:b/>
          <w:bCs/>
        </w:rPr>
        <w:t>Higuchi T</w:t>
      </w:r>
      <w:r>
        <w:rPr>
          <w:rFonts w:ascii="Book Antiqua" w:hAnsi="Book Antiqua"/>
        </w:rPr>
        <w:t xml:space="preserve">, Oka S, Furukawa H, Nakamura M, Komori A, </w:t>
      </w:r>
      <w:proofErr w:type="spellStart"/>
      <w:r>
        <w:rPr>
          <w:rFonts w:ascii="Book Antiqua" w:hAnsi="Book Antiqua"/>
        </w:rPr>
        <w:t>Abiru</w:t>
      </w:r>
      <w:proofErr w:type="spellEnd"/>
      <w:r>
        <w:rPr>
          <w:rFonts w:ascii="Book Antiqua" w:hAnsi="Book Antiqua"/>
        </w:rPr>
        <w:t xml:space="preserve"> S, Hashimoto S, Shimada M, Yoshizawa K, </w:t>
      </w:r>
      <w:proofErr w:type="spellStart"/>
      <w:r>
        <w:rPr>
          <w:rFonts w:ascii="Book Antiqua" w:hAnsi="Book Antiqua"/>
        </w:rPr>
        <w:t>Kouno</w:t>
      </w:r>
      <w:proofErr w:type="spellEnd"/>
      <w:r>
        <w:rPr>
          <w:rFonts w:ascii="Book Antiqua" w:hAnsi="Book Antiqua"/>
        </w:rPr>
        <w:t xml:space="preserve"> H, </w:t>
      </w:r>
      <w:proofErr w:type="spellStart"/>
      <w:r>
        <w:rPr>
          <w:rFonts w:ascii="Book Antiqua" w:hAnsi="Book Antiqua"/>
        </w:rPr>
        <w:t>Naganuma</w:t>
      </w:r>
      <w:proofErr w:type="spellEnd"/>
      <w:r>
        <w:rPr>
          <w:rFonts w:ascii="Book Antiqua" w:hAnsi="Book Antiqua"/>
        </w:rPr>
        <w:t xml:space="preserve"> A, Ario K, </w:t>
      </w:r>
      <w:proofErr w:type="spellStart"/>
      <w:r>
        <w:rPr>
          <w:rFonts w:ascii="Book Antiqua" w:hAnsi="Book Antiqua"/>
        </w:rPr>
        <w:t>Kaneyoshi</w:t>
      </w:r>
      <w:proofErr w:type="spellEnd"/>
      <w:r>
        <w:rPr>
          <w:rFonts w:ascii="Book Antiqua" w:hAnsi="Book Antiqua"/>
        </w:rPr>
        <w:t xml:space="preserve"> T, Yamashita H, Takahashi H, Makita F, </w:t>
      </w:r>
      <w:proofErr w:type="spellStart"/>
      <w:r>
        <w:rPr>
          <w:rFonts w:ascii="Book Antiqua" w:hAnsi="Book Antiqua"/>
        </w:rPr>
        <w:t>Yatsuhashi</w:t>
      </w:r>
      <w:proofErr w:type="spellEnd"/>
      <w:r>
        <w:rPr>
          <w:rFonts w:ascii="Book Antiqua" w:hAnsi="Book Antiqua"/>
        </w:rPr>
        <w:t xml:space="preserve"> H, </w:t>
      </w:r>
      <w:proofErr w:type="spellStart"/>
      <w:r>
        <w:rPr>
          <w:rFonts w:ascii="Book Antiqua" w:hAnsi="Book Antiqua"/>
        </w:rPr>
        <w:t>Ohira</w:t>
      </w:r>
      <w:proofErr w:type="spellEnd"/>
      <w:r>
        <w:rPr>
          <w:rFonts w:ascii="Book Antiqua" w:hAnsi="Book Antiqua"/>
        </w:rPr>
        <w:t xml:space="preserve"> H, Migita K. Role of deleterious single nucleotide variants in the coding regions of TNFAIP3 for Japanese autoimmune hepatitis with cirrhosis.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7925 [PMID: 31138864 DOI: 10.1038/s41598-019-44524-5]</w:t>
      </w:r>
    </w:p>
    <w:p w14:paraId="6C65AF97" w14:textId="77777777" w:rsidR="004E6ADE" w:rsidRDefault="00032766">
      <w:pPr>
        <w:spacing w:line="360" w:lineRule="auto"/>
        <w:jc w:val="both"/>
        <w:rPr>
          <w:rFonts w:ascii="Book Antiqua" w:hAnsi="Book Antiqua"/>
        </w:rPr>
      </w:pPr>
      <w:r>
        <w:rPr>
          <w:rFonts w:ascii="Book Antiqua" w:hAnsi="Book Antiqua"/>
        </w:rPr>
        <w:lastRenderedPageBreak/>
        <w:t xml:space="preserve">3 </w:t>
      </w:r>
      <w:proofErr w:type="spellStart"/>
      <w:r>
        <w:rPr>
          <w:rFonts w:ascii="Book Antiqua" w:hAnsi="Book Antiqua"/>
          <w:b/>
          <w:bCs/>
        </w:rPr>
        <w:t>Ngu</w:t>
      </w:r>
      <w:proofErr w:type="spellEnd"/>
      <w:r>
        <w:rPr>
          <w:rFonts w:ascii="Book Antiqua" w:hAnsi="Book Antiqua"/>
          <w:b/>
          <w:bCs/>
        </w:rPr>
        <w:t xml:space="preserve"> JH</w:t>
      </w:r>
      <w:r>
        <w:rPr>
          <w:rFonts w:ascii="Book Antiqua" w:hAnsi="Book Antiqua"/>
        </w:rPr>
        <w:t xml:space="preserve">, </w:t>
      </w:r>
      <w:proofErr w:type="spellStart"/>
      <w:r>
        <w:rPr>
          <w:rFonts w:ascii="Book Antiqua" w:hAnsi="Book Antiqua"/>
        </w:rPr>
        <w:t>Gearry</w:t>
      </w:r>
      <w:proofErr w:type="spellEnd"/>
      <w:r>
        <w:rPr>
          <w:rFonts w:ascii="Book Antiqua" w:hAnsi="Book Antiqua"/>
        </w:rPr>
        <w:t xml:space="preserve"> RB, Stedman CAM. Autoimmune Hepatitis in the East and the West. </w:t>
      </w:r>
      <w:proofErr w:type="spellStart"/>
      <w:r>
        <w:rPr>
          <w:rFonts w:ascii="Book Antiqua" w:hAnsi="Book Antiqua"/>
          <w:i/>
          <w:iCs/>
        </w:rPr>
        <w:t>Inflamm</w:t>
      </w:r>
      <w:proofErr w:type="spellEnd"/>
      <w:r>
        <w:rPr>
          <w:rFonts w:ascii="Book Antiqua" w:hAnsi="Book Antiqua"/>
          <w:i/>
          <w:iCs/>
        </w:rPr>
        <w:t xml:space="preserve"> </w:t>
      </w:r>
      <w:proofErr w:type="spellStart"/>
      <w:r>
        <w:rPr>
          <w:rFonts w:ascii="Book Antiqua" w:hAnsi="Book Antiqua"/>
          <w:i/>
          <w:iCs/>
        </w:rPr>
        <w:t>Intest</w:t>
      </w:r>
      <w:proofErr w:type="spellEnd"/>
      <w:r>
        <w:rPr>
          <w:rFonts w:ascii="Book Antiqua" w:hAnsi="Book Antiqua"/>
          <w:i/>
          <w:iCs/>
        </w:rPr>
        <w:t xml:space="preserve"> Dis</w:t>
      </w:r>
      <w:r>
        <w:rPr>
          <w:rFonts w:ascii="Book Antiqua" w:hAnsi="Book Antiqua"/>
        </w:rPr>
        <w:t xml:space="preserve"> 2017; </w:t>
      </w:r>
      <w:r>
        <w:rPr>
          <w:rFonts w:ascii="Book Antiqua" w:hAnsi="Book Antiqua"/>
          <w:b/>
          <w:bCs/>
        </w:rPr>
        <w:t>1</w:t>
      </w:r>
      <w:r>
        <w:rPr>
          <w:rFonts w:ascii="Book Antiqua" w:hAnsi="Book Antiqua"/>
        </w:rPr>
        <w:t>: 147-149 [PMID: 29922670 DOI: 10.1159/000455177]</w:t>
      </w:r>
    </w:p>
    <w:p w14:paraId="140E186A" w14:textId="77777777" w:rsidR="004E6ADE" w:rsidRDefault="00032766">
      <w:pPr>
        <w:spacing w:line="360" w:lineRule="auto"/>
        <w:jc w:val="both"/>
        <w:rPr>
          <w:rFonts w:ascii="Book Antiqua" w:hAnsi="Book Antiqua"/>
        </w:rPr>
      </w:pPr>
      <w:r>
        <w:rPr>
          <w:rFonts w:ascii="Book Antiqua" w:hAnsi="Book Antiqua"/>
        </w:rPr>
        <w:t xml:space="preserve">4 </w:t>
      </w:r>
      <w:r>
        <w:rPr>
          <w:rFonts w:ascii="Book Antiqua" w:hAnsi="Book Antiqua"/>
          <w:b/>
          <w:bCs/>
        </w:rPr>
        <w:t>Duarte-Rey C</w:t>
      </w:r>
      <w:r>
        <w:rPr>
          <w:rFonts w:ascii="Book Antiqua" w:hAnsi="Book Antiqua"/>
        </w:rPr>
        <w:t>, Pardo AL, Rodríguez-</w:t>
      </w:r>
      <w:proofErr w:type="spellStart"/>
      <w:r>
        <w:rPr>
          <w:rFonts w:ascii="Book Antiqua" w:hAnsi="Book Antiqua"/>
        </w:rPr>
        <w:t>Velosa</w:t>
      </w:r>
      <w:proofErr w:type="spellEnd"/>
      <w:r>
        <w:rPr>
          <w:rFonts w:ascii="Book Antiqua" w:hAnsi="Book Antiqua"/>
        </w:rPr>
        <w:t xml:space="preserve"> Y, Mantilla RD, Anaya JM, Rojas-</w:t>
      </w:r>
      <w:proofErr w:type="spellStart"/>
      <w:r>
        <w:rPr>
          <w:rFonts w:ascii="Book Antiqua" w:hAnsi="Book Antiqua"/>
        </w:rPr>
        <w:t>Villarraga</w:t>
      </w:r>
      <w:proofErr w:type="spellEnd"/>
      <w:r>
        <w:rPr>
          <w:rFonts w:ascii="Book Antiqua" w:hAnsi="Book Antiqua"/>
        </w:rPr>
        <w:t xml:space="preserve"> A. HLA class II association with autoimmune hepatitis in Latin America: a meta-analysis. </w:t>
      </w:r>
      <w:proofErr w:type="spellStart"/>
      <w:r>
        <w:rPr>
          <w:rFonts w:ascii="Book Antiqua" w:hAnsi="Book Antiqua"/>
          <w:i/>
          <w:iCs/>
        </w:rPr>
        <w:t>Autoimmun</w:t>
      </w:r>
      <w:proofErr w:type="spellEnd"/>
      <w:r>
        <w:rPr>
          <w:rFonts w:ascii="Book Antiqua" w:hAnsi="Book Antiqua"/>
          <w:i/>
          <w:iCs/>
        </w:rPr>
        <w:t xml:space="preserve"> Rev</w:t>
      </w:r>
      <w:r>
        <w:rPr>
          <w:rFonts w:ascii="Book Antiqua" w:hAnsi="Book Antiqua"/>
        </w:rPr>
        <w:t xml:space="preserve"> 2009; </w:t>
      </w:r>
      <w:r>
        <w:rPr>
          <w:rFonts w:ascii="Book Antiqua" w:hAnsi="Book Antiqua"/>
          <w:b/>
          <w:bCs/>
        </w:rPr>
        <w:t>8</w:t>
      </w:r>
      <w:r>
        <w:rPr>
          <w:rFonts w:ascii="Book Antiqua" w:hAnsi="Book Antiqua"/>
        </w:rPr>
        <w:t>: 325-331 [PMID: 19041429 DOI: 10.1016/j.autrev.2008.11.005]</w:t>
      </w:r>
    </w:p>
    <w:p w14:paraId="7BCB44FD" w14:textId="77777777" w:rsidR="004E6ADE" w:rsidRDefault="00032766">
      <w:pPr>
        <w:spacing w:line="360" w:lineRule="auto"/>
        <w:jc w:val="both"/>
        <w:rPr>
          <w:rFonts w:ascii="Book Antiqua" w:hAnsi="Book Antiqua"/>
        </w:rPr>
      </w:pPr>
      <w:r>
        <w:rPr>
          <w:rFonts w:ascii="Book Antiqua" w:hAnsi="Book Antiqua"/>
        </w:rPr>
        <w:t xml:space="preserve">5 </w:t>
      </w:r>
      <w:r>
        <w:rPr>
          <w:rFonts w:ascii="Book Antiqua" w:hAnsi="Book Antiqua"/>
          <w:b/>
          <w:bCs/>
        </w:rPr>
        <w:t>Yan H</w:t>
      </w:r>
      <w:r>
        <w:rPr>
          <w:rFonts w:ascii="Book Antiqua" w:hAnsi="Book Antiqua"/>
        </w:rPr>
        <w:t xml:space="preserve">, Hong Y, Cai Y. Association between FAS gene -670 A/G and -1377 G/A polymorphisms and the risk of autoimmune diseases: a meta-analysis. </w:t>
      </w:r>
      <w:proofErr w:type="spellStart"/>
      <w:r>
        <w:rPr>
          <w:rFonts w:ascii="Book Antiqua" w:hAnsi="Book Antiqua"/>
          <w:i/>
          <w:iCs/>
        </w:rPr>
        <w:t>Biosci</w:t>
      </w:r>
      <w:proofErr w:type="spellEnd"/>
      <w:r>
        <w:rPr>
          <w:rFonts w:ascii="Book Antiqua" w:hAnsi="Book Antiqua"/>
          <w:i/>
          <w:iCs/>
        </w:rPr>
        <w:t xml:space="preserve"> Rep</w:t>
      </w:r>
      <w:r>
        <w:rPr>
          <w:rFonts w:ascii="Book Antiqua" w:hAnsi="Book Antiqua"/>
        </w:rPr>
        <w:t xml:space="preserve"> 2020; </w:t>
      </w:r>
      <w:r>
        <w:rPr>
          <w:rFonts w:ascii="Book Antiqua" w:hAnsi="Book Antiqua"/>
          <w:b/>
          <w:bCs/>
        </w:rPr>
        <w:t>40</w:t>
      </w:r>
      <w:r>
        <w:rPr>
          <w:rFonts w:ascii="Book Antiqua" w:hAnsi="Book Antiqua"/>
        </w:rPr>
        <w:t xml:space="preserve"> [PMID: 31840751 DOI: 10.1042/BSR20191197]</w:t>
      </w:r>
    </w:p>
    <w:p w14:paraId="40229DBD" w14:textId="77777777" w:rsidR="004E6ADE" w:rsidRDefault="00032766">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Kempinska-Podhorodecka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Adamowicz</w:t>
      </w:r>
      <w:proofErr w:type="spellEnd"/>
      <w:r>
        <w:rPr>
          <w:rFonts w:ascii="Book Antiqua" w:hAnsi="Book Antiqua"/>
        </w:rPr>
        <w:t xml:space="preserve"> M, </w:t>
      </w:r>
      <w:proofErr w:type="spellStart"/>
      <w:r>
        <w:rPr>
          <w:rFonts w:ascii="Book Antiqua" w:hAnsi="Book Antiqua"/>
        </w:rPr>
        <w:t>Chmielarz</w:t>
      </w:r>
      <w:proofErr w:type="spellEnd"/>
      <w:r>
        <w:rPr>
          <w:rFonts w:ascii="Book Antiqua" w:hAnsi="Book Antiqua"/>
        </w:rPr>
        <w:t xml:space="preserve"> M, </w:t>
      </w:r>
      <w:proofErr w:type="spellStart"/>
      <w:r>
        <w:rPr>
          <w:rFonts w:ascii="Book Antiqua" w:hAnsi="Book Antiqua"/>
        </w:rPr>
        <w:t>Janik</w:t>
      </w:r>
      <w:proofErr w:type="spellEnd"/>
      <w:r>
        <w:rPr>
          <w:rFonts w:ascii="Book Antiqua" w:hAnsi="Book Antiqua"/>
        </w:rPr>
        <w:t xml:space="preserve"> MK, </w:t>
      </w:r>
      <w:proofErr w:type="spellStart"/>
      <w:r>
        <w:rPr>
          <w:rFonts w:ascii="Book Antiqua" w:hAnsi="Book Antiqua"/>
        </w:rPr>
        <w:t>Milkiewicz</w:t>
      </w:r>
      <w:proofErr w:type="spellEnd"/>
      <w:r>
        <w:rPr>
          <w:rFonts w:ascii="Book Antiqua" w:hAnsi="Book Antiqua"/>
        </w:rPr>
        <w:t xml:space="preserve"> P, </w:t>
      </w:r>
      <w:proofErr w:type="spellStart"/>
      <w:r>
        <w:rPr>
          <w:rFonts w:ascii="Book Antiqua" w:hAnsi="Book Antiqua"/>
        </w:rPr>
        <w:t>Milkiewicz</w:t>
      </w:r>
      <w:proofErr w:type="spellEnd"/>
      <w:r>
        <w:rPr>
          <w:rFonts w:ascii="Book Antiqua" w:hAnsi="Book Antiqua"/>
        </w:rPr>
        <w:t xml:space="preserve"> M. Vitamin-D Receptor-Gene Polymorphisms Affect Quality of Life in Patients with Autoimmune Liver Diseases.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32727130 DOI: 10.3390/nu12082244]</w:t>
      </w:r>
    </w:p>
    <w:p w14:paraId="0B0A3102" w14:textId="77777777" w:rsidR="004E6ADE" w:rsidRDefault="00032766">
      <w:pPr>
        <w:spacing w:line="360" w:lineRule="auto"/>
        <w:jc w:val="both"/>
        <w:rPr>
          <w:rFonts w:ascii="Book Antiqua" w:hAnsi="Book Antiqua"/>
        </w:rPr>
      </w:pPr>
      <w:r>
        <w:rPr>
          <w:rFonts w:ascii="Book Antiqua" w:hAnsi="Book Antiqua"/>
        </w:rPr>
        <w:t xml:space="preserve">7 </w:t>
      </w:r>
      <w:r>
        <w:rPr>
          <w:rFonts w:ascii="Book Antiqua" w:hAnsi="Book Antiqua"/>
          <w:b/>
          <w:bCs/>
        </w:rPr>
        <w:t>Webb G</w:t>
      </w:r>
      <w:r>
        <w:rPr>
          <w:rFonts w:ascii="Book Antiqua" w:hAnsi="Book Antiqua"/>
        </w:rPr>
        <w:t xml:space="preserve">, Chen YY, Li KK, Neil D, </w:t>
      </w:r>
      <w:proofErr w:type="spellStart"/>
      <w:r>
        <w:rPr>
          <w:rFonts w:ascii="Book Antiqua" w:hAnsi="Book Antiqua"/>
        </w:rPr>
        <w:t>Oo</w:t>
      </w:r>
      <w:proofErr w:type="spellEnd"/>
      <w:r>
        <w:rPr>
          <w:rFonts w:ascii="Book Antiqua" w:hAnsi="Book Antiqua"/>
        </w:rPr>
        <w:t xml:space="preserve"> YH, Richter A, Bigley V, Collin M, Adams DH, Hirschfield GM. Single-gene association between GATA-2 and autoimmune hepatitis: A novel genetic insight highlighting immunologic pathways to disease. </w:t>
      </w:r>
      <w:r>
        <w:rPr>
          <w:rFonts w:ascii="Book Antiqua" w:hAnsi="Book Antiqua"/>
          <w:i/>
          <w:iCs/>
        </w:rPr>
        <w:t>J Hepatol</w:t>
      </w:r>
      <w:r>
        <w:rPr>
          <w:rFonts w:ascii="Book Antiqua" w:hAnsi="Book Antiqua"/>
        </w:rPr>
        <w:t xml:space="preserve"> 2016; </w:t>
      </w:r>
      <w:r>
        <w:rPr>
          <w:rFonts w:ascii="Book Antiqua" w:hAnsi="Book Antiqua"/>
          <w:b/>
          <w:bCs/>
        </w:rPr>
        <w:t>64</w:t>
      </w:r>
      <w:r>
        <w:rPr>
          <w:rFonts w:ascii="Book Antiqua" w:hAnsi="Book Antiqua"/>
        </w:rPr>
        <w:t>: 1190-1193 [PMID: 26812071 DOI: 10.1016/j.jhep.2016.01.017]</w:t>
      </w:r>
    </w:p>
    <w:p w14:paraId="2106C8EF" w14:textId="77777777" w:rsidR="004E6ADE" w:rsidRDefault="00032766">
      <w:pPr>
        <w:spacing w:line="360" w:lineRule="auto"/>
        <w:jc w:val="both"/>
        <w:rPr>
          <w:rFonts w:ascii="Book Antiqua" w:hAnsi="Book Antiqua"/>
        </w:rPr>
      </w:pPr>
      <w:r>
        <w:rPr>
          <w:rFonts w:ascii="Book Antiqua" w:hAnsi="Book Antiqua"/>
        </w:rPr>
        <w:t xml:space="preserve">8 </w:t>
      </w:r>
      <w:r>
        <w:rPr>
          <w:rFonts w:ascii="Book Antiqua" w:hAnsi="Book Antiqua"/>
          <w:b/>
          <w:bCs/>
        </w:rPr>
        <w:t>Sun W</w:t>
      </w:r>
      <w:r>
        <w:rPr>
          <w:rFonts w:ascii="Book Antiqua" w:hAnsi="Book Antiqua"/>
        </w:rPr>
        <w:t xml:space="preserve">, Wu HY, Chen S. Influence of TBX21 T-1993C variant on autoimmune hepatitis development by Yin-Yang 1 binding.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8500-8511 [PMID: 29358858 DOI: 10.3748/wjg.v23.i48.8500]</w:t>
      </w:r>
    </w:p>
    <w:p w14:paraId="1C573CF0" w14:textId="77777777" w:rsidR="004E6ADE" w:rsidRDefault="00032766">
      <w:pPr>
        <w:spacing w:line="360" w:lineRule="auto"/>
        <w:jc w:val="both"/>
        <w:rPr>
          <w:rFonts w:ascii="Book Antiqua" w:hAnsi="Book Antiqua"/>
        </w:rPr>
      </w:pPr>
      <w:r>
        <w:rPr>
          <w:rFonts w:ascii="Book Antiqua" w:hAnsi="Book Antiqua"/>
        </w:rPr>
        <w:t xml:space="preserve">9 </w:t>
      </w:r>
      <w:r>
        <w:rPr>
          <w:rFonts w:ascii="Book Antiqua" w:hAnsi="Book Antiqua"/>
          <w:b/>
          <w:bCs/>
        </w:rPr>
        <w:t>Li X</w:t>
      </w:r>
      <w:r>
        <w:rPr>
          <w:rFonts w:ascii="Book Antiqua" w:hAnsi="Book Antiqua"/>
        </w:rPr>
        <w:t xml:space="preserve">, Chen H, Cai Y, Zhang P, Chen Z. Association of </w:t>
      </w:r>
      <w:r>
        <w:rPr>
          <w:rFonts w:ascii="Book Antiqua" w:hAnsi="Book Antiqua"/>
          <w:i/>
          <w:iCs/>
        </w:rPr>
        <w:t>STAT4</w:t>
      </w:r>
      <w:r>
        <w:rPr>
          <w:rFonts w:ascii="Book Antiqua" w:hAnsi="Book Antiqua"/>
        </w:rPr>
        <w:t xml:space="preserve"> and </w:t>
      </w:r>
      <w:r>
        <w:rPr>
          <w:rFonts w:ascii="Book Antiqua" w:hAnsi="Book Antiqua"/>
          <w:i/>
          <w:iCs/>
        </w:rPr>
        <w:t>PTPN22</w:t>
      </w:r>
      <w:r>
        <w:rPr>
          <w:rFonts w:ascii="Book Antiqua" w:hAnsi="Book Antiqua"/>
        </w:rPr>
        <w:t xml:space="preserve"> polymorphisms and their interactions with type-1 autoimmune hepatitis susceptibility in Chinese Han children. </w:t>
      </w:r>
      <w:proofErr w:type="spellStart"/>
      <w:r>
        <w:rPr>
          <w:rFonts w:ascii="Book Antiqua" w:hAnsi="Book Antiqua"/>
          <w:i/>
          <w:iCs/>
        </w:rPr>
        <w:t>Oncotarget</w:t>
      </w:r>
      <w:proofErr w:type="spellEnd"/>
      <w:r>
        <w:rPr>
          <w:rFonts w:ascii="Book Antiqua" w:hAnsi="Book Antiqua"/>
        </w:rPr>
        <w:t xml:space="preserve"> 2017; </w:t>
      </w:r>
      <w:r>
        <w:rPr>
          <w:rFonts w:ascii="Book Antiqua" w:hAnsi="Book Antiqua"/>
          <w:b/>
          <w:bCs/>
        </w:rPr>
        <w:t>8</w:t>
      </w:r>
      <w:r>
        <w:rPr>
          <w:rFonts w:ascii="Book Antiqua" w:hAnsi="Book Antiqua"/>
        </w:rPr>
        <w:t>: 60933-60940 [PMID: 28977835 DOI: 10.18632/oncotarget.17458]</w:t>
      </w:r>
    </w:p>
    <w:p w14:paraId="59C97AEF" w14:textId="77777777" w:rsidR="004E6ADE" w:rsidRDefault="00032766">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Chaouali</w:t>
      </w:r>
      <w:proofErr w:type="spellEnd"/>
      <w:r>
        <w:rPr>
          <w:rFonts w:ascii="Book Antiqua" w:hAnsi="Book Antiqua"/>
          <w:b/>
          <w:bCs/>
        </w:rPr>
        <w:t xml:space="preserve"> M</w:t>
      </w:r>
      <w:r>
        <w:rPr>
          <w:rFonts w:ascii="Book Antiqua" w:hAnsi="Book Antiqua"/>
        </w:rPr>
        <w:t xml:space="preserve">, Carvalho A, </w:t>
      </w:r>
      <w:proofErr w:type="spellStart"/>
      <w:r>
        <w:rPr>
          <w:rFonts w:ascii="Book Antiqua" w:hAnsi="Book Antiqua"/>
        </w:rPr>
        <w:t>Tezeghdenti</w:t>
      </w:r>
      <w:proofErr w:type="spellEnd"/>
      <w:r>
        <w:rPr>
          <w:rFonts w:ascii="Book Antiqua" w:hAnsi="Book Antiqua"/>
        </w:rPr>
        <w:t xml:space="preserve"> A, Ben </w:t>
      </w:r>
      <w:proofErr w:type="spellStart"/>
      <w:r>
        <w:rPr>
          <w:rFonts w:ascii="Book Antiqua" w:hAnsi="Book Antiqua"/>
        </w:rPr>
        <w:t>Azaiez</w:t>
      </w:r>
      <w:proofErr w:type="spellEnd"/>
      <w:r>
        <w:rPr>
          <w:rFonts w:ascii="Book Antiqua" w:hAnsi="Book Antiqua"/>
        </w:rPr>
        <w:t xml:space="preserve"> M, Cunha C, </w:t>
      </w:r>
      <w:proofErr w:type="spellStart"/>
      <w:r>
        <w:rPr>
          <w:rFonts w:ascii="Book Antiqua" w:hAnsi="Book Antiqua"/>
        </w:rPr>
        <w:t>Ghazouani</w:t>
      </w:r>
      <w:proofErr w:type="spellEnd"/>
      <w:r>
        <w:rPr>
          <w:rFonts w:ascii="Book Antiqua" w:hAnsi="Book Antiqua"/>
        </w:rPr>
        <w:t xml:space="preserve"> E, </w:t>
      </w:r>
      <w:proofErr w:type="spellStart"/>
      <w:r>
        <w:rPr>
          <w:rFonts w:ascii="Book Antiqua" w:hAnsi="Book Antiqua"/>
        </w:rPr>
        <w:t>Kochkar</w:t>
      </w:r>
      <w:proofErr w:type="spellEnd"/>
      <w:r>
        <w:rPr>
          <w:rFonts w:ascii="Book Antiqua" w:hAnsi="Book Antiqua"/>
        </w:rPr>
        <w:t xml:space="preserve"> R. Cytotoxic T lymphocyte antigen-4 gene polymorphisms and susceptibility to type 1 autoimmune hepatitis in the Tunisian population. </w:t>
      </w:r>
      <w:r>
        <w:rPr>
          <w:rFonts w:ascii="Book Antiqua" w:hAnsi="Book Antiqua"/>
          <w:i/>
          <w:iCs/>
        </w:rPr>
        <w:t>Genes Dis</w:t>
      </w:r>
      <w:r>
        <w:rPr>
          <w:rFonts w:ascii="Book Antiqua" w:hAnsi="Book Antiqua"/>
        </w:rPr>
        <w:t xml:space="preserve"> 2018; </w:t>
      </w:r>
      <w:r>
        <w:rPr>
          <w:rFonts w:ascii="Book Antiqua" w:hAnsi="Book Antiqua"/>
          <w:b/>
          <w:bCs/>
        </w:rPr>
        <w:t>5</w:t>
      </w:r>
      <w:r>
        <w:rPr>
          <w:rFonts w:ascii="Book Antiqua" w:hAnsi="Book Antiqua"/>
        </w:rPr>
        <w:t>: 256-262 [PMID: 30320190 DOI: 10.1016/j.gendis.2017.12.006]</w:t>
      </w:r>
    </w:p>
    <w:p w14:paraId="217E020F" w14:textId="77777777" w:rsidR="004E6ADE" w:rsidRDefault="00032766">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McReynolds LJ</w:t>
      </w:r>
      <w:r>
        <w:rPr>
          <w:rFonts w:ascii="Book Antiqua" w:hAnsi="Book Antiqua"/>
        </w:rPr>
        <w:t xml:space="preserve">, Calvo KR, Holland SM. Germline GATA2 Mutation and Bone Marrow Failure. </w:t>
      </w:r>
      <w:proofErr w:type="spellStart"/>
      <w:r>
        <w:rPr>
          <w:rFonts w:ascii="Book Antiqua" w:hAnsi="Book Antiqua"/>
          <w:i/>
          <w:iCs/>
        </w:rPr>
        <w:t>Hematol</w:t>
      </w:r>
      <w:proofErr w:type="spellEnd"/>
      <w:r>
        <w:rPr>
          <w:rFonts w:ascii="Book Antiqua" w:hAnsi="Book Antiqua"/>
          <w:i/>
          <w:iCs/>
        </w:rPr>
        <w:t xml:space="preserve"> Oncol Clin North Am</w:t>
      </w:r>
      <w:r>
        <w:rPr>
          <w:rFonts w:ascii="Book Antiqua" w:hAnsi="Book Antiqua"/>
        </w:rPr>
        <w:t xml:space="preserve"> 2018; </w:t>
      </w:r>
      <w:r>
        <w:rPr>
          <w:rFonts w:ascii="Book Antiqua" w:hAnsi="Book Antiqua"/>
          <w:b/>
          <w:bCs/>
        </w:rPr>
        <w:t>32</w:t>
      </w:r>
      <w:r>
        <w:rPr>
          <w:rFonts w:ascii="Book Antiqua" w:hAnsi="Book Antiqua"/>
        </w:rPr>
        <w:t>: 713-728 [PMID: 30047422 DOI: 10.1016/j.hoc.2018.04.004]</w:t>
      </w:r>
    </w:p>
    <w:p w14:paraId="7A21CE1D" w14:textId="77777777" w:rsidR="004E6ADE" w:rsidRDefault="00032766">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Chaouali</w:t>
      </w:r>
      <w:proofErr w:type="spellEnd"/>
      <w:r>
        <w:rPr>
          <w:rFonts w:ascii="Book Antiqua" w:hAnsi="Book Antiqua"/>
          <w:b/>
          <w:bCs/>
        </w:rPr>
        <w:t xml:space="preserve"> M</w:t>
      </w:r>
      <w:r>
        <w:rPr>
          <w:rFonts w:ascii="Book Antiqua" w:hAnsi="Book Antiqua"/>
        </w:rPr>
        <w:t xml:space="preserve">, Ben </w:t>
      </w:r>
      <w:proofErr w:type="spellStart"/>
      <w:r>
        <w:rPr>
          <w:rFonts w:ascii="Book Antiqua" w:hAnsi="Book Antiqua"/>
        </w:rPr>
        <w:t>Azaiez</w:t>
      </w:r>
      <w:proofErr w:type="spellEnd"/>
      <w:r>
        <w:rPr>
          <w:rFonts w:ascii="Book Antiqua" w:hAnsi="Book Antiqua"/>
        </w:rPr>
        <w:t xml:space="preserve"> M, </w:t>
      </w:r>
      <w:proofErr w:type="spellStart"/>
      <w:r>
        <w:rPr>
          <w:rFonts w:ascii="Book Antiqua" w:hAnsi="Book Antiqua"/>
        </w:rPr>
        <w:t>Tezeghdenti</w:t>
      </w:r>
      <w:proofErr w:type="spellEnd"/>
      <w:r>
        <w:rPr>
          <w:rFonts w:ascii="Book Antiqua" w:hAnsi="Book Antiqua"/>
        </w:rPr>
        <w:t xml:space="preserve"> A, </w:t>
      </w:r>
      <w:proofErr w:type="spellStart"/>
      <w:r>
        <w:rPr>
          <w:rFonts w:ascii="Book Antiqua" w:hAnsi="Book Antiqua"/>
        </w:rPr>
        <w:t>Yacoubi-Oueslati</w:t>
      </w:r>
      <w:proofErr w:type="spellEnd"/>
      <w:r>
        <w:rPr>
          <w:rFonts w:ascii="Book Antiqua" w:hAnsi="Book Antiqua"/>
        </w:rPr>
        <w:t xml:space="preserve"> B, </w:t>
      </w:r>
      <w:proofErr w:type="spellStart"/>
      <w:r>
        <w:rPr>
          <w:rFonts w:ascii="Book Antiqua" w:hAnsi="Book Antiqua"/>
        </w:rPr>
        <w:t>Ghazouani</w:t>
      </w:r>
      <w:proofErr w:type="spellEnd"/>
      <w:r>
        <w:rPr>
          <w:rFonts w:ascii="Book Antiqua" w:hAnsi="Book Antiqua"/>
        </w:rPr>
        <w:t xml:space="preserve"> E, </w:t>
      </w:r>
      <w:proofErr w:type="spellStart"/>
      <w:r>
        <w:rPr>
          <w:rFonts w:ascii="Book Antiqua" w:hAnsi="Book Antiqua"/>
        </w:rPr>
        <w:t>Kochkar</w:t>
      </w:r>
      <w:proofErr w:type="spellEnd"/>
      <w:r>
        <w:rPr>
          <w:rFonts w:ascii="Book Antiqua" w:hAnsi="Book Antiqua"/>
        </w:rPr>
        <w:t xml:space="preserve"> R. High levels of proinflammatory cytokines IL-6, IL-8, TNF-Α, IL-23, and IFN- in Tunisian patients with type 1 autoimmune hepatitis. </w:t>
      </w:r>
      <w:r>
        <w:rPr>
          <w:rFonts w:ascii="Book Antiqua" w:hAnsi="Book Antiqua"/>
          <w:i/>
          <w:iCs/>
        </w:rPr>
        <w:t xml:space="preserve">Eur Cytokine </w:t>
      </w:r>
      <w:proofErr w:type="spellStart"/>
      <w:r>
        <w:rPr>
          <w:rFonts w:ascii="Book Antiqua" w:hAnsi="Book Antiqua"/>
          <w:i/>
          <w:iCs/>
        </w:rPr>
        <w:t>Netw</w:t>
      </w:r>
      <w:proofErr w:type="spellEnd"/>
      <w:r>
        <w:rPr>
          <w:rFonts w:ascii="Book Antiqua" w:hAnsi="Book Antiqua"/>
        </w:rPr>
        <w:t xml:space="preserve"> 2020 [PMID: 33270020 DOI: 10.1684/ecn.2020.0450]</w:t>
      </w:r>
    </w:p>
    <w:p w14:paraId="7DED387A" w14:textId="77777777" w:rsidR="004E6ADE" w:rsidRDefault="00032766">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Motawi</w:t>
      </w:r>
      <w:proofErr w:type="spellEnd"/>
      <w:r>
        <w:rPr>
          <w:rFonts w:ascii="Book Antiqua" w:hAnsi="Book Antiqua"/>
          <w:b/>
          <w:bCs/>
        </w:rPr>
        <w:t xml:space="preserve"> TK</w:t>
      </w:r>
      <w:r>
        <w:rPr>
          <w:rFonts w:ascii="Book Antiqua" w:hAnsi="Book Antiqua"/>
        </w:rPr>
        <w:t>, El-</w:t>
      </w:r>
      <w:proofErr w:type="spellStart"/>
      <w:r>
        <w:rPr>
          <w:rFonts w:ascii="Book Antiqua" w:hAnsi="Book Antiqua"/>
        </w:rPr>
        <w:t>Maraghy</w:t>
      </w:r>
      <w:proofErr w:type="spellEnd"/>
      <w:r>
        <w:rPr>
          <w:rFonts w:ascii="Book Antiqua" w:hAnsi="Book Antiqua"/>
        </w:rPr>
        <w:t xml:space="preserve"> SA, Sharaf SA, Said SE. Association of </w:t>
      </w:r>
      <w:r>
        <w:rPr>
          <w:rFonts w:ascii="Book Antiqua" w:hAnsi="Book Antiqua"/>
          <w:i/>
          <w:iCs/>
        </w:rPr>
        <w:t>CARD10</w:t>
      </w:r>
      <w:r>
        <w:rPr>
          <w:rFonts w:ascii="Book Antiqua" w:hAnsi="Book Antiqua"/>
        </w:rPr>
        <w:t xml:space="preserve"> rs6000782 and </w:t>
      </w:r>
      <w:r>
        <w:rPr>
          <w:rFonts w:ascii="Book Antiqua" w:hAnsi="Book Antiqua"/>
          <w:i/>
          <w:iCs/>
        </w:rPr>
        <w:t>TNF</w:t>
      </w:r>
      <w:r>
        <w:rPr>
          <w:rFonts w:ascii="Book Antiqua" w:hAnsi="Book Antiqua"/>
        </w:rPr>
        <w:t xml:space="preserve"> rs1799724 variants with </w:t>
      </w:r>
      <w:proofErr w:type="spellStart"/>
      <w:r>
        <w:rPr>
          <w:rFonts w:ascii="Book Antiqua" w:hAnsi="Book Antiqua"/>
        </w:rPr>
        <w:t>paediatric</w:t>
      </w:r>
      <w:proofErr w:type="spellEnd"/>
      <w:r>
        <w:rPr>
          <w:rFonts w:ascii="Book Antiqua" w:hAnsi="Book Antiqua"/>
        </w:rPr>
        <w:t xml:space="preserve">-onset autoimmune hepatitis. </w:t>
      </w:r>
      <w:r>
        <w:rPr>
          <w:rFonts w:ascii="Book Antiqua" w:hAnsi="Book Antiqua"/>
          <w:i/>
          <w:iCs/>
        </w:rPr>
        <w:t>J Adv Res</w:t>
      </w:r>
      <w:r>
        <w:rPr>
          <w:rFonts w:ascii="Book Antiqua" w:hAnsi="Book Antiqua"/>
        </w:rPr>
        <w:t xml:space="preserve"> 2019; </w:t>
      </w:r>
      <w:r>
        <w:rPr>
          <w:rFonts w:ascii="Book Antiqua" w:hAnsi="Book Antiqua"/>
          <w:b/>
          <w:bCs/>
        </w:rPr>
        <w:t>15</w:t>
      </w:r>
      <w:r>
        <w:rPr>
          <w:rFonts w:ascii="Book Antiqua" w:hAnsi="Book Antiqua"/>
        </w:rPr>
        <w:t>: 103-110 [PMID: 30581618 DOI: 10.1016/j.jare.2018.10.001]</w:t>
      </w:r>
    </w:p>
    <w:p w14:paraId="109C8999" w14:textId="77777777" w:rsidR="004E6ADE" w:rsidRDefault="00032766">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Alsayed</w:t>
      </w:r>
      <w:proofErr w:type="spellEnd"/>
      <w:r>
        <w:rPr>
          <w:rFonts w:ascii="Book Antiqua" w:hAnsi="Book Antiqua"/>
          <w:b/>
          <w:bCs/>
        </w:rPr>
        <w:t xml:space="preserve"> MAL</w:t>
      </w:r>
      <w:r>
        <w:rPr>
          <w:rFonts w:ascii="Book Antiqua" w:hAnsi="Book Antiqua"/>
        </w:rPr>
        <w:t xml:space="preserve">, </w:t>
      </w:r>
      <w:proofErr w:type="spellStart"/>
      <w:r>
        <w:rPr>
          <w:rFonts w:ascii="Book Antiqua" w:hAnsi="Book Antiqua"/>
        </w:rPr>
        <w:t>Elbeah</w:t>
      </w:r>
      <w:proofErr w:type="spellEnd"/>
      <w:r>
        <w:rPr>
          <w:rFonts w:ascii="Book Antiqua" w:hAnsi="Book Antiqua"/>
        </w:rPr>
        <w:t xml:space="preserve"> SM, El-</w:t>
      </w:r>
      <w:proofErr w:type="spellStart"/>
      <w:r>
        <w:rPr>
          <w:rFonts w:ascii="Book Antiqua" w:hAnsi="Book Antiqua"/>
        </w:rPr>
        <w:t>Desoky</w:t>
      </w:r>
      <w:proofErr w:type="spellEnd"/>
      <w:r>
        <w:rPr>
          <w:rFonts w:ascii="Book Antiqua" w:hAnsi="Book Antiqua"/>
        </w:rPr>
        <w:t xml:space="preserve"> MM, </w:t>
      </w:r>
      <w:proofErr w:type="spellStart"/>
      <w:r>
        <w:rPr>
          <w:rFonts w:ascii="Book Antiqua" w:hAnsi="Book Antiqua"/>
        </w:rPr>
        <w:t>Elziny</w:t>
      </w:r>
      <w:proofErr w:type="spellEnd"/>
      <w:r>
        <w:rPr>
          <w:rFonts w:ascii="Book Antiqua" w:hAnsi="Book Antiqua"/>
        </w:rPr>
        <w:t xml:space="preserve"> SM, </w:t>
      </w:r>
      <w:proofErr w:type="spellStart"/>
      <w:r>
        <w:rPr>
          <w:rFonts w:ascii="Book Antiqua" w:hAnsi="Book Antiqua"/>
        </w:rPr>
        <w:t>Megahed</w:t>
      </w:r>
      <w:proofErr w:type="spellEnd"/>
      <w:r>
        <w:rPr>
          <w:rFonts w:ascii="Book Antiqua" w:hAnsi="Book Antiqua"/>
        </w:rPr>
        <w:t xml:space="preserve"> A. Polymorphism in Macrophage Migration Inhibitory Factor -173GC in Pediatric Patients with Autoimmune Hepatitis. </w:t>
      </w:r>
      <w:proofErr w:type="spellStart"/>
      <w:r>
        <w:rPr>
          <w:rFonts w:ascii="Book Antiqua" w:hAnsi="Book Antiqua"/>
          <w:i/>
          <w:iCs/>
        </w:rPr>
        <w:t>Pediatr</w:t>
      </w:r>
      <w:proofErr w:type="spellEnd"/>
      <w:r>
        <w:rPr>
          <w:rFonts w:ascii="Book Antiqua" w:hAnsi="Book Antiqua"/>
          <w:i/>
          <w:iCs/>
        </w:rPr>
        <w:t xml:space="preserve"> Gastroenterol Hepatol </w:t>
      </w:r>
      <w:proofErr w:type="spellStart"/>
      <w:r>
        <w:rPr>
          <w:rFonts w:ascii="Book Antiqua" w:hAnsi="Book Antiqua"/>
          <w:i/>
          <w:iCs/>
        </w:rPr>
        <w:t>Nutr</w:t>
      </w:r>
      <w:proofErr w:type="spellEnd"/>
      <w:r>
        <w:rPr>
          <w:rFonts w:ascii="Book Antiqua" w:hAnsi="Book Antiqua"/>
        </w:rPr>
        <w:t xml:space="preserve"> 2020; </w:t>
      </w:r>
      <w:r>
        <w:rPr>
          <w:rFonts w:ascii="Book Antiqua" w:hAnsi="Book Antiqua"/>
          <w:b/>
          <w:bCs/>
        </w:rPr>
        <w:t>23</w:t>
      </w:r>
      <w:r>
        <w:rPr>
          <w:rFonts w:ascii="Book Antiqua" w:hAnsi="Book Antiqua"/>
        </w:rPr>
        <w:t>: 63-71 [PMID: 31988876 DOI: 10.5223/pghn.2020.23.1.63]</w:t>
      </w:r>
    </w:p>
    <w:p w14:paraId="60576E00" w14:textId="77777777" w:rsidR="004E6ADE" w:rsidRDefault="00032766">
      <w:pPr>
        <w:spacing w:line="360" w:lineRule="auto"/>
        <w:jc w:val="both"/>
        <w:rPr>
          <w:rFonts w:ascii="Book Antiqua" w:hAnsi="Book Antiqua"/>
        </w:rPr>
      </w:pPr>
      <w:r>
        <w:rPr>
          <w:rFonts w:ascii="Book Antiqua" w:hAnsi="Book Antiqua"/>
        </w:rPr>
        <w:t xml:space="preserve">15 </w:t>
      </w:r>
      <w:r>
        <w:rPr>
          <w:rFonts w:ascii="Book Antiqua" w:hAnsi="Book Antiqua"/>
          <w:b/>
          <w:bCs/>
        </w:rPr>
        <w:t>Qian J</w:t>
      </w:r>
      <w:r>
        <w:rPr>
          <w:rFonts w:ascii="Book Antiqua" w:hAnsi="Book Antiqua"/>
        </w:rPr>
        <w:t xml:space="preserve">, Meng Z, Guan J, Zhang Z, Wang Y. Expression and roles of TIPE2 in autoimmune hepatitis. </w:t>
      </w:r>
      <w:r>
        <w:rPr>
          <w:rFonts w:ascii="Book Antiqua" w:hAnsi="Book Antiqua"/>
          <w:i/>
          <w:iCs/>
        </w:rPr>
        <w:t xml:space="preserve">Exp </w:t>
      </w:r>
      <w:proofErr w:type="spellStart"/>
      <w:r>
        <w:rPr>
          <w:rFonts w:ascii="Book Antiqua" w:hAnsi="Book Antiqua"/>
          <w:i/>
          <w:iCs/>
        </w:rPr>
        <w:t>Ther</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13</w:t>
      </w:r>
      <w:r>
        <w:rPr>
          <w:rFonts w:ascii="Book Antiqua" w:hAnsi="Book Antiqua"/>
        </w:rPr>
        <w:t>: 942-946 [PMID: 28450923 DOI: 10.3892/etm.2017.4050]</w:t>
      </w:r>
    </w:p>
    <w:p w14:paraId="1523D16A" w14:textId="77777777" w:rsidR="004E6ADE" w:rsidRDefault="00032766">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Taubert</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Diestelhorst</w:t>
      </w:r>
      <w:proofErr w:type="spellEnd"/>
      <w:r>
        <w:rPr>
          <w:rFonts w:ascii="Book Antiqua" w:hAnsi="Book Antiqua"/>
        </w:rPr>
        <w:t xml:space="preserve"> J, </w:t>
      </w:r>
      <w:proofErr w:type="spellStart"/>
      <w:r>
        <w:rPr>
          <w:rFonts w:ascii="Book Antiqua" w:hAnsi="Book Antiqua"/>
        </w:rPr>
        <w:t>Junge</w:t>
      </w:r>
      <w:proofErr w:type="spellEnd"/>
      <w:r>
        <w:rPr>
          <w:rFonts w:ascii="Book Antiqua" w:hAnsi="Book Antiqua"/>
        </w:rPr>
        <w:t xml:space="preserve"> N, Kirstein MM, </w:t>
      </w:r>
      <w:proofErr w:type="spellStart"/>
      <w:r>
        <w:rPr>
          <w:rFonts w:ascii="Book Antiqua" w:hAnsi="Book Antiqua"/>
        </w:rPr>
        <w:t>Pischke</w:t>
      </w:r>
      <w:proofErr w:type="spellEnd"/>
      <w:r>
        <w:rPr>
          <w:rFonts w:ascii="Book Antiqua" w:hAnsi="Book Antiqua"/>
        </w:rPr>
        <w:t xml:space="preserve"> S, Vogel A, </w:t>
      </w:r>
      <w:proofErr w:type="spellStart"/>
      <w:r>
        <w:rPr>
          <w:rFonts w:ascii="Book Antiqua" w:hAnsi="Book Antiqua"/>
        </w:rPr>
        <w:t>Bantel</w:t>
      </w:r>
      <w:proofErr w:type="spellEnd"/>
      <w:r>
        <w:rPr>
          <w:rFonts w:ascii="Book Antiqua" w:hAnsi="Book Antiqua"/>
        </w:rPr>
        <w:t xml:space="preserve"> H, Baumann U, </w:t>
      </w:r>
      <w:proofErr w:type="spellStart"/>
      <w:r>
        <w:rPr>
          <w:rFonts w:ascii="Book Antiqua" w:hAnsi="Book Antiqua"/>
        </w:rPr>
        <w:t>Manns</w:t>
      </w:r>
      <w:proofErr w:type="spellEnd"/>
      <w:r>
        <w:rPr>
          <w:rFonts w:ascii="Book Antiqua" w:hAnsi="Book Antiqua"/>
        </w:rPr>
        <w:t xml:space="preserve"> MP, </w:t>
      </w:r>
      <w:proofErr w:type="spellStart"/>
      <w:r>
        <w:rPr>
          <w:rFonts w:ascii="Book Antiqua" w:hAnsi="Book Antiqua"/>
        </w:rPr>
        <w:t>Wedemeyer</w:t>
      </w:r>
      <w:proofErr w:type="spellEnd"/>
      <w:r>
        <w:rPr>
          <w:rFonts w:ascii="Book Antiqua" w:hAnsi="Book Antiqua"/>
        </w:rPr>
        <w:t xml:space="preserve"> H, </w:t>
      </w:r>
      <w:proofErr w:type="spellStart"/>
      <w:r>
        <w:rPr>
          <w:rFonts w:ascii="Book Antiqua" w:hAnsi="Book Antiqua"/>
        </w:rPr>
        <w:t>Jaeckel</w:t>
      </w:r>
      <w:proofErr w:type="spellEnd"/>
      <w:r>
        <w:rPr>
          <w:rFonts w:ascii="Book Antiqua" w:hAnsi="Book Antiqua"/>
        </w:rPr>
        <w:t xml:space="preserve"> E. Increased seroprevalence of HAV and parvovirus B19 in children and of HEV in adults at diagnosis of autoimmune hepatitis.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17452 [PMID: 30487523 DOI: 10.1038/s41598-018-35882-7]</w:t>
      </w:r>
    </w:p>
    <w:p w14:paraId="1A259A10" w14:textId="77777777" w:rsidR="004E6ADE" w:rsidRDefault="00032766">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Llovet</w:t>
      </w:r>
      <w:proofErr w:type="spellEnd"/>
      <w:r>
        <w:rPr>
          <w:rFonts w:ascii="Book Antiqua" w:hAnsi="Book Antiqua"/>
          <w:b/>
          <w:bCs/>
        </w:rPr>
        <w:t xml:space="preserve"> LP</w:t>
      </w:r>
      <w:r>
        <w:rPr>
          <w:rFonts w:ascii="Book Antiqua" w:hAnsi="Book Antiqua"/>
        </w:rPr>
        <w:t xml:space="preserve">, </w:t>
      </w:r>
      <w:proofErr w:type="spellStart"/>
      <w:r>
        <w:rPr>
          <w:rFonts w:ascii="Book Antiqua" w:hAnsi="Book Antiqua"/>
        </w:rPr>
        <w:t>Gratacós-Ginés</w:t>
      </w:r>
      <w:proofErr w:type="spellEnd"/>
      <w:r>
        <w:rPr>
          <w:rFonts w:ascii="Book Antiqua" w:hAnsi="Book Antiqua"/>
        </w:rPr>
        <w:t xml:space="preserve"> J, Ortiz O, Rodriguez-</w:t>
      </w:r>
      <w:proofErr w:type="spellStart"/>
      <w:r>
        <w:rPr>
          <w:rFonts w:ascii="Book Antiqua" w:hAnsi="Book Antiqua"/>
        </w:rPr>
        <w:t>Tajes</w:t>
      </w:r>
      <w:proofErr w:type="spellEnd"/>
      <w:r>
        <w:rPr>
          <w:rFonts w:ascii="Book Antiqua" w:hAnsi="Book Antiqua"/>
        </w:rPr>
        <w:t xml:space="preserve"> S, Lens S, </w:t>
      </w:r>
      <w:proofErr w:type="spellStart"/>
      <w:r>
        <w:rPr>
          <w:rFonts w:ascii="Book Antiqua" w:hAnsi="Book Antiqua"/>
        </w:rPr>
        <w:t>Reverter</w:t>
      </w:r>
      <w:proofErr w:type="spellEnd"/>
      <w:r>
        <w:rPr>
          <w:rFonts w:ascii="Book Antiqua" w:hAnsi="Book Antiqua"/>
        </w:rPr>
        <w:t xml:space="preserve"> E, Ruiz-Ortiz E, Costa J, </w:t>
      </w:r>
      <w:proofErr w:type="spellStart"/>
      <w:r>
        <w:rPr>
          <w:rFonts w:ascii="Book Antiqua" w:hAnsi="Book Antiqua"/>
        </w:rPr>
        <w:t>Viñas</w:t>
      </w:r>
      <w:proofErr w:type="spellEnd"/>
      <w:r>
        <w:rPr>
          <w:rFonts w:ascii="Book Antiqua" w:hAnsi="Book Antiqua"/>
        </w:rPr>
        <w:t xml:space="preserve"> O, </w:t>
      </w:r>
      <w:proofErr w:type="spellStart"/>
      <w:r>
        <w:rPr>
          <w:rFonts w:ascii="Book Antiqua" w:hAnsi="Book Antiqua"/>
        </w:rPr>
        <w:t>Forns</w:t>
      </w:r>
      <w:proofErr w:type="spellEnd"/>
      <w:r>
        <w:rPr>
          <w:rFonts w:ascii="Book Antiqua" w:hAnsi="Book Antiqua"/>
        </w:rPr>
        <w:t xml:space="preserve"> X, </w:t>
      </w:r>
      <w:proofErr w:type="spellStart"/>
      <w:r>
        <w:rPr>
          <w:rFonts w:ascii="Book Antiqua" w:hAnsi="Book Antiqua"/>
        </w:rPr>
        <w:t>Parés</w:t>
      </w:r>
      <w:proofErr w:type="spellEnd"/>
      <w:r>
        <w:rPr>
          <w:rFonts w:ascii="Book Antiqua" w:hAnsi="Book Antiqua"/>
        </w:rPr>
        <w:t xml:space="preserve"> A, </w:t>
      </w:r>
      <w:proofErr w:type="spellStart"/>
      <w:r>
        <w:rPr>
          <w:rFonts w:ascii="Book Antiqua" w:hAnsi="Book Antiqua"/>
        </w:rPr>
        <w:t>Londoño</w:t>
      </w:r>
      <w:proofErr w:type="spellEnd"/>
      <w:r>
        <w:rPr>
          <w:rFonts w:ascii="Book Antiqua" w:hAnsi="Book Antiqua"/>
        </w:rPr>
        <w:t xml:space="preserve"> MC. Higher seroprevalence of hepatitis E virus in autoimmune hepatitis: Role of false-positive antibodies.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558-564 [PMID: 31863722 DOI: 10.1111/</w:t>
      </w:r>
      <w:r>
        <w:rPr>
          <w:rFonts w:ascii="Book Antiqua" w:hAnsi="Book Antiqua" w:hint="eastAsia"/>
          <w:lang w:eastAsia="zh-CN"/>
        </w:rPr>
        <w:t>l</w:t>
      </w:r>
      <w:r>
        <w:rPr>
          <w:rFonts w:ascii="Book Antiqua" w:hAnsi="Book Antiqua"/>
        </w:rPr>
        <w:t>iv.14332]</w:t>
      </w:r>
    </w:p>
    <w:p w14:paraId="2F942763" w14:textId="77777777" w:rsidR="004E6ADE" w:rsidRDefault="00032766">
      <w:pPr>
        <w:spacing w:line="360" w:lineRule="auto"/>
        <w:jc w:val="both"/>
        <w:rPr>
          <w:rFonts w:ascii="Book Antiqua" w:hAnsi="Book Antiqua"/>
        </w:rPr>
      </w:pPr>
      <w:r>
        <w:rPr>
          <w:rFonts w:ascii="Book Antiqua" w:hAnsi="Book Antiqua"/>
        </w:rPr>
        <w:t xml:space="preserve">18 </w:t>
      </w:r>
      <w:r>
        <w:rPr>
          <w:rFonts w:ascii="Book Antiqua" w:hAnsi="Book Antiqua"/>
          <w:b/>
          <w:bCs/>
        </w:rPr>
        <w:t>Sasaki T</w:t>
      </w:r>
      <w:r>
        <w:rPr>
          <w:rFonts w:ascii="Book Antiqua" w:hAnsi="Book Antiqua"/>
        </w:rPr>
        <w:t xml:space="preserve">, Suzuki Y, Ishida K, </w:t>
      </w:r>
      <w:proofErr w:type="spellStart"/>
      <w:r>
        <w:rPr>
          <w:rFonts w:ascii="Book Antiqua" w:hAnsi="Book Antiqua"/>
        </w:rPr>
        <w:t>Kakisaka</w:t>
      </w:r>
      <w:proofErr w:type="spellEnd"/>
      <w:r>
        <w:rPr>
          <w:rFonts w:ascii="Book Antiqua" w:hAnsi="Book Antiqua"/>
        </w:rPr>
        <w:t xml:space="preserve"> K, Abe H, </w:t>
      </w:r>
      <w:proofErr w:type="spellStart"/>
      <w:r>
        <w:rPr>
          <w:rFonts w:ascii="Book Antiqua" w:hAnsi="Book Antiqua"/>
        </w:rPr>
        <w:t>Sugai</w:t>
      </w:r>
      <w:proofErr w:type="spellEnd"/>
      <w:r>
        <w:rPr>
          <w:rFonts w:ascii="Book Antiqua" w:hAnsi="Book Antiqua"/>
        </w:rPr>
        <w:t xml:space="preserve"> T, </w:t>
      </w:r>
      <w:proofErr w:type="spellStart"/>
      <w:r>
        <w:rPr>
          <w:rFonts w:ascii="Book Antiqua" w:hAnsi="Book Antiqua"/>
        </w:rPr>
        <w:t>Takikawa</w:t>
      </w:r>
      <w:proofErr w:type="spellEnd"/>
      <w:r>
        <w:rPr>
          <w:rFonts w:ascii="Book Antiqua" w:hAnsi="Book Antiqua"/>
        </w:rPr>
        <w:t xml:space="preserve"> Y. Autoimmune hepatitis following influenza virus vaccination: Two case reports.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e11621 [PMID: 30045302 DOI: 10.1097/MD.0000000000011621]</w:t>
      </w:r>
    </w:p>
    <w:p w14:paraId="61B7D70E" w14:textId="77777777" w:rsidR="004E6ADE" w:rsidRDefault="00032766">
      <w:pPr>
        <w:spacing w:line="360" w:lineRule="auto"/>
        <w:jc w:val="both"/>
        <w:rPr>
          <w:rFonts w:ascii="Book Antiqua" w:hAnsi="Book Antiqua"/>
        </w:rPr>
      </w:pPr>
      <w:r>
        <w:rPr>
          <w:rFonts w:ascii="Book Antiqua" w:hAnsi="Book Antiqua"/>
        </w:rPr>
        <w:lastRenderedPageBreak/>
        <w:t xml:space="preserve">19 </w:t>
      </w:r>
      <w:proofErr w:type="spellStart"/>
      <w:r>
        <w:rPr>
          <w:rFonts w:ascii="Book Antiqua" w:hAnsi="Book Antiqua"/>
          <w:b/>
          <w:bCs/>
        </w:rPr>
        <w:t>Ebadi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Bhanji</w:t>
      </w:r>
      <w:proofErr w:type="spellEnd"/>
      <w:r>
        <w:rPr>
          <w:rFonts w:ascii="Book Antiqua" w:hAnsi="Book Antiqua"/>
        </w:rPr>
        <w:t xml:space="preserve"> RA, </w:t>
      </w:r>
      <w:proofErr w:type="spellStart"/>
      <w:r>
        <w:rPr>
          <w:rFonts w:ascii="Book Antiqua" w:hAnsi="Book Antiqua"/>
        </w:rPr>
        <w:t>Mazurak</w:t>
      </w:r>
      <w:proofErr w:type="spellEnd"/>
      <w:r>
        <w:rPr>
          <w:rFonts w:ascii="Book Antiqua" w:hAnsi="Book Antiqua"/>
        </w:rPr>
        <w:t xml:space="preserve"> VC, </w:t>
      </w:r>
      <w:proofErr w:type="spellStart"/>
      <w:r>
        <w:rPr>
          <w:rFonts w:ascii="Book Antiqua" w:hAnsi="Book Antiqua"/>
        </w:rPr>
        <w:t>Lytvyak</w:t>
      </w:r>
      <w:proofErr w:type="spellEnd"/>
      <w:r>
        <w:rPr>
          <w:rFonts w:ascii="Book Antiqua" w:hAnsi="Book Antiqua"/>
        </w:rPr>
        <w:t xml:space="preserve"> E, Mason A, </w:t>
      </w:r>
      <w:proofErr w:type="spellStart"/>
      <w:r>
        <w:rPr>
          <w:rFonts w:ascii="Book Antiqua" w:hAnsi="Book Antiqua"/>
        </w:rPr>
        <w:t>Czaja</w:t>
      </w:r>
      <w:proofErr w:type="spellEnd"/>
      <w:r>
        <w:rPr>
          <w:rFonts w:ascii="Book Antiqua" w:hAnsi="Book Antiqua"/>
        </w:rPr>
        <w:t xml:space="preserve"> AJ, Montano-</w:t>
      </w:r>
      <w:proofErr w:type="spellStart"/>
      <w:r>
        <w:rPr>
          <w:rFonts w:ascii="Book Antiqua" w:hAnsi="Book Antiqua"/>
        </w:rPr>
        <w:t>Loza</w:t>
      </w:r>
      <w:proofErr w:type="spellEnd"/>
      <w:r>
        <w:rPr>
          <w:rFonts w:ascii="Book Antiqua" w:hAnsi="Book Antiqua"/>
        </w:rPr>
        <w:t xml:space="preserve"> AJ. Severe vitamin D deficiency is a prognostic biomarker in autoimmune hepatitis.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2019; </w:t>
      </w:r>
      <w:r>
        <w:rPr>
          <w:rFonts w:ascii="Book Antiqua" w:hAnsi="Book Antiqua"/>
          <w:b/>
          <w:bCs/>
        </w:rPr>
        <w:t>49</w:t>
      </w:r>
      <w:r>
        <w:rPr>
          <w:rFonts w:ascii="Book Antiqua" w:hAnsi="Book Antiqua"/>
        </w:rPr>
        <w:t>: 173-182 [PMID: 30484857 DOI: 10.1111/apt.15029]</w:t>
      </w:r>
    </w:p>
    <w:p w14:paraId="64C228F9" w14:textId="77777777" w:rsidR="004E6ADE" w:rsidRDefault="00032766">
      <w:pPr>
        <w:spacing w:line="360" w:lineRule="auto"/>
        <w:jc w:val="both"/>
        <w:rPr>
          <w:rFonts w:ascii="Book Antiqua" w:hAnsi="Book Antiqua"/>
        </w:rPr>
      </w:pPr>
      <w:r>
        <w:rPr>
          <w:rFonts w:ascii="Book Antiqua" w:hAnsi="Book Antiqua"/>
        </w:rPr>
        <w:t xml:space="preserve">20 </w:t>
      </w:r>
      <w:r>
        <w:rPr>
          <w:rFonts w:ascii="Book Antiqua" w:hAnsi="Book Antiqua"/>
          <w:b/>
          <w:bCs/>
        </w:rPr>
        <w:t>Zhang H</w:t>
      </w:r>
      <w:r>
        <w:rPr>
          <w:rFonts w:ascii="Book Antiqua" w:hAnsi="Book Antiqua"/>
        </w:rPr>
        <w:t xml:space="preserve">, Liu M, Liu X, Zhong W, Li Y, Ran Y, Guo L, Chen X, Zhao J, Wang B, Zhou L. </w:t>
      </w:r>
      <w:r>
        <w:rPr>
          <w:rFonts w:ascii="Book Antiqua" w:hAnsi="Book Antiqua"/>
          <w:i/>
          <w:iCs/>
        </w:rPr>
        <w:t xml:space="preserve">Bifidobacterium </w:t>
      </w:r>
      <w:proofErr w:type="spellStart"/>
      <w:r>
        <w:rPr>
          <w:rFonts w:ascii="Book Antiqua" w:hAnsi="Book Antiqua"/>
          <w:i/>
          <w:iCs/>
        </w:rPr>
        <w:t>animalis</w:t>
      </w:r>
      <w:proofErr w:type="spellEnd"/>
      <w:r>
        <w:rPr>
          <w:rFonts w:ascii="Book Antiqua" w:hAnsi="Book Antiqua"/>
        </w:rPr>
        <w:t xml:space="preserve"> ssp. Lactis 420 Mitigates Autoimmune Hepatitis Through Regulating Intestinal Barrier and Liver Immune Cells.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569104 [PMID: 33123141 DOI: 10.3389/fimmu.2020.569104]</w:t>
      </w:r>
    </w:p>
    <w:p w14:paraId="07AAC016" w14:textId="77777777" w:rsidR="004E6ADE" w:rsidRDefault="00032766">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Liwinski</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Casar</w:t>
      </w:r>
      <w:proofErr w:type="spellEnd"/>
      <w:r>
        <w:rPr>
          <w:rFonts w:ascii="Book Antiqua" w:hAnsi="Book Antiqua"/>
        </w:rPr>
        <w:t xml:space="preserve"> C, </w:t>
      </w:r>
      <w:proofErr w:type="spellStart"/>
      <w:r>
        <w:rPr>
          <w:rFonts w:ascii="Book Antiqua" w:hAnsi="Book Antiqua"/>
        </w:rPr>
        <w:t>Ruehlemann</w:t>
      </w:r>
      <w:proofErr w:type="spellEnd"/>
      <w:r>
        <w:rPr>
          <w:rFonts w:ascii="Book Antiqua" w:hAnsi="Book Antiqua"/>
        </w:rPr>
        <w:t xml:space="preserve"> MC, Bang C, </w:t>
      </w:r>
      <w:proofErr w:type="spellStart"/>
      <w:r>
        <w:rPr>
          <w:rFonts w:ascii="Book Antiqua" w:hAnsi="Book Antiqua"/>
        </w:rPr>
        <w:t>Sebode</w:t>
      </w:r>
      <w:proofErr w:type="spellEnd"/>
      <w:r>
        <w:rPr>
          <w:rFonts w:ascii="Book Antiqua" w:hAnsi="Book Antiqua"/>
        </w:rPr>
        <w:t xml:space="preserve"> M, </w:t>
      </w:r>
      <w:proofErr w:type="spellStart"/>
      <w:r>
        <w:rPr>
          <w:rFonts w:ascii="Book Antiqua" w:hAnsi="Book Antiqua"/>
        </w:rPr>
        <w:t>Hohenester</w:t>
      </w:r>
      <w:proofErr w:type="spellEnd"/>
      <w:r>
        <w:rPr>
          <w:rFonts w:ascii="Book Antiqua" w:hAnsi="Book Antiqua"/>
        </w:rPr>
        <w:t xml:space="preserve"> S, </w:t>
      </w:r>
      <w:proofErr w:type="spellStart"/>
      <w:r>
        <w:rPr>
          <w:rFonts w:ascii="Book Antiqua" w:hAnsi="Book Antiqua"/>
        </w:rPr>
        <w:t>Denk</w:t>
      </w:r>
      <w:proofErr w:type="spellEnd"/>
      <w:r>
        <w:rPr>
          <w:rFonts w:ascii="Book Antiqua" w:hAnsi="Book Antiqua"/>
        </w:rPr>
        <w:t xml:space="preserve"> G, </w:t>
      </w:r>
      <w:proofErr w:type="spellStart"/>
      <w:r>
        <w:rPr>
          <w:rFonts w:ascii="Book Antiqua" w:hAnsi="Book Antiqua"/>
        </w:rPr>
        <w:t>Lieb</w:t>
      </w:r>
      <w:proofErr w:type="spellEnd"/>
      <w:r>
        <w:rPr>
          <w:rFonts w:ascii="Book Antiqua" w:hAnsi="Book Antiqua"/>
        </w:rPr>
        <w:t xml:space="preserve"> W, Lohse AW, Franke A, Schramm C. A disease-specific decline of the relative abundance of Bifidobacterium in patients with autoimmune hepatitis.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2020; </w:t>
      </w:r>
      <w:r>
        <w:rPr>
          <w:rFonts w:ascii="Book Antiqua" w:hAnsi="Book Antiqua"/>
          <w:b/>
          <w:bCs/>
        </w:rPr>
        <w:t>51</w:t>
      </w:r>
      <w:r>
        <w:rPr>
          <w:rFonts w:ascii="Book Antiqua" w:hAnsi="Book Antiqua"/>
        </w:rPr>
        <w:t>: 1417-1428 [PMID: 32383181 DOI: 10.1111/apt.15754]</w:t>
      </w:r>
    </w:p>
    <w:p w14:paraId="3C97C77C" w14:textId="77777777" w:rsidR="004E6ADE" w:rsidRDefault="00032766">
      <w:pPr>
        <w:spacing w:line="360" w:lineRule="auto"/>
        <w:jc w:val="both"/>
        <w:rPr>
          <w:rFonts w:ascii="Book Antiqua" w:hAnsi="Book Antiqua"/>
        </w:rPr>
      </w:pPr>
      <w:r>
        <w:rPr>
          <w:rFonts w:ascii="Book Antiqua" w:hAnsi="Book Antiqua"/>
        </w:rPr>
        <w:t xml:space="preserve">22 </w:t>
      </w:r>
      <w:r>
        <w:rPr>
          <w:rFonts w:ascii="Book Antiqua" w:hAnsi="Book Antiqua"/>
          <w:b/>
          <w:bCs/>
        </w:rPr>
        <w:t>Wei Y</w:t>
      </w:r>
      <w:r>
        <w:rPr>
          <w:rFonts w:ascii="Book Antiqua" w:hAnsi="Book Antiqua"/>
        </w:rPr>
        <w:t xml:space="preserve">, Li Y, Yan L, Sun C, Miao Q, Wang Q, Xiao X, Lian M, Li B, Chen Y, Zhang J, Li Y, Huang B, Li Y, Cao Q, Fan Z, Chen X, Fang JY, Gershwin ME, Tang R, Ma X. Alterations of gut microbiome in autoimmune hepatitis.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569-577 [PMID: 31201284 DOI: 10.1136/gutjnl-2018-317836]</w:t>
      </w:r>
    </w:p>
    <w:p w14:paraId="25CCC26E" w14:textId="77777777" w:rsidR="004E6ADE" w:rsidRDefault="00032766">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Floreani</w:t>
      </w:r>
      <w:proofErr w:type="spellEnd"/>
      <w:r>
        <w:rPr>
          <w:rFonts w:ascii="Book Antiqua" w:hAnsi="Book Antiqua"/>
          <w:b/>
          <w:bCs/>
        </w:rPr>
        <w:t xml:space="preserve"> A</w:t>
      </w:r>
      <w:r>
        <w:rPr>
          <w:rFonts w:ascii="Book Antiqua" w:hAnsi="Book Antiqua"/>
        </w:rPr>
        <w:t xml:space="preserve">, Restrepo-Jiménez P, Secchi MF, De Martin S, Leung PSC, </w:t>
      </w:r>
      <w:proofErr w:type="spellStart"/>
      <w:r>
        <w:rPr>
          <w:rFonts w:ascii="Book Antiqua" w:hAnsi="Book Antiqua"/>
        </w:rPr>
        <w:t>Krawitt</w:t>
      </w:r>
      <w:proofErr w:type="spellEnd"/>
      <w:r>
        <w:rPr>
          <w:rFonts w:ascii="Book Antiqua" w:hAnsi="Book Antiqua"/>
        </w:rPr>
        <w:t xml:space="preserve"> E, </w:t>
      </w:r>
      <w:proofErr w:type="spellStart"/>
      <w:r>
        <w:rPr>
          <w:rFonts w:ascii="Book Antiqua" w:hAnsi="Book Antiqua"/>
        </w:rPr>
        <w:t>Bowlus</w:t>
      </w:r>
      <w:proofErr w:type="spellEnd"/>
      <w:r>
        <w:rPr>
          <w:rFonts w:ascii="Book Antiqua" w:hAnsi="Book Antiqua"/>
        </w:rPr>
        <w:t xml:space="preserve"> CL, Gershwin ME, Anaya JM. Etiopathogenesis of autoimmune hepatitis. </w:t>
      </w:r>
      <w:r>
        <w:rPr>
          <w:rFonts w:ascii="Book Antiqua" w:hAnsi="Book Antiqua"/>
          <w:i/>
          <w:iCs/>
        </w:rPr>
        <w:t xml:space="preserve">J </w:t>
      </w:r>
      <w:proofErr w:type="spellStart"/>
      <w:r>
        <w:rPr>
          <w:rFonts w:ascii="Book Antiqua" w:hAnsi="Book Antiqua"/>
          <w:i/>
          <w:iCs/>
        </w:rPr>
        <w:t>Autoimmun</w:t>
      </w:r>
      <w:proofErr w:type="spellEnd"/>
      <w:r>
        <w:rPr>
          <w:rFonts w:ascii="Book Antiqua" w:hAnsi="Book Antiqua"/>
        </w:rPr>
        <w:t xml:space="preserve"> 2018; </w:t>
      </w:r>
      <w:r>
        <w:rPr>
          <w:rFonts w:ascii="Book Antiqua" w:hAnsi="Book Antiqua"/>
          <w:b/>
          <w:bCs/>
        </w:rPr>
        <w:t>95</w:t>
      </w:r>
      <w:r>
        <w:rPr>
          <w:rFonts w:ascii="Book Antiqua" w:hAnsi="Book Antiqua"/>
        </w:rPr>
        <w:t>: 133-143 [PMID: 30385083 DOI: 10.1016/j.jaut.2018.10.020]</w:t>
      </w:r>
    </w:p>
    <w:p w14:paraId="3B4BBC65" w14:textId="77777777" w:rsidR="004E6ADE" w:rsidRDefault="00032766">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Kerkar</w:t>
      </w:r>
      <w:proofErr w:type="spellEnd"/>
      <w:r>
        <w:rPr>
          <w:rFonts w:ascii="Book Antiqua" w:hAnsi="Book Antiqua"/>
          <w:b/>
          <w:bCs/>
        </w:rPr>
        <w:t xml:space="preserve"> N</w:t>
      </w:r>
      <w:r>
        <w:rPr>
          <w:rFonts w:ascii="Book Antiqua" w:hAnsi="Book Antiqua"/>
        </w:rPr>
        <w:t xml:space="preserve">, Chan A. Autoimmune Hepatitis, Sclerosing Cholangitis, and Autoimmune Sclerosing Cholangitis or Overlap Syndrome. </w:t>
      </w:r>
      <w:r>
        <w:rPr>
          <w:rFonts w:ascii="Book Antiqua" w:hAnsi="Book Antiqua"/>
          <w:i/>
          <w:iCs/>
        </w:rPr>
        <w:t>Clin Liver Dis</w:t>
      </w:r>
      <w:r>
        <w:rPr>
          <w:rFonts w:ascii="Book Antiqua" w:hAnsi="Book Antiqua"/>
        </w:rPr>
        <w:t xml:space="preserve"> 2018; </w:t>
      </w:r>
      <w:r>
        <w:rPr>
          <w:rFonts w:ascii="Book Antiqua" w:hAnsi="Book Antiqua"/>
          <w:b/>
          <w:bCs/>
        </w:rPr>
        <w:t>22</w:t>
      </w:r>
      <w:r>
        <w:rPr>
          <w:rFonts w:ascii="Book Antiqua" w:hAnsi="Book Antiqua"/>
        </w:rPr>
        <w:t>: 689-702 [PMID: 30266157 DOI: 10.1016/j.cld.2018.06.005]</w:t>
      </w:r>
    </w:p>
    <w:p w14:paraId="63873EA3" w14:textId="77777777" w:rsidR="004E6ADE" w:rsidRDefault="00032766">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Zachou</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Weiler-Normann</w:t>
      </w:r>
      <w:proofErr w:type="spellEnd"/>
      <w:r>
        <w:rPr>
          <w:rFonts w:ascii="Book Antiqua" w:hAnsi="Book Antiqua"/>
        </w:rPr>
        <w:t xml:space="preserve"> C, </w:t>
      </w:r>
      <w:proofErr w:type="spellStart"/>
      <w:r>
        <w:rPr>
          <w:rFonts w:ascii="Book Antiqua" w:hAnsi="Book Antiqua"/>
        </w:rPr>
        <w:t>Muratori</w:t>
      </w:r>
      <w:proofErr w:type="spellEnd"/>
      <w:r>
        <w:rPr>
          <w:rFonts w:ascii="Book Antiqua" w:hAnsi="Book Antiqua"/>
        </w:rPr>
        <w:t xml:space="preserve"> L, </w:t>
      </w:r>
      <w:proofErr w:type="spellStart"/>
      <w:r>
        <w:rPr>
          <w:rFonts w:ascii="Book Antiqua" w:hAnsi="Book Antiqua"/>
        </w:rPr>
        <w:t>Muratori</w:t>
      </w:r>
      <w:proofErr w:type="spellEnd"/>
      <w:r>
        <w:rPr>
          <w:rFonts w:ascii="Book Antiqua" w:hAnsi="Book Antiqua"/>
        </w:rPr>
        <w:t xml:space="preserve"> P, Lohse AW, </w:t>
      </w:r>
      <w:proofErr w:type="spellStart"/>
      <w:r>
        <w:rPr>
          <w:rFonts w:ascii="Book Antiqua" w:hAnsi="Book Antiqua"/>
        </w:rPr>
        <w:t>Dalekos</w:t>
      </w:r>
      <w:proofErr w:type="spellEnd"/>
      <w:r>
        <w:rPr>
          <w:rFonts w:ascii="Book Antiqua" w:hAnsi="Book Antiqua"/>
        </w:rPr>
        <w:t xml:space="preserve"> GN. Permanent immunosuppression in SLA/LP-positive autoimmune hepatitis is required although overall response and survival are similar.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368-376 [PMID: 31626725 DOI: 10.1111/</w:t>
      </w:r>
      <w:r>
        <w:rPr>
          <w:rFonts w:ascii="Book Antiqua" w:hAnsi="Book Antiqua" w:hint="eastAsia"/>
          <w:lang w:eastAsia="zh-CN"/>
        </w:rPr>
        <w:t>l</w:t>
      </w:r>
      <w:r>
        <w:rPr>
          <w:rFonts w:ascii="Book Antiqua" w:hAnsi="Book Antiqua"/>
        </w:rPr>
        <w:t>iv.14280]</w:t>
      </w:r>
    </w:p>
    <w:p w14:paraId="567AEC26" w14:textId="77777777" w:rsidR="004E6ADE" w:rsidRDefault="00032766">
      <w:pPr>
        <w:spacing w:line="360" w:lineRule="auto"/>
        <w:jc w:val="both"/>
        <w:rPr>
          <w:rFonts w:ascii="Book Antiqua" w:hAnsi="Book Antiqua"/>
        </w:rPr>
      </w:pPr>
      <w:r>
        <w:rPr>
          <w:rFonts w:ascii="Book Antiqua" w:hAnsi="Book Antiqua"/>
        </w:rPr>
        <w:t xml:space="preserve">26 </w:t>
      </w:r>
      <w:r>
        <w:rPr>
          <w:rFonts w:ascii="Book Antiqua" w:hAnsi="Book Antiqua"/>
          <w:b/>
          <w:bCs/>
        </w:rPr>
        <w:t>Thomas D</w:t>
      </w:r>
      <w:r>
        <w:rPr>
          <w:rFonts w:ascii="Book Antiqua" w:hAnsi="Book Antiqua"/>
        </w:rPr>
        <w:t xml:space="preserve">, Wu TY, </w:t>
      </w:r>
      <w:proofErr w:type="spellStart"/>
      <w:r>
        <w:rPr>
          <w:rFonts w:ascii="Book Antiqua" w:hAnsi="Book Antiqua"/>
        </w:rPr>
        <w:t>Cottagiri</w:t>
      </w:r>
      <w:proofErr w:type="spellEnd"/>
      <w:r>
        <w:rPr>
          <w:rFonts w:ascii="Book Antiqua" w:hAnsi="Book Antiqua"/>
        </w:rPr>
        <w:t xml:space="preserve"> M, </w:t>
      </w:r>
      <w:proofErr w:type="spellStart"/>
      <w:r>
        <w:rPr>
          <w:rFonts w:ascii="Book Antiqua" w:hAnsi="Book Antiqua"/>
        </w:rPr>
        <w:t>Nyandjo</w:t>
      </w:r>
      <w:proofErr w:type="spellEnd"/>
      <w:r>
        <w:rPr>
          <w:rFonts w:ascii="Book Antiqua" w:hAnsi="Book Antiqua"/>
        </w:rPr>
        <w:t xml:space="preserve"> M, Njoku DB. Induction of Drug-Induced, Autoimmune Hepatitis in BALB/c Mice for the Study of Its Pathogenic Mechanisms. </w:t>
      </w:r>
      <w:r>
        <w:rPr>
          <w:rFonts w:ascii="Book Antiqua" w:hAnsi="Book Antiqua"/>
          <w:i/>
          <w:iCs/>
        </w:rPr>
        <w:t>J Vis Exp</w:t>
      </w:r>
      <w:r>
        <w:rPr>
          <w:rFonts w:ascii="Book Antiqua" w:hAnsi="Book Antiqua"/>
        </w:rPr>
        <w:t xml:space="preserve"> 2020 [PMID: 32538903 DOI: 10.3791/59174]</w:t>
      </w:r>
    </w:p>
    <w:p w14:paraId="44C24E16" w14:textId="77777777" w:rsidR="004E6ADE" w:rsidRDefault="00032766">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Harmon EG</w:t>
      </w:r>
      <w:r>
        <w:rPr>
          <w:rFonts w:ascii="Book Antiqua" w:hAnsi="Book Antiqua"/>
        </w:rPr>
        <w:t xml:space="preserve">, </w:t>
      </w:r>
      <w:proofErr w:type="spellStart"/>
      <w:r>
        <w:rPr>
          <w:rFonts w:ascii="Book Antiqua" w:hAnsi="Book Antiqua"/>
        </w:rPr>
        <w:t>McConnie</w:t>
      </w:r>
      <w:proofErr w:type="spellEnd"/>
      <w:r>
        <w:rPr>
          <w:rFonts w:ascii="Book Antiqua" w:hAnsi="Book Antiqua"/>
        </w:rPr>
        <w:t xml:space="preserve"> R, </w:t>
      </w:r>
      <w:proofErr w:type="spellStart"/>
      <w:r>
        <w:rPr>
          <w:rFonts w:ascii="Book Antiqua" w:hAnsi="Book Antiqua"/>
        </w:rPr>
        <w:t>Kesavan</w:t>
      </w:r>
      <w:proofErr w:type="spellEnd"/>
      <w:r>
        <w:rPr>
          <w:rFonts w:ascii="Book Antiqua" w:hAnsi="Book Antiqua"/>
        </w:rPr>
        <w:t xml:space="preserve"> A. Minocycline-Induced Autoimmune Hepatitis: A Rare </w:t>
      </w:r>
      <w:proofErr w:type="gramStart"/>
      <w:r>
        <w:rPr>
          <w:rFonts w:ascii="Book Antiqua" w:hAnsi="Book Antiqua"/>
        </w:rPr>
        <w:t>But</w:t>
      </w:r>
      <w:proofErr w:type="gramEnd"/>
      <w:r>
        <w:rPr>
          <w:rFonts w:ascii="Book Antiqua" w:hAnsi="Book Antiqua"/>
        </w:rPr>
        <w:t xml:space="preserve"> Important Cause of Drug-Induced Autoimmune Hepatitis. </w:t>
      </w:r>
      <w:proofErr w:type="spellStart"/>
      <w:r>
        <w:rPr>
          <w:rFonts w:ascii="Book Antiqua" w:hAnsi="Book Antiqua"/>
          <w:i/>
          <w:iCs/>
        </w:rPr>
        <w:t>Pediatr</w:t>
      </w:r>
      <w:proofErr w:type="spellEnd"/>
      <w:r>
        <w:rPr>
          <w:rFonts w:ascii="Book Antiqua" w:hAnsi="Book Antiqua"/>
          <w:i/>
          <w:iCs/>
        </w:rPr>
        <w:t xml:space="preserve"> Gastroenterol Hepatol </w:t>
      </w:r>
      <w:proofErr w:type="spellStart"/>
      <w:r>
        <w:rPr>
          <w:rFonts w:ascii="Book Antiqua" w:hAnsi="Book Antiqua"/>
          <w:i/>
          <w:iCs/>
        </w:rPr>
        <w:t>Nutr</w:t>
      </w:r>
      <w:proofErr w:type="spellEnd"/>
      <w:r>
        <w:rPr>
          <w:rFonts w:ascii="Book Antiqua" w:hAnsi="Book Antiqua"/>
        </w:rPr>
        <w:t xml:space="preserve"> 2018; </w:t>
      </w:r>
      <w:r>
        <w:rPr>
          <w:rFonts w:ascii="Book Antiqua" w:hAnsi="Book Antiqua"/>
          <w:b/>
          <w:bCs/>
        </w:rPr>
        <w:t>21</w:t>
      </w:r>
      <w:r>
        <w:rPr>
          <w:rFonts w:ascii="Book Antiqua" w:hAnsi="Book Antiqua"/>
        </w:rPr>
        <w:t>: 347-350 [PMID: 30345250 DOI: 10.5223/pghn.2018.21.4.347]</w:t>
      </w:r>
    </w:p>
    <w:p w14:paraId="6D3A8B7D" w14:textId="77777777" w:rsidR="004E6ADE" w:rsidRDefault="00032766">
      <w:pPr>
        <w:spacing w:line="360" w:lineRule="auto"/>
        <w:jc w:val="both"/>
        <w:rPr>
          <w:rFonts w:ascii="Book Antiqua" w:hAnsi="Book Antiqua"/>
        </w:rPr>
      </w:pPr>
      <w:r>
        <w:rPr>
          <w:rFonts w:ascii="Book Antiqua" w:hAnsi="Book Antiqua"/>
        </w:rPr>
        <w:t xml:space="preserve">28 </w:t>
      </w:r>
      <w:r>
        <w:rPr>
          <w:rFonts w:ascii="Book Antiqua" w:hAnsi="Book Antiqua"/>
          <w:b/>
          <w:bCs/>
        </w:rPr>
        <w:t>Martínez-Casas OY</w:t>
      </w:r>
      <w:r>
        <w:rPr>
          <w:rFonts w:ascii="Book Antiqua" w:hAnsi="Book Antiqua"/>
        </w:rPr>
        <w:t>, Díaz-Ramírez GS, Marín-</w:t>
      </w:r>
      <w:proofErr w:type="spellStart"/>
      <w:r>
        <w:rPr>
          <w:rFonts w:ascii="Book Antiqua" w:hAnsi="Book Antiqua"/>
        </w:rPr>
        <w:t>Zuluaga</w:t>
      </w:r>
      <w:proofErr w:type="spellEnd"/>
      <w:r>
        <w:rPr>
          <w:rFonts w:ascii="Book Antiqua" w:hAnsi="Book Antiqua"/>
        </w:rPr>
        <w:t xml:space="preserve"> JI, Muñoz-Maya O, Santos O, </w:t>
      </w:r>
      <w:proofErr w:type="spellStart"/>
      <w:r>
        <w:rPr>
          <w:rFonts w:ascii="Book Antiqua" w:hAnsi="Book Antiqua"/>
        </w:rPr>
        <w:t>Donado</w:t>
      </w:r>
      <w:proofErr w:type="spellEnd"/>
      <w:r>
        <w:rPr>
          <w:rFonts w:ascii="Book Antiqua" w:hAnsi="Book Antiqua"/>
        </w:rPr>
        <w:t xml:space="preserve">-Gómez JH, Restrepo-Gutiérrez JC. Differential characteristics in drug-induced autoimmune hepatitis. </w:t>
      </w:r>
      <w:r>
        <w:rPr>
          <w:rFonts w:ascii="Book Antiqua" w:hAnsi="Book Antiqua"/>
          <w:i/>
          <w:iCs/>
        </w:rPr>
        <w:t>JGH Open</w:t>
      </w:r>
      <w:r>
        <w:rPr>
          <w:rFonts w:ascii="Book Antiqua" w:hAnsi="Book Antiqua"/>
        </w:rPr>
        <w:t xml:space="preserve"> 2018; </w:t>
      </w:r>
      <w:r>
        <w:rPr>
          <w:rFonts w:ascii="Book Antiqua" w:hAnsi="Book Antiqua"/>
          <w:b/>
          <w:bCs/>
        </w:rPr>
        <w:t>2</w:t>
      </w:r>
      <w:r>
        <w:rPr>
          <w:rFonts w:ascii="Book Antiqua" w:hAnsi="Book Antiqua"/>
        </w:rPr>
        <w:t>: 97-104 [PMID: 30483571 DOI: 10.1002/jgh3.12054]</w:t>
      </w:r>
    </w:p>
    <w:p w14:paraId="7A063105" w14:textId="77777777" w:rsidR="004E6ADE" w:rsidRDefault="00032766">
      <w:pPr>
        <w:spacing w:line="360" w:lineRule="auto"/>
        <w:jc w:val="both"/>
        <w:rPr>
          <w:rFonts w:ascii="Book Antiqua" w:hAnsi="Book Antiqua"/>
        </w:rPr>
      </w:pPr>
      <w:r>
        <w:rPr>
          <w:rFonts w:ascii="Book Antiqua" w:hAnsi="Book Antiqua"/>
        </w:rPr>
        <w:t xml:space="preserve">29 </w:t>
      </w:r>
      <w:r>
        <w:rPr>
          <w:rFonts w:ascii="Book Antiqua" w:hAnsi="Book Antiqua"/>
          <w:b/>
          <w:bCs/>
        </w:rPr>
        <w:t>Komori A</w:t>
      </w:r>
      <w:r>
        <w:rPr>
          <w:rFonts w:ascii="Book Antiqua" w:hAnsi="Book Antiqua"/>
        </w:rPr>
        <w:t xml:space="preserve">. Recent updates on the management of autoimmune hepatitis. </w:t>
      </w:r>
      <w:r>
        <w:rPr>
          <w:rFonts w:ascii="Book Antiqua" w:hAnsi="Book Antiqua"/>
          <w:i/>
          <w:iCs/>
        </w:rPr>
        <w:t>Clin Mol Hepatol</w:t>
      </w:r>
      <w:r>
        <w:rPr>
          <w:rFonts w:ascii="Book Antiqua" w:hAnsi="Book Antiqua"/>
        </w:rPr>
        <w:t xml:space="preserve"> 2021; </w:t>
      </w:r>
      <w:r>
        <w:rPr>
          <w:rFonts w:ascii="Book Antiqua" w:hAnsi="Book Antiqua"/>
          <w:b/>
          <w:bCs/>
        </w:rPr>
        <w:t>27</w:t>
      </w:r>
      <w:r>
        <w:rPr>
          <w:rFonts w:ascii="Book Antiqua" w:hAnsi="Book Antiqua"/>
        </w:rPr>
        <w:t>: 58-69 [PMID: 33291862 DOI: 10.3350/cmh.2020.0189]</w:t>
      </w:r>
    </w:p>
    <w:p w14:paraId="5A937B56" w14:textId="77777777" w:rsidR="004E6ADE" w:rsidRDefault="00032766">
      <w:pPr>
        <w:spacing w:line="360" w:lineRule="auto"/>
        <w:jc w:val="both"/>
        <w:rPr>
          <w:rFonts w:ascii="Book Antiqua" w:hAnsi="Book Antiqua"/>
        </w:rPr>
      </w:pPr>
      <w:r>
        <w:rPr>
          <w:rFonts w:ascii="Book Antiqua" w:hAnsi="Book Antiqua"/>
        </w:rPr>
        <w:t xml:space="preserve">30 </w:t>
      </w:r>
      <w:r>
        <w:rPr>
          <w:rFonts w:ascii="Book Antiqua" w:hAnsi="Book Antiqua"/>
          <w:b/>
          <w:bCs/>
        </w:rPr>
        <w:t>Qu LM</w:t>
      </w:r>
      <w:r>
        <w:rPr>
          <w:rFonts w:ascii="Book Antiqua" w:hAnsi="Book Antiqua"/>
        </w:rPr>
        <w:t>, Wang SH, Yang K, Brigstock DR, Sun L, Gao RP. CD4</w:t>
      </w:r>
      <w:r>
        <w:rPr>
          <w:rFonts w:ascii="Book Antiqua" w:hAnsi="Book Antiqua"/>
          <w:vertAlign w:val="superscript"/>
        </w:rPr>
        <w:t>+</w:t>
      </w:r>
      <w:r>
        <w:rPr>
          <w:rFonts w:ascii="Book Antiqua" w:hAnsi="Book Antiqua"/>
        </w:rPr>
        <w:t>Foxp3</w:t>
      </w:r>
      <w:r>
        <w:rPr>
          <w:rFonts w:ascii="Book Antiqua" w:hAnsi="Book Antiqua"/>
          <w:vertAlign w:val="superscript"/>
        </w:rPr>
        <w:t>+</w:t>
      </w:r>
      <w:r>
        <w:rPr>
          <w:rFonts w:ascii="Book Antiqua" w:hAnsi="Book Antiqua"/>
        </w:rPr>
        <w:t>CD25</w:t>
      </w:r>
      <w:r>
        <w:rPr>
          <w:rFonts w:ascii="Book Antiqua" w:hAnsi="Book Antiqua"/>
          <w:vertAlign w:val="superscript"/>
        </w:rPr>
        <w:t>+/-</w:t>
      </w:r>
      <w:r>
        <w:rPr>
          <w:rFonts w:ascii="Book Antiqua" w:hAnsi="Book Antiqua"/>
        </w:rPr>
        <w:t xml:space="preserve"> Tregs characterize liver tissue specimens of patients suffering from drug-induced autoimmune hepatitis: A clinical-pathological study. </w:t>
      </w:r>
      <w:r>
        <w:rPr>
          <w:rFonts w:ascii="Book Antiqua" w:hAnsi="Book Antiqua"/>
          <w:i/>
          <w:iCs/>
        </w:rPr>
        <w:t xml:space="preserve">Hepatobiliary </w:t>
      </w:r>
      <w:proofErr w:type="spellStart"/>
      <w:r>
        <w:rPr>
          <w:rFonts w:ascii="Book Antiqua" w:hAnsi="Book Antiqua"/>
          <w:i/>
          <w:iCs/>
        </w:rPr>
        <w:t>Pancreat</w:t>
      </w:r>
      <w:proofErr w:type="spellEnd"/>
      <w:r>
        <w:rPr>
          <w:rFonts w:ascii="Book Antiqua" w:hAnsi="Book Antiqua"/>
          <w:i/>
          <w:iCs/>
        </w:rPr>
        <w:t xml:space="preserve"> Dis Int</w:t>
      </w:r>
      <w:r>
        <w:rPr>
          <w:rFonts w:ascii="Book Antiqua" w:hAnsi="Book Antiqua"/>
        </w:rPr>
        <w:t xml:space="preserve"> 2018; </w:t>
      </w:r>
      <w:r>
        <w:rPr>
          <w:rFonts w:ascii="Book Antiqua" w:hAnsi="Book Antiqua"/>
          <w:b/>
          <w:bCs/>
        </w:rPr>
        <w:t>17</w:t>
      </w:r>
      <w:r>
        <w:rPr>
          <w:rFonts w:ascii="Book Antiqua" w:hAnsi="Book Antiqua"/>
        </w:rPr>
        <w:t>: 133-139 [PMID: 29551296 DOI: 10.1016/j.hbpd.2018.02.004]</w:t>
      </w:r>
    </w:p>
    <w:p w14:paraId="66EF6915" w14:textId="77777777" w:rsidR="004E6ADE" w:rsidRDefault="00032766">
      <w:pPr>
        <w:spacing w:line="360" w:lineRule="auto"/>
        <w:jc w:val="both"/>
        <w:rPr>
          <w:rFonts w:ascii="Book Antiqua" w:hAnsi="Book Antiqua"/>
        </w:rPr>
      </w:pPr>
      <w:r>
        <w:rPr>
          <w:rFonts w:ascii="Book Antiqua" w:hAnsi="Book Antiqua"/>
        </w:rPr>
        <w:t xml:space="preserve">31 </w:t>
      </w:r>
      <w:r>
        <w:rPr>
          <w:rFonts w:ascii="Book Antiqua" w:hAnsi="Book Antiqua"/>
          <w:b/>
          <w:bCs/>
        </w:rPr>
        <w:t>Rodrigues S</w:t>
      </w:r>
      <w:r>
        <w:rPr>
          <w:rFonts w:ascii="Book Antiqua" w:hAnsi="Book Antiqua"/>
        </w:rPr>
        <w:t xml:space="preserve">, Lopes S, </w:t>
      </w:r>
      <w:proofErr w:type="spellStart"/>
      <w:r>
        <w:rPr>
          <w:rFonts w:ascii="Book Antiqua" w:hAnsi="Book Antiqua"/>
        </w:rPr>
        <w:t>Magro</w:t>
      </w:r>
      <w:proofErr w:type="spellEnd"/>
      <w:r>
        <w:rPr>
          <w:rFonts w:ascii="Book Antiqua" w:hAnsi="Book Antiqua"/>
        </w:rPr>
        <w:t xml:space="preserve"> F, Cardoso H, Horta e Vale AM, Marques M, </w:t>
      </w:r>
      <w:proofErr w:type="spellStart"/>
      <w:r>
        <w:rPr>
          <w:rFonts w:ascii="Book Antiqua" w:hAnsi="Book Antiqua"/>
        </w:rPr>
        <w:t>Mariz</w:t>
      </w:r>
      <w:proofErr w:type="spellEnd"/>
      <w:r>
        <w:rPr>
          <w:rFonts w:ascii="Book Antiqua" w:hAnsi="Book Antiqua"/>
        </w:rPr>
        <w:t xml:space="preserve"> E, </w:t>
      </w:r>
      <w:proofErr w:type="spellStart"/>
      <w:r>
        <w:rPr>
          <w:rFonts w:ascii="Book Antiqua" w:hAnsi="Book Antiqua"/>
        </w:rPr>
        <w:t>Bernardes</w:t>
      </w:r>
      <w:proofErr w:type="spellEnd"/>
      <w:r>
        <w:rPr>
          <w:rFonts w:ascii="Book Antiqua" w:hAnsi="Book Antiqua"/>
        </w:rPr>
        <w:t xml:space="preserve"> M, Lopes J, Carneiro F, Macedo G. Autoimmune hepatitis and anti-tumor necrosis factor alpha therapy: A single center report of 8 cases.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7584-7588 [PMID: 26140007 DOI: 10.3748/wjg.v21.i24.7584]</w:t>
      </w:r>
    </w:p>
    <w:p w14:paraId="099F387A" w14:textId="77777777" w:rsidR="004E6ADE" w:rsidRDefault="00032766">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Arterbery</w:t>
      </w:r>
      <w:proofErr w:type="spellEnd"/>
      <w:r>
        <w:rPr>
          <w:rFonts w:ascii="Book Antiqua" w:hAnsi="Book Antiqua"/>
          <w:b/>
          <w:bCs/>
        </w:rPr>
        <w:t xml:space="preserve"> AS</w:t>
      </w:r>
      <w:r>
        <w:rPr>
          <w:rFonts w:ascii="Book Antiqua" w:hAnsi="Book Antiqua"/>
        </w:rPr>
        <w:t xml:space="preserve">, Yao J, Ling A, </w:t>
      </w:r>
      <w:proofErr w:type="spellStart"/>
      <w:r>
        <w:rPr>
          <w:rFonts w:ascii="Book Antiqua" w:hAnsi="Book Antiqua"/>
        </w:rPr>
        <w:t>Avitzur</w:t>
      </w:r>
      <w:proofErr w:type="spellEnd"/>
      <w:r>
        <w:rPr>
          <w:rFonts w:ascii="Book Antiqua" w:hAnsi="Book Antiqua"/>
        </w:rPr>
        <w:t xml:space="preserve"> Y, Martinez M, </w:t>
      </w:r>
      <w:proofErr w:type="spellStart"/>
      <w:r>
        <w:rPr>
          <w:rFonts w:ascii="Book Antiqua" w:hAnsi="Book Antiqua"/>
        </w:rPr>
        <w:t>Lobritto</w:t>
      </w:r>
      <w:proofErr w:type="spellEnd"/>
      <w:r>
        <w:rPr>
          <w:rFonts w:ascii="Book Antiqua" w:hAnsi="Book Antiqua"/>
        </w:rPr>
        <w:t xml:space="preserve"> S, Deng Y, </w:t>
      </w:r>
      <w:proofErr w:type="spellStart"/>
      <w:r>
        <w:rPr>
          <w:rFonts w:ascii="Book Antiqua" w:hAnsi="Book Antiqua"/>
        </w:rPr>
        <w:t>Geliang</w:t>
      </w:r>
      <w:proofErr w:type="spellEnd"/>
      <w:r>
        <w:rPr>
          <w:rFonts w:ascii="Book Antiqua" w:hAnsi="Book Antiqua"/>
        </w:rPr>
        <w:t xml:space="preserve"> G, Mehta S, Wang G, Knight J, </w:t>
      </w:r>
      <w:proofErr w:type="spellStart"/>
      <w:r>
        <w:rPr>
          <w:rFonts w:ascii="Book Antiqua" w:hAnsi="Book Antiqua"/>
        </w:rPr>
        <w:t>Ekong</w:t>
      </w:r>
      <w:proofErr w:type="spellEnd"/>
      <w:r>
        <w:rPr>
          <w:rFonts w:ascii="Book Antiqua" w:hAnsi="Book Antiqua"/>
        </w:rPr>
        <w:t xml:space="preserve"> UD. Inflammasome Priming Mediated </w:t>
      </w:r>
      <w:r>
        <w:rPr>
          <w:rFonts w:ascii="Book Antiqua" w:hAnsi="Book Antiqua"/>
          <w:i/>
          <w:iCs/>
        </w:rPr>
        <w:t>via</w:t>
      </w:r>
      <w:r>
        <w:rPr>
          <w:rFonts w:ascii="Book Antiqua" w:hAnsi="Book Antiqua"/>
        </w:rPr>
        <w:t xml:space="preserve"> Toll-Like Receptors 2 and 4, Induces Th1-Like Regulatory T Cells in </w:t>
      </w:r>
      <w:r>
        <w:rPr>
          <w:rFonts w:ascii="Book Antiqua" w:hAnsi="Book Antiqua"/>
          <w:i/>
          <w:iCs/>
        </w:rPr>
        <w:t>De Novo</w:t>
      </w:r>
      <w:r>
        <w:rPr>
          <w:rFonts w:ascii="Book Antiqua" w:hAnsi="Book Antiqua"/>
        </w:rPr>
        <w:t xml:space="preserve"> Autoimmune Hepatitis.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1612 [PMID: 30072988 DOI: 10.3389/fimmu.2018.01612]</w:t>
      </w:r>
    </w:p>
    <w:p w14:paraId="3C465EBC" w14:textId="77777777" w:rsidR="004E6ADE" w:rsidRDefault="00032766">
      <w:pPr>
        <w:spacing w:line="360" w:lineRule="auto"/>
        <w:jc w:val="both"/>
        <w:rPr>
          <w:rFonts w:ascii="Book Antiqua" w:hAnsi="Book Antiqua"/>
        </w:rPr>
      </w:pPr>
      <w:r>
        <w:rPr>
          <w:rFonts w:ascii="Book Antiqua" w:hAnsi="Book Antiqua"/>
        </w:rPr>
        <w:t xml:space="preserve">33 </w:t>
      </w:r>
      <w:r>
        <w:rPr>
          <w:rFonts w:ascii="Book Antiqua" w:hAnsi="Book Antiqua"/>
          <w:b/>
          <w:bCs/>
        </w:rPr>
        <w:t>Sucher E</w:t>
      </w:r>
      <w:r>
        <w:rPr>
          <w:rFonts w:ascii="Book Antiqua" w:hAnsi="Book Antiqua"/>
        </w:rPr>
        <w:t xml:space="preserve">, Sucher R, </w:t>
      </w:r>
      <w:proofErr w:type="spellStart"/>
      <w:r>
        <w:rPr>
          <w:rFonts w:ascii="Book Antiqua" w:hAnsi="Book Antiqua"/>
        </w:rPr>
        <w:t>Gradistanac</w:t>
      </w:r>
      <w:proofErr w:type="spellEnd"/>
      <w:r>
        <w:rPr>
          <w:rFonts w:ascii="Book Antiqua" w:hAnsi="Book Antiqua"/>
        </w:rPr>
        <w:t xml:space="preserve"> T, </w:t>
      </w:r>
      <w:proofErr w:type="spellStart"/>
      <w:r>
        <w:rPr>
          <w:rFonts w:ascii="Book Antiqua" w:hAnsi="Book Antiqua"/>
        </w:rPr>
        <w:t>Brandacher</w:t>
      </w:r>
      <w:proofErr w:type="spellEnd"/>
      <w:r>
        <w:rPr>
          <w:rFonts w:ascii="Book Antiqua" w:hAnsi="Book Antiqua"/>
        </w:rPr>
        <w:t xml:space="preserve"> G, </w:t>
      </w:r>
      <w:proofErr w:type="spellStart"/>
      <w:r>
        <w:rPr>
          <w:rFonts w:ascii="Book Antiqua" w:hAnsi="Book Antiqua"/>
        </w:rPr>
        <w:t>Schneeberger</w:t>
      </w:r>
      <w:proofErr w:type="spellEnd"/>
      <w:r>
        <w:rPr>
          <w:rFonts w:ascii="Book Antiqua" w:hAnsi="Book Antiqua"/>
        </w:rPr>
        <w:t xml:space="preserve"> S, Berg T. Autoimmune Hepatitis-Immunologically Triggered Liver Pathogenesis-Diagnostic and Therapeutic Strategies. </w:t>
      </w:r>
      <w:r>
        <w:rPr>
          <w:rFonts w:ascii="Book Antiqua" w:hAnsi="Book Antiqua"/>
          <w:i/>
          <w:iCs/>
        </w:rPr>
        <w:t>J Immunol Res</w:t>
      </w:r>
      <w:r>
        <w:rPr>
          <w:rFonts w:ascii="Book Antiqua" w:hAnsi="Book Antiqua"/>
        </w:rPr>
        <w:t xml:space="preserve"> 2019; </w:t>
      </w:r>
      <w:r>
        <w:rPr>
          <w:rFonts w:ascii="Book Antiqua" w:hAnsi="Book Antiqua"/>
          <w:b/>
          <w:bCs/>
        </w:rPr>
        <w:t>2019</w:t>
      </w:r>
      <w:r>
        <w:rPr>
          <w:rFonts w:ascii="Book Antiqua" w:hAnsi="Book Antiqua"/>
        </w:rPr>
        <w:t>: 9437043 [PMID: 31886312 DOI: 10.1155/2019/9437043]</w:t>
      </w:r>
    </w:p>
    <w:p w14:paraId="72AD37E6" w14:textId="77777777" w:rsidR="004E6ADE" w:rsidRDefault="00032766">
      <w:pPr>
        <w:spacing w:line="360" w:lineRule="auto"/>
        <w:jc w:val="both"/>
        <w:rPr>
          <w:rFonts w:ascii="Book Antiqua" w:hAnsi="Book Antiqua"/>
        </w:rPr>
      </w:pPr>
      <w:r>
        <w:rPr>
          <w:rFonts w:ascii="Book Antiqua" w:hAnsi="Book Antiqua"/>
        </w:rPr>
        <w:t xml:space="preserve">34 </w:t>
      </w:r>
      <w:r>
        <w:rPr>
          <w:rFonts w:ascii="Book Antiqua" w:hAnsi="Book Antiqua"/>
          <w:b/>
          <w:bCs/>
        </w:rPr>
        <w:t>Liang M</w:t>
      </w:r>
      <w:r>
        <w:rPr>
          <w:rFonts w:ascii="Book Antiqua" w:hAnsi="Book Antiqua"/>
        </w:rPr>
        <w:t xml:space="preserve">, </w:t>
      </w:r>
      <w:proofErr w:type="spellStart"/>
      <w:r>
        <w:rPr>
          <w:rFonts w:ascii="Book Antiqua" w:hAnsi="Book Antiqua"/>
        </w:rPr>
        <w:t>Liwen</w:t>
      </w:r>
      <w:proofErr w:type="spellEnd"/>
      <w:r>
        <w:rPr>
          <w:rFonts w:ascii="Book Antiqua" w:hAnsi="Book Antiqua"/>
        </w:rPr>
        <w:t xml:space="preserve"> Z, Yun Z, </w:t>
      </w:r>
      <w:proofErr w:type="spellStart"/>
      <w:r>
        <w:rPr>
          <w:rFonts w:ascii="Book Antiqua" w:hAnsi="Book Antiqua"/>
        </w:rPr>
        <w:t>Yanbo</w:t>
      </w:r>
      <w:proofErr w:type="spellEnd"/>
      <w:r>
        <w:rPr>
          <w:rFonts w:ascii="Book Antiqua" w:hAnsi="Book Antiqua"/>
        </w:rPr>
        <w:t xml:space="preserve"> D, </w:t>
      </w:r>
      <w:proofErr w:type="spellStart"/>
      <w:r>
        <w:rPr>
          <w:rFonts w:ascii="Book Antiqua" w:hAnsi="Book Antiqua"/>
        </w:rPr>
        <w:t>Jianping</w:t>
      </w:r>
      <w:proofErr w:type="spellEnd"/>
      <w:r>
        <w:rPr>
          <w:rFonts w:ascii="Book Antiqua" w:hAnsi="Book Antiqua"/>
        </w:rPr>
        <w:t xml:space="preserve"> C. The Imbalance between Foxp3</w:t>
      </w:r>
      <w:r>
        <w:rPr>
          <w:rFonts w:ascii="Book Antiqua" w:hAnsi="Book Antiqua"/>
          <w:vertAlign w:val="superscript"/>
        </w:rPr>
        <w:t>+</w:t>
      </w:r>
      <w:r>
        <w:rPr>
          <w:rFonts w:ascii="Book Antiqua" w:hAnsi="Book Antiqua"/>
        </w:rPr>
        <w:t xml:space="preserve">Tregs and Th1/Th17/Th22 Cells in Patients with Newly Diagnosed Autoimmune Hepatitis. </w:t>
      </w:r>
      <w:r>
        <w:rPr>
          <w:rFonts w:ascii="Book Antiqua" w:hAnsi="Book Antiqua"/>
          <w:i/>
          <w:iCs/>
        </w:rPr>
        <w:t>J Immunol Res</w:t>
      </w:r>
      <w:r>
        <w:rPr>
          <w:rFonts w:ascii="Book Antiqua" w:hAnsi="Book Antiqua"/>
        </w:rPr>
        <w:t xml:space="preserve"> 2018; </w:t>
      </w:r>
      <w:r>
        <w:rPr>
          <w:rFonts w:ascii="Book Antiqua" w:hAnsi="Book Antiqua"/>
          <w:b/>
          <w:bCs/>
        </w:rPr>
        <w:t>2018</w:t>
      </w:r>
      <w:r>
        <w:rPr>
          <w:rFonts w:ascii="Book Antiqua" w:hAnsi="Book Antiqua"/>
        </w:rPr>
        <w:t>: 3753081 [PMID: 30050955 DOI: 10.1155/2018/3753081]</w:t>
      </w:r>
    </w:p>
    <w:p w14:paraId="7A465814" w14:textId="77777777" w:rsidR="004E6ADE" w:rsidRDefault="00032766">
      <w:pPr>
        <w:spacing w:line="360" w:lineRule="auto"/>
        <w:jc w:val="both"/>
        <w:rPr>
          <w:rFonts w:ascii="Book Antiqua" w:hAnsi="Book Antiqua"/>
        </w:rPr>
      </w:pPr>
      <w:r>
        <w:rPr>
          <w:rFonts w:ascii="Book Antiqua" w:hAnsi="Book Antiqua"/>
        </w:rPr>
        <w:lastRenderedPageBreak/>
        <w:t xml:space="preserve">35 </w:t>
      </w:r>
      <w:proofErr w:type="spellStart"/>
      <w:r>
        <w:rPr>
          <w:rFonts w:ascii="Book Antiqua" w:hAnsi="Book Antiqua"/>
          <w:b/>
          <w:bCs/>
        </w:rPr>
        <w:t>Vuerich</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Harshe</w:t>
      </w:r>
      <w:proofErr w:type="spellEnd"/>
      <w:r>
        <w:rPr>
          <w:rFonts w:ascii="Book Antiqua" w:hAnsi="Book Antiqua"/>
        </w:rPr>
        <w:t xml:space="preserve"> R, Frank LA, Mukherjee S, </w:t>
      </w:r>
      <w:proofErr w:type="spellStart"/>
      <w:r>
        <w:rPr>
          <w:rFonts w:ascii="Book Antiqua" w:hAnsi="Book Antiqua"/>
        </w:rPr>
        <w:t>Gromova</w:t>
      </w:r>
      <w:proofErr w:type="spellEnd"/>
      <w:r>
        <w:rPr>
          <w:rFonts w:ascii="Book Antiqua" w:hAnsi="Book Antiqua"/>
        </w:rPr>
        <w:t xml:space="preserve"> B, </w:t>
      </w:r>
      <w:proofErr w:type="spellStart"/>
      <w:r>
        <w:rPr>
          <w:rFonts w:ascii="Book Antiqua" w:hAnsi="Book Antiqua"/>
        </w:rPr>
        <w:t>Csizmadia</w:t>
      </w:r>
      <w:proofErr w:type="spellEnd"/>
      <w:r>
        <w:rPr>
          <w:rFonts w:ascii="Book Antiqua" w:hAnsi="Book Antiqua"/>
        </w:rPr>
        <w:t xml:space="preserve"> E, Nasser IAM, Ma Y, Bonder A, Patwardhan V, Robson SC, </w:t>
      </w:r>
      <w:proofErr w:type="spellStart"/>
      <w:r>
        <w:rPr>
          <w:rFonts w:ascii="Book Antiqua" w:hAnsi="Book Antiqua"/>
        </w:rPr>
        <w:t>Longhi</w:t>
      </w:r>
      <w:proofErr w:type="spellEnd"/>
      <w:r>
        <w:rPr>
          <w:rFonts w:ascii="Book Antiqua" w:hAnsi="Book Antiqua"/>
        </w:rPr>
        <w:t xml:space="preserve"> MS. Altered aryl-hydrocarbon-receptor </w:t>
      </w:r>
      <w:proofErr w:type="spellStart"/>
      <w:r>
        <w:rPr>
          <w:rFonts w:ascii="Book Antiqua" w:hAnsi="Book Antiqua"/>
        </w:rPr>
        <w:t>signalling</w:t>
      </w:r>
      <w:proofErr w:type="spellEnd"/>
      <w:r>
        <w:rPr>
          <w:rFonts w:ascii="Book Antiqua" w:hAnsi="Book Antiqua"/>
        </w:rPr>
        <w:t xml:space="preserve"> affects regulatory and effector cell immunity in autoimmune hepatitis.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48-57 [PMID: 32663496 DOI: 10.1016/j.jhep.2020.06.044]</w:t>
      </w:r>
    </w:p>
    <w:p w14:paraId="77ADFC43" w14:textId="77777777" w:rsidR="004E6ADE" w:rsidRDefault="00032766">
      <w:pPr>
        <w:spacing w:line="360" w:lineRule="auto"/>
        <w:jc w:val="both"/>
        <w:rPr>
          <w:rFonts w:ascii="Book Antiqua" w:hAnsi="Book Antiqua"/>
        </w:rPr>
      </w:pPr>
      <w:r>
        <w:rPr>
          <w:rFonts w:ascii="Book Antiqua" w:hAnsi="Book Antiqua"/>
        </w:rPr>
        <w:t xml:space="preserve">36 </w:t>
      </w:r>
      <w:r>
        <w:rPr>
          <w:rFonts w:ascii="Book Antiqua" w:hAnsi="Book Antiqua"/>
          <w:b/>
          <w:bCs/>
        </w:rPr>
        <w:t>Wang H</w:t>
      </w:r>
      <w:r>
        <w:rPr>
          <w:rFonts w:ascii="Book Antiqua" w:hAnsi="Book Antiqua"/>
        </w:rPr>
        <w:t>, Feng X, Han P, Lei Y, Xia Y, Tian D, Yan W. The JAK inhibitor tofacitinib ameliorates immune</w:t>
      </w:r>
      <w:r>
        <w:rPr>
          <w:rFonts w:ascii="Book Antiqua" w:hAnsi="Book Antiqua"/>
        </w:rPr>
        <w:noBreakHyphen/>
        <w:t xml:space="preserve">mediated liver injury in mice. </w:t>
      </w:r>
      <w:r>
        <w:rPr>
          <w:rFonts w:ascii="Book Antiqua" w:hAnsi="Book Antiqua"/>
          <w:i/>
          <w:iCs/>
        </w:rPr>
        <w:t>Mol Med Rep</w:t>
      </w:r>
      <w:r>
        <w:rPr>
          <w:rFonts w:ascii="Book Antiqua" w:hAnsi="Book Antiqua"/>
        </w:rPr>
        <w:t xml:space="preserve"> 2019; </w:t>
      </w:r>
      <w:r>
        <w:rPr>
          <w:rFonts w:ascii="Book Antiqua" w:hAnsi="Book Antiqua"/>
          <w:b/>
          <w:bCs/>
        </w:rPr>
        <w:t>20</w:t>
      </w:r>
      <w:r>
        <w:rPr>
          <w:rFonts w:ascii="Book Antiqua" w:hAnsi="Book Antiqua"/>
        </w:rPr>
        <w:t>: 4883-4892 [PMID: 31638166 DOI: 10.3892/mmr.2019.10750]</w:t>
      </w:r>
    </w:p>
    <w:p w14:paraId="68B38010" w14:textId="77777777" w:rsidR="004E6ADE" w:rsidRDefault="00032766">
      <w:pPr>
        <w:spacing w:line="360" w:lineRule="auto"/>
        <w:jc w:val="both"/>
        <w:rPr>
          <w:rFonts w:ascii="Book Antiqua" w:hAnsi="Book Antiqua"/>
        </w:rPr>
      </w:pPr>
      <w:r>
        <w:rPr>
          <w:rFonts w:ascii="Book Antiqua" w:hAnsi="Book Antiqua"/>
        </w:rPr>
        <w:t xml:space="preserve">37 </w:t>
      </w:r>
      <w:r>
        <w:rPr>
          <w:rFonts w:ascii="Book Antiqua" w:hAnsi="Book Antiqua"/>
          <w:b/>
          <w:bCs/>
        </w:rPr>
        <w:t>Vollmer O</w:t>
      </w:r>
      <w:r>
        <w:rPr>
          <w:rFonts w:ascii="Book Antiqua" w:hAnsi="Book Antiqua"/>
        </w:rPr>
        <w:t xml:space="preserve">, </w:t>
      </w:r>
      <w:proofErr w:type="spellStart"/>
      <w:r>
        <w:rPr>
          <w:rFonts w:ascii="Book Antiqua" w:hAnsi="Book Antiqua"/>
        </w:rPr>
        <w:t>Felten</w:t>
      </w:r>
      <w:proofErr w:type="spellEnd"/>
      <w:r>
        <w:rPr>
          <w:rFonts w:ascii="Book Antiqua" w:hAnsi="Book Antiqua"/>
        </w:rPr>
        <w:t xml:space="preserve"> R, Mertz P, Lebrun-</w:t>
      </w:r>
      <w:proofErr w:type="spellStart"/>
      <w:r>
        <w:rPr>
          <w:rFonts w:ascii="Book Antiqua" w:hAnsi="Book Antiqua"/>
        </w:rPr>
        <w:t>Vignes</w:t>
      </w:r>
      <w:proofErr w:type="spellEnd"/>
      <w:r>
        <w:rPr>
          <w:rFonts w:ascii="Book Antiqua" w:hAnsi="Book Antiqua"/>
        </w:rPr>
        <w:t xml:space="preserve"> B, Salem JE, Arnaud L. Characterization of auto-immune hepatitis associated with the use of anti-TNFα agents: An analysis of 389 cases in </w:t>
      </w:r>
      <w:proofErr w:type="spellStart"/>
      <w:r>
        <w:rPr>
          <w:rFonts w:ascii="Book Antiqua" w:hAnsi="Book Antiqua"/>
        </w:rPr>
        <w:t>VigiBase</w:t>
      </w:r>
      <w:proofErr w:type="spellEnd"/>
      <w:r>
        <w:rPr>
          <w:rFonts w:ascii="Book Antiqua" w:hAnsi="Book Antiqua"/>
        </w:rPr>
        <w:t xml:space="preserve">. </w:t>
      </w:r>
      <w:proofErr w:type="spellStart"/>
      <w:r>
        <w:rPr>
          <w:rFonts w:ascii="Book Antiqua" w:hAnsi="Book Antiqua"/>
          <w:i/>
          <w:iCs/>
        </w:rPr>
        <w:t>Autoimmun</w:t>
      </w:r>
      <w:proofErr w:type="spellEnd"/>
      <w:r>
        <w:rPr>
          <w:rFonts w:ascii="Book Antiqua" w:hAnsi="Book Antiqua"/>
          <w:i/>
          <w:iCs/>
        </w:rPr>
        <w:t xml:space="preserve"> Rev</w:t>
      </w:r>
      <w:r>
        <w:rPr>
          <w:rFonts w:ascii="Book Antiqua" w:hAnsi="Book Antiqua"/>
        </w:rPr>
        <w:t xml:space="preserve"> 2020; </w:t>
      </w:r>
      <w:r>
        <w:rPr>
          <w:rFonts w:ascii="Book Antiqua" w:hAnsi="Book Antiqua"/>
          <w:b/>
          <w:bCs/>
        </w:rPr>
        <w:t>19</w:t>
      </w:r>
      <w:r>
        <w:rPr>
          <w:rFonts w:ascii="Book Antiqua" w:hAnsi="Book Antiqua"/>
        </w:rPr>
        <w:t>: 102460 [PMID: 31917266 DOI: 10.1016/j.autrev.2020.102460]</w:t>
      </w:r>
    </w:p>
    <w:p w14:paraId="4944CB0A" w14:textId="77777777" w:rsidR="004E6ADE" w:rsidRDefault="00032766">
      <w:pPr>
        <w:spacing w:line="360" w:lineRule="auto"/>
        <w:jc w:val="both"/>
        <w:rPr>
          <w:rFonts w:ascii="Book Antiqua" w:hAnsi="Book Antiqua"/>
        </w:rPr>
      </w:pPr>
      <w:r>
        <w:rPr>
          <w:rFonts w:ascii="Book Antiqua" w:hAnsi="Book Antiqua"/>
        </w:rPr>
        <w:t xml:space="preserve">38 </w:t>
      </w:r>
      <w:r>
        <w:rPr>
          <w:rFonts w:ascii="Book Antiqua" w:hAnsi="Book Antiqua"/>
          <w:b/>
          <w:bCs/>
        </w:rPr>
        <w:t>Liang M</w:t>
      </w:r>
      <w:r>
        <w:rPr>
          <w:rFonts w:ascii="Book Antiqua" w:hAnsi="Book Antiqua"/>
        </w:rPr>
        <w:t xml:space="preserve">, </w:t>
      </w:r>
      <w:proofErr w:type="spellStart"/>
      <w:r>
        <w:rPr>
          <w:rFonts w:ascii="Book Antiqua" w:hAnsi="Book Antiqua"/>
        </w:rPr>
        <w:t>Liwen</w:t>
      </w:r>
      <w:proofErr w:type="spellEnd"/>
      <w:r>
        <w:rPr>
          <w:rFonts w:ascii="Book Antiqua" w:hAnsi="Book Antiqua"/>
        </w:rPr>
        <w:t xml:space="preserve"> Z, Yun Z, </w:t>
      </w:r>
      <w:proofErr w:type="spellStart"/>
      <w:r>
        <w:rPr>
          <w:rFonts w:ascii="Book Antiqua" w:hAnsi="Book Antiqua"/>
        </w:rPr>
        <w:t>Yanbo</w:t>
      </w:r>
      <w:proofErr w:type="spellEnd"/>
      <w:r>
        <w:rPr>
          <w:rFonts w:ascii="Book Antiqua" w:hAnsi="Book Antiqua"/>
        </w:rPr>
        <w:t xml:space="preserve"> D, </w:t>
      </w:r>
      <w:proofErr w:type="spellStart"/>
      <w:r>
        <w:rPr>
          <w:rFonts w:ascii="Book Antiqua" w:hAnsi="Book Antiqua"/>
        </w:rPr>
        <w:t>Jianping</w:t>
      </w:r>
      <w:proofErr w:type="spellEnd"/>
      <w:r>
        <w:rPr>
          <w:rFonts w:ascii="Book Antiqua" w:hAnsi="Book Antiqua"/>
        </w:rPr>
        <w:t xml:space="preserve"> C. Serum Levels of IL-33 and Correlation with IL-4, IL-17A, and Hypergammaglobulinemia in Patients with Autoimmune Hepatitis. </w:t>
      </w:r>
      <w:r>
        <w:rPr>
          <w:rFonts w:ascii="Book Antiqua" w:hAnsi="Book Antiqua"/>
          <w:i/>
          <w:iCs/>
        </w:rPr>
        <w:t xml:space="preserve">Mediators </w:t>
      </w:r>
      <w:proofErr w:type="spellStart"/>
      <w:r>
        <w:rPr>
          <w:rFonts w:ascii="Book Antiqua" w:hAnsi="Book Antiqua"/>
          <w:i/>
          <w:iCs/>
        </w:rPr>
        <w:t>Inflamm</w:t>
      </w:r>
      <w:proofErr w:type="spellEnd"/>
      <w:r>
        <w:rPr>
          <w:rFonts w:ascii="Book Antiqua" w:hAnsi="Book Antiqua"/>
        </w:rPr>
        <w:t xml:space="preserve"> 2018; </w:t>
      </w:r>
      <w:r>
        <w:rPr>
          <w:rFonts w:ascii="Book Antiqua" w:hAnsi="Book Antiqua"/>
          <w:b/>
          <w:bCs/>
        </w:rPr>
        <w:t>2018</w:t>
      </w:r>
      <w:r>
        <w:rPr>
          <w:rFonts w:ascii="Book Antiqua" w:hAnsi="Book Antiqua"/>
        </w:rPr>
        <w:t>: 7964654 [PMID: 30034292 DOI: 10.1155/2018/7964654]</w:t>
      </w:r>
    </w:p>
    <w:p w14:paraId="6F2E27AE" w14:textId="77777777" w:rsidR="004E6ADE" w:rsidRDefault="00032766">
      <w:pPr>
        <w:spacing w:line="360" w:lineRule="auto"/>
        <w:jc w:val="both"/>
        <w:rPr>
          <w:rFonts w:ascii="Book Antiqua" w:hAnsi="Book Antiqua"/>
        </w:rPr>
      </w:pPr>
      <w:r>
        <w:rPr>
          <w:rFonts w:ascii="Book Antiqua" w:hAnsi="Book Antiqua"/>
        </w:rPr>
        <w:t xml:space="preserve">39 </w:t>
      </w:r>
      <w:r>
        <w:rPr>
          <w:rFonts w:ascii="Book Antiqua" w:hAnsi="Book Antiqua"/>
          <w:b/>
          <w:bCs/>
        </w:rPr>
        <w:t>Abe K</w:t>
      </w:r>
      <w:r>
        <w:rPr>
          <w:rFonts w:ascii="Book Antiqua" w:hAnsi="Book Antiqua"/>
        </w:rPr>
        <w:t xml:space="preserve">, Fujita M, Hayashi M, Takahashi A, </w:t>
      </w:r>
      <w:proofErr w:type="spellStart"/>
      <w:r>
        <w:rPr>
          <w:rFonts w:ascii="Book Antiqua" w:hAnsi="Book Antiqua"/>
        </w:rPr>
        <w:t>Ohira</w:t>
      </w:r>
      <w:proofErr w:type="spellEnd"/>
      <w:r>
        <w:rPr>
          <w:rFonts w:ascii="Book Antiqua" w:hAnsi="Book Antiqua"/>
        </w:rPr>
        <w:t xml:space="preserve"> H. Association of serum 25-hydroxyvitamin D levels with severe </w:t>
      </w:r>
      <w:proofErr w:type="spellStart"/>
      <w:r>
        <w:rPr>
          <w:rFonts w:ascii="Book Antiqua" w:hAnsi="Book Antiqua"/>
        </w:rPr>
        <w:t>necroinflammatory</w:t>
      </w:r>
      <w:proofErr w:type="spellEnd"/>
      <w:r>
        <w:rPr>
          <w:rFonts w:ascii="Book Antiqua" w:hAnsi="Book Antiqua"/>
        </w:rPr>
        <w:t xml:space="preserve"> activity and inflammatory cytokine production in type I autoimmune hepatitis.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2020; </w:t>
      </w:r>
      <w:r>
        <w:rPr>
          <w:rFonts w:ascii="Book Antiqua" w:hAnsi="Book Antiqua"/>
          <w:b/>
          <w:bCs/>
        </w:rPr>
        <w:t>15</w:t>
      </w:r>
      <w:r>
        <w:rPr>
          <w:rFonts w:ascii="Book Antiqua" w:hAnsi="Book Antiqua"/>
        </w:rPr>
        <w:t>: e0239481 [PMID: 33151930 DOI: 10.1371/journal.pone.0239481]</w:t>
      </w:r>
    </w:p>
    <w:p w14:paraId="58B53160" w14:textId="77777777" w:rsidR="004E6ADE" w:rsidRDefault="00032766">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Bozward</w:t>
      </w:r>
      <w:proofErr w:type="spellEnd"/>
      <w:r>
        <w:rPr>
          <w:rFonts w:ascii="Book Antiqua" w:hAnsi="Book Antiqua"/>
          <w:b/>
          <w:bCs/>
        </w:rPr>
        <w:t xml:space="preserve"> AG</w:t>
      </w:r>
      <w:r>
        <w:rPr>
          <w:rFonts w:ascii="Book Antiqua" w:hAnsi="Book Antiqua"/>
        </w:rPr>
        <w:t xml:space="preserve">, Wootton GE, </w:t>
      </w:r>
      <w:proofErr w:type="spellStart"/>
      <w:r>
        <w:rPr>
          <w:rFonts w:ascii="Book Antiqua" w:hAnsi="Book Antiqua"/>
        </w:rPr>
        <w:t>Podstawka</w:t>
      </w:r>
      <w:proofErr w:type="spellEnd"/>
      <w:r>
        <w:rPr>
          <w:rFonts w:ascii="Book Antiqua" w:hAnsi="Book Antiqua"/>
        </w:rPr>
        <w:t xml:space="preserve"> O, </w:t>
      </w:r>
      <w:proofErr w:type="spellStart"/>
      <w:r>
        <w:rPr>
          <w:rFonts w:ascii="Book Antiqua" w:hAnsi="Book Antiqua"/>
        </w:rPr>
        <w:t>Oo</w:t>
      </w:r>
      <w:proofErr w:type="spellEnd"/>
      <w:r>
        <w:rPr>
          <w:rFonts w:ascii="Book Antiqua" w:hAnsi="Book Antiqua"/>
        </w:rPr>
        <w:t xml:space="preserve"> YH. Autoimmune Hepatitis: Tolerogenic Immunological State During Pregnancy and Immune Escape in Post-partum.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591380 [PMID: 33072138 DOI: 10.3389/fimmu.2020.591380]</w:t>
      </w:r>
    </w:p>
    <w:p w14:paraId="3A3410C2" w14:textId="77777777" w:rsidR="004E6ADE" w:rsidRDefault="00032766">
      <w:pPr>
        <w:spacing w:line="360" w:lineRule="auto"/>
        <w:jc w:val="both"/>
        <w:rPr>
          <w:rFonts w:ascii="Book Antiqua" w:hAnsi="Book Antiqua"/>
        </w:rPr>
      </w:pPr>
      <w:r>
        <w:rPr>
          <w:rFonts w:ascii="Book Antiqua" w:hAnsi="Book Antiqua"/>
        </w:rPr>
        <w:t xml:space="preserve">41 </w:t>
      </w:r>
      <w:r>
        <w:rPr>
          <w:rFonts w:ascii="Book Antiqua" w:hAnsi="Book Antiqua"/>
          <w:b/>
          <w:bCs/>
        </w:rPr>
        <w:t>Braga A</w:t>
      </w:r>
      <w:r>
        <w:rPr>
          <w:rFonts w:ascii="Book Antiqua" w:hAnsi="Book Antiqua"/>
        </w:rPr>
        <w:t xml:space="preserve">, Vasconcelos C, Braga J. Autoimmune hepatitis and pregnancy.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Gynaecol</w:t>
      </w:r>
      <w:proofErr w:type="spellEnd"/>
      <w:r>
        <w:rPr>
          <w:rFonts w:ascii="Book Antiqua" w:hAnsi="Book Antiqua"/>
        </w:rPr>
        <w:t xml:space="preserve"> 2020; </w:t>
      </w:r>
      <w:r>
        <w:rPr>
          <w:rFonts w:ascii="Book Antiqua" w:hAnsi="Book Antiqua"/>
          <w:b/>
          <w:bCs/>
        </w:rPr>
        <w:t>68</w:t>
      </w:r>
      <w:r>
        <w:rPr>
          <w:rFonts w:ascii="Book Antiqua" w:hAnsi="Book Antiqua"/>
        </w:rPr>
        <w:t>: 23-31 [PMID: 32376296 DOI: 10.1016/j.bpobgyn.2020.03.007]</w:t>
      </w:r>
    </w:p>
    <w:p w14:paraId="7A73B6FE" w14:textId="77777777" w:rsidR="004E6ADE" w:rsidRDefault="00032766">
      <w:pPr>
        <w:spacing w:line="360" w:lineRule="auto"/>
        <w:jc w:val="both"/>
        <w:rPr>
          <w:rFonts w:ascii="Book Antiqua" w:hAnsi="Book Antiqua"/>
        </w:rPr>
      </w:pPr>
      <w:r>
        <w:rPr>
          <w:rFonts w:ascii="Book Antiqua" w:hAnsi="Book Antiqua"/>
        </w:rPr>
        <w:lastRenderedPageBreak/>
        <w:t xml:space="preserve">42 </w:t>
      </w:r>
      <w:proofErr w:type="spellStart"/>
      <w:r>
        <w:rPr>
          <w:rFonts w:ascii="Book Antiqua" w:hAnsi="Book Antiqua"/>
          <w:b/>
          <w:bCs/>
        </w:rPr>
        <w:t>Stirnimann</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Ebadi</w:t>
      </w:r>
      <w:proofErr w:type="spellEnd"/>
      <w:r>
        <w:rPr>
          <w:rFonts w:ascii="Book Antiqua" w:hAnsi="Book Antiqua"/>
        </w:rPr>
        <w:t xml:space="preserve"> M, </w:t>
      </w:r>
      <w:proofErr w:type="spellStart"/>
      <w:r>
        <w:rPr>
          <w:rFonts w:ascii="Book Antiqua" w:hAnsi="Book Antiqua"/>
        </w:rPr>
        <w:t>Czaja</w:t>
      </w:r>
      <w:proofErr w:type="spellEnd"/>
      <w:r>
        <w:rPr>
          <w:rFonts w:ascii="Book Antiqua" w:hAnsi="Book Antiqua"/>
        </w:rPr>
        <w:t xml:space="preserve"> AJ, Montano-</w:t>
      </w:r>
      <w:proofErr w:type="spellStart"/>
      <w:r>
        <w:rPr>
          <w:rFonts w:ascii="Book Antiqua" w:hAnsi="Book Antiqua"/>
        </w:rPr>
        <w:t>Loza</w:t>
      </w:r>
      <w:proofErr w:type="spellEnd"/>
      <w:r>
        <w:rPr>
          <w:rFonts w:ascii="Book Antiqua" w:hAnsi="Book Antiqua"/>
        </w:rPr>
        <w:t xml:space="preserve"> AJ. Recurrent and De Novo Autoimmune Hepatitis.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2019; </w:t>
      </w:r>
      <w:r>
        <w:rPr>
          <w:rFonts w:ascii="Book Antiqua" w:hAnsi="Book Antiqua"/>
          <w:b/>
          <w:bCs/>
        </w:rPr>
        <w:t>25</w:t>
      </w:r>
      <w:r>
        <w:rPr>
          <w:rFonts w:ascii="Book Antiqua" w:hAnsi="Book Antiqua"/>
        </w:rPr>
        <w:t>: 152-166 [PMID: 30375180 DOI: 10.1002/</w:t>
      </w:r>
      <w:r>
        <w:rPr>
          <w:rFonts w:ascii="Book Antiqua" w:hAnsi="Book Antiqua" w:hint="eastAsia"/>
          <w:lang w:eastAsia="zh-CN"/>
        </w:rPr>
        <w:t>l</w:t>
      </w:r>
      <w:r>
        <w:rPr>
          <w:rFonts w:ascii="Book Antiqua" w:hAnsi="Book Antiqua"/>
        </w:rPr>
        <w:t>t.25375]</w:t>
      </w:r>
    </w:p>
    <w:p w14:paraId="44402A48" w14:textId="77777777" w:rsidR="004E6ADE" w:rsidRDefault="00032766">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Kerkar</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Vergani</w:t>
      </w:r>
      <w:proofErr w:type="spellEnd"/>
      <w:r>
        <w:rPr>
          <w:rFonts w:ascii="Book Antiqua" w:hAnsi="Book Antiqua"/>
        </w:rPr>
        <w:t xml:space="preserve"> D. De novo autoimmune hepatitis -is this different in adults compared to children? </w:t>
      </w:r>
      <w:r>
        <w:rPr>
          <w:rFonts w:ascii="Book Antiqua" w:hAnsi="Book Antiqua"/>
          <w:i/>
          <w:iCs/>
        </w:rPr>
        <w:t xml:space="preserve">J </w:t>
      </w:r>
      <w:proofErr w:type="spellStart"/>
      <w:r>
        <w:rPr>
          <w:rFonts w:ascii="Book Antiqua" w:hAnsi="Book Antiqua"/>
          <w:i/>
          <w:iCs/>
        </w:rPr>
        <w:t>Autoimmun</w:t>
      </w:r>
      <w:proofErr w:type="spellEnd"/>
      <w:r>
        <w:rPr>
          <w:rFonts w:ascii="Book Antiqua" w:hAnsi="Book Antiqua"/>
        </w:rPr>
        <w:t xml:space="preserve"> 2018; </w:t>
      </w:r>
      <w:r>
        <w:rPr>
          <w:rFonts w:ascii="Book Antiqua" w:hAnsi="Book Antiqua"/>
          <w:b/>
          <w:bCs/>
        </w:rPr>
        <w:t>95</w:t>
      </w:r>
      <w:r>
        <w:rPr>
          <w:rFonts w:ascii="Book Antiqua" w:hAnsi="Book Antiqua"/>
        </w:rPr>
        <w:t>: 26-33 [PMID: 30396746 DOI: 10.1016/j.jaut.2018.10.023]</w:t>
      </w:r>
    </w:p>
    <w:p w14:paraId="6CA2D74F" w14:textId="77777777" w:rsidR="004E6ADE" w:rsidRDefault="00032766">
      <w:pPr>
        <w:spacing w:line="360" w:lineRule="auto"/>
        <w:jc w:val="both"/>
        <w:rPr>
          <w:rFonts w:ascii="Book Antiqua" w:hAnsi="Book Antiqua"/>
        </w:rPr>
      </w:pPr>
      <w:r>
        <w:rPr>
          <w:rFonts w:ascii="Book Antiqua" w:hAnsi="Book Antiqua"/>
        </w:rPr>
        <w:t xml:space="preserve">44 </w:t>
      </w:r>
      <w:r>
        <w:rPr>
          <w:rFonts w:ascii="Book Antiqua" w:hAnsi="Book Antiqua"/>
          <w:b/>
          <w:bCs/>
        </w:rPr>
        <w:t>Kwon JH</w:t>
      </w:r>
      <w:r>
        <w:rPr>
          <w:rFonts w:ascii="Book Antiqua" w:hAnsi="Book Antiqua"/>
        </w:rPr>
        <w:t xml:space="preserve">, </w:t>
      </w:r>
      <w:proofErr w:type="spellStart"/>
      <w:r>
        <w:rPr>
          <w:rFonts w:ascii="Book Antiqua" w:hAnsi="Book Antiqua"/>
        </w:rPr>
        <w:t>Hanouneh</w:t>
      </w:r>
      <w:proofErr w:type="spellEnd"/>
      <w:r>
        <w:rPr>
          <w:rFonts w:ascii="Book Antiqua" w:hAnsi="Book Antiqua"/>
        </w:rPr>
        <w:t xml:space="preserve"> IA, Allende D, </w:t>
      </w:r>
      <w:proofErr w:type="spellStart"/>
      <w:r>
        <w:rPr>
          <w:rFonts w:ascii="Book Antiqua" w:hAnsi="Book Antiqua"/>
        </w:rPr>
        <w:t>Yerian</w:t>
      </w:r>
      <w:proofErr w:type="spellEnd"/>
      <w:r>
        <w:rPr>
          <w:rFonts w:ascii="Book Antiqua" w:hAnsi="Book Antiqua"/>
        </w:rPr>
        <w:t xml:space="preserve"> L, </w:t>
      </w:r>
      <w:proofErr w:type="spellStart"/>
      <w:r>
        <w:rPr>
          <w:rFonts w:ascii="Book Antiqua" w:hAnsi="Book Antiqua"/>
        </w:rPr>
        <w:t>Diago</w:t>
      </w:r>
      <w:proofErr w:type="spellEnd"/>
      <w:r>
        <w:rPr>
          <w:rFonts w:ascii="Book Antiqua" w:hAnsi="Book Antiqua"/>
        </w:rPr>
        <w:t xml:space="preserve"> T, </w:t>
      </w:r>
      <w:proofErr w:type="spellStart"/>
      <w:r>
        <w:rPr>
          <w:rFonts w:ascii="Book Antiqua" w:hAnsi="Book Antiqua"/>
        </w:rPr>
        <w:t>Eghtesad</w:t>
      </w:r>
      <w:proofErr w:type="spellEnd"/>
      <w:r>
        <w:rPr>
          <w:rFonts w:ascii="Book Antiqua" w:hAnsi="Book Antiqua"/>
        </w:rPr>
        <w:t xml:space="preserve"> B, Zein NN. De Novo Autoimmune Hepatitis Following Liver Transplantation. </w:t>
      </w:r>
      <w:r>
        <w:rPr>
          <w:rFonts w:ascii="Book Antiqua" w:hAnsi="Book Antiqua"/>
          <w:i/>
          <w:iCs/>
        </w:rPr>
        <w:t>Transplant Proc</w:t>
      </w:r>
      <w:r>
        <w:rPr>
          <w:rFonts w:ascii="Book Antiqua" w:hAnsi="Book Antiqua"/>
        </w:rPr>
        <w:t xml:space="preserve"> 2018; </w:t>
      </w:r>
      <w:r>
        <w:rPr>
          <w:rFonts w:ascii="Book Antiqua" w:hAnsi="Book Antiqua"/>
          <w:b/>
          <w:bCs/>
        </w:rPr>
        <w:t>50</w:t>
      </w:r>
      <w:r>
        <w:rPr>
          <w:rFonts w:ascii="Book Antiqua" w:hAnsi="Book Antiqua"/>
        </w:rPr>
        <w:t>: 1451-1456 [PMID: 29880369 DOI: 10.1016/j.transproceed.2018.02.066]</w:t>
      </w:r>
    </w:p>
    <w:p w14:paraId="3E2AD2A8" w14:textId="77777777" w:rsidR="004E6ADE" w:rsidRDefault="004E6ADE">
      <w:pPr>
        <w:spacing w:line="360" w:lineRule="auto"/>
        <w:jc w:val="both"/>
        <w:rPr>
          <w:rFonts w:ascii="Book Antiqua" w:hAnsi="Book Antiqua"/>
        </w:rPr>
      </w:pPr>
    </w:p>
    <w:p w14:paraId="0BE052AC" w14:textId="77777777" w:rsidR="004E6ADE" w:rsidRDefault="004E6ADE">
      <w:pPr>
        <w:spacing w:line="360" w:lineRule="auto"/>
        <w:jc w:val="both"/>
        <w:rPr>
          <w:rFonts w:ascii="Book Antiqua" w:hAnsi="Book Antiqua"/>
        </w:rPr>
        <w:sectPr w:rsidR="004E6ADE">
          <w:pgSz w:w="12240" w:h="15840"/>
          <w:pgMar w:top="1440" w:right="1440" w:bottom="1440" w:left="1440" w:header="720" w:footer="720" w:gutter="0"/>
          <w:cols w:space="720"/>
          <w:docGrid w:linePitch="360"/>
        </w:sectPr>
      </w:pPr>
    </w:p>
    <w:p w14:paraId="37D04995"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CA39C57"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do not have any commercial or other associations that might pose a conflict of interest. </w:t>
      </w:r>
    </w:p>
    <w:p w14:paraId="3BB18CD3" w14:textId="77777777" w:rsidR="004E6ADE" w:rsidRDefault="004E6ADE">
      <w:pPr>
        <w:spacing w:line="360" w:lineRule="auto"/>
        <w:jc w:val="both"/>
        <w:rPr>
          <w:rFonts w:ascii="Book Antiqua" w:hAnsi="Book Antiqua"/>
        </w:rPr>
      </w:pPr>
    </w:p>
    <w:p w14:paraId="25743E9D"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92DD35" w14:textId="77777777" w:rsidR="004E6ADE" w:rsidRDefault="004E6ADE">
      <w:pPr>
        <w:spacing w:line="360" w:lineRule="auto"/>
        <w:jc w:val="both"/>
        <w:rPr>
          <w:rFonts w:ascii="Book Antiqua" w:hAnsi="Book Antiqua"/>
        </w:rPr>
      </w:pPr>
    </w:p>
    <w:p w14:paraId="583D21BB"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3C43D6EE" w14:textId="77777777" w:rsidR="004E6ADE" w:rsidRDefault="004E6ADE">
      <w:pPr>
        <w:spacing w:line="360" w:lineRule="auto"/>
        <w:jc w:val="both"/>
        <w:rPr>
          <w:rFonts w:ascii="Book Antiqua" w:hAnsi="Book Antiqua"/>
        </w:rPr>
      </w:pPr>
    </w:p>
    <w:p w14:paraId="119933B1"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3D60CEDD"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45ECCBA7"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84D9791" w14:textId="77777777" w:rsidR="004E6ADE" w:rsidRDefault="004E6ADE">
      <w:pPr>
        <w:spacing w:line="360" w:lineRule="auto"/>
        <w:jc w:val="both"/>
        <w:rPr>
          <w:rFonts w:ascii="Book Antiqua" w:hAnsi="Book Antiqua"/>
        </w:rPr>
      </w:pPr>
    </w:p>
    <w:p w14:paraId="43BC5D9B"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2C5FEB89"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6DBB3A5"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587A8B7"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Grade A (Excellent): 0</w:t>
      </w:r>
    </w:p>
    <w:p w14:paraId="2060645A"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Grade B (Very good): 0</w:t>
      </w:r>
    </w:p>
    <w:p w14:paraId="2CF68B71"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Grade C (Good): C</w:t>
      </w:r>
    </w:p>
    <w:p w14:paraId="0950311E"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Grade D (Fair): 0</w:t>
      </w:r>
    </w:p>
    <w:p w14:paraId="6478EED0"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Grade E (Poor): 0</w:t>
      </w:r>
    </w:p>
    <w:p w14:paraId="0E6E9422" w14:textId="77777777" w:rsidR="004E6ADE" w:rsidRDefault="004E6ADE">
      <w:pPr>
        <w:spacing w:line="360" w:lineRule="auto"/>
        <w:jc w:val="both"/>
        <w:rPr>
          <w:rFonts w:ascii="Book Antiqua" w:hAnsi="Book Antiqua"/>
        </w:rPr>
      </w:pPr>
    </w:p>
    <w:p w14:paraId="4335856A" w14:textId="77777777" w:rsidR="004E6ADE" w:rsidRDefault="0003276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Balaban YH</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p w14:paraId="774BFBA9" w14:textId="77777777" w:rsidR="004E6ADE" w:rsidRDefault="00032766">
      <w:pPr>
        <w:spacing w:line="360" w:lineRule="auto"/>
        <w:jc w:val="both"/>
        <w:rPr>
          <w:rFonts w:ascii="Book Antiqua" w:hAnsi="Book Antiqua"/>
          <w:b/>
        </w:rPr>
      </w:pPr>
      <w:r>
        <w:rPr>
          <w:rFonts w:ascii="Book Antiqua" w:eastAsia="Book Antiqua" w:hAnsi="Book Antiqua" w:cs="Book Antiqua"/>
          <w:b/>
          <w:color w:val="000000"/>
        </w:rPr>
        <w:br w:type="page"/>
      </w:r>
      <w:r>
        <w:rPr>
          <w:rFonts w:ascii="Book Antiqua" w:hAnsi="Book Antiqua"/>
          <w:b/>
        </w:rPr>
        <w:lastRenderedPageBreak/>
        <w:t>Table</w:t>
      </w:r>
      <w:r>
        <w:rPr>
          <w:rFonts w:ascii="Book Antiqua" w:hAnsi="Book Antiqua" w:hint="eastAsia"/>
          <w:b/>
          <w:lang w:eastAsia="zh-CN"/>
        </w:rPr>
        <w:t xml:space="preserve"> </w:t>
      </w:r>
      <w:r>
        <w:rPr>
          <w:rFonts w:ascii="Book Antiqua" w:hAnsi="Book Antiqua"/>
          <w:b/>
        </w:rPr>
        <w:t xml:space="preserve">1 Susceptibility genes of </w:t>
      </w:r>
      <w:r>
        <w:rPr>
          <w:rFonts w:ascii="Book Antiqua" w:hAnsi="Book Antiqua" w:cs="Book Antiqua"/>
          <w:b/>
          <w:color w:val="000000"/>
          <w:lang w:eastAsia="zh-CN"/>
        </w:rPr>
        <w:t>a</w:t>
      </w:r>
      <w:r>
        <w:rPr>
          <w:rFonts w:ascii="Book Antiqua" w:eastAsia="Book Antiqua" w:hAnsi="Book Antiqua" w:cs="Book Antiqua"/>
          <w:b/>
          <w:color w:val="000000"/>
        </w:rPr>
        <w:t>utoimmune hepatitis</w:t>
      </w:r>
      <w:r>
        <w:rPr>
          <w:rFonts w:ascii="Book Antiqua" w:hAnsi="Book Antiqua"/>
          <w:b/>
          <w:color w:val="FF0000"/>
        </w:rPr>
        <w:t xml:space="preserve"> </w:t>
      </w:r>
    </w:p>
    <w:tbl>
      <w:tblPr>
        <w:tblStyle w:val="a7"/>
        <w:tblW w:w="5995" w:type="pct"/>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3"/>
        <w:gridCol w:w="2549"/>
        <w:gridCol w:w="3686"/>
      </w:tblGrid>
      <w:tr w:rsidR="004E6ADE" w14:paraId="1C629EE3" w14:textId="77777777" w:rsidTr="004801F7">
        <w:trPr>
          <w:trHeight w:val="23"/>
        </w:trPr>
        <w:tc>
          <w:tcPr>
            <w:tcW w:w="494" w:type="pct"/>
            <w:tcBorders>
              <w:top w:val="single" w:sz="4" w:space="0" w:color="auto"/>
              <w:bottom w:val="single" w:sz="4" w:space="0" w:color="auto"/>
            </w:tcBorders>
          </w:tcPr>
          <w:p w14:paraId="39027F87" w14:textId="77777777" w:rsidR="004E6ADE" w:rsidRDefault="00032766">
            <w:pPr>
              <w:spacing w:line="360" w:lineRule="auto"/>
              <w:rPr>
                <w:rFonts w:ascii="Book Antiqua" w:eastAsia="宋体" w:hAnsi="Book Antiqua" w:cs="Calibri"/>
                <w:b/>
                <w:kern w:val="2"/>
                <w:lang w:eastAsia="zh-CN"/>
              </w:rPr>
            </w:pPr>
            <w:r>
              <w:rPr>
                <w:rFonts w:ascii="Book Antiqua" w:hAnsi="Book Antiqua"/>
                <w:b/>
                <w:lang w:eastAsia="zh-CN"/>
              </w:rPr>
              <w:t>Type of AIH</w:t>
            </w:r>
          </w:p>
        </w:tc>
        <w:tc>
          <w:tcPr>
            <w:tcW w:w="1791" w:type="pct"/>
            <w:tcBorders>
              <w:top w:val="single" w:sz="4" w:space="0" w:color="auto"/>
              <w:bottom w:val="single" w:sz="4" w:space="0" w:color="auto"/>
            </w:tcBorders>
          </w:tcPr>
          <w:p w14:paraId="2FE31EB5" w14:textId="77777777" w:rsidR="004E6ADE" w:rsidRDefault="00032766">
            <w:pPr>
              <w:spacing w:line="360" w:lineRule="auto"/>
              <w:rPr>
                <w:rFonts w:ascii="Book Antiqua" w:eastAsia="宋体" w:hAnsi="Book Antiqua" w:cs="Calibri"/>
                <w:b/>
                <w:kern w:val="2"/>
                <w:lang w:eastAsia="zh-CN"/>
              </w:rPr>
            </w:pPr>
            <w:r>
              <w:rPr>
                <w:rFonts w:ascii="Book Antiqua" w:hAnsi="Book Antiqua"/>
                <w:b/>
                <w:lang w:eastAsia="zh-CN"/>
              </w:rPr>
              <w:t xml:space="preserve">Susceptibility genes or alleles (protective alleles are underlined) </w:t>
            </w:r>
          </w:p>
        </w:tc>
        <w:tc>
          <w:tcPr>
            <w:tcW w:w="1110" w:type="pct"/>
            <w:tcBorders>
              <w:top w:val="single" w:sz="4" w:space="0" w:color="auto"/>
              <w:bottom w:val="single" w:sz="4" w:space="0" w:color="auto"/>
            </w:tcBorders>
          </w:tcPr>
          <w:p w14:paraId="371DD63A" w14:textId="77777777" w:rsidR="004E6ADE" w:rsidRDefault="00032766">
            <w:pPr>
              <w:spacing w:line="360" w:lineRule="auto"/>
              <w:rPr>
                <w:rFonts w:ascii="Book Antiqua" w:hAnsi="Book Antiqua" w:cs="Calibri"/>
                <w:b/>
                <w:kern w:val="2"/>
                <w:lang w:eastAsia="zh-CN"/>
              </w:rPr>
            </w:pPr>
            <w:r>
              <w:rPr>
                <w:rFonts w:ascii="Book Antiqua" w:hAnsi="Book Antiqua" w:hint="eastAsia"/>
                <w:b/>
                <w:lang w:eastAsia="zh-CN"/>
              </w:rPr>
              <w:t>Country</w:t>
            </w:r>
          </w:p>
        </w:tc>
        <w:tc>
          <w:tcPr>
            <w:tcW w:w="1605" w:type="pct"/>
            <w:tcBorders>
              <w:top w:val="single" w:sz="4" w:space="0" w:color="auto"/>
              <w:bottom w:val="single" w:sz="4" w:space="0" w:color="auto"/>
            </w:tcBorders>
          </w:tcPr>
          <w:p w14:paraId="0EB04C0F" w14:textId="77777777" w:rsidR="004E6ADE" w:rsidRDefault="00032766">
            <w:pPr>
              <w:spacing w:line="360" w:lineRule="auto"/>
              <w:rPr>
                <w:rFonts w:ascii="Book Antiqua" w:hAnsi="Book Antiqua" w:cs="Calibri"/>
                <w:b/>
                <w:kern w:val="2"/>
                <w:lang w:eastAsia="zh-CN"/>
              </w:rPr>
            </w:pPr>
            <w:r>
              <w:rPr>
                <w:rFonts w:ascii="Book Antiqua" w:hAnsi="Book Antiqua"/>
                <w:b/>
                <w:lang w:eastAsia="zh-CN"/>
              </w:rPr>
              <w:t>Ref.</w:t>
            </w:r>
          </w:p>
        </w:tc>
      </w:tr>
      <w:tr w:rsidR="004E6ADE" w14:paraId="14BBFD7D" w14:textId="77777777" w:rsidTr="004801F7">
        <w:trPr>
          <w:trHeight w:val="23"/>
        </w:trPr>
        <w:tc>
          <w:tcPr>
            <w:tcW w:w="494" w:type="pct"/>
            <w:vMerge w:val="restart"/>
            <w:tcBorders>
              <w:top w:val="single" w:sz="4" w:space="0" w:color="auto"/>
            </w:tcBorders>
          </w:tcPr>
          <w:p w14:paraId="0E76303A"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AIH I</w:t>
            </w:r>
          </w:p>
        </w:tc>
        <w:tc>
          <w:tcPr>
            <w:tcW w:w="1791" w:type="pct"/>
            <w:vMerge w:val="restart"/>
            <w:tcBorders>
              <w:top w:val="single" w:sz="4" w:space="0" w:color="auto"/>
            </w:tcBorders>
          </w:tcPr>
          <w:p w14:paraId="6724D8AA"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 xml:space="preserve">DRB1*03:01, DRB1*04:01 </w:t>
            </w:r>
            <w:r>
              <w:rPr>
                <w:rFonts w:ascii="Book Antiqua" w:hAnsi="Book Antiqua"/>
                <w:u w:val="single" w:color="FF0000"/>
                <w:lang w:eastAsia="zh-CN"/>
              </w:rPr>
              <w:t>DRB1*15:01</w:t>
            </w:r>
          </w:p>
        </w:tc>
        <w:tc>
          <w:tcPr>
            <w:tcW w:w="1110" w:type="pct"/>
            <w:vMerge w:val="restart"/>
            <w:tcBorders>
              <w:top w:val="single" w:sz="4" w:space="0" w:color="auto"/>
            </w:tcBorders>
          </w:tcPr>
          <w:p w14:paraId="0B98E96C"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European, North American</w:t>
            </w:r>
          </w:p>
        </w:tc>
        <w:tc>
          <w:tcPr>
            <w:tcW w:w="1605" w:type="pct"/>
            <w:tcBorders>
              <w:top w:val="single" w:sz="4" w:space="0" w:color="auto"/>
            </w:tcBorders>
          </w:tcPr>
          <w:p w14:paraId="043F8AC9" w14:textId="77777777" w:rsidR="004E6ADE" w:rsidRDefault="00032766">
            <w:pPr>
              <w:spacing w:line="360" w:lineRule="auto"/>
              <w:rPr>
                <w:rFonts w:ascii="Book Antiqua" w:hAnsi="Book Antiqua" w:cs="Calibri"/>
                <w:kern w:val="2"/>
                <w:lang w:eastAsia="zh-CN"/>
              </w:rPr>
            </w:pPr>
            <w:r>
              <w:rPr>
                <w:rFonts w:ascii="Book Antiqua" w:hAnsi="Book Antiqua"/>
                <w:bCs/>
                <w:lang w:eastAsia="zh-CN"/>
              </w:rPr>
              <w:t>Higuchi</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[1]</w:t>
            </w:r>
            <w:r>
              <w:rPr>
                <w:rFonts w:ascii="Book Antiqua" w:hAnsi="Book Antiqua" w:hint="eastAsia"/>
                <w:lang w:eastAsia="zh-CN"/>
              </w:rPr>
              <w:t>,</w:t>
            </w:r>
            <w:r>
              <w:rPr>
                <w:rFonts w:ascii="Book Antiqua" w:hAnsi="Book Antiqua" w:hint="eastAsia"/>
                <w:vertAlign w:val="superscript"/>
                <w:lang w:eastAsia="zh-CN"/>
              </w:rPr>
              <w:t xml:space="preserve"> </w:t>
            </w:r>
            <w:r>
              <w:rPr>
                <w:rFonts w:ascii="Book Antiqua" w:hAnsi="Book Antiqua" w:hint="eastAsia"/>
                <w:lang w:eastAsia="zh-CN"/>
              </w:rPr>
              <w:t>2021</w:t>
            </w:r>
          </w:p>
        </w:tc>
      </w:tr>
      <w:tr w:rsidR="004E6ADE" w14:paraId="742BEF59" w14:textId="77777777" w:rsidTr="004801F7">
        <w:trPr>
          <w:trHeight w:val="23"/>
        </w:trPr>
        <w:tc>
          <w:tcPr>
            <w:tcW w:w="494" w:type="pct"/>
            <w:vMerge/>
          </w:tcPr>
          <w:p w14:paraId="0AF86E4B" w14:textId="77777777" w:rsidR="004E6ADE" w:rsidRDefault="004E6ADE">
            <w:pPr>
              <w:spacing w:line="360" w:lineRule="auto"/>
              <w:rPr>
                <w:rFonts w:ascii="Book Antiqua" w:hAnsi="Book Antiqua"/>
                <w:lang w:eastAsia="zh-CN"/>
              </w:rPr>
            </w:pPr>
          </w:p>
        </w:tc>
        <w:tc>
          <w:tcPr>
            <w:tcW w:w="1791" w:type="pct"/>
            <w:vMerge/>
          </w:tcPr>
          <w:p w14:paraId="77ABEA77" w14:textId="77777777" w:rsidR="004E6ADE" w:rsidRDefault="004E6ADE">
            <w:pPr>
              <w:spacing w:line="360" w:lineRule="auto"/>
              <w:rPr>
                <w:rFonts w:ascii="Book Antiqua" w:hAnsi="Book Antiqua"/>
                <w:lang w:eastAsia="zh-CN"/>
              </w:rPr>
            </w:pPr>
          </w:p>
        </w:tc>
        <w:tc>
          <w:tcPr>
            <w:tcW w:w="1110" w:type="pct"/>
            <w:vMerge/>
          </w:tcPr>
          <w:p w14:paraId="194ED26A" w14:textId="77777777" w:rsidR="004E6ADE" w:rsidRDefault="004E6ADE">
            <w:pPr>
              <w:spacing w:line="360" w:lineRule="auto"/>
              <w:rPr>
                <w:rFonts w:ascii="Book Antiqua" w:hAnsi="Book Antiqua"/>
                <w:lang w:eastAsia="zh-CN"/>
              </w:rPr>
            </w:pPr>
          </w:p>
        </w:tc>
        <w:tc>
          <w:tcPr>
            <w:tcW w:w="1605" w:type="pct"/>
          </w:tcPr>
          <w:p w14:paraId="7FEAF7A8" w14:textId="77777777" w:rsidR="004E6ADE" w:rsidRDefault="00032766">
            <w:pPr>
              <w:spacing w:line="360" w:lineRule="auto"/>
              <w:rPr>
                <w:rFonts w:ascii="Book Antiqua" w:hAnsi="Book Antiqua"/>
                <w:bCs/>
                <w:lang w:eastAsia="zh-CN"/>
              </w:rPr>
            </w:pPr>
            <w:r>
              <w:rPr>
                <w:rFonts w:ascii="Book Antiqua" w:hAnsi="Book Antiqua"/>
                <w:bCs/>
                <w:lang w:eastAsia="zh-CN"/>
              </w:rPr>
              <w:t>Higuchi</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[2]</w:t>
            </w:r>
            <w:r>
              <w:rPr>
                <w:rFonts w:ascii="Book Antiqua" w:hAnsi="Book Antiqua" w:hint="eastAsia"/>
                <w:lang w:eastAsia="zh-CN"/>
              </w:rPr>
              <w:t>, 2019</w:t>
            </w:r>
          </w:p>
        </w:tc>
      </w:tr>
      <w:tr w:rsidR="004E6ADE" w14:paraId="2BD6D79B" w14:textId="77777777" w:rsidTr="004801F7">
        <w:trPr>
          <w:trHeight w:val="23"/>
        </w:trPr>
        <w:tc>
          <w:tcPr>
            <w:tcW w:w="494" w:type="pct"/>
            <w:vMerge/>
            <w:vAlign w:val="center"/>
          </w:tcPr>
          <w:p w14:paraId="548A2B55" w14:textId="77777777" w:rsidR="004E6ADE" w:rsidRDefault="004E6ADE">
            <w:pPr>
              <w:widowControl/>
              <w:spacing w:line="360" w:lineRule="auto"/>
              <w:rPr>
                <w:rFonts w:ascii="Book Antiqua" w:eastAsia="宋体" w:hAnsi="Book Antiqua" w:cs="Calibri"/>
                <w:kern w:val="2"/>
                <w:lang w:eastAsia="zh-CN"/>
              </w:rPr>
            </w:pPr>
          </w:p>
        </w:tc>
        <w:tc>
          <w:tcPr>
            <w:tcW w:w="1791" w:type="pct"/>
            <w:vMerge w:val="restart"/>
          </w:tcPr>
          <w:p w14:paraId="53AD3B69"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 xml:space="preserve">DRB1*04:01, DRB1*04:05, </w:t>
            </w:r>
            <w:r>
              <w:rPr>
                <w:rFonts w:ascii="Book Antiqua" w:hAnsi="Book Antiqua"/>
                <w:u w:val="single" w:color="FF0000"/>
                <w:lang w:eastAsia="zh-CN"/>
              </w:rPr>
              <w:t>DRB1*13:02</w:t>
            </w:r>
            <w:r>
              <w:rPr>
                <w:rFonts w:ascii="Book Antiqua" w:hAnsi="Book Antiqua"/>
                <w:lang w:eastAsia="zh-CN"/>
              </w:rPr>
              <w:t xml:space="preserve">, </w:t>
            </w:r>
            <w:r>
              <w:rPr>
                <w:rFonts w:ascii="Book Antiqua" w:hAnsi="Book Antiqua"/>
                <w:u w:val="single" w:color="FF0000"/>
                <w:lang w:eastAsia="zh-CN"/>
              </w:rPr>
              <w:t>DRB1*15:01</w:t>
            </w:r>
            <w:r>
              <w:rPr>
                <w:rFonts w:ascii="Book Antiqua" w:hAnsi="Book Antiqua"/>
                <w:lang w:eastAsia="zh-CN"/>
              </w:rPr>
              <w:t xml:space="preserve">, DRB1*0802,DRB1*0803 </w:t>
            </w:r>
          </w:p>
        </w:tc>
        <w:tc>
          <w:tcPr>
            <w:tcW w:w="1110" w:type="pct"/>
            <w:vMerge w:val="restart"/>
          </w:tcPr>
          <w:p w14:paraId="37CD1BB0"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Japanese</w:t>
            </w:r>
          </w:p>
        </w:tc>
        <w:tc>
          <w:tcPr>
            <w:tcW w:w="1605" w:type="pct"/>
          </w:tcPr>
          <w:p w14:paraId="52AC0208" w14:textId="77777777" w:rsidR="004E6ADE" w:rsidRDefault="00032766">
            <w:pPr>
              <w:spacing w:line="360" w:lineRule="auto"/>
              <w:rPr>
                <w:rFonts w:ascii="Book Antiqua" w:hAnsi="Book Antiqua" w:cs="Calibri"/>
                <w:kern w:val="2"/>
                <w:lang w:eastAsia="zh-CN"/>
              </w:rPr>
            </w:pPr>
            <w:r>
              <w:rPr>
                <w:rFonts w:ascii="Book Antiqua" w:hAnsi="Book Antiqua"/>
                <w:bCs/>
                <w:lang w:eastAsia="zh-CN"/>
              </w:rPr>
              <w:t>Higuchi</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[1]</w:t>
            </w:r>
            <w:r>
              <w:rPr>
                <w:rFonts w:ascii="Book Antiqua" w:hAnsi="Book Antiqua" w:hint="eastAsia"/>
                <w:lang w:eastAsia="zh-CN"/>
              </w:rPr>
              <w:t>,</w:t>
            </w:r>
            <w:r>
              <w:rPr>
                <w:rFonts w:ascii="Book Antiqua" w:hAnsi="Book Antiqua" w:hint="eastAsia"/>
                <w:vertAlign w:val="superscript"/>
                <w:lang w:eastAsia="zh-CN"/>
              </w:rPr>
              <w:t xml:space="preserve"> </w:t>
            </w:r>
            <w:r>
              <w:rPr>
                <w:rFonts w:ascii="Book Antiqua" w:hAnsi="Book Antiqua" w:hint="eastAsia"/>
                <w:lang w:eastAsia="zh-CN"/>
              </w:rPr>
              <w:t>2021</w:t>
            </w:r>
          </w:p>
        </w:tc>
      </w:tr>
      <w:tr w:rsidR="004E6ADE" w14:paraId="4065D98F" w14:textId="77777777" w:rsidTr="004801F7">
        <w:trPr>
          <w:trHeight w:val="23"/>
        </w:trPr>
        <w:tc>
          <w:tcPr>
            <w:tcW w:w="494" w:type="pct"/>
            <w:vMerge/>
            <w:vAlign w:val="center"/>
          </w:tcPr>
          <w:p w14:paraId="6C1A21F5" w14:textId="77777777" w:rsidR="004E6ADE" w:rsidRDefault="004E6ADE">
            <w:pPr>
              <w:spacing w:line="360" w:lineRule="auto"/>
              <w:rPr>
                <w:rFonts w:ascii="Book Antiqua" w:eastAsia="宋体" w:hAnsi="Book Antiqua" w:cs="Calibri"/>
                <w:kern w:val="2"/>
                <w:lang w:eastAsia="zh-CN"/>
              </w:rPr>
            </w:pPr>
          </w:p>
        </w:tc>
        <w:tc>
          <w:tcPr>
            <w:tcW w:w="1791" w:type="pct"/>
            <w:vMerge/>
          </w:tcPr>
          <w:p w14:paraId="4195AD3D" w14:textId="77777777" w:rsidR="004E6ADE" w:rsidRDefault="004E6ADE">
            <w:pPr>
              <w:spacing w:line="360" w:lineRule="auto"/>
              <w:rPr>
                <w:rFonts w:ascii="Book Antiqua" w:hAnsi="Book Antiqua"/>
                <w:lang w:eastAsia="zh-CN"/>
              </w:rPr>
            </w:pPr>
          </w:p>
        </w:tc>
        <w:tc>
          <w:tcPr>
            <w:tcW w:w="1110" w:type="pct"/>
            <w:vMerge/>
          </w:tcPr>
          <w:p w14:paraId="2623D31B" w14:textId="77777777" w:rsidR="004E6ADE" w:rsidRDefault="004E6ADE">
            <w:pPr>
              <w:spacing w:line="360" w:lineRule="auto"/>
              <w:rPr>
                <w:rFonts w:ascii="Book Antiqua" w:hAnsi="Book Antiqua"/>
                <w:lang w:eastAsia="zh-CN"/>
              </w:rPr>
            </w:pPr>
          </w:p>
        </w:tc>
        <w:tc>
          <w:tcPr>
            <w:tcW w:w="1605" w:type="pct"/>
          </w:tcPr>
          <w:p w14:paraId="47667366" w14:textId="77777777" w:rsidR="004E6ADE" w:rsidRDefault="00032766">
            <w:pPr>
              <w:spacing w:line="360" w:lineRule="auto"/>
              <w:rPr>
                <w:rFonts w:ascii="Book Antiqua" w:hAnsi="Book Antiqua"/>
                <w:bCs/>
                <w:lang w:eastAsia="zh-CN"/>
              </w:rPr>
            </w:pPr>
            <w:r>
              <w:rPr>
                <w:rFonts w:ascii="Book Antiqua" w:hAnsi="Book Antiqua"/>
                <w:bCs/>
                <w:lang w:eastAsia="zh-CN"/>
              </w:rPr>
              <w:t>Higuchi</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[2]</w:t>
            </w:r>
            <w:r>
              <w:rPr>
                <w:rFonts w:ascii="Book Antiqua" w:hAnsi="Book Antiqua" w:hint="eastAsia"/>
                <w:lang w:eastAsia="zh-CN"/>
              </w:rPr>
              <w:t>, 2019</w:t>
            </w:r>
          </w:p>
        </w:tc>
      </w:tr>
      <w:tr w:rsidR="004E6ADE" w14:paraId="4B0AB07B" w14:textId="77777777" w:rsidTr="004801F7">
        <w:trPr>
          <w:trHeight w:val="23"/>
        </w:trPr>
        <w:tc>
          <w:tcPr>
            <w:tcW w:w="494" w:type="pct"/>
            <w:vMerge/>
            <w:vAlign w:val="center"/>
          </w:tcPr>
          <w:p w14:paraId="1E58240F"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366C1683"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 xml:space="preserve">DRB1*0404, DRB1*0405, DRB1*1301, </w:t>
            </w:r>
            <w:r>
              <w:rPr>
                <w:rFonts w:ascii="Book Antiqua" w:hAnsi="Book Antiqua"/>
                <w:u w:val="single" w:color="FF0000"/>
                <w:lang w:eastAsia="zh-CN"/>
              </w:rPr>
              <w:t>DRB1*1302</w:t>
            </w:r>
          </w:p>
        </w:tc>
        <w:tc>
          <w:tcPr>
            <w:tcW w:w="1110" w:type="pct"/>
          </w:tcPr>
          <w:p w14:paraId="6BA868DE"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Latin American</w:t>
            </w:r>
          </w:p>
        </w:tc>
        <w:tc>
          <w:tcPr>
            <w:tcW w:w="1605" w:type="pct"/>
          </w:tcPr>
          <w:p w14:paraId="36CBFF37" w14:textId="77777777" w:rsidR="004E6ADE" w:rsidRDefault="00032766">
            <w:pPr>
              <w:spacing w:line="360" w:lineRule="auto"/>
              <w:rPr>
                <w:rFonts w:ascii="Book Antiqua" w:hAnsi="Book Antiqua" w:cs="Calibri"/>
                <w:kern w:val="2"/>
                <w:lang w:eastAsia="zh-CN"/>
              </w:rPr>
            </w:pPr>
            <w:r>
              <w:rPr>
                <w:rFonts w:ascii="Book Antiqua" w:hAnsi="Book Antiqua"/>
                <w:bCs/>
                <w:lang w:eastAsia="zh-CN"/>
              </w:rPr>
              <w:t>Duarte-Rey</w:t>
            </w:r>
            <w:r>
              <w:rPr>
                <w:rFonts w:ascii="Book Antiqua" w:hAnsi="Book Antiqua" w:hint="eastAsia"/>
                <w:b/>
                <w:bCs/>
                <w:lang w:eastAsia="zh-CN"/>
              </w:rPr>
              <w:t xml:space="preserve"> </w:t>
            </w:r>
            <w:r>
              <w:rPr>
                <w:rFonts w:ascii="Book Antiqua" w:hAnsi="Book Antiqua" w:hint="eastAsia"/>
                <w:i/>
                <w:lang w:eastAsia="zh-CN"/>
              </w:rPr>
              <w:t>et al</w:t>
            </w:r>
            <w:r>
              <w:rPr>
                <w:rFonts w:ascii="Book Antiqua" w:hAnsi="Book Antiqua"/>
                <w:vertAlign w:val="superscript"/>
                <w:lang w:eastAsia="zh-CN"/>
              </w:rPr>
              <w:t>[4]</w:t>
            </w:r>
            <w:r>
              <w:rPr>
                <w:rFonts w:ascii="Book Antiqua" w:hAnsi="Book Antiqua" w:hint="eastAsia"/>
                <w:lang w:eastAsia="zh-CN"/>
              </w:rPr>
              <w:t>, 2009</w:t>
            </w:r>
          </w:p>
        </w:tc>
      </w:tr>
      <w:tr w:rsidR="004E6ADE" w14:paraId="6B5F7A38" w14:textId="77777777" w:rsidTr="004801F7">
        <w:trPr>
          <w:trHeight w:val="23"/>
        </w:trPr>
        <w:tc>
          <w:tcPr>
            <w:tcW w:w="494" w:type="pct"/>
            <w:vMerge/>
            <w:vAlign w:val="center"/>
          </w:tcPr>
          <w:p w14:paraId="74212DCE"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37E730D9"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DQB1*02, DQB1*0603,</w:t>
            </w:r>
            <w:r>
              <w:rPr>
                <w:rFonts w:ascii="Book Antiqua" w:hAnsi="Book Antiqua" w:hint="eastAsia"/>
                <w:lang w:eastAsia="zh-CN"/>
              </w:rPr>
              <w:t xml:space="preserve"> </w:t>
            </w:r>
            <w:r>
              <w:rPr>
                <w:rFonts w:ascii="Book Antiqua" w:hAnsi="Book Antiqua"/>
                <w:u w:val="single" w:color="FF0000"/>
                <w:lang w:eastAsia="zh-CN"/>
              </w:rPr>
              <w:t>DQB1*0301</w:t>
            </w:r>
            <w:r>
              <w:rPr>
                <w:rFonts w:ascii="Book Antiqua" w:hAnsi="Book Antiqua"/>
                <w:lang w:eastAsia="zh-CN"/>
              </w:rPr>
              <w:t xml:space="preserve">, </w:t>
            </w:r>
            <w:r>
              <w:rPr>
                <w:rFonts w:ascii="Book Antiqua" w:hAnsi="Book Antiqua"/>
                <w:u w:val="single" w:color="FF0000"/>
                <w:lang w:eastAsia="zh-CN"/>
              </w:rPr>
              <w:t>DR5</w:t>
            </w:r>
            <w:r>
              <w:rPr>
                <w:rFonts w:ascii="Book Antiqua" w:hAnsi="Book Antiqua"/>
                <w:lang w:eastAsia="zh-CN"/>
              </w:rPr>
              <w:t xml:space="preserve">, </w:t>
            </w:r>
            <w:r>
              <w:rPr>
                <w:rFonts w:ascii="Book Antiqua" w:hAnsi="Book Antiqua"/>
                <w:u w:val="single" w:color="FF0000"/>
                <w:lang w:eastAsia="zh-CN"/>
              </w:rPr>
              <w:t>DQ3</w:t>
            </w:r>
            <w:r>
              <w:rPr>
                <w:rFonts w:ascii="Book Antiqua" w:hAnsi="Book Antiqua"/>
                <w:lang w:eastAsia="zh-CN"/>
              </w:rPr>
              <w:t>, DQ2</w:t>
            </w:r>
          </w:p>
        </w:tc>
        <w:tc>
          <w:tcPr>
            <w:tcW w:w="1110" w:type="pct"/>
          </w:tcPr>
          <w:p w14:paraId="3B49B5CC"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Latin American</w:t>
            </w:r>
          </w:p>
        </w:tc>
        <w:tc>
          <w:tcPr>
            <w:tcW w:w="1605" w:type="pct"/>
          </w:tcPr>
          <w:p w14:paraId="15D01918" w14:textId="77777777" w:rsidR="004E6ADE" w:rsidRDefault="00032766">
            <w:pPr>
              <w:spacing w:line="360" w:lineRule="auto"/>
              <w:rPr>
                <w:rFonts w:ascii="Book Antiqua" w:eastAsia="宋体" w:hAnsi="Book Antiqua" w:cs="Calibri"/>
                <w:kern w:val="2"/>
                <w:lang w:eastAsia="zh-CN"/>
              </w:rPr>
            </w:pPr>
            <w:r>
              <w:rPr>
                <w:rFonts w:ascii="Book Antiqua" w:hAnsi="Book Antiqua"/>
                <w:bCs/>
                <w:lang w:eastAsia="zh-CN"/>
              </w:rPr>
              <w:t>Duarte-Rey</w:t>
            </w:r>
            <w:r>
              <w:rPr>
                <w:rFonts w:ascii="Book Antiqua" w:hAnsi="Book Antiqua" w:hint="eastAsia"/>
                <w:b/>
                <w:bCs/>
                <w:lang w:eastAsia="zh-CN"/>
              </w:rPr>
              <w:t xml:space="preserve"> </w:t>
            </w:r>
            <w:r>
              <w:rPr>
                <w:rFonts w:ascii="Book Antiqua" w:hAnsi="Book Antiqua" w:hint="eastAsia"/>
                <w:i/>
                <w:lang w:eastAsia="zh-CN"/>
              </w:rPr>
              <w:t>et al</w:t>
            </w:r>
            <w:r>
              <w:rPr>
                <w:rFonts w:ascii="Book Antiqua" w:hAnsi="Book Antiqua"/>
                <w:vertAlign w:val="superscript"/>
                <w:lang w:eastAsia="zh-CN"/>
              </w:rPr>
              <w:t>[4]</w:t>
            </w:r>
            <w:r>
              <w:rPr>
                <w:rFonts w:ascii="Book Antiqua" w:hAnsi="Book Antiqua" w:hint="eastAsia"/>
                <w:lang w:eastAsia="zh-CN"/>
              </w:rPr>
              <w:t>, 2009</w:t>
            </w:r>
          </w:p>
        </w:tc>
      </w:tr>
      <w:tr w:rsidR="004E6ADE" w14:paraId="0776B2CA" w14:textId="77777777" w:rsidTr="004801F7">
        <w:trPr>
          <w:trHeight w:val="23"/>
        </w:trPr>
        <w:tc>
          <w:tcPr>
            <w:tcW w:w="494" w:type="pct"/>
            <w:vMerge/>
            <w:vAlign w:val="center"/>
          </w:tcPr>
          <w:p w14:paraId="48E0A1A4"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6CA5EE9C"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Fas-670a/g</w:t>
            </w:r>
          </w:p>
        </w:tc>
        <w:tc>
          <w:tcPr>
            <w:tcW w:w="1110" w:type="pct"/>
          </w:tcPr>
          <w:p w14:paraId="34BFD54D"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New Zealand, China,</w:t>
            </w:r>
            <w:r>
              <w:rPr>
                <w:rFonts w:ascii="Book Antiqua" w:hAnsi="Book Antiqua" w:hint="eastAsia"/>
                <w:lang w:eastAsia="zh-CN"/>
              </w:rPr>
              <w:t xml:space="preserve"> </w:t>
            </w:r>
            <w:r>
              <w:rPr>
                <w:rFonts w:ascii="Book Antiqua" w:hAnsi="Book Antiqua"/>
                <w:lang w:eastAsia="zh-CN"/>
              </w:rPr>
              <w:t>U</w:t>
            </w:r>
            <w:r>
              <w:rPr>
                <w:rFonts w:ascii="Book Antiqua" w:hAnsi="Book Antiqua" w:hint="eastAsia"/>
                <w:lang w:eastAsia="zh-CN"/>
              </w:rPr>
              <w:t>nited States</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Japan</w:t>
            </w:r>
          </w:p>
        </w:tc>
        <w:tc>
          <w:tcPr>
            <w:tcW w:w="1605" w:type="pct"/>
          </w:tcPr>
          <w:p w14:paraId="3E66C3EA" w14:textId="77777777" w:rsidR="004E6ADE" w:rsidRDefault="00032766">
            <w:pPr>
              <w:spacing w:line="360" w:lineRule="auto"/>
              <w:rPr>
                <w:rFonts w:ascii="Book Antiqua" w:eastAsia="宋体" w:hAnsi="Book Antiqua" w:cs="Calibri"/>
                <w:kern w:val="2"/>
                <w:lang w:eastAsia="zh-CN"/>
              </w:rPr>
            </w:pPr>
            <w:r>
              <w:rPr>
                <w:rFonts w:ascii="Book Antiqua" w:hAnsi="Book Antiqua"/>
                <w:bCs/>
                <w:lang w:eastAsia="zh-CN"/>
              </w:rPr>
              <w:t>Yan</w:t>
            </w:r>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[5]</w:t>
            </w:r>
            <w:r>
              <w:rPr>
                <w:rFonts w:ascii="Book Antiqua" w:hAnsi="Book Antiqua" w:hint="eastAsia"/>
                <w:bCs/>
                <w:lang w:eastAsia="zh-CN"/>
              </w:rPr>
              <w:t>, 2020</w:t>
            </w:r>
          </w:p>
        </w:tc>
      </w:tr>
      <w:tr w:rsidR="004E6ADE" w14:paraId="7EDC3EB3" w14:textId="77777777" w:rsidTr="004801F7">
        <w:trPr>
          <w:trHeight w:val="23"/>
        </w:trPr>
        <w:tc>
          <w:tcPr>
            <w:tcW w:w="494" w:type="pct"/>
            <w:vMerge/>
            <w:vAlign w:val="center"/>
          </w:tcPr>
          <w:p w14:paraId="6FB5AD7F"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27CDD13B"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GATA-2</w:t>
            </w:r>
          </w:p>
        </w:tc>
        <w:tc>
          <w:tcPr>
            <w:tcW w:w="1110" w:type="pct"/>
          </w:tcPr>
          <w:p w14:paraId="1DE09416"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European, Caucasian ancestry</w:t>
            </w:r>
          </w:p>
        </w:tc>
        <w:tc>
          <w:tcPr>
            <w:tcW w:w="1605" w:type="pct"/>
          </w:tcPr>
          <w:p w14:paraId="4B9DC6B1" w14:textId="77777777" w:rsidR="004E6ADE" w:rsidRPr="00346BB5" w:rsidRDefault="00032766">
            <w:pPr>
              <w:spacing w:line="360" w:lineRule="auto"/>
              <w:rPr>
                <w:rFonts w:ascii="Book Antiqua" w:eastAsia="宋体" w:hAnsi="Book Antiqua" w:cs="Calibri"/>
                <w:kern w:val="2"/>
                <w:lang w:eastAsia="zh-CN"/>
              </w:rPr>
            </w:pPr>
            <w:r w:rsidRPr="00346BB5">
              <w:rPr>
                <w:rFonts w:ascii="Book Antiqua" w:hAnsi="Book Antiqua" w:hint="eastAsia"/>
                <w:lang w:eastAsia="zh-CN"/>
              </w:rPr>
              <w:t>Webb</w:t>
            </w:r>
            <w:r w:rsidRPr="00346BB5">
              <w:rPr>
                <w:rFonts w:ascii="Book Antiqua" w:hAnsi="Book Antiqua"/>
                <w:lang w:eastAsia="zh-CN"/>
              </w:rPr>
              <w:t xml:space="preserve"> </w:t>
            </w:r>
            <w:r w:rsidRPr="00346BB5">
              <w:rPr>
                <w:rFonts w:ascii="Book Antiqua" w:hAnsi="Book Antiqua" w:hint="eastAsia"/>
                <w:bCs/>
                <w:i/>
                <w:lang w:eastAsia="zh-CN"/>
              </w:rPr>
              <w:t>et al</w:t>
            </w:r>
            <w:r w:rsidRPr="00346BB5">
              <w:rPr>
                <w:rFonts w:ascii="Book Antiqua" w:hAnsi="Book Antiqua" w:hint="eastAsia"/>
                <w:bCs/>
                <w:vertAlign w:val="superscript"/>
                <w:lang w:eastAsia="zh-CN"/>
              </w:rPr>
              <w:t>[7]</w:t>
            </w:r>
            <w:r w:rsidRPr="00346BB5">
              <w:rPr>
                <w:rFonts w:ascii="Book Antiqua" w:hAnsi="Book Antiqua" w:hint="eastAsia"/>
                <w:bCs/>
                <w:lang w:eastAsia="zh-CN"/>
              </w:rPr>
              <w:t>, 2016</w:t>
            </w:r>
          </w:p>
        </w:tc>
      </w:tr>
      <w:tr w:rsidR="004E6ADE" w14:paraId="16E0E59C" w14:textId="77777777" w:rsidTr="004801F7">
        <w:trPr>
          <w:trHeight w:val="23"/>
        </w:trPr>
        <w:tc>
          <w:tcPr>
            <w:tcW w:w="494" w:type="pct"/>
            <w:vMerge/>
            <w:vAlign w:val="center"/>
          </w:tcPr>
          <w:p w14:paraId="625E6764"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5AB145A9" w14:textId="77777777" w:rsidR="004E6ADE" w:rsidRDefault="00032766">
            <w:pPr>
              <w:spacing w:line="360" w:lineRule="auto"/>
              <w:rPr>
                <w:rFonts w:ascii="Book Antiqua" w:eastAsia="宋体" w:hAnsi="Book Antiqua" w:cs="Calibri"/>
                <w:kern w:val="2"/>
                <w:lang w:eastAsia="zh-CN"/>
              </w:rPr>
            </w:pPr>
            <w:r>
              <w:rPr>
                <w:rFonts w:ascii="Book Antiqua" w:hAnsi="Book Antiqua"/>
                <w:caps/>
                <w:u w:val="single" w:color="FF0000"/>
                <w:lang w:eastAsia="zh-CN"/>
              </w:rPr>
              <w:t>Tbx21-1993c</w:t>
            </w:r>
          </w:p>
        </w:tc>
        <w:tc>
          <w:tcPr>
            <w:tcW w:w="1110" w:type="pct"/>
          </w:tcPr>
          <w:p w14:paraId="5DCA5888"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China</w:t>
            </w:r>
          </w:p>
        </w:tc>
        <w:tc>
          <w:tcPr>
            <w:tcW w:w="1605" w:type="pct"/>
          </w:tcPr>
          <w:p w14:paraId="36B34814" w14:textId="77777777" w:rsidR="004E6ADE" w:rsidRDefault="00032766">
            <w:pPr>
              <w:spacing w:line="360" w:lineRule="auto"/>
              <w:rPr>
                <w:rFonts w:ascii="Book Antiqua" w:hAnsi="Book Antiqua" w:cs="Calibri"/>
                <w:kern w:val="2"/>
                <w:lang w:eastAsia="zh-CN"/>
              </w:rPr>
            </w:pPr>
            <w:r>
              <w:rPr>
                <w:rFonts w:ascii="Book Antiqua" w:hAnsi="Book Antiqua"/>
                <w:bCs/>
                <w:lang w:eastAsia="zh-CN"/>
              </w:rPr>
              <w:t>Sun</w:t>
            </w:r>
            <w:r>
              <w:rPr>
                <w:rFonts w:ascii="Book Antiqua" w:hAnsi="Book Antiqua" w:hint="eastAsia"/>
                <w:b/>
                <w:bCs/>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[8]</w:t>
            </w:r>
            <w:r>
              <w:rPr>
                <w:rFonts w:ascii="Book Antiqua" w:hAnsi="Book Antiqua" w:hint="eastAsia"/>
                <w:bCs/>
                <w:lang w:eastAsia="zh-CN"/>
              </w:rPr>
              <w:t>, 2017</w:t>
            </w:r>
          </w:p>
        </w:tc>
      </w:tr>
      <w:tr w:rsidR="004E6ADE" w14:paraId="1939E457" w14:textId="77777777" w:rsidTr="004801F7">
        <w:trPr>
          <w:trHeight w:val="23"/>
        </w:trPr>
        <w:tc>
          <w:tcPr>
            <w:tcW w:w="494" w:type="pct"/>
            <w:vMerge/>
            <w:vAlign w:val="center"/>
          </w:tcPr>
          <w:p w14:paraId="4CD549F1"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2D828C33" w14:textId="77777777" w:rsidR="004E6ADE" w:rsidRDefault="00032766">
            <w:pPr>
              <w:spacing w:line="360" w:lineRule="auto"/>
              <w:rPr>
                <w:rFonts w:ascii="Book Antiqua" w:eastAsia="宋体" w:hAnsi="Book Antiqua" w:cs="Calibri"/>
                <w:caps/>
                <w:kern w:val="2"/>
                <w:lang w:eastAsia="zh-CN"/>
              </w:rPr>
            </w:pPr>
            <w:r>
              <w:rPr>
                <w:rFonts w:ascii="Book Antiqua" w:hAnsi="Book Antiqua"/>
                <w:caps/>
                <w:lang w:eastAsia="zh-CN"/>
              </w:rPr>
              <w:t>STAT4</w:t>
            </w:r>
            <w:r>
              <w:rPr>
                <w:rFonts w:ascii="Book Antiqua" w:hAnsi="Book Antiqua" w:hint="eastAsia"/>
                <w:lang w:eastAsia="zh-CN"/>
              </w:rPr>
              <w:t xml:space="preserve"> </w:t>
            </w:r>
            <w:r>
              <w:rPr>
                <w:rFonts w:ascii="Book Antiqua" w:hAnsi="Book Antiqua"/>
                <w:lang w:eastAsia="zh-CN"/>
              </w:rPr>
              <w:t xml:space="preserve">(rs7582694-c, rs7574865-t), </w:t>
            </w:r>
            <w:r>
              <w:rPr>
                <w:rFonts w:ascii="Book Antiqua" w:hAnsi="Book Antiqua"/>
                <w:u w:val="single" w:color="FF0000"/>
                <w:lang w:eastAsia="zh-CN"/>
              </w:rPr>
              <w:t>Ptpn22-rs2476601</w:t>
            </w:r>
          </w:p>
        </w:tc>
        <w:tc>
          <w:tcPr>
            <w:tcW w:w="1110" w:type="pct"/>
          </w:tcPr>
          <w:p w14:paraId="04495EB7"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China, Japan</w:t>
            </w:r>
          </w:p>
        </w:tc>
        <w:tc>
          <w:tcPr>
            <w:tcW w:w="1605" w:type="pct"/>
          </w:tcPr>
          <w:p w14:paraId="0DC35253" w14:textId="77777777" w:rsidR="004E6ADE" w:rsidRDefault="00032766">
            <w:pPr>
              <w:spacing w:line="360" w:lineRule="auto"/>
              <w:rPr>
                <w:rFonts w:ascii="Book Antiqua" w:eastAsia="宋体" w:hAnsi="Book Antiqua"/>
                <w:kern w:val="2"/>
                <w:lang w:eastAsia="zh-CN"/>
              </w:rPr>
            </w:pPr>
            <w:r>
              <w:rPr>
                <w:rFonts w:ascii="Book Antiqua" w:hAnsi="Book Antiqua"/>
                <w:bCs/>
                <w:lang w:eastAsia="zh-CN"/>
              </w:rPr>
              <w:t>Li</w:t>
            </w:r>
            <w:r>
              <w:rPr>
                <w:rFonts w:ascii="Book Antiqua" w:hAnsi="Book Antiqua"/>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[9]</w:t>
            </w:r>
            <w:r>
              <w:rPr>
                <w:rFonts w:ascii="Book Antiqua" w:hAnsi="Book Antiqua" w:hint="eastAsia"/>
                <w:bCs/>
                <w:lang w:eastAsia="zh-CN"/>
              </w:rPr>
              <w:t>, 2017</w:t>
            </w:r>
          </w:p>
        </w:tc>
      </w:tr>
      <w:tr w:rsidR="004E6ADE" w14:paraId="1564C6A9" w14:textId="77777777" w:rsidTr="004801F7">
        <w:trPr>
          <w:trHeight w:val="23"/>
        </w:trPr>
        <w:tc>
          <w:tcPr>
            <w:tcW w:w="494" w:type="pct"/>
            <w:vMerge/>
            <w:vAlign w:val="center"/>
          </w:tcPr>
          <w:p w14:paraId="5CF99B32"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6EC3B2D7" w14:textId="77777777" w:rsidR="004E6ADE" w:rsidRDefault="00032766">
            <w:pPr>
              <w:spacing w:line="360" w:lineRule="auto"/>
              <w:rPr>
                <w:rFonts w:ascii="Book Antiqua" w:eastAsia="宋体" w:hAnsi="Book Antiqua" w:cs="Calibri"/>
                <w:caps/>
                <w:kern w:val="2"/>
                <w:lang w:eastAsia="zh-CN"/>
              </w:rPr>
            </w:pPr>
            <w:r>
              <w:rPr>
                <w:rFonts w:ascii="Book Antiqua" w:hAnsi="Book Antiqua"/>
                <w:caps/>
                <w:lang w:eastAsia="zh-CN"/>
              </w:rPr>
              <w:t>Ctla4</w:t>
            </w:r>
          </w:p>
        </w:tc>
        <w:tc>
          <w:tcPr>
            <w:tcW w:w="1110" w:type="pct"/>
          </w:tcPr>
          <w:p w14:paraId="64B0CE9A"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European, Japanese</w:t>
            </w:r>
          </w:p>
        </w:tc>
        <w:tc>
          <w:tcPr>
            <w:tcW w:w="1605" w:type="pct"/>
          </w:tcPr>
          <w:p w14:paraId="6DF2C462" w14:textId="77777777" w:rsidR="004E6ADE" w:rsidRDefault="00032766">
            <w:pPr>
              <w:spacing w:line="360" w:lineRule="auto"/>
              <w:rPr>
                <w:rFonts w:ascii="Book Antiqua" w:eastAsia="宋体" w:hAnsi="Book Antiqua"/>
                <w:kern w:val="2"/>
                <w:lang w:eastAsia="zh-CN"/>
              </w:rPr>
            </w:pPr>
            <w:proofErr w:type="spellStart"/>
            <w:r>
              <w:rPr>
                <w:rFonts w:ascii="Book Antiqua" w:hAnsi="Book Antiqua"/>
                <w:bCs/>
                <w:lang w:eastAsia="zh-CN"/>
              </w:rPr>
              <w:t>Chaouali</w:t>
            </w:r>
            <w:proofErr w:type="spellEnd"/>
            <w:r>
              <w:rPr>
                <w:rFonts w:ascii="Book Antiqua" w:hAnsi="Book Antiqua"/>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[10]</w:t>
            </w:r>
            <w:r>
              <w:rPr>
                <w:rFonts w:ascii="Book Antiqua" w:hAnsi="Book Antiqua" w:hint="eastAsia"/>
                <w:bCs/>
                <w:lang w:eastAsia="zh-CN"/>
              </w:rPr>
              <w:t>, 2018</w:t>
            </w:r>
          </w:p>
        </w:tc>
      </w:tr>
      <w:tr w:rsidR="004E6ADE" w14:paraId="70F026D8" w14:textId="77777777" w:rsidTr="004801F7">
        <w:trPr>
          <w:trHeight w:val="23"/>
        </w:trPr>
        <w:tc>
          <w:tcPr>
            <w:tcW w:w="494" w:type="pct"/>
            <w:vMerge/>
            <w:vAlign w:val="center"/>
          </w:tcPr>
          <w:p w14:paraId="5625F9F7" w14:textId="77777777" w:rsidR="004E6ADE" w:rsidRDefault="004E6ADE">
            <w:pPr>
              <w:widowControl/>
              <w:spacing w:line="360" w:lineRule="auto"/>
              <w:rPr>
                <w:rFonts w:ascii="Book Antiqua" w:eastAsia="宋体" w:hAnsi="Book Antiqua" w:cs="Calibri"/>
                <w:kern w:val="2"/>
                <w:lang w:eastAsia="zh-CN"/>
              </w:rPr>
            </w:pPr>
          </w:p>
        </w:tc>
        <w:tc>
          <w:tcPr>
            <w:tcW w:w="1791" w:type="pct"/>
            <w:vMerge w:val="restart"/>
          </w:tcPr>
          <w:p w14:paraId="09F357E5" w14:textId="77777777" w:rsidR="004E6ADE" w:rsidRDefault="00032766">
            <w:pPr>
              <w:spacing w:line="360" w:lineRule="auto"/>
              <w:rPr>
                <w:rFonts w:ascii="Book Antiqua" w:eastAsia="宋体" w:hAnsi="Book Antiqua" w:cs="Calibri"/>
                <w:caps/>
                <w:kern w:val="2"/>
                <w:lang w:eastAsia="zh-CN"/>
              </w:rPr>
            </w:pPr>
            <w:r>
              <w:rPr>
                <w:rFonts w:ascii="Book Antiqua" w:hAnsi="Book Antiqua"/>
                <w:caps/>
                <w:lang w:eastAsia="zh-CN"/>
              </w:rPr>
              <w:t>Sh2b3,</w:t>
            </w:r>
            <w:r>
              <w:rPr>
                <w:rFonts w:ascii="Book Antiqua" w:hAnsi="Book Antiqua" w:hint="eastAsia"/>
                <w:caps/>
                <w:lang w:eastAsia="zh-CN"/>
              </w:rPr>
              <w:t xml:space="preserve"> </w:t>
            </w:r>
            <w:r>
              <w:rPr>
                <w:rFonts w:ascii="Book Antiqua" w:hAnsi="Book Antiqua"/>
                <w:caps/>
                <w:lang w:eastAsia="zh-CN"/>
              </w:rPr>
              <w:t>VDR, Fas-1377</w:t>
            </w:r>
            <w:r>
              <w:rPr>
                <w:rFonts w:ascii="Book Antiqua" w:hAnsi="Book Antiqua"/>
                <w:lang w:eastAsia="zh-CN"/>
              </w:rPr>
              <w:t>g/a</w:t>
            </w:r>
            <w:r>
              <w:rPr>
                <w:rFonts w:ascii="Book Antiqua" w:hAnsi="Book Antiqua"/>
                <w:caps/>
                <w:lang w:eastAsia="zh-CN"/>
              </w:rPr>
              <w:t>, Tnfaip3</w:t>
            </w:r>
          </w:p>
        </w:tc>
        <w:tc>
          <w:tcPr>
            <w:tcW w:w="1110" w:type="pct"/>
            <w:vMerge w:val="restart"/>
          </w:tcPr>
          <w:p w14:paraId="577F9387"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Japanese</w:t>
            </w:r>
          </w:p>
        </w:tc>
        <w:tc>
          <w:tcPr>
            <w:tcW w:w="1605" w:type="pct"/>
          </w:tcPr>
          <w:p w14:paraId="544B89BE" w14:textId="77777777" w:rsidR="004E6ADE" w:rsidRDefault="00032766">
            <w:pPr>
              <w:spacing w:line="360" w:lineRule="auto"/>
              <w:rPr>
                <w:rFonts w:ascii="Book Antiqua" w:eastAsia="宋体" w:hAnsi="Book Antiqua"/>
                <w:kern w:val="2"/>
                <w:lang w:eastAsia="zh-CN"/>
              </w:rPr>
            </w:pPr>
            <w:proofErr w:type="spellStart"/>
            <w:r>
              <w:rPr>
                <w:rFonts w:ascii="Book Antiqua" w:hAnsi="Book Antiqua"/>
                <w:bCs/>
                <w:lang w:eastAsia="zh-CN"/>
              </w:rPr>
              <w:t>Ngu</w:t>
            </w:r>
            <w:proofErr w:type="spellEnd"/>
            <w:r>
              <w:rPr>
                <w:rFonts w:ascii="Book Antiqua" w:hAnsi="Book Antiqua"/>
                <w:i/>
                <w:lang w:eastAsia="zh-CN"/>
              </w:rPr>
              <w:t xml:space="preserve"> </w:t>
            </w:r>
            <w:r>
              <w:rPr>
                <w:rFonts w:ascii="Book Antiqua" w:hAnsi="Book Antiqua" w:hint="eastAsia"/>
                <w:i/>
                <w:lang w:eastAsia="zh-CN"/>
              </w:rPr>
              <w:t>et al</w:t>
            </w:r>
            <w:r>
              <w:rPr>
                <w:rFonts w:ascii="Book Antiqua" w:hAnsi="Book Antiqua"/>
                <w:vertAlign w:val="superscript"/>
                <w:lang w:eastAsia="zh-CN"/>
              </w:rPr>
              <w:t>[3]</w:t>
            </w:r>
            <w:r>
              <w:rPr>
                <w:rFonts w:ascii="Book Antiqua" w:hAnsi="Book Antiqua" w:hint="eastAsia"/>
                <w:lang w:eastAsia="zh-CN"/>
              </w:rPr>
              <w:t>, 2017</w:t>
            </w:r>
          </w:p>
        </w:tc>
      </w:tr>
      <w:tr w:rsidR="004E6ADE" w14:paraId="28DB3E4C" w14:textId="77777777" w:rsidTr="004801F7">
        <w:trPr>
          <w:trHeight w:val="23"/>
        </w:trPr>
        <w:tc>
          <w:tcPr>
            <w:tcW w:w="494" w:type="pct"/>
            <w:vMerge/>
            <w:vAlign w:val="center"/>
          </w:tcPr>
          <w:p w14:paraId="480F3117" w14:textId="77777777" w:rsidR="004E6ADE" w:rsidRDefault="004E6ADE">
            <w:pPr>
              <w:spacing w:line="360" w:lineRule="auto"/>
              <w:rPr>
                <w:rFonts w:ascii="Book Antiqua" w:eastAsia="宋体" w:hAnsi="Book Antiqua" w:cs="Calibri"/>
                <w:kern w:val="2"/>
                <w:lang w:eastAsia="zh-CN"/>
              </w:rPr>
            </w:pPr>
          </w:p>
        </w:tc>
        <w:tc>
          <w:tcPr>
            <w:tcW w:w="1791" w:type="pct"/>
            <w:vMerge/>
          </w:tcPr>
          <w:p w14:paraId="09DB2CAE" w14:textId="77777777" w:rsidR="004E6ADE" w:rsidRDefault="004E6ADE">
            <w:pPr>
              <w:spacing w:line="360" w:lineRule="auto"/>
              <w:rPr>
                <w:rFonts w:ascii="Book Antiqua" w:hAnsi="Book Antiqua"/>
                <w:caps/>
                <w:lang w:eastAsia="zh-CN"/>
              </w:rPr>
            </w:pPr>
          </w:p>
        </w:tc>
        <w:tc>
          <w:tcPr>
            <w:tcW w:w="1110" w:type="pct"/>
            <w:vMerge/>
          </w:tcPr>
          <w:p w14:paraId="384DC336" w14:textId="77777777" w:rsidR="004E6ADE" w:rsidRDefault="004E6ADE">
            <w:pPr>
              <w:spacing w:line="360" w:lineRule="auto"/>
              <w:rPr>
                <w:rFonts w:ascii="Book Antiqua" w:hAnsi="Book Antiqua"/>
                <w:lang w:eastAsia="zh-CN"/>
              </w:rPr>
            </w:pPr>
          </w:p>
        </w:tc>
        <w:tc>
          <w:tcPr>
            <w:tcW w:w="1605" w:type="pct"/>
          </w:tcPr>
          <w:p w14:paraId="1A46CAB5" w14:textId="77777777" w:rsidR="004E6ADE" w:rsidRDefault="00032766">
            <w:pPr>
              <w:spacing w:line="360" w:lineRule="auto"/>
              <w:rPr>
                <w:rFonts w:ascii="Book Antiqua" w:hAnsi="Book Antiqua"/>
                <w:bCs/>
                <w:lang w:eastAsia="zh-CN"/>
              </w:rPr>
            </w:pPr>
            <w:r>
              <w:rPr>
                <w:rFonts w:ascii="Book Antiqua" w:hAnsi="Book Antiqua"/>
                <w:bCs/>
                <w:lang w:eastAsia="zh-CN"/>
              </w:rPr>
              <w:t>Yan</w:t>
            </w:r>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[5]</w:t>
            </w:r>
            <w:r>
              <w:rPr>
                <w:rFonts w:ascii="Book Antiqua" w:hAnsi="Book Antiqua" w:hint="eastAsia"/>
                <w:bCs/>
                <w:lang w:eastAsia="zh-CN"/>
              </w:rPr>
              <w:t>, 2020</w:t>
            </w:r>
          </w:p>
        </w:tc>
      </w:tr>
      <w:tr w:rsidR="004E6ADE" w14:paraId="69600416" w14:textId="77777777" w:rsidTr="004801F7">
        <w:trPr>
          <w:trHeight w:val="23"/>
        </w:trPr>
        <w:tc>
          <w:tcPr>
            <w:tcW w:w="494" w:type="pct"/>
            <w:vMerge/>
            <w:vAlign w:val="center"/>
          </w:tcPr>
          <w:p w14:paraId="7DF1BA74" w14:textId="77777777" w:rsidR="004E6ADE" w:rsidRDefault="004E6ADE">
            <w:pPr>
              <w:spacing w:line="360" w:lineRule="auto"/>
              <w:rPr>
                <w:rFonts w:ascii="Book Antiqua" w:eastAsia="宋体" w:hAnsi="Book Antiqua" w:cs="Calibri"/>
                <w:kern w:val="2"/>
                <w:lang w:eastAsia="zh-CN"/>
              </w:rPr>
            </w:pPr>
          </w:p>
        </w:tc>
        <w:tc>
          <w:tcPr>
            <w:tcW w:w="1791" w:type="pct"/>
            <w:vMerge/>
          </w:tcPr>
          <w:p w14:paraId="3D8AF3F8" w14:textId="77777777" w:rsidR="004E6ADE" w:rsidRDefault="004E6ADE">
            <w:pPr>
              <w:spacing w:line="360" w:lineRule="auto"/>
              <w:rPr>
                <w:rFonts w:ascii="Book Antiqua" w:hAnsi="Book Antiqua"/>
                <w:caps/>
                <w:lang w:eastAsia="zh-CN"/>
              </w:rPr>
            </w:pPr>
          </w:p>
        </w:tc>
        <w:tc>
          <w:tcPr>
            <w:tcW w:w="1110" w:type="pct"/>
            <w:vMerge/>
          </w:tcPr>
          <w:p w14:paraId="16BE4671" w14:textId="77777777" w:rsidR="004E6ADE" w:rsidRDefault="004E6ADE">
            <w:pPr>
              <w:spacing w:line="360" w:lineRule="auto"/>
              <w:rPr>
                <w:rFonts w:ascii="Book Antiqua" w:hAnsi="Book Antiqua"/>
                <w:lang w:eastAsia="zh-CN"/>
              </w:rPr>
            </w:pPr>
          </w:p>
        </w:tc>
        <w:tc>
          <w:tcPr>
            <w:tcW w:w="1605" w:type="pct"/>
          </w:tcPr>
          <w:p w14:paraId="1CA10C42" w14:textId="77777777" w:rsidR="004E6ADE" w:rsidRDefault="00032766">
            <w:pPr>
              <w:spacing w:line="360" w:lineRule="auto"/>
              <w:rPr>
                <w:rFonts w:ascii="Book Antiqua" w:hAnsi="Book Antiqua"/>
                <w:bCs/>
                <w:lang w:eastAsia="zh-CN"/>
              </w:rPr>
            </w:pPr>
            <w:proofErr w:type="spellStart"/>
            <w:r>
              <w:rPr>
                <w:rFonts w:ascii="Book Antiqua" w:hAnsi="Book Antiqua"/>
                <w:bCs/>
                <w:lang w:eastAsia="zh-CN"/>
              </w:rPr>
              <w:t>Kempinska-Podhorodecka</w:t>
            </w:r>
            <w:proofErr w:type="spellEnd"/>
            <w:r>
              <w:rPr>
                <w:rFonts w:ascii="Book Antiqua" w:hAnsi="Book Antiqua" w:hint="eastAsia"/>
                <w:bCs/>
                <w:i/>
                <w:lang w:eastAsia="zh-CN"/>
              </w:rPr>
              <w:t xml:space="preserve"> et al</w:t>
            </w:r>
            <w:r>
              <w:rPr>
                <w:rFonts w:ascii="Book Antiqua" w:hAnsi="Book Antiqua" w:hint="eastAsia"/>
                <w:bCs/>
                <w:vertAlign w:val="superscript"/>
                <w:lang w:eastAsia="zh-CN"/>
              </w:rPr>
              <w:t>[6]</w:t>
            </w:r>
            <w:r>
              <w:rPr>
                <w:rFonts w:ascii="Book Antiqua" w:hAnsi="Book Antiqua" w:hint="eastAsia"/>
                <w:bCs/>
                <w:lang w:eastAsia="zh-CN"/>
              </w:rPr>
              <w:t>, 2020</w:t>
            </w:r>
          </w:p>
        </w:tc>
      </w:tr>
      <w:tr w:rsidR="004E6ADE" w14:paraId="17854C5F" w14:textId="77777777" w:rsidTr="004801F7">
        <w:trPr>
          <w:trHeight w:val="23"/>
        </w:trPr>
        <w:tc>
          <w:tcPr>
            <w:tcW w:w="494" w:type="pct"/>
            <w:vMerge/>
            <w:vAlign w:val="center"/>
          </w:tcPr>
          <w:p w14:paraId="23899E1B" w14:textId="77777777" w:rsidR="004E6ADE" w:rsidRDefault="004E6ADE">
            <w:pPr>
              <w:spacing w:line="360" w:lineRule="auto"/>
              <w:rPr>
                <w:rFonts w:ascii="Book Antiqua" w:eastAsia="宋体" w:hAnsi="Book Antiqua" w:cs="Calibri"/>
                <w:kern w:val="2"/>
                <w:lang w:eastAsia="zh-CN"/>
              </w:rPr>
            </w:pPr>
          </w:p>
        </w:tc>
        <w:tc>
          <w:tcPr>
            <w:tcW w:w="1791" w:type="pct"/>
            <w:vMerge/>
          </w:tcPr>
          <w:p w14:paraId="71832AAD" w14:textId="77777777" w:rsidR="004E6ADE" w:rsidRDefault="004E6ADE">
            <w:pPr>
              <w:spacing w:line="360" w:lineRule="auto"/>
              <w:rPr>
                <w:rFonts w:ascii="Book Antiqua" w:hAnsi="Book Antiqua"/>
                <w:caps/>
                <w:lang w:eastAsia="zh-CN"/>
              </w:rPr>
            </w:pPr>
          </w:p>
        </w:tc>
        <w:tc>
          <w:tcPr>
            <w:tcW w:w="1110" w:type="pct"/>
            <w:vMerge/>
          </w:tcPr>
          <w:p w14:paraId="500929E1" w14:textId="77777777" w:rsidR="004E6ADE" w:rsidRDefault="004E6ADE">
            <w:pPr>
              <w:spacing w:line="360" w:lineRule="auto"/>
              <w:rPr>
                <w:rFonts w:ascii="Book Antiqua" w:hAnsi="Book Antiqua"/>
                <w:lang w:eastAsia="zh-CN"/>
              </w:rPr>
            </w:pPr>
          </w:p>
        </w:tc>
        <w:tc>
          <w:tcPr>
            <w:tcW w:w="1605" w:type="pct"/>
          </w:tcPr>
          <w:p w14:paraId="0A988079" w14:textId="77777777" w:rsidR="004E6ADE" w:rsidRDefault="00032766">
            <w:pPr>
              <w:spacing w:line="360" w:lineRule="auto"/>
              <w:rPr>
                <w:rFonts w:ascii="Book Antiqua" w:hAnsi="Book Antiqua"/>
                <w:bCs/>
                <w:lang w:eastAsia="zh-CN"/>
              </w:rPr>
            </w:pPr>
            <w:r>
              <w:rPr>
                <w:rFonts w:ascii="Book Antiqua" w:hAnsi="Book Antiqua"/>
                <w:bCs/>
                <w:lang w:eastAsia="zh-CN"/>
              </w:rPr>
              <w:t>McReynolds</w:t>
            </w:r>
            <w:r>
              <w:rPr>
                <w:rFonts w:ascii="Book Antiqua" w:hAnsi="Book Antiqua" w:hint="eastAsia"/>
                <w:b/>
                <w:bCs/>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[11]</w:t>
            </w:r>
            <w:r>
              <w:rPr>
                <w:rFonts w:ascii="Book Antiqua" w:hAnsi="Book Antiqua" w:hint="eastAsia"/>
                <w:bCs/>
                <w:lang w:eastAsia="zh-CN"/>
              </w:rPr>
              <w:t>, 2018</w:t>
            </w:r>
          </w:p>
        </w:tc>
      </w:tr>
      <w:tr w:rsidR="004E6ADE" w14:paraId="16A5F117" w14:textId="77777777" w:rsidTr="004801F7">
        <w:trPr>
          <w:trHeight w:val="23"/>
        </w:trPr>
        <w:tc>
          <w:tcPr>
            <w:tcW w:w="494" w:type="pct"/>
            <w:vMerge/>
            <w:vAlign w:val="center"/>
          </w:tcPr>
          <w:p w14:paraId="6FCF84A4"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07208742" w14:textId="77777777" w:rsidR="004E6ADE" w:rsidRDefault="00032766">
            <w:pPr>
              <w:spacing w:line="360" w:lineRule="auto"/>
              <w:rPr>
                <w:rFonts w:ascii="Book Antiqua" w:eastAsia="宋体" w:hAnsi="Book Antiqua"/>
                <w:caps/>
                <w:kern w:val="2"/>
                <w:lang w:eastAsia="zh-CN"/>
              </w:rPr>
            </w:pPr>
            <w:r>
              <w:rPr>
                <w:rFonts w:ascii="Book Antiqua" w:hAnsi="Book Antiqua"/>
                <w:caps/>
                <w:lang w:eastAsia="zh-CN"/>
              </w:rPr>
              <w:t>Sh2b3, Card10</w:t>
            </w:r>
          </w:p>
        </w:tc>
        <w:tc>
          <w:tcPr>
            <w:tcW w:w="1110" w:type="pct"/>
          </w:tcPr>
          <w:p w14:paraId="05F1B63D" w14:textId="77777777" w:rsidR="004E6ADE" w:rsidRDefault="00032766">
            <w:pPr>
              <w:spacing w:line="360" w:lineRule="auto"/>
              <w:rPr>
                <w:rFonts w:ascii="Book Antiqua" w:eastAsia="宋体" w:hAnsi="Book Antiqua"/>
                <w:kern w:val="2"/>
                <w:lang w:eastAsia="zh-CN"/>
              </w:rPr>
            </w:pPr>
            <w:r>
              <w:rPr>
                <w:rFonts w:ascii="Book Antiqua" w:hAnsi="Book Antiqua"/>
                <w:lang w:eastAsia="zh-CN"/>
              </w:rPr>
              <w:t>Netherlands</w:t>
            </w:r>
          </w:p>
        </w:tc>
        <w:tc>
          <w:tcPr>
            <w:tcW w:w="1605" w:type="pct"/>
          </w:tcPr>
          <w:p w14:paraId="24E8EBAC" w14:textId="77777777" w:rsidR="004E6ADE" w:rsidRDefault="00032766">
            <w:pPr>
              <w:spacing w:line="360" w:lineRule="auto"/>
              <w:rPr>
                <w:rFonts w:ascii="Book Antiqua" w:eastAsia="宋体" w:hAnsi="Book Antiqua"/>
                <w:kern w:val="2"/>
                <w:lang w:eastAsia="zh-CN"/>
              </w:rPr>
            </w:pPr>
            <w:proofErr w:type="spellStart"/>
            <w:r>
              <w:rPr>
                <w:rFonts w:ascii="Book Antiqua" w:hAnsi="Book Antiqua"/>
                <w:bCs/>
                <w:lang w:eastAsia="zh-CN"/>
              </w:rPr>
              <w:t>Motawi</w:t>
            </w:r>
            <w:proofErr w:type="spellEnd"/>
            <w:r>
              <w:rPr>
                <w:rFonts w:ascii="Book Antiqua" w:hAnsi="Book Antiqua"/>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[13]</w:t>
            </w:r>
            <w:r>
              <w:rPr>
                <w:rFonts w:ascii="Book Antiqua" w:hAnsi="Book Antiqua" w:hint="eastAsia"/>
                <w:bCs/>
                <w:lang w:eastAsia="zh-CN"/>
              </w:rPr>
              <w:t>, 2019</w:t>
            </w:r>
          </w:p>
        </w:tc>
      </w:tr>
      <w:tr w:rsidR="004E6ADE" w14:paraId="0C57EA63" w14:textId="77777777" w:rsidTr="004801F7">
        <w:trPr>
          <w:trHeight w:val="23"/>
        </w:trPr>
        <w:tc>
          <w:tcPr>
            <w:tcW w:w="494" w:type="pct"/>
            <w:vMerge/>
            <w:vAlign w:val="center"/>
          </w:tcPr>
          <w:p w14:paraId="771EBD65"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7154B4D0" w14:textId="77777777" w:rsidR="004E6ADE" w:rsidRDefault="00032766">
            <w:pPr>
              <w:spacing w:line="360" w:lineRule="auto"/>
              <w:rPr>
                <w:rFonts w:ascii="Book Antiqua" w:eastAsia="宋体" w:hAnsi="Book Antiqua" w:cs="Calibri"/>
                <w:caps/>
                <w:kern w:val="2"/>
                <w:lang w:eastAsia="zh-CN"/>
              </w:rPr>
            </w:pPr>
            <w:r>
              <w:rPr>
                <w:rFonts w:ascii="Book Antiqua" w:hAnsi="Book Antiqua"/>
                <w:caps/>
                <w:lang w:eastAsia="zh-CN"/>
              </w:rPr>
              <w:t>Mif-173</w:t>
            </w:r>
            <w:r>
              <w:rPr>
                <w:rFonts w:ascii="Book Antiqua" w:hAnsi="Book Antiqua"/>
                <w:lang w:eastAsia="zh-CN"/>
              </w:rPr>
              <w:t>gc</w:t>
            </w:r>
          </w:p>
        </w:tc>
        <w:tc>
          <w:tcPr>
            <w:tcW w:w="1110" w:type="pct"/>
          </w:tcPr>
          <w:p w14:paraId="59A989C5"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U</w:t>
            </w:r>
            <w:r>
              <w:rPr>
                <w:rFonts w:ascii="Book Antiqua" w:hAnsi="Book Antiqua" w:hint="eastAsia"/>
                <w:lang w:eastAsia="zh-CN"/>
              </w:rPr>
              <w:t>nited States</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Japan</w:t>
            </w:r>
          </w:p>
        </w:tc>
        <w:tc>
          <w:tcPr>
            <w:tcW w:w="1605" w:type="pct"/>
          </w:tcPr>
          <w:p w14:paraId="58172E4B" w14:textId="77777777" w:rsidR="004E6ADE" w:rsidRDefault="00032766">
            <w:pPr>
              <w:spacing w:line="360" w:lineRule="auto"/>
              <w:rPr>
                <w:rFonts w:ascii="Book Antiqua" w:eastAsia="宋体" w:hAnsi="Book Antiqua"/>
                <w:kern w:val="2"/>
                <w:lang w:eastAsia="zh-CN"/>
              </w:rPr>
            </w:pPr>
            <w:proofErr w:type="spellStart"/>
            <w:r>
              <w:rPr>
                <w:rFonts w:ascii="Book Antiqua" w:hAnsi="Book Antiqua"/>
                <w:lang w:eastAsia="zh-CN"/>
              </w:rPr>
              <w:t>Alsayed</w:t>
            </w:r>
            <w:proofErr w:type="spellEnd"/>
            <w:r>
              <w:rPr>
                <w:rFonts w:ascii="Book Antiqua" w:hAnsi="Book Antiqua" w:hint="eastAsia"/>
                <w:bCs/>
                <w:i/>
                <w:lang w:eastAsia="zh-CN"/>
              </w:rPr>
              <w:t xml:space="preserve"> et al</w:t>
            </w:r>
            <w:r>
              <w:rPr>
                <w:rFonts w:ascii="Book Antiqua" w:hAnsi="Book Antiqua" w:hint="eastAsia"/>
                <w:bCs/>
                <w:vertAlign w:val="superscript"/>
                <w:lang w:eastAsia="zh-CN"/>
              </w:rPr>
              <w:t>[14]</w:t>
            </w:r>
            <w:r>
              <w:rPr>
                <w:rFonts w:ascii="Book Antiqua" w:hAnsi="Book Antiqua" w:hint="eastAsia"/>
                <w:bCs/>
                <w:lang w:eastAsia="zh-CN"/>
              </w:rPr>
              <w:t>, 2020</w:t>
            </w:r>
          </w:p>
        </w:tc>
      </w:tr>
      <w:tr w:rsidR="004E6ADE" w14:paraId="54652ACA" w14:textId="77777777" w:rsidTr="004801F7">
        <w:trPr>
          <w:trHeight w:val="23"/>
        </w:trPr>
        <w:tc>
          <w:tcPr>
            <w:tcW w:w="494" w:type="pct"/>
            <w:vMerge w:val="restart"/>
          </w:tcPr>
          <w:p w14:paraId="23C7841A"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AIH II</w:t>
            </w:r>
          </w:p>
        </w:tc>
        <w:tc>
          <w:tcPr>
            <w:tcW w:w="1791" w:type="pct"/>
            <w:vMerge w:val="restart"/>
          </w:tcPr>
          <w:p w14:paraId="38238C66" w14:textId="77777777" w:rsidR="004E6ADE" w:rsidRDefault="00032766">
            <w:pPr>
              <w:spacing w:line="360" w:lineRule="auto"/>
              <w:rPr>
                <w:rFonts w:ascii="Book Antiqua" w:eastAsia="宋体" w:hAnsi="Book Antiqua" w:cs="Calibri"/>
                <w:caps/>
                <w:kern w:val="2"/>
                <w:lang w:eastAsia="zh-CN"/>
              </w:rPr>
            </w:pPr>
            <w:r>
              <w:rPr>
                <w:rFonts w:ascii="Book Antiqua" w:hAnsi="Book Antiqua"/>
                <w:lang w:eastAsia="zh-CN"/>
              </w:rPr>
              <w:t>DRB1*0701, DRB1*0201</w:t>
            </w:r>
          </w:p>
        </w:tc>
        <w:tc>
          <w:tcPr>
            <w:tcW w:w="1110" w:type="pct"/>
            <w:vMerge w:val="restart"/>
          </w:tcPr>
          <w:p w14:paraId="46CDEC50"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European</w:t>
            </w:r>
          </w:p>
        </w:tc>
        <w:tc>
          <w:tcPr>
            <w:tcW w:w="1605" w:type="pct"/>
          </w:tcPr>
          <w:p w14:paraId="64EF88EF" w14:textId="77777777" w:rsidR="004E6ADE" w:rsidRDefault="00032766">
            <w:pPr>
              <w:spacing w:line="360" w:lineRule="auto"/>
              <w:rPr>
                <w:rFonts w:ascii="Book Antiqua" w:eastAsia="宋体" w:hAnsi="Book Antiqua"/>
                <w:kern w:val="2"/>
                <w:lang w:eastAsia="zh-CN"/>
              </w:rPr>
            </w:pPr>
            <w:proofErr w:type="spellStart"/>
            <w:r>
              <w:rPr>
                <w:rFonts w:ascii="Book Antiqua" w:hAnsi="Book Antiqua"/>
                <w:bCs/>
                <w:lang w:eastAsia="zh-CN"/>
              </w:rPr>
              <w:t>Ngu</w:t>
            </w:r>
            <w:proofErr w:type="spellEnd"/>
            <w:r>
              <w:rPr>
                <w:rFonts w:ascii="Book Antiqua" w:hAnsi="Book Antiqua"/>
                <w:i/>
                <w:lang w:eastAsia="zh-CN"/>
              </w:rPr>
              <w:t xml:space="preserve"> </w:t>
            </w:r>
            <w:r>
              <w:rPr>
                <w:rFonts w:ascii="Book Antiqua" w:hAnsi="Book Antiqua" w:hint="eastAsia"/>
                <w:i/>
                <w:lang w:eastAsia="zh-CN"/>
              </w:rPr>
              <w:t>et al</w:t>
            </w:r>
            <w:r>
              <w:rPr>
                <w:rFonts w:ascii="Book Antiqua" w:hAnsi="Book Antiqua"/>
                <w:vertAlign w:val="superscript"/>
                <w:lang w:eastAsia="zh-CN"/>
              </w:rPr>
              <w:t>[3]</w:t>
            </w:r>
            <w:r>
              <w:rPr>
                <w:rFonts w:ascii="Book Antiqua" w:hAnsi="Book Antiqua" w:hint="eastAsia"/>
                <w:lang w:eastAsia="zh-CN"/>
              </w:rPr>
              <w:t>, 2017</w:t>
            </w:r>
          </w:p>
        </w:tc>
      </w:tr>
      <w:tr w:rsidR="004E6ADE" w14:paraId="22CF3C57" w14:textId="77777777" w:rsidTr="004801F7">
        <w:trPr>
          <w:trHeight w:val="23"/>
        </w:trPr>
        <w:tc>
          <w:tcPr>
            <w:tcW w:w="494" w:type="pct"/>
            <w:vMerge/>
          </w:tcPr>
          <w:p w14:paraId="48276BC9" w14:textId="77777777" w:rsidR="004E6ADE" w:rsidRDefault="004E6ADE">
            <w:pPr>
              <w:spacing w:line="360" w:lineRule="auto"/>
              <w:rPr>
                <w:rFonts w:ascii="Book Antiqua" w:hAnsi="Book Antiqua"/>
                <w:lang w:eastAsia="zh-CN"/>
              </w:rPr>
            </w:pPr>
          </w:p>
        </w:tc>
        <w:tc>
          <w:tcPr>
            <w:tcW w:w="1791" w:type="pct"/>
            <w:vMerge/>
          </w:tcPr>
          <w:p w14:paraId="2B5EE725" w14:textId="77777777" w:rsidR="004E6ADE" w:rsidRDefault="004E6ADE">
            <w:pPr>
              <w:spacing w:line="360" w:lineRule="auto"/>
              <w:rPr>
                <w:rFonts w:ascii="Book Antiqua" w:hAnsi="Book Antiqua"/>
                <w:lang w:eastAsia="zh-CN"/>
              </w:rPr>
            </w:pPr>
          </w:p>
        </w:tc>
        <w:tc>
          <w:tcPr>
            <w:tcW w:w="1110" w:type="pct"/>
            <w:vMerge/>
          </w:tcPr>
          <w:p w14:paraId="72D64A35" w14:textId="77777777" w:rsidR="004E6ADE" w:rsidRDefault="004E6ADE">
            <w:pPr>
              <w:spacing w:line="360" w:lineRule="auto"/>
              <w:rPr>
                <w:rFonts w:ascii="Book Antiqua" w:hAnsi="Book Antiqua"/>
                <w:lang w:eastAsia="zh-CN"/>
              </w:rPr>
            </w:pPr>
          </w:p>
        </w:tc>
        <w:tc>
          <w:tcPr>
            <w:tcW w:w="1605" w:type="pct"/>
          </w:tcPr>
          <w:p w14:paraId="21E9D64E" w14:textId="77777777" w:rsidR="004E6ADE" w:rsidRDefault="00032766">
            <w:pPr>
              <w:spacing w:line="360" w:lineRule="auto"/>
              <w:rPr>
                <w:rFonts w:ascii="Book Antiqua" w:hAnsi="Book Antiqua"/>
                <w:lang w:eastAsia="zh-CN"/>
              </w:rPr>
            </w:pPr>
            <w:r>
              <w:rPr>
                <w:rFonts w:ascii="Book Antiqua" w:hAnsi="Book Antiqua"/>
                <w:bCs/>
                <w:lang w:eastAsia="zh-CN"/>
              </w:rPr>
              <w:t>Duarte-Rey</w:t>
            </w:r>
            <w:r>
              <w:rPr>
                <w:rFonts w:ascii="Book Antiqua" w:hAnsi="Book Antiqua" w:hint="eastAsia"/>
                <w:b/>
                <w:bCs/>
                <w:lang w:eastAsia="zh-CN"/>
              </w:rPr>
              <w:t xml:space="preserve"> </w:t>
            </w:r>
            <w:r>
              <w:rPr>
                <w:rFonts w:ascii="Book Antiqua" w:hAnsi="Book Antiqua" w:hint="eastAsia"/>
                <w:i/>
                <w:lang w:eastAsia="zh-CN"/>
              </w:rPr>
              <w:t>et al</w:t>
            </w:r>
            <w:r>
              <w:rPr>
                <w:rFonts w:ascii="Book Antiqua" w:hAnsi="Book Antiqua"/>
                <w:vertAlign w:val="superscript"/>
                <w:lang w:eastAsia="zh-CN"/>
              </w:rPr>
              <w:t>[4]</w:t>
            </w:r>
            <w:r>
              <w:rPr>
                <w:rFonts w:ascii="Book Antiqua" w:hAnsi="Book Antiqua" w:hint="eastAsia"/>
                <w:lang w:eastAsia="zh-CN"/>
              </w:rPr>
              <w:t>, 2009</w:t>
            </w:r>
          </w:p>
        </w:tc>
      </w:tr>
      <w:tr w:rsidR="004E6ADE" w14:paraId="202DFFBF" w14:textId="77777777" w:rsidTr="004801F7">
        <w:trPr>
          <w:trHeight w:val="23"/>
        </w:trPr>
        <w:tc>
          <w:tcPr>
            <w:tcW w:w="494" w:type="pct"/>
            <w:vMerge/>
            <w:vAlign w:val="center"/>
          </w:tcPr>
          <w:p w14:paraId="034A8C75"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5DFB167B" w14:textId="77777777" w:rsidR="004E6ADE" w:rsidRDefault="00032766">
            <w:pPr>
              <w:spacing w:line="360" w:lineRule="auto"/>
              <w:rPr>
                <w:rFonts w:ascii="Book Antiqua" w:eastAsia="宋体" w:hAnsi="Book Antiqua" w:cs="Calibri"/>
                <w:caps/>
                <w:kern w:val="2"/>
                <w:lang w:eastAsia="zh-CN"/>
              </w:rPr>
            </w:pPr>
            <w:r>
              <w:rPr>
                <w:rFonts w:ascii="Book Antiqua" w:hAnsi="Book Antiqua"/>
                <w:lang w:eastAsia="zh-CN"/>
              </w:rPr>
              <w:t>DRB1*0301</w:t>
            </w:r>
          </w:p>
        </w:tc>
        <w:tc>
          <w:tcPr>
            <w:tcW w:w="1110" w:type="pct"/>
          </w:tcPr>
          <w:p w14:paraId="049A4C73"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British and Brazilian</w:t>
            </w:r>
          </w:p>
        </w:tc>
        <w:tc>
          <w:tcPr>
            <w:tcW w:w="1605" w:type="pct"/>
          </w:tcPr>
          <w:p w14:paraId="2E738124" w14:textId="77777777" w:rsidR="004E6ADE" w:rsidRDefault="00032766">
            <w:pPr>
              <w:spacing w:line="360" w:lineRule="auto"/>
              <w:rPr>
                <w:rFonts w:ascii="Book Antiqua" w:eastAsia="宋体" w:hAnsi="Book Antiqua"/>
                <w:kern w:val="2"/>
                <w:lang w:eastAsia="zh-CN"/>
              </w:rPr>
            </w:pPr>
            <w:proofErr w:type="spellStart"/>
            <w:r>
              <w:rPr>
                <w:rFonts w:ascii="Book Antiqua" w:hAnsi="Book Antiqua"/>
                <w:bCs/>
                <w:lang w:eastAsia="zh-CN"/>
              </w:rPr>
              <w:t>Ngu</w:t>
            </w:r>
            <w:proofErr w:type="spellEnd"/>
            <w:r>
              <w:rPr>
                <w:rFonts w:ascii="Book Antiqua" w:hAnsi="Book Antiqua"/>
                <w:i/>
                <w:lang w:eastAsia="zh-CN"/>
              </w:rPr>
              <w:t xml:space="preserve"> </w:t>
            </w:r>
            <w:r>
              <w:rPr>
                <w:rFonts w:ascii="Book Antiqua" w:hAnsi="Book Antiqua" w:hint="eastAsia"/>
                <w:i/>
                <w:lang w:eastAsia="zh-CN"/>
              </w:rPr>
              <w:t>et al</w:t>
            </w:r>
            <w:r>
              <w:rPr>
                <w:rFonts w:ascii="Book Antiqua" w:hAnsi="Book Antiqua"/>
                <w:vertAlign w:val="superscript"/>
                <w:lang w:eastAsia="zh-CN"/>
              </w:rPr>
              <w:t>[3]</w:t>
            </w:r>
            <w:r>
              <w:rPr>
                <w:rFonts w:ascii="Book Antiqua" w:hAnsi="Book Antiqua" w:hint="eastAsia"/>
                <w:lang w:eastAsia="zh-CN"/>
              </w:rPr>
              <w:t>, 2017</w:t>
            </w:r>
          </w:p>
        </w:tc>
      </w:tr>
      <w:tr w:rsidR="004E6ADE" w14:paraId="53141CBE" w14:textId="77777777" w:rsidTr="004801F7">
        <w:trPr>
          <w:trHeight w:val="23"/>
        </w:trPr>
        <w:tc>
          <w:tcPr>
            <w:tcW w:w="494" w:type="pct"/>
            <w:vMerge/>
            <w:vAlign w:val="center"/>
          </w:tcPr>
          <w:p w14:paraId="1FB908AC"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188E7080" w14:textId="77777777" w:rsidR="004E6ADE" w:rsidRDefault="00032766">
            <w:pPr>
              <w:spacing w:line="360" w:lineRule="auto"/>
              <w:rPr>
                <w:rFonts w:ascii="Book Antiqua" w:eastAsia="宋体" w:hAnsi="Book Antiqua"/>
                <w:kern w:val="2"/>
                <w:lang w:eastAsia="zh-CN"/>
              </w:rPr>
            </w:pPr>
            <w:r>
              <w:rPr>
                <w:rFonts w:ascii="Book Antiqua" w:hAnsi="Book Antiqua"/>
                <w:lang w:eastAsia="zh-CN"/>
              </w:rPr>
              <w:t>DQB1*0201</w:t>
            </w:r>
          </w:p>
        </w:tc>
        <w:tc>
          <w:tcPr>
            <w:tcW w:w="1110" w:type="pct"/>
          </w:tcPr>
          <w:p w14:paraId="2B7E92F4" w14:textId="77777777" w:rsidR="004E6ADE" w:rsidRDefault="00032766">
            <w:pPr>
              <w:spacing w:line="360" w:lineRule="auto"/>
              <w:rPr>
                <w:rFonts w:ascii="Book Antiqua" w:eastAsia="宋体" w:hAnsi="Book Antiqua"/>
                <w:kern w:val="2"/>
                <w:lang w:eastAsia="zh-CN"/>
              </w:rPr>
            </w:pPr>
            <w:r>
              <w:rPr>
                <w:rFonts w:ascii="Book Antiqua" w:hAnsi="Book Antiqua"/>
                <w:lang w:eastAsia="zh-CN"/>
              </w:rPr>
              <w:t>Latin American</w:t>
            </w:r>
          </w:p>
        </w:tc>
        <w:tc>
          <w:tcPr>
            <w:tcW w:w="1605" w:type="pct"/>
          </w:tcPr>
          <w:p w14:paraId="31D853D0" w14:textId="77777777" w:rsidR="004E6ADE" w:rsidRDefault="00032766">
            <w:pPr>
              <w:spacing w:line="360" w:lineRule="auto"/>
              <w:rPr>
                <w:rFonts w:ascii="Book Antiqua" w:eastAsia="宋体" w:hAnsi="Book Antiqua"/>
                <w:kern w:val="2"/>
                <w:lang w:eastAsia="zh-CN"/>
              </w:rPr>
            </w:pPr>
            <w:r>
              <w:rPr>
                <w:rFonts w:ascii="Book Antiqua" w:hAnsi="Book Antiqua"/>
                <w:bCs/>
                <w:lang w:eastAsia="zh-CN"/>
              </w:rPr>
              <w:t>Duarte-Rey</w:t>
            </w:r>
            <w:r>
              <w:rPr>
                <w:rFonts w:ascii="Book Antiqua" w:hAnsi="Book Antiqua" w:hint="eastAsia"/>
                <w:b/>
                <w:bCs/>
                <w:lang w:eastAsia="zh-CN"/>
              </w:rPr>
              <w:t xml:space="preserve"> </w:t>
            </w:r>
            <w:r>
              <w:rPr>
                <w:rFonts w:ascii="Book Antiqua" w:hAnsi="Book Antiqua" w:hint="eastAsia"/>
                <w:i/>
                <w:lang w:eastAsia="zh-CN"/>
              </w:rPr>
              <w:t>et al</w:t>
            </w:r>
            <w:r>
              <w:rPr>
                <w:rFonts w:ascii="Book Antiqua" w:hAnsi="Book Antiqua"/>
                <w:vertAlign w:val="superscript"/>
                <w:lang w:eastAsia="zh-CN"/>
              </w:rPr>
              <w:t>[4]</w:t>
            </w:r>
            <w:r>
              <w:rPr>
                <w:rFonts w:ascii="Book Antiqua" w:hAnsi="Book Antiqua" w:hint="eastAsia"/>
                <w:lang w:eastAsia="zh-CN"/>
              </w:rPr>
              <w:t>, 2009</w:t>
            </w:r>
          </w:p>
        </w:tc>
      </w:tr>
    </w:tbl>
    <w:p w14:paraId="459F781E" w14:textId="77777777" w:rsidR="004E6ADE" w:rsidRDefault="00032766">
      <w:pPr>
        <w:spacing w:line="360" w:lineRule="auto"/>
        <w:jc w:val="both"/>
        <w:rPr>
          <w:rFonts w:ascii="Book Antiqua" w:hAnsi="Book Antiqua" w:cs="Calibri"/>
          <w:kern w:val="2"/>
          <w:lang w:eastAsia="zh-CN"/>
        </w:rPr>
      </w:pPr>
      <w:r>
        <w:rPr>
          <w:rFonts w:ascii="Book Antiqua" w:hAnsi="Book Antiqua"/>
          <w:lang w:eastAsia="zh-CN"/>
        </w:rPr>
        <w:t xml:space="preserve">AIH: </w:t>
      </w:r>
      <w:r>
        <w:rPr>
          <w:rFonts w:ascii="Book Antiqua" w:eastAsia="Book Antiqua" w:hAnsi="Book Antiqua" w:cs="Book Antiqua"/>
          <w:color w:val="000000"/>
        </w:rPr>
        <w:t>Autoimmune hepatitis</w:t>
      </w:r>
      <w:r>
        <w:rPr>
          <w:rFonts w:ascii="Book Antiqua" w:hAnsi="Book Antiqua" w:cs="Book Antiqua"/>
          <w:color w:val="000000"/>
          <w:lang w:eastAsia="zh-CN"/>
        </w:rPr>
        <w:t>.</w:t>
      </w:r>
    </w:p>
    <w:sectPr w:rsidR="004E6A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B2FC" w14:textId="77777777" w:rsidR="005E159D" w:rsidRDefault="005E159D">
      <w:r>
        <w:separator/>
      </w:r>
    </w:p>
  </w:endnote>
  <w:endnote w:type="continuationSeparator" w:id="0">
    <w:p w14:paraId="345D21B6" w14:textId="77777777" w:rsidR="005E159D" w:rsidRDefault="005E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16934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418219D" w14:textId="77777777" w:rsidR="004E6ADE" w:rsidRDefault="00032766">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801F7">
              <w:rPr>
                <w:rFonts w:ascii="Book Antiqua" w:hAnsi="Book Antiqua"/>
                <w:b/>
                <w:bCs/>
                <w:noProof/>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801F7">
              <w:rPr>
                <w:rFonts w:ascii="Book Antiqua" w:hAnsi="Book Antiqua"/>
                <w:b/>
                <w:bCs/>
                <w:noProof/>
                <w:sz w:val="24"/>
                <w:szCs w:val="24"/>
              </w:rPr>
              <w:t>21</w:t>
            </w:r>
            <w:r>
              <w:rPr>
                <w:rFonts w:ascii="Book Antiqua" w:hAnsi="Book Antiqua"/>
                <w:b/>
                <w:bCs/>
                <w:sz w:val="24"/>
                <w:szCs w:val="24"/>
              </w:rPr>
              <w:fldChar w:fldCharType="end"/>
            </w:r>
          </w:p>
        </w:sdtContent>
      </w:sdt>
    </w:sdtContent>
  </w:sdt>
  <w:p w14:paraId="4CCE503D" w14:textId="77777777" w:rsidR="004E6ADE" w:rsidRDefault="004E6A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9EC5" w14:textId="77777777" w:rsidR="005E159D" w:rsidRDefault="005E159D">
      <w:r>
        <w:separator/>
      </w:r>
    </w:p>
  </w:footnote>
  <w:footnote w:type="continuationSeparator" w:id="0">
    <w:p w14:paraId="53AB3AC8" w14:textId="77777777" w:rsidR="005E159D" w:rsidRDefault="005E1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311"/>
    <w:rsid w:val="00032766"/>
    <w:rsid w:val="000C1377"/>
    <w:rsid w:val="00187070"/>
    <w:rsid w:val="001967C6"/>
    <w:rsid w:val="001E532E"/>
    <w:rsid w:val="00227F14"/>
    <w:rsid w:val="002952B1"/>
    <w:rsid w:val="002A539F"/>
    <w:rsid w:val="002E12B3"/>
    <w:rsid w:val="002F0EEB"/>
    <w:rsid w:val="003361C3"/>
    <w:rsid w:val="003407FB"/>
    <w:rsid w:val="00346BB5"/>
    <w:rsid w:val="00363683"/>
    <w:rsid w:val="003A74C9"/>
    <w:rsid w:val="00414014"/>
    <w:rsid w:val="004801F7"/>
    <w:rsid w:val="00490EE2"/>
    <w:rsid w:val="004E0100"/>
    <w:rsid w:val="004E6ADE"/>
    <w:rsid w:val="005011D3"/>
    <w:rsid w:val="00530604"/>
    <w:rsid w:val="005C03F2"/>
    <w:rsid w:val="005E159D"/>
    <w:rsid w:val="005F0816"/>
    <w:rsid w:val="006458F0"/>
    <w:rsid w:val="006536C6"/>
    <w:rsid w:val="00687C46"/>
    <w:rsid w:val="00716BBC"/>
    <w:rsid w:val="00745FA6"/>
    <w:rsid w:val="007962D8"/>
    <w:rsid w:val="008136DC"/>
    <w:rsid w:val="0083242A"/>
    <w:rsid w:val="008E277D"/>
    <w:rsid w:val="00936889"/>
    <w:rsid w:val="00942A40"/>
    <w:rsid w:val="0099231C"/>
    <w:rsid w:val="009A2112"/>
    <w:rsid w:val="009A4E65"/>
    <w:rsid w:val="00A451A9"/>
    <w:rsid w:val="00A77B3E"/>
    <w:rsid w:val="00A9140E"/>
    <w:rsid w:val="00AD6238"/>
    <w:rsid w:val="00B606A4"/>
    <w:rsid w:val="00BD26D0"/>
    <w:rsid w:val="00C15F9E"/>
    <w:rsid w:val="00C72E3D"/>
    <w:rsid w:val="00CA2A55"/>
    <w:rsid w:val="00D56598"/>
    <w:rsid w:val="00D91B3E"/>
    <w:rsid w:val="00DD4383"/>
    <w:rsid w:val="119E331E"/>
    <w:rsid w:val="31F60B13"/>
    <w:rsid w:val="3EEC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AF56B"/>
  <w15:docId w15:val="{5A01CB1A-347E-4123-8B5C-49C64030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unhideWhenUsed/>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5259</Words>
  <Characters>29979</Characters>
  <Application>Microsoft Office Word</Application>
  <DocSecurity>0</DocSecurity>
  <Lines>249</Lines>
  <Paragraphs>70</Paragraphs>
  <ScaleCrop>false</ScaleCrop>
  <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jiaping yan</cp:lastModifiedBy>
  <cp:revision>47</cp:revision>
  <dcterms:created xsi:type="dcterms:W3CDTF">2021-07-26T09:04:00Z</dcterms:created>
  <dcterms:modified xsi:type="dcterms:W3CDTF">2021-08-02T07:50:00Z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83BD6077BAF64E59AEE920242090A158</vt:lpwstr>
  </property>
</Properties>
</file>