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0129C0"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color w:val="000000"/>
        </w:rPr>
        <w:t xml:space="preserve">Name of Journal: </w:t>
      </w:r>
      <w:r w:rsidRPr="00D35475">
        <w:rPr>
          <w:rFonts w:ascii="Book Antiqua" w:eastAsia="Book Antiqua" w:hAnsi="Book Antiqua" w:cs="Book Antiqua"/>
          <w:i/>
          <w:color w:val="000000"/>
        </w:rPr>
        <w:t>World Journal of Hepatology</w:t>
      </w:r>
    </w:p>
    <w:p w14:paraId="0BAB6F9D"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color w:val="000000"/>
        </w:rPr>
        <w:t xml:space="preserve">Manuscript NO: </w:t>
      </w:r>
      <w:r w:rsidRPr="00D35475">
        <w:rPr>
          <w:rFonts w:ascii="Book Antiqua" w:eastAsia="Book Antiqua" w:hAnsi="Book Antiqua" w:cs="Book Antiqua"/>
          <w:color w:val="000000"/>
        </w:rPr>
        <w:t>64877</w:t>
      </w:r>
    </w:p>
    <w:p w14:paraId="4AE58ABD"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color w:val="000000"/>
        </w:rPr>
        <w:t xml:space="preserve">Manuscript Type: </w:t>
      </w:r>
      <w:r w:rsidRPr="00D35475">
        <w:rPr>
          <w:rFonts w:ascii="Book Antiqua" w:eastAsia="Book Antiqua" w:hAnsi="Book Antiqua" w:cs="Book Antiqua"/>
          <w:color w:val="000000"/>
        </w:rPr>
        <w:t>MINIREVIEWS</w:t>
      </w:r>
    </w:p>
    <w:p w14:paraId="6308510C" w14:textId="77777777" w:rsidR="00A77B3E" w:rsidRPr="00D35475" w:rsidRDefault="00A77B3E" w:rsidP="000E27CD">
      <w:pPr>
        <w:adjustRightInd w:val="0"/>
        <w:snapToGrid w:val="0"/>
        <w:spacing w:line="360" w:lineRule="auto"/>
        <w:jc w:val="both"/>
        <w:rPr>
          <w:rFonts w:ascii="Book Antiqua" w:hAnsi="Book Antiqua"/>
        </w:rPr>
      </w:pPr>
    </w:p>
    <w:p w14:paraId="511A11C6"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color w:val="000000"/>
        </w:rPr>
        <w:t>Balloon-occluded retrograde transvenous obliteration for treatment of gastric varices</w:t>
      </w:r>
    </w:p>
    <w:p w14:paraId="7028BFA7" w14:textId="77777777" w:rsidR="00A77B3E" w:rsidRPr="00D35475" w:rsidRDefault="00A77B3E" w:rsidP="000E27CD">
      <w:pPr>
        <w:adjustRightInd w:val="0"/>
        <w:snapToGrid w:val="0"/>
        <w:spacing w:line="360" w:lineRule="auto"/>
        <w:jc w:val="both"/>
        <w:rPr>
          <w:rFonts w:ascii="Book Antiqua" w:hAnsi="Book Antiqua"/>
        </w:rPr>
      </w:pPr>
    </w:p>
    <w:p w14:paraId="664D6AFE" w14:textId="658FF5F8" w:rsidR="00A77B3E" w:rsidRPr="00D35475" w:rsidRDefault="00463552"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Waguri N </w:t>
      </w:r>
      <w:r w:rsidRPr="00D35475">
        <w:rPr>
          <w:rFonts w:ascii="Book Antiqua" w:eastAsia="宋体" w:hAnsi="Book Antiqua" w:cs="宋体"/>
          <w:i/>
          <w:iCs/>
          <w:color w:val="000000"/>
          <w:lang w:eastAsia="zh-CN"/>
        </w:rPr>
        <w:t>et al</w:t>
      </w:r>
      <w:r w:rsidRPr="00D35475">
        <w:rPr>
          <w:rFonts w:ascii="Book Antiqua" w:eastAsia="宋体" w:hAnsi="Book Antiqua" w:cs="宋体"/>
          <w:color w:val="000000"/>
          <w:lang w:eastAsia="zh-CN"/>
        </w:rPr>
        <w:t>.</w:t>
      </w:r>
      <w:r w:rsidR="00C3376B" w:rsidRPr="00D35475">
        <w:rPr>
          <w:rFonts w:ascii="Book Antiqua" w:eastAsia="宋体" w:hAnsi="Book Antiqua" w:cs="宋体"/>
          <w:color w:val="000000"/>
          <w:lang w:eastAsia="zh-CN"/>
        </w:rPr>
        <w:t xml:space="preserve"> </w:t>
      </w:r>
      <w:r w:rsidR="00CD48BE" w:rsidRPr="00D35475">
        <w:rPr>
          <w:rFonts w:ascii="Book Antiqua" w:eastAsia="Book Antiqua" w:hAnsi="Book Antiqua" w:cs="Book Antiqua"/>
          <w:color w:val="000000"/>
        </w:rPr>
        <w:t>Balloon-occluded retrograde transvenous obliteration</w:t>
      </w:r>
    </w:p>
    <w:p w14:paraId="430E7FE5" w14:textId="77777777" w:rsidR="00A77B3E" w:rsidRPr="00D35475" w:rsidRDefault="00A77B3E" w:rsidP="000E27CD">
      <w:pPr>
        <w:adjustRightInd w:val="0"/>
        <w:snapToGrid w:val="0"/>
        <w:spacing w:line="360" w:lineRule="auto"/>
        <w:jc w:val="both"/>
        <w:rPr>
          <w:rFonts w:ascii="Book Antiqua" w:hAnsi="Book Antiqua"/>
        </w:rPr>
      </w:pPr>
    </w:p>
    <w:p w14:paraId="1E4D4411"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Nobuo Waguri, Akihiko Osaki, Yusuke Watanabe</w:t>
      </w:r>
    </w:p>
    <w:p w14:paraId="15390BC8" w14:textId="77777777" w:rsidR="00A77B3E" w:rsidRPr="00D35475" w:rsidRDefault="00A77B3E" w:rsidP="000E27CD">
      <w:pPr>
        <w:adjustRightInd w:val="0"/>
        <w:snapToGrid w:val="0"/>
        <w:spacing w:line="360" w:lineRule="auto"/>
        <w:jc w:val="both"/>
        <w:rPr>
          <w:rFonts w:ascii="Book Antiqua" w:hAnsi="Book Antiqua"/>
        </w:rPr>
      </w:pPr>
    </w:p>
    <w:p w14:paraId="4885B5B2" w14:textId="4D7FFCD1"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bCs/>
          <w:color w:val="000000"/>
        </w:rPr>
        <w:t xml:space="preserve">Nobuo Waguri, Akihiko Osaki, Yusuke Watanabe, </w:t>
      </w:r>
      <w:r w:rsidRPr="00D35475">
        <w:rPr>
          <w:rFonts w:ascii="Book Antiqua" w:eastAsia="Book Antiqua" w:hAnsi="Book Antiqua" w:cs="Book Antiqua"/>
          <w:color w:val="000000"/>
        </w:rPr>
        <w:t>Department of Gastroenterology and Hepatology, Niigata City General Hospital, Niigata 950-1197, Japan</w:t>
      </w:r>
    </w:p>
    <w:p w14:paraId="4C9856CA" w14:textId="77777777" w:rsidR="00A77B3E" w:rsidRPr="00D35475" w:rsidRDefault="00A77B3E" w:rsidP="000E27CD">
      <w:pPr>
        <w:adjustRightInd w:val="0"/>
        <w:snapToGrid w:val="0"/>
        <w:spacing w:line="360" w:lineRule="auto"/>
        <w:jc w:val="both"/>
        <w:rPr>
          <w:rFonts w:ascii="Book Antiqua" w:hAnsi="Book Antiqua"/>
        </w:rPr>
      </w:pPr>
    </w:p>
    <w:p w14:paraId="0B465728"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bCs/>
          <w:color w:val="000000"/>
        </w:rPr>
        <w:t xml:space="preserve">Author contributions: </w:t>
      </w:r>
      <w:r w:rsidRPr="00D35475">
        <w:rPr>
          <w:rFonts w:ascii="Book Antiqua" w:eastAsia="Book Antiqua" w:hAnsi="Book Antiqua" w:cs="Book Antiqua"/>
          <w:color w:val="000000"/>
        </w:rPr>
        <w:t>Waguri N wrote the manuscript; Osaki A drew the illustrations; Watanabe Y reviewed the paper.</w:t>
      </w:r>
      <w:bookmarkStart w:id="0" w:name="_GoBack"/>
      <w:bookmarkEnd w:id="0"/>
    </w:p>
    <w:p w14:paraId="248A4FDB" w14:textId="77777777" w:rsidR="00A77B3E" w:rsidRPr="00D35475" w:rsidRDefault="00A77B3E" w:rsidP="000E27CD">
      <w:pPr>
        <w:adjustRightInd w:val="0"/>
        <w:snapToGrid w:val="0"/>
        <w:spacing w:line="360" w:lineRule="auto"/>
        <w:jc w:val="both"/>
        <w:rPr>
          <w:rFonts w:ascii="Book Antiqua" w:hAnsi="Book Antiqua"/>
        </w:rPr>
      </w:pPr>
    </w:p>
    <w:p w14:paraId="6926527B" w14:textId="51728A62"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bCs/>
          <w:color w:val="000000"/>
        </w:rPr>
        <w:t xml:space="preserve">Corresponding author: Nobuo Waguri, MD, PhD, Chief Doctor, Director, </w:t>
      </w:r>
      <w:r w:rsidRPr="00D35475">
        <w:rPr>
          <w:rFonts w:ascii="Book Antiqua" w:eastAsia="Book Antiqua" w:hAnsi="Book Antiqua" w:cs="Book Antiqua"/>
          <w:color w:val="000000"/>
        </w:rPr>
        <w:t>Department of Gastroenterology and Hepatology, Niigata City General Hospital, 467-3 Shumoku, Chuo-ku, Niigata 950-1197, Japan. waguri@hosp.niigata.niigata.jp</w:t>
      </w:r>
    </w:p>
    <w:p w14:paraId="7E373549" w14:textId="77777777" w:rsidR="00A77B3E" w:rsidRPr="00D35475" w:rsidRDefault="00A77B3E" w:rsidP="000E27CD">
      <w:pPr>
        <w:adjustRightInd w:val="0"/>
        <w:snapToGrid w:val="0"/>
        <w:spacing w:line="360" w:lineRule="auto"/>
        <w:jc w:val="both"/>
        <w:rPr>
          <w:rFonts w:ascii="Book Antiqua" w:hAnsi="Book Antiqua"/>
        </w:rPr>
      </w:pPr>
    </w:p>
    <w:p w14:paraId="27043459"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bCs/>
          <w:color w:val="000000"/>
        </w:rPr>
        <w:t xml:space="preserve">Received: </w:t>
      </w:r>
      <w:r w:rsidRPr="00D35475">
        <w:rPr>
          <w:rFonts w:ascii="Book Antiqua" w:eastAsia="Book Antiqua" w:hAnsi="Book Antiqua" w:cs="Book Antiqua"/>
          <w:color w:val="000000"/>
        </w:rPr>
        <w:t>February 25, 2021</w:t>
      </w:r>
    </w:p>
    <w:p w14:paraId="6758F380" w14:textId="64662DC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bCs/>
          <w:color w:val="000000"/>
        </w:rPr>
        <w:t xml:space="preserve">Revised: </w:t>
      </w:r>
      <w:r w:rsidR="00D35475" w:rsidRPr="00D35475">
        <w:rPr>
          <w:rFonts w:ascii="Book Antiqua" w:hAnsi="Book Antiqua"/>
          <w:color w:val="201F35"/>
        </w:rPr>
        <w:t>April 12, 2021</w:t>
      </w:r>
    </w:p>
    <w:p w14:paraId="5A82660A" w14:textId="71049F1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bCs/>
          <w:color w:val="000000"/>
        </w:rPr>
        <w:t xml:space="preserve">Accepted: </w:t>
      </w:r>
      <w:r w:rsidR="00642B1A" w:rsidRPr="00642B1A">
        <w:rPr>
          <w:rFonts w:ascii="Book Antiqua" w:eastAsia="Book Antiqua" w:hAnsi="Book Antiqua" w:cs="Book Antiqua"/>
          <w:bCs/>
          <w:color w:val="000000"/>
        </w:rPr>
        <w:t>May 22, 2021</w:t>
      </w:r>
    </w:p>
    <w:p w14:paraId="57918717"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bCs/>
          <w:color w:val="000000"/>
        </w:rPr>
        <w:t xml:space="preserve">Published online: </w:t>
      </w:r>
    </w:p>
    <w:p w14:paraId="04F8680F" w14:textId="77777777" w:rsidR="00A77B3E" w:rsidRPr="00D35475" w:rsidRDefault="00A77B3E" w:rsidP="000E27CD">
      <w:pPr>
        <w:adjustRightInd w:val="0"/>
        <w:snapToGrid w:val="0"/>
        <w:spacing w:line="360" w:lineRule="auto"/>
        <w:jc w:val="both"/>
        <w:rPr>
          <w:rFonts w:ascii="Book Antiqua" w:hAnsi="Book Antiqua"/>
        </w:rPr>
        <w:sectPr w:rsidR="00A77B3E" w:rsidRPr="00D35475">
          <w:footerReference w:type="default" r:id="rId6"/>
          <w:pgSz w:w="12240" w:h="15840"/>
          <w:pgMar w:top="1440" w:right="1440" w:bottom="1440" w:left="1440" w:header="720" w:footer="720" w:gutter="0"/>
          <w:cols w:space="720"/>
          <w:docGrid w:linePitch="360"/>
        </w:sectPr>
      </w:pPr>
    </w:p>
    <w:p w14:paraId="48BCADBD"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color w:val="000000"/>
        </w:rPr>
        <w:lastRenderedPageBreak/>
        <w:t>Abstract</w:t>
      </w:r>
    </w:p>
    <w:p w14:paraId="0961FE89" w14:textId="13FB2A8A"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Rupture of gastric varices (GVs) can be fatal. Balloon-occluded retrograde transvenous obliteration (BRTO), as known as retrograde sclerotherapy, has been widely adopted for treatment of GVs because of its effectiveness, ability to cure, and utility in emergency and prophylactic treatment. Simplifying the route of blood flow from GVs to the gastrorenal shunt is important for the successful BRTO. This review outlines BRTO indications and contraindications, describes basic BRTO procedures and modifications, compares BRTO with other GVs treatments, and discusses various combination therapies. Combined BRTO and partial splenic embolization may prevent exacerbation of esophageal varices and shows promise as a treatment option.</w:t>
      </w:r>
    </w:p>
    <w:p w14:paraId="0F6E7D34" w14:textId="77777777" w:rsidR="00A77B3E" w:rsidRPr="00D35475" w:rsidRDefault="00A77B3E" w:rsidP="000E27CD">
      <w:pPr>
        <w:adjustRightInd w:val="0"/>
        <w:snapToGrid w:val="0"/>
        <w:spacing w:line="360" w:lineRule="auto"/>
        <w:jc w:val="both"/>
        <w:rPr>
          <w:rFonts w:ascii="Book Antiqua" w:hAnsi="Book Antiqua"/>
        </w:rPr>
      </w:pPr>
    </w:p>
    <w:p w14:paraId="1CC5E68B"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bCs/>
          <w:color w:val="000000"/>
        </w:rPr>
        <w:t xml:space="preserve">Key Words: </w:t>
      </w:r>
      <w:r w:rsidRPr="00D35475">
        <w:rPr>
          <w:rFonts w:ascii="Book Antiqua" w:eastAsia="Book Antiqua" w:hAnsi="Book Antiqua" w:cs="Book Antiqua"/>
          <w:color w:val="000000"/>
        </w:rPr>
        <w:t>Gastric varices; Balloon-occluded retrograde transvenous obliteration; Balloon-occluded antegrade transvenous obliteration; Partial splenic embolization; Transjugular intrahepatic portosystemic shunt; Plug- and coil-assisted retrograde transvenous obliteration</w:t>
      </w:r>
    </w:p>
    <w:p w14:paraId="6F2A343E" w14:textId="77777777" w:rsidR="00A77B3E" w:rsidRPr="00D35475" w:rsidRDefault="00A77B3E" w:rsidP="000E27CD">
      <w:pPr>
        <w:adjustRightInd w:val="0"/>
        <w:snapToGrid w:val="0"/>
        <w:spacing w:line="360" w:lineRule="auto"/>
        <w:jc w:val="both"/>
        <w:rPr>
          <w:rFonts w:ascii="Book Antiqua" w:hAnsi="Book Antiqua"/>
        </w:rPr>
      </w:pPr>
    </w:p>
    <w:p w14:paraId="78FEBE5A" w14:textId="63B7BBD9" w:rsidR="00A77B3E" w:rsidRDefault="00D35475" w:rsidP="000E27CD">
      <w:pPr>
        <w:adjustRightInd w:val="0"/>
        <w:snapToGrid w:val="0"/>
        <w:spacing w:line="360" w:lineRule="auto"/>
        <w:jc w:val="both"/>
        <w:rPr>
          <w:rFonts w:ascii="Book Antiqua" w:eastAsia="Book Antiqua" w:hAnsi="Book Antiqua" w:cs="Book Antiqua"/>
          <w:color w:val="000000"/>
        </w:rPr>
      </w:pPr>
      <w:r w:rsidRPr="00D35475">
        <w:rPr>
          <w:rFonts w:ascii="Book Antiqua" w:eastAsia="Book Antiqua" w:hAnsi="Book Antiqua" w:cs="Book Antiqua"/>
          <w:color w:val="000000"/>
        </w:rPr>
        <w:t xml:space="preserve">Waguri N, Osaki A, Watanabe Y. Balloon-occluded retrograde transvenous obliteration for treatment of gastric varices. </w:t>
      </w:r>
      <w:r w:rsidRPr="00D35475">
        <w:rPr>
          <w:rFonts w:ascii="Book Antiqua" w:eastAsia="Book Antiqua" w:hAnsi="Book Antiqua" w:cs="Book Antiqua"/>
          <w:i/>
          <w:iCs/>
          <w:color w:val="000000"/>
        </w:rPr>
        <w:t>World J Hepatol</w:t>
      </w:r>
      <w:r w:rsidRPr="00D35475">
        <w:rPr>
          <w:rFonts w:ascii="Book Antiqua" w:eastAsia="Book Antiqua" w:hAnsi="Book Antiqua" w:cs="Book Antiqua"/>
          <w:color w:val="000000"/>
        </w:rPr>
        <w:t xml:space="preserve"> 2021; In press</w:t>
      </w:r>
    </w:p>
    <w:p w14:paraId="1AAE5DC9" w14:textId="77777777" w:rsidR="00D35475" w:rsidRPr="00D35475" w:rsidRDefault="00D35475" w:rsidP="000E27CD">
      <w:pPr>
        <w:adjustRightInd w:val="0"/>
        <w:snapToGrid w:val="0"/>
        <w:spacing w:line="360" w:lineRule="auto"/>
        <w:jc w:val="both"/>
        <w:rPr>
          <w:rFonts w:ascii="Book Antiqua" w:hAnsi="Book Antiqua"/>
        </w:rPr>
      </w:pPr>
    </w:p>
    <w:p w14:paraId="5FD9831F"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bCs/>
          <w:color w:val="000000"/>
        </w:rPr>
        <w:t xml:space="preserve">Core Tip: </w:t>
      </w:r>
      <w:r w:rsidRPr="00D35475">
        <w:rPr>
          <w:rFonts w:ascii="Book Antiqua" w:eastAsia="Book Antiqua" w:hAnsi="Book Antiqua" w:cs="Book Antiqua"/>
          <w:color w:val="000000"/>
        </w:rPr>
        <w:t>Gastric varices (GVs) are a common complication of liver cirrhosis and their rupture is often fatal. Balloon-occluded retrograde transvenous obliteration (BRTO) has been widely adopted for treatment of GVs because of its effectiveness, ability to cure, and utility in emergency and prophylactic treatment. Various modifications of BRTO and combinations with other therapies are also beneficial. Combined BRTO and partial splenic embolization shows promise as a treatment option.</w:t>
      </w:r>
    </w:p>
    <w:p w14:paraId="368822FD" w14:textId="77777777" w:rsidR="00A77B3E" w:rsidRPr="00D35475" w:rsidRDefault="00A77B3E" w:rsidP="000E27CD">
      <w:pPr>
        <w:adjustRightInd w:val="0"/>
        <w:snapToGrid w:val="0"/>
        <w:spacing w:line="360" w:lineRule="auto"/>
        <w:jc w:val="both"/>
        <w:rPr>
          <w:rFonts w:ascii="Book Antiqua" w:hAnsi="Book Antiqua"/>
        </w:rPr>
      </w:pPr>
    </w:p>
    <w:p w14:paraId="1FB31EE0"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caps/>
          <w:color w:val="000000"/>
          <w:u w:val="single"/>
        </w:rPr>
        <w:t>INTRODUCTION</w:t>
      </w:r>
    </w:p>
    <w:p w14:paraId="35B43E7C" w14:textId="1709E906"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Gastric fundal varices (GVs) and esophageal varices (EVs) are two of the main presentations of cirrhosis-induced portal hypertension. Although the bleeding risk of </w:t>
      </w:r>
      <w:r w:rsidRPr="00D35475">
        <w:rPr>
          <w:rFonts w:ascii="Book Antiqua" w:eastAsia="Book Antiqua" w:hAnsi="Book Antiqua" w:cs="Book Antiqua"/>
          <w:color w:val="000000"/>
        </w:rPr>
        <w:lastRenderedPageBreak/>
        <w:t>GVs is relatively low, their rupture is associated with high mortality (14%–45%)</w:t>
      </w:r>
      <w:r w:rsidRPr="00D35475">
        <w:rPr>
          <w:rFonts w:ascii="Book Antiqua" w:eastAsia="Book Antiqua" w:hAnsi="Book Antiqua" w:cs="Book Antiqua"/>
          <w:color w:val="000000"/>
          <w:vertAlign w:val="superscript"/>
        </w:rPr>
        <w:t>[1-4]</w:t>
      </w:r>
      <w:r w:rsidRPr="00D35475">
        <w:rPr>
          <w:rFonts w:ascii="Book Antiqua" w:eastAsia="Book Antiqua" w:hAnsi="Book Antiqua" w:cs="Book Antiqua"/>
          <w:color w:val="000000"/>
        </w:rPr>
        <w:t xml:space="preserve">, because of their larger shunt diameter and higher flow. Hemodynamically, the two types of varices are completely different. The left and right gastric veins comprise the inflow of EVs, with the azygos vein system serving as the outflow. In contrast, the short and posterior gastric veins comprise the main inflow of GVs, although the left gastric vein may also be involved; the gastrorenal shunt (GRS), which drains blood to the left renal vein </w:t>
      </w:r>
      <w:r w:rsidRPr="00D35475">
        <w:rPr>
          <w:rFonts w:ascii="Book Antiqua" w:eastAsia="Book Antiqua" w:hAnsi="Book Antiqua" w:cs="Book Antiqua"/>
          <w:i/>
          <w:iCs/>
          <w:color w:val="000000"/>
        </w:rPr>
        <w:t>via</w:t>
      </w:r>
      <w:r w:rsidRPr="00D35475">
        <w:rPr>
          <w:rFonts w:ascii="Book Antiqua" w:eastAsia="Book Antiqua" w:hAnsi="Book Antiqua" w:cs="Book Antiqua"/>
          <w:color w:val="000000"/>
        </w:rPr>
        <w:t xml:space="preserve"> the descending branch of the left inferior phrenic veins (80%–85%), and the gastrocaval shunt (GCS), which runs below the diaphragm and drains into the inferior vena cava (10%–15%) serve as outflow</w:t>
      </w:r>
      <w:r w:rsidRPr="00D35475">
        <w:rPr>
          <w:rFonts w:ascii="Book Antiqua" w:eastAsia="Book Antiqua" w:hAnsi="Book Antiqua" w:cs="Book Antiqua"/>
          <w:color w:val="000000"/>
          <w:vertAlign w:val="superscript"/>
        </w:rPr>
        <w:t>[5]</w:t>
      </w:r>
      <w:r w:rsidRPr="00D35475">
        <w:rPr>
          <w:rFonts w:ascii="Book Antiqua" w:eastAsia="Book Antiqua" w:hAnsi="Book Antiqua" w:cs="Book Antiqua"/>
          <w:color w:val="000000"/>
        </w:rPr>
        <w:t>. Eradication of GVs is difficult endoscopically because of the large diameter and high flow velocity of the shunts. Balloon-occluded retrograde transvenous obliteration (BRTO), developed by Kanagawa in 1996, is a sclerotherapy technique that approaches the varices from the outflow side of the GRS</w:t>
      </w:r>
      <w:r w:rsidRPr="00D35475">
        <w:rPr>
          <w:rFonts w:ascii="Book Antiqua" w:eastAsia="Book Antiqua" w:hAnsi="Book Antiqua" w:cs="Book Antiqua"/>
          <w:color w:val="000000"/>
          <w:vertAlign w:val="superscript"/>
        </w:rPr>
        <w:t>[6]</w:t>
      </w:r>
      <w:r w:rsidRPr="00D35475">
        <w:rPr>
          <w:rFonts w:ascii="Book Antiqua" w:eastAsia="Book Antiqua" w:hAnsi="Book Antiqua" w:cs="Book Antiqua"/>
          <w:color w:val="000000"/>
        </w:rPr>
        <w:t>. Since then, BRTO has been widely accepted in Japan</w:t>
      </w:r>
      <w:r w:rsidRPr="00D35475">
        <w:rPr>
          <w:rFonts w:ascii="Book Antiqua" w:eastAsia="Book Antiqua" w:hAnsi="Book Antiqua" w:cs="Book Antiqua"/>
          <w:color w:val="000000"/>
          <w:vertAlign w:val="superscript"/>
        </w:rPr>
        <w:t>[7-9]</w:t>
      </w:r>
      <w:r w:rsidRPr="00D35475">
        <w:rPr>
          <w:rFonts w:ascii="Book Antiqua" w:eastAsia="Book Antiqua" w:hAnsi="Book Antiqua" w:cs="Book Antiqua"/>
          <w:color w:val="000000"/>
        </w:rPr>
        <w:t>, Asia, and the United States</w:t>
      </w:r>
      <w:r w:rsidRPr="00D35475">
        <w:rPr>
          <w:rFonts w:ascii="Book Antiqua" w:eastAsia="Book Antiqua" w:hAnsi="Book Antiqua" w:cs="Book Antiqua"/>
          <w:color w:val="000000"/>
          <w:vertAlign w:val="superscript"/>
        </w:rPr>
        <w:t>[10,11]</w:t>
      </w:r>
      <w:r w:rsidRPr="00D35475">
        <w:rPr>
          <w:rFonts w:ascii="Book Antiqua" w:eastAsia="Book Antiqua" w:hAnsi="Book Antiqua" w:cs="Book Antiqua"/>
          <w:color w:val="000000"/>
        </w:rPr>
        <w:t xml:space="preserve"> as an effective treatment for GVs. In Europe, however, BRTO is not well recognized and not a treatment option for GVs</w:t>
      </w:r>
      <w:r w:rsidRPr="00D35475">
        <w:rPr>
          <w:rFonts w:ascii="Book Antiqua" w:eastAsia="Book Antiqua" w:hAnsi="Book Antiqua" w:cs="Book Antiqua"/>
          <w:color w:val="000000"/>
          <w:vertAlign w:val="superscript"/>
        </w:rPr>
        <w:t>[12,13]</w:t>
      </w:r>
      <w:r w:rsidRPr="00D35475">
        <w:rPr>
          <w:rFonts w:ascii="Book Antiqua" w:eastAsia="Book Antiqua" w:hAnsi="Book Antiqua" w:cs="Book Antiqua"/>
          <w:color w:val="000000"/>
        </w:rPr>
        <w:t>. In this review, we outline the indications and contraindications for BRTO, describe basic BRTO procedures and modifications, compare BRTO with other GVs treatments, and discuss various combination therapies.</w:t>
      </w:r>
    </w:p>
    <w:p w14:paraId="5ECDDCFB" w14:textId="77777777" w:rsidR="00A77B3E" w:rsidRPr="00D35475" w:rsidRDefault="00A77B3E" w:rsidP="000E27CD">
      <w:pPr>
        <w:adjustRightInd w:val="0"/>
        <w:snapToGrid w:val="0"/>
        <w:spacing w:line="360" w:lineRule="auto"/>
        <w:jc w:val="both"/>
        <w:rPr>
          <w:rFonts w:ascii="Book Antiqua" w:hAnsi="Book Antiqua"/>
        </w:rPr>
      </w:pPr>
    </w:p>
    <w:p w14:paraId="1AA38365"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caps/>
          <w:color w:val="000000"/>
          <w:u w:val="single"/>
        </w:rPr>
        <w:t>Indications and contraindications for BRTO</w:t>
      </w:r>
    </w:p>
    <w:p w14:paraId="0B5AF212" w14:textId="45141E80" w:rsidR="00463552" w:rsidRPr="00D35475" w:rsidRDefault="00CD48BE" w:rsidP="000E27CD">
      <w:pPr>
        <w:adjustRightInd w:val="0"/>
        <w:snapToGrid w:val="0"/>
        <w:spacing w:line="360" w:lineRule="auto"/>
        <w:jc w:val="both"/>
        <w:rPr>
          <w:rFonts w:ascii="Book Antiqua" w:eastAsia="Book Antiqua" w:hAnsi="Book Antiqua" w:cs="Book Antiqua"/>
          <w:color w:val="000000"/>
        </w:rPr>
      </w:pPr>
      <w:r w:rsidRPr="00D35475">
        <w:rPr>
          <w:rFonts w:ascii="Book Antiqua" w:eastAsia="Book Antiqua" w:hAnsi="Book Antiqua" w:cs="Book Antiqua"/>
          <w:color w:val="000000"/>
        </w:rPr>
        <w:t xml:space="preserve">According to Saad </w:t>
      </w:r>
      <w:r w:rsidRPr="00D35475">
        <w:rPr>
          <w:rFonts w:ascii="Book Antiqua" w:eastAsia="Book Antiqua" w:hAnsi="Book Antiqua" w:cs="Book Antiqua"/>
          <w:i/>
          <w:iCs/>
          <w:color w:val="000000"/>
        </w:rPr>
        <w:t>et al</w:t>
      </w:r>
      <w:r w:rsidR="00463552" w:rsidRPr="00D35475">
        <w:rPr>
          <w:rFonts w:ascii="Book Antiqua" w:eastAsia="Book Antiqua" w:hAnsi="Book Antiqua" w:cs="Book Antiqua"/>
          <w:color w:val="000000"/>
          <w:vertAlign w:val="superscript"/>
        </w:rPr>
        <w:t>[14]</w:t>
      </w:r>
      <w:r w:rsidRPr="00D35475">
        <w:rPr>
          <w:rFonts w:ascii="Book Antiqua" w:eastAsia="Book Antiqua" w:hAnsi="Book Antiqua" w:cs="Book Antiqua"/>
          <w:color w:val="000000"/>
        </w:rPr>
        <w:t>, the two clinical indications for BRTO are bleeding GVs (</w:t>
      </w:r>
      <w:r w:rsidR="008D1763" w:rsidRPr="00D35475">
        <w:rPr>
          <w:rFonts w:ascii="Book Antiqua" w:eastAsia="MS Mincho" w:hAnsi="Book Antiqua" w:cs="MS Mincho"/>
          <w:color w:val="000000"/>
          <w:lang w:eastAsia="ja-JP"/>
        </w:rPr>
        <w:t xml:space="preserve">active, current, prior, and </w:t>
      </w:r>
      <w:r w:rsidRPr="00D35475">
        <w:rPr>
          <w:rFonts w:ascii="Book Antiqua" w:eastAsia="Book Antiqua" w:hAnsi="Book Antiqua" w:cs="Book Antiqua"/>
          <w:color w:val="000000"/>
        </w:rPr>
        <w:t>impending) and refractory hepatic encephalopathy</w:t>
      </w:r>
      <w:r w:rsidR="008D1763" w:rsidRPr="00D35475">
        <w:rPr>
          <w:rFonts w:ascii="Book Antiqua" w:hAnsi="Book Antiqua"/>
        </w:rPr>
        <w:t xml:space="preserve"> </w:t>
      </w:r>
      <w:r w:rsidR="008D1763" w:rsidRPr="00D35475">
        <w:rPr>
          <w:rFonts w:ascii="Book Antiqua" w:eastAsia="Book Antiqua" w:hAnsi="Book Antiqua" w:cs="Book Antiqua"/>
          <w:color w:val="000000"/>
        </w:rPr>
        <w:t>involving the portosystemic shunt that forms</w:t>
      </w:r>
      <w:r w:rsidR="008D1763" w:rsidRPr="00D35475">
        <w:rPr>
          <w:rFonts w:ascii="Book Antiqua" w:eastAsia="MS Mincho" w:hAnsi="Book Antiqua" w:cs="MS Mincho"/>
          <w:color w:val="000000"/>
          <w:lang w:eastAsia="ja-JP"/>
        </w:rPr>
        <w:t xml:space="preserve"> GVs</w:t>
      </w:r>
      <w:r w:rsidRPr="00D35475">
        <w:rPr>
          <w:rFonts w:ascii="Book Antiqua" w:eastAsia="Book Antiqua" w:hAnsi="Book Antiqua" w:cs="Book Antiqua"/>
          <w:color w:val="000000"/>
        </w:rPr>
        <w:t xml:space="preserve">. Contraindications include: (1) </w:t>
      </w:r>
      <w:r w:rsidR="00463552" w:rsidRPr="00D35475">
        <w:rPr>
          <w:rFonts w:ascii="Book Antiqua" w:eastAsia="Book Antiqua" w:hAnsi="Book Antiqua" w:cs="Book Antiqua"/>
          <w:color w:val="000000"/>
        </w:rPr>
        <w:t>S</w:t>
      </w:r>
      <w:r w:rsidRPr="00D35475">
        <w:rPr>
          <w:rFonts w:ascii="Book Antiqua" w:eastAsia="Book Antiqua" w:hAnsi="Book Antiqua" w:cs="Book Antiqua"/>
          <w:color w:val="000000"/>
        </w:rPr>
        <w:t xml:space="preserve">evere </w:t>
      </w:r>
      <w:r w:rsidR="006D436F" w:rsidRPr="00D35475">
        <w:rPr>
          <w:rFonts w:ascii="Book Antiqua" w:eastAsia="Book Antiqua" w:hAnsi="Book Antiqua" w:cs="Book Antiqua"/>
          <w:color w:val="000000"/>
        </w:rPr>
        <w:t>uncontrolable</w:t>
      </w:r>
      <w:r w:rsidRPr="00D35475">
        <w:rPr>
          <w:rFonts w:ascii="Book Antiqua" w:eastAsia="Book Antiqua" w:hAnsi="Book Antiqua" w:cs="Book Antiqua"/>
          <w:color w:val="000000"/>
        </w:rPr>
        <w:t xml:space="preserve"> coagulopathy associated with liver failure</w:t>
      </w:r>
      <w:r w:rsidR="00463552" w:rsidRPr="00D35475">
        <w:rPr>
          <w:rFonts w:ascii="Book Antiqua" w:eastAsia="Book Antiqua" w:hAnsi="Book Antiqua" w:cs="Book Antiqua"/>
          <w:color w:val="000000"/>
        </w:rPr>
        <w:t>;</w:t>
      </w:r>
      <w:r w:rsidRPr="00D35475">
        <w:rPr>
          <w:rFonts w:ascii="Book Antiqua" w:eastAsia="Book Antiqua" w:hAnsi="Book Antiqua" w:cs="Book Antiqua"/>
          <w:color w:val="000000"/>
        </w:rPr>
        <w:t xml:space="preserve"> (2) </w:t>
      </w:r>
      <w:r w:rsidR="00463552" w:rsidRPr="00D35475">
        <w:rPr>
          <w:rFonts w:ascii="Book Antiqua" w:eastAsia="Book Antiqua" w:hAnsi="Book Antiqua" w:cs="Book Antiqua"/>
          <w:color w:val="000000"/>
        </w:rPr>
        <w:t>S</w:t>
      </w:r>
      <w:r w:rsidRPr="00D35475">
        <w:rPr>
          <w:rFonts w:ascii="Book Antiqua" w:eastAsia="Book Antiqua" w:hAnsi="Book Antiqua" w:cs="Book Antiqua"/>
          <w:color w:val="000000"/>
        </w:rPr>
        <w:t>plenic vein thrombosis</w:t>
      </w:r>
      <w:r w:rsidR="00463552" w:rsidRPr="00D35475">
        <w:rPr>
          <w:rFonts w:ascii="Book Antiqua" w:eastAsia="Book Antiqua" w:hAnsi="Book Antiqua" w:cs="Book Antiqua"/>
          <w:color w:val="000000"/>
        </w:rPr>
        <w:t>;</w:t>
      </w:r>
      <w:r w:rsidRPr="00D35475">
        <w:rPr>
          <w:rFonts w:ascii="Book Antiqua" w:eastAsia="Book Antiqua" w:hAnsi="Book Antiqua" w:cs="Book Antiqua"/>
          <w:color w:val="000000"/>
        </w:rPr>
        <w:t xml:space="preserve"> (3) </w:t>
      </w:r>
      <w:r w:rsidR="00463552" w:rsidRPr="00D35475">
        <w:rPr>
          <w:rFonts w:ascii="Book Antiqua" w:eastAsia="Book Antiqua" w:hAnsi="Book Antiqua" w:cs="Book Antiqua"/>
          <w:color w:val="000000"/>
        </w:rPr>
        <w:t>P</w:t>
      </w:r>
      <w:r w:rsidRPr="00D35475">
        <w:rPr>
          <w:rFonts w:ascii="Book Antiqua" w:eastAsia="Book Antiqua" w:hAnsi="Book Antiqua" w:cs="Book Antiqua"/>
          <w:color w:val="000000"/>
        </w:rPr>
        <w:t>ortal vein thrombosis</w:t>
      </w:r>
      <w:r w:rsidR="00463552" w:rsidRPr="00D35475">
        <w:rPr>
          <w:rFonts w:ascii="Book Antiqua" w:eastAsia="Book Antiqua" w:hAnsi="Book Antiqua" w:cs="Book Antiqua"/>
          <w:color w:val="000000"/>
        </w:rPr>
        <w:t>;</w:t>
      </w:r>
      <w:r w:rsidRPr="00D35475">
        <w:rPr>
          <w:rFonts w:ascii="Book Antiqua" w:eastAsia="Book Antiqua" w:hAnsi="Book Antiqua" w:cs="Book Antiqua"/>
          <w:color w:val="000000"/>
        </w:rPr>
        <w:t xml:space="preserve"> and (4) </w:t>
      </w:r>
      <w:r w:rsidR="00463552" w:rsidRPr="00D35475">
        <w:rPr>
          <w:rFonts w:ascii="Book Antiqua" w:eastAsia="Book Antiqua" w:hAnsi="Book Antiqua" w:cs="Book Antiqua"/>
          <w:color w:val="000000"/>
        </w:rPr>
        <w:t>U</w:t>
      </w:r>
      <w:r w:rsidRPr="00D35475">
        <w:rPr>
          <w:rFonts w:ascii="Book Antiqua" w:eastAsia="Book Antiqua" w:hAnsi="Book Antiqua" w:cs="Book Antiqua"/>
          <w:color w:val="000000"/>
        </w:rPr>
        <w:t xml:space="preserve">ncontrolled bleeding from EVs. In the case of uncontrolled bleeding from EVs, BRTO is contraindicated as a sole procedure; combined transjugular intrahepatic portosystemic shunt (TIPS) and BRTO or balloon-occluded antegrade transvenous obliteration (BATO) </w:t>
      </w:r>
      <w:r w:rsidRPr="00D35475">
        <w:rPr>
          <w:rFonts w:ascii="Book Antiqua" w:eastAsia="Book Antiqua" w:hAnsi="Book Antiqua" w:cs="Book Antiqua"/>
          <w:i/>
          <w:iCs/>
          <w:color w:val="000000"/>
        </w:rPr>
        <w:t>via</w:t>
      </w:r>
      <w:r w:rsidRPr="00D35475">
        <w:rPr>
          <w:rFonts w:ascii="Book Antiqua" w:eastAsia="Book Antiqua" w:hAnsi="Book Antiqua" w:cs="Book Antiqua"/>
          <w:color w:val="000000"/>
        </w:rPr>
        <w:t xml:space="preserve"> the TIPS route are recommended instead.</w:t>
      </w:r>
    </w:p>
    <w:p w14:paraId="0DF476FC" w14:textId="2E05DBB5" w:rsidR="00A77B3E" w:rsidRPr="00D35475" w:rsidRDefault="00CD48BE" w:rsidP="000E27CD">
      <w:pPr>
        <w:adjustRightInd w:val="0"/>
        <w:snapToGrid w:val="0"/>
        <w:spacing w:line="360" w:lineRule="auto"/>
        <w:ind w:firstLineChars="200" w:firstLine="480"/>
        <w:jc w:val="both"/>
        <w:rPr>
          <w:rFonts w:ascii="Book Antiqua" w:hAnsi="Book Antiqua"/>
        </w:rPr>
      </w:pPr>
      <w:r w:rsidRPr="00D35475">
        <w:rPr>
          <w:rFonts w:ascii="Book Antiqua" w:eastAsia="Book Antiqua" w:hAnsi="Book Antiqua" w:cs="Book Antiqua"/>
          <w:color w:val="000000"/>
        </w:rPr>
        <w:lastRenderedPageBreak/>
        <w:t>We use BRTO for both emergency and elective treatment of ruptured GVs as well as prophylactic treatment according to the criteria described below</w:t>
      </w:r>
      <w:r w:rsidRPr="00D35475">
        <w:rPr>
          <w:rFonts w:ascii="Book Antiqua" w:eastAsia="Book Antiqua" w:hAnsi="Book Antiqua" w:cs="Book Antiqua"/>
          <w:color w:val="000000"/>
          <w:vertAlign w:val="superscript"/>
        </w:rPr>
        <w:t>[15,16]</w:t>
      </w:r>
      <w:r w:rsidRPr="00D35475">
        <w:rPr>
          <w:rFonts w:ascii="Book Antiqua" w:eastAsia="Book Antiqua" w:hAnsi="Book Antiqua" w:cs="Book Antiqua"/>
          <w:color w:val="000000"/>
        </w:rPr>
        <w:t>. Indications for prophylactic treatment of GVs include nodular form and red color spot lesions</w:t>
      </w:r>
      <w:r w:rsidRPr="00D35475">
        <w:rPr>
          <w:rFonts w:ascii="Book Antiqua" w:eastAsia="Book Antiqua" w:hAnsi="Book Antiqua" w:cs="Book Antiqua"/>
          <w:color w:val="000000"/>
          <w:vertAlign w:val="superscript"/>
        </w:rPr>
        <w:t>[17]</w:t>
      </w:r>
      <w:r w:rsidRPr="00D35475">
        <w:rPr>
          <w:rFonts w:ascii="Book Antiqua" w:eastAsia="Book Antiqua" w:hAnsi="Book Antiqua" w:cs="Book Antiqua"/>
          <w:color w:val="000000"/>
        </w:rPr>
        <w:t>, increasing size over time, and hepatic encephalopathy. However, we do not treat patients with severe hepatic dysfunction (total bilirubin ≥ 4.0 mg/dL, Child-Pugh score ≥</w:t>
      </w:r>
      <w:r w:rsidR="00463552" w:rsidRPr="00D35475">
        <w:rPr>
          <w:rFonts w:ascii="Book Antiqua" w:eastAsia="Book Antiqua" w:hAnsi="Book Antiqua" w:cs="Book Antiqua"/>
          <w:color w:val="000000"/>
        </w:rPr>
        <w:t xml:space="preserve"> </w:t>
      </w:r>
      <w:r w:rsidRPr="00D35475">
        <w:rPr>
          <w:rFonts w:ascii="Book Antiqua" w:eastAsia="Book Antiqua" w:hAnsi="Book Antiqua" w:cs="Book Antiqua"/>
          <w:color w:val="000000"/>
        </w:rPr>
        <w:t>13), renal dysfunction (eGFR &lt;</w:t>
      </w:r>
      <w:r w:rsidR="00463552" w:rsidRPr="00D35475">
        <w:rPr>
          <w:rFonts w:ascii="Book Antiqua" w:eastAsia="Book Antiqua" w:hAnsi="Book Antiqua" w:cs="Book Antiqua"/>
          <w:color w:val="000000"/>
        </w:rPr>
        <w:t xml:space="preserve"> </w:t>
      </w:r>
      <w:r w:rsidRPr="00D35475">
        <w:rPr>
          <w:rFonts w:ascii="Book Antiqua" w:eastAsia="Book Antiqua" w:hAnsi="Book Antiqua" w:cs="Book Antiqua"/>
          <w:color w:val="000000"/>
        </w:rPr>
        <w:t>30 mL/min/1.73</w:t>
      </w:r>
      <w:r w:rsidR="00210902">
        <w:rPr>
          <w:rFonts w:ascii="Book Antiqua" w:eastAsia="Book Antiqua" w:hAnsi="Book Antiqua" w:cs="Book Antiqua"/>
          <w:color w:val="000000"/>
        </w:rPr>
        <w:t xml:space="preserve"> </w:t>
      </w:r>
      <w:r w:rsidRPr="00D35475">
        <w:rPr>
          <w:rFonts w:ascii="Book Antiqua" w:eastAsia="Book Antiqua" w:hAnsi="Book Antiqua" w:cs="Book Antiqua"/>
          <w:color w:val="000000"/>
        </w:rPr>
        <w:t>m</w:t>
      </w:r>
      <w:r w:rsidRPr="00D35475">
        <w:rPr>
          <w:rFonts w:ascii="Book Antiqua" w:eastAsia="Book Antiqua" w:hAnsi="Book Antiqua" w:cs="Book Antiqua"/>
          <w:color w:val="000000"/>
          <w:vertAlign w:val="superscript"/>
        </w:rPr>
        <w:t>2</w:t>
      </w:r>
      <w:r w:rsidRPr="00D35475">
        <w:rPr>
          <w:rFonts w:ascii="Book Antiqua" w:eastAsia="Book Antiqua" w:hAnsi="Book Antiqua" w:cs="Book Antiqua"/>
          <w:color w:val="000000"/>
        </w:rPr>
        <w:t>), or other serious diseases with poor prognosis as well as those without a portosystemic shunt amenable to a retrograde approach</w:t>
      </w:r>
      <w:r w:rsidRPr="00D35475">
        <w:rPr>
          <w:rFonts w:ascii="Book Antiqua" w:eastAsia="Book Antiqua" w:hAnsi="Book Antiqua" w:cs="Book Antiqua"/>
          <w:color w:val="000000"/>
          <w:vertAlign w:val="superscript"/>
        </w:rPr>
        <w:t>[15]</w:t>
      </w:r>
      <w:r w:rsidRPr="00D35475">
        <w:rPr>
          <w:rFonts w:ascii="Book Antiqua" w:eastAsia="Book Antiqua" w:hAnsi="Book Antiqua" w:cs="Book Antiqua"/>
          <w:color w:val="000000"/>
        </w:rPr>
        <w:t>. We consider the presence of contrast agent flowing freely from the GRS into the portal vein on balloon-occluded retrograde venography (BRTV) a relative contraindication</w:t>
      </w:r>
      <w:r w:rsidRPr="00D35475">
        <w:rPr>
          <w:rFonts w:ascii="Book Antiqua" w:eastAsia="Book Antiqua" w:hAnsi="Book Antiqua" w:cs="Book Antiqua"/>
          <w:color w:val="000000"/>
          <w:vertAlign w:val="superscript"/>
        </w:rPr>
        <w:t>[16]</w:t>
      </w:r>
      <w:r w:rsidRPr="00D35475">
        <w:rPr>
          <w:rFonts w:ascii="Book Antiqua" w:eastAsia="Book Antiqua" w:hAnsi="Book Antiqua" w:cs="Book Antiqua"/>
          <w:color w:val="000000"/>
        </w:rPr>
        <w:t>.</w:t>
      </w:r>
    </w:p>
    <w:p w14:paraId="76856B59" w14:textId="77777777" w:rsidR="00A77B3E" w:rsidRPr="00D35475" w:rsidRDefault="00A77B3E" w:rsidP="000E27CD">
      <w:pPr>
        <w:adjustRightInd w:val="0"/>
        <w:snapToGrid w:val="0"/>
        <w:spacing w:line="360" w:lineRule="auto"/>
        <w:jc w:val="both"/>
        <w:rPr>
          <w:rFonts w:ascii="Book Antiqua" w:hAnsi="Book Antiqua"/>
        </w:rPr>
      </w:pPr>
    </w:p>
    <w:p w14:paraId="7774324F"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caps/>
          <w:color w:val="000000"/>
          <w:u w:val="single"/>
        </w:rPr>
        <w:t>Advantages of BRTO over other treatments</w:t>
      </w:r>
    </w:p>
    <w:p w14:paraId="0E4DCEF7" w14:textId="55E422FF" w:rsidR="00463552" w:rsidRPr="00D35475" w:rsidRDefault="00CD48BE" w:rsidP="000E27CD">
      <w:pPr>
        <w:adjustRightInd w:val="0"/>
        <w:snapToGrid w:val="0"/>
        <w:spacing w:line="360" w:lineRule="auto"/>
        <w:jc w:val="both"/>
        <w:rPr>
          <w:rFonts w:ascii="Book Antiqua" w:eastAsia="Book Antiqua" w:hAnsi="Book Antiqua" w:cs="Book Antiqua"/>
          <w:color w:val="000000"/>
        </w:rPr>
      </w:pPr>
      <w:r w:rsidRPr="00D35475">
        <w:rPr>
          <w:rFonts w:ascii="Book Antiqua" w:eastAsia="Book Antiqua" w:hAnsi="Book Antiqua" w:cs="Book Antiqua"/>
          <w:color w:val="000000"/>
        </w:rPr>
        <w:t>Although beta blockers are widely used to prevent bleeding in esophagogastric varices, based on a great deal of evidence</w:t>
      </w:r>
      <w:r w:rsidRPr="00D35475">
        <w:rPr>
          <w:rFonts w:ascii="Book Antiqua" w:eastAsia="Book Antiqua" w:hAnsi="Book Antiqua" w:cs="Book Antiqua"/>
          <w:color w:val="000000"/>
          <w:vertAlign w:val="superscript"/>
        </w:rPr>
        <w:t>[13,18]</w:t>
      </w:r>
      <w:r w:rsidRPr="00D35475">
        <w:rPr>
          <w:rFonts w:ascii="Book Antiqua" w:eastAsia="Book Antiqua" w:hAnsi="Book Antiqua" w:cs="Book Antiqua"/>
          <w:color w:val="000000"/>
        </w:rPr>
        <w:t>, this review omits a description of them as its focus is interventional procedures.</w:t>
      </w:r>
    </w:p>
    <w:p w14:paraId="3D3B420F" w14:textId="44F1ADF4" w:rsidR="00463552" w:rsidRPr="00D35475" w:rsidRDefault="00CD48BE" w:rsidP="000E27CD">
      <w:pPr>
        <w:adjustRightInd w:val="0"/>
        <w:snapToGrid w:val="0"/>
        <w:spacing w:line="360" w:lineRule="auto"/>
        <w:ind w:firstLineChars="200" w:firstLine="480"/>
        <w:jc w:val="both"/>
        <w:rPr>
          <w:rFonts w:ascii="Book Antiqua" w:eastAsia="Book Antiqua" w:hAnsi="Book Antiqua" w:cs="Book Antiqua"/>
          <w:color w:val="000000"/>
        </w:rPr>
      </w:pPr>
      <w:r w:rsidRPr="00D35475">
        <w:rPr>
          <w:rFonts w:ascii="Book Antiqua" w:eastAsia="Book Antiqua" w:hAnsi="Book Antiqua" w:cs="Book Antiqua"/>
          <w:color w:val="000000"/>
        </w:rPr>
        <w:t>TIPS is widely used in Western countries to treat portal hypertension in patients with esophagogastric varices and refractory ascites</w:t>
      </w:r>
      <w:r w:rsidRPr="00D35475">
        <w:rPr>
          <w:rFonts w:ascii="Book Antiqua" w:eastAsia="Book Antiqua" w:hAnsi="Book Antiqua" w:cs="Book Antiqua"/>
          <w:color w:val="000000"/>
          <w:vertAlign w:val="superscript"/>
        </w:rPr>
        <w:t>[19-24]</w:t>
      </w:r>
      <w:r w:rsidRPr="00D35475">
        <w:rPr>
          <w:rFonts w:ascii="Book Antiqua" w:eastAsia="Book Antiqua" w:hAnsi="Book Antiqua" w:cs="Book Antiqua"/>
          <w:color w:val="000000"/>
        </w:rPr>
        <w:t>. TIPS significantly reduces GVs rebleeding compared with pharmacotherapy and endoscopic treatments such as endoscopic variceal band ligation</w:t>
      </w:r>
      <w:r w:rsidRPr="00D35475">
        <w:rPr>
          <w:rFonts w:ascii="Book Antiqua" w:eastAsia="Book Antiqua" w:hAnsi="Book Antiqua" w:cs="Book Antiqua"/>
          <w:color w:val="000000"/>
          <w:vertAlign w:val="superscript"/>
        </w:rPr>
        <w:t>[19-21]</w:t>
      </w:r>
      <w:r w:rsidRPr="00D35475">
        <w:rPr>
          <w:rFonts w:ascii="Book Antiqua" w:eastAsia="Book Antiqua" w:hAnsi="Book Antiqua" w:cs="Book Antiqua"/>
          <w:color w:val="000000"/>
        </w:rPr>
        <w:t>. Although TIPS reduces portal venous pressure</w:t>
      </w:r>
      <w:r w:rsidR="00111ABE" w:rsidRPr="00D35475">
        <w:rPr>
          <w:rFonts w:ascii="Book Antiqua" w:eastAsia="Book Antiqua" w:hAnsi="Book Antiqua" w:cs="Book Antiqua"/>
          <w:color w:val="000000"/>
        </w:rPr>
        <w:t xml:space="preserve"> (PVP)</w:t>
      </w:r>
      <w:r w:rsidRPr="00D35475">
        <w:rPr>
          <w:rFonts w:ascii="Book Antiqua" w:eastAsia="Book Antiqua" w:hAnsi="Book Antiqua" w:cs="Book Antiqua"/>
          <w:color w:val="000000"/>
        </w:rPr>
        <w:t>, GVs rebleeding and stent dysfunction are common</w:t>
      </w:r>
      <w:r w:rsidRPr="00D35475">
        <w:rPr>
          <w:rFonts w:ascii="Book Antiqua" w:eastAsia="Book Antiqua" w:hAnsi="Book Antiqua" w:cs="Book Antiqua"/>
          <w:color w:val="000000"/>
          <w:vertAlign w:val="superscript"/>
        </w:rPr>
        <w:t>[19-21,25]</w:t>
      </w:r>
      <w:r w:rsidRPr="00D35475">
        <w:rPr>
          <w:rFonts w:ascii="Book Antiqua" w:eastAsia="Book Antiqua" w:hAnsi="Book Antiqua" w:cs="Book Antiqua"/>
          <w:color w:val="000000"/>
        </w:rPr>
        <w:t xml:space="preserve">. Additionally, </w:t>
      </w:r>
      <w:r w:rsidR="001C3419" w:rsidRPr="00D35475">
        <w:rPr>
          <w:rFonts w:ascii="Book Antiqua" w:eastAsia="Book Antiqua" w:hAnsi="Book Antiqua" w:cs="Book Antiqua"/>
          <w:color w:val="000000"/>
        </w:rPr>
        <w:t xml:space="preserve">post-TIPS </w:t>
      </w:r>
      <w:r w:rsidRPr="00D35475">
        <w:rPr>
          <w:rFonts w:ascii="Book Antiqua" w:eastAsia="Book Antiqua" w:hAnsi="Book Antiqua" w:cs="Book Antiqua"/>
          <w:color w:val="000000"/>
        </w:rPr>
        <w:t xml:space="preserve">mortality is relatively high </w:t>
      </w:r>
      <w:r w:rsidR="001C3419" w:rsidRPr="00D35475">
        <w:rPr>
          <w:rFonts w:ascii="Book Antiqua" w:eastAsia="Book Antiqua" w:hAnsi="Book Antiqua" w:cs="Book Antiqua"/>
          <w:color w:val="000000"/>
        </w:rPr>
        <w:t>due to</w:t>
      </w:r>
      <w:r w:rsidRPr="00D35475">
        <w:rPr>
          <w:rFonts w:ascii="Book Antiqua" w:eastAsia="Book Antiqua" w:hAnsi="Book Antiqua" w:cs="Book Antiqua"/>
          <w:color w:val="000000"/>
        </w:rPr>
        <w:t xml:space="preserve"> serious complications such as </w:t>
      </w:r>
      <w:r w:rsidR="001C3419" w:rsidRPr="00D35475">
        <w:rPr>
          <w:rFonts w:ascii="Book Antiqua" w:eastAsia="Book Antiqua" w:hAnsi="Book Antiqua" w:cs="Book Antiqua"/>
          <w:color w:val="000000"/>
        </w:rPr>
        <w:t xml:space="preserve">intraperitoneal hemorrhage, </w:t>
      </w:r>
      <w:r w:rsidRPr="00D35475">
        <w:rPr>
          <w:rFonts w:ascii="Book Antiqua" w:eastAsia="Book Antiqua" w:hAnsi="Book Antiqua" w:cs="Book Antiqua"/>
          <w:color w:val="000000"/>
        </w:rPr>
        <w:t xml:space="preserve">hemobilia, sepsis, hepatic failure, </w:t>
      </w:r>
      <w:r w:rsidR="001C3419" w:rsidRPr="00D35475">
        <w:rPr>
          <w:rFonts w:ascii="Book Antiqua" w:eastAsia="Book Antiqua" w:hAnsi="Book Antiqua" w:cs="Book Antiqua"/>
          <w:color w:val="000000"/>
        </w:rPr>
        <w:t xml:space="preserve">congestive heart failure, </w:t>
      </w:r>
      <w:r w:rsidRPr="00D35475">
        <w:rPr>
          <w:rFonts w:ascii="Book Antiqua" w:eastAsia="Book Antiqua" w:hAnsi="Book Antiqua" w:cs="Book Antiqua"/>
          <w:color w:val="000000"/>
        </w:rPr>
        <w:t>and others</w:t>
      </w:r>
      <w:r w:rsidRPr="00D35475">
        <w:rPr>
          <w:rFonts w:ascii="Book Antiqua" w:eastAsia="Book Antiqua" w:hAnsi="Book Antiqua" w:cs="Book Antiqua"/>
          <w:color w:val="000000"/>
          <w:vertAlign w:val="superscript"/>
        </w:rPr>
        <w:t>[25,26]</w:t>
      </w:r>
      <w:r w:rsidRPr="00D35475">
        <w:rPr>
          <w:rFonts w:ascii="Book Antiqua" w:eastAsia="Book Antiqua" w:hAnsi="Book Antiqua" w:cs="Book Antiqua"/>
          <w:color w:val="000000"/>
        </w:rPr>
        <w:t>. However, the use of polytetrafluoroethylene-covered stents has improved the TIPS patency rate</w:t>
      </w:r>
      <w:r w:rsidRPr="00D35475">
        <w:rPr>
          <w:rFonts w:ascii="Book Antiqua" w:eastAsia="Book Antiqua" w:hAnsi="Book Antiqua" w:cs="Book Antiqua"/>
          <w:color w:val="000000"/>
          <w:vertAlign w:val="superscript"/>
        </w:rPr>
        <w:t>[27]</w:t>
      </w:r>
      <w:r w:rsidRPr="00D35475">
        <w:rPr>
          <w:rFonts w:ascii="Book Antiqua" w:eastAsia="Book Antiqua" w:hAnsi="Book Antiqua" w:cs="Book Antiqua"/>
          <w:color w:val="000000"/>
        </w:rPr>
        <w:t xml:space="preserve"> and the complication rate has decreased in conjunction with more widespread use. Preemptive TIPS is also recommended to prevent esophagogastric varices rebleeding</w:t>
      </w:r>
      <w:r w:rsidRPr="00D35475">
        <w:rPr>
          <w:rFonts w:ascii="Book Antiqua" w:eastAsia="Book Antiqua" w:hAnsi="Book Antiqua" w:cs="Book Antiqua"/>
          <w:color w:val="000000"/>
          <w:vertAlign w:val="superscript"/>
        </w:rPr>
        <w:t>[13,28]</w:t>
      </w:r>
      <w:r w:rsidRPr="00D35475">
        <w:rPr>
          <w:rFonts w:ascii="Book Antiqua" w:eastAsia="Book Antiqua" w:hAnsi="Book Antiqua" w:cs="Book Antiqua"/>
          <w:color w:val="000000"/>
        </w:rPr>
        <w:t>.</w:t>
      </w:r>
    </w:p>
    <w:p w14:paraId="5B1E07DA" w14:textId="2D4A4177" w:rsidR="00463552" w:rsidRPr="00D35475" w:rsidRDefault="00CD48BE" w:rsidP="000E27CD">
      <w:pPr>
        <w:adjustRightInd w:val="0"/>
        <w:snapToGrid w:val="0"/>
        <w:spacing w:line="360" w:lineRule="auto"/>
        <w:ind w:firstLineChars="200" w:firstLine="480"/>
        <w:jc w:val="both"/>
        <w:rPr>
          <w:rFonts w:ascii="Book Antiqua" w:eastAsia="Book Antiqua" w:hAnsi="Book Antiqua" w:cs="Book Antiqua"/>
          <w:color w:val="000000"/>
        </w:rPr>
      </w:pPr>
      <w:r w:rsidRPr="00D35475">
        <w:rPr>
          <w:rFonts w:ascii="Book Antiqua" w:eastAsia="Book Antiqua" w:hAnsi="Book Antiqua" w:cs="Book Antiqua"/>
          <w:color w:val="000000"/>
        </w:rPr>
        <w:t>Endoscopic injection of n-butyl-2-cyanoacrylate (CA) has also been widely used to treat GVs</w:t>
      </w:r>
      <w:r w:rsidRPr="00D35475">
        <w:rPr>
          <w:rFonts w:ascii="Book Antiqua" w:eastAsia="Book Antiqua" w:hAnsi="Book Antiqua" w:cs="Book Antiqua"/>
          <w:color w:val="000000"/>
          <w:vertAlign w:val="superscript"/>
        </w:rPr>
        <w:t>[29]</w:t>
      </w:r>
      <w:r w:rsidRPr="00D35475">
        <w:rPr>
          <w:rFonts w:ascii="Book Antiqua" w:eastAsia="Book Antiqua" w:hAnsi="Book Antiqua" w:cs="Book Antiqua"/>
          <w:color w:val="000000"/>
        </w:rPr>
        <w:t>. In patients with acute bleeding, CA injection is reportedly more effective than pharmacotherapy alone</w:t>
      </w:r>
      <w:r w:rsidRPr="00D35475">
        <w:rPr>
          <w:rFonts w:ascii="Book Antiqua" w:eastAsia="Book Antiqua" w:hAnsi="Book Antiqua" w:cs="Book Antiqua"/>
          <w:color w:val="000000"/>
          <w:vertAlign w:val="superscript"/>
        </w:rPr>
        <w:t>[30,31]</w:t>
      </w:r>
      <w:r w:rsidRPr="00D35475">
        <w:rPr>
          <w:rFonts w:ascii="Book Antiqua" w:eastAsia="Book Antiqua" w:hAnsi="Book Antiqua" w:cs="Book Antiqua"/>
          <w:color w:val="000000"/>
        </w:rPr>
        <w:t xml:space="preserve"> and is the therapy of choice</w:t>
      </w:r>
      <w:r w:rsidRPr="00D35475">
        <w:rPr>
          <w:rFonts w:ascii="Book Antiqua" w:eastAsia="Book Antiqua" w:hAnsi="Book Antiqua" w:cs="Book Antiqua"/>
          <w:color w:val="000000"/>
          <w:vertAlign w:val="superscript"/>
        </w:rPr>
        <w:t>[32,33]</w:t>
      </w:r>
      <w:r w:rsidRPr="00D35475">
        <w:rPr>
          <w:rFonts w:ascii="Book Antiqua" w:eastAsia="Book Antiqua" w:hAnsi="Book Antiqua" w:cs="Book Antiqua"/>
          <w:color w:val="000000"/>
        </w:rPr>
        <w:t xml:space="preserve">; however, CA </w:t>
      </w:r>
      <w:r w:rsidRPr="00D35475">
        <w:rPr>
          <w:rFonts w:ascii="Book Antiqua" w:eastAsia="Book Antiqua" w:hAnsi="Book Antiqua" w:cs="Book Antiqua"/>
          <w:color w:val="000000"/>
        </w:rPr>
        <w:lastRenderedPageBreak/>
        <w:t>injection for elective treatment is not recommended and only used when no other treatment is available</w:t>
      </w:r>
      <w:r w:rsidRPr="00D35475">
        <w:rPr>
          <w:rFonts w:ascii="Book Antiqua" w:eastAsia="Book Antiqua" w:hAnsi="Book Antiqua" w:cs="Book Antiqua"/>
          <w:color w:val="000000"/>
          <w:vertAlign w:val="superscript"/>
        </w:rPr>
        <w:t>[32,33]</w:t>
      </w:r>
      <w:r w:rsidRPr="00D35475">
        <w:rPr>
          <w:rFonts w:ascii="Book Antiqua" w:eastAsia="Book Antiqua" w:hAnsi="Book Antiqua" w:cs="Book Antiqua"/>
          <w:color w:val="000000"/>
        </w:rPr>
        <w:t>.</w:t>
      </w:r>
    </w:p>
    <w:p w14:paraId="3FBB0001" w14:textId="16019701" w:rsidR="00A77B3E" w:rsidRPr="00D35475" w:rsidRDefault="00CD48BE" w:rsidP="000E27CD">
      <w:pPr>
        <w:adjustRightInd w:val="0"/>
        <w:snapToGrid w:val="0"/>
        <w:spacing w:line="360" w:lineRule="auto"/>
        <w:ind w:firstLineChars="200" w:firstLine="480"/>
        <w:jc w:val="both"/>
        <w:rPr>
          <w:rFonts w:ascii="Book Antiqua" w:eastAsia="Book Antiqua" w:hAnsi="Book Antiqua" w:cs="Book Antiqua"/>
          <w:color w:val="000000"/>
        </w:rPr>
      </w:pPr>
      <w:r w:rsidRPr="00D35475">
        <w:rPr>
          <w:rFonts w:ascii="Book Antiqua" w:eastAsia="Book Antiqua" w:hAnsi="Book Antiqua" w:cs="Book Antiqua"/>
          <w:color w:val="000000"/>
        </w:rPr>
        <w:t>BRTO is highly effective to eradicate GVs</w:t>
      </w:r>
      <w:r w:rsidRPr="00D35475">
        <w:rPr>
          <w:rFonts w:ascii="Book Antiqua" w:eastAsia="Book Antiqua" w:hAnsi="Book Antiqua" w:cs="Book Antiqua"/>
          <w:color w:val="000000"/>
          <w:vertAlign w:val="superscript"/>
        </w:rPr>
        <w:t>[6-8,15,34]</w:t>
      </w:r>
      <w:r w:rsidRPr="00D35475">
        <w:rPr>
          <w:rFonts w:ascii="Book Antiqua" w:eastAsia="Book Antiqua" w:hAnsi="Book Antiqua" w:cs="Book Antiqua"/>
          <w:color w:val="000000"/>
        </w:rPr>
        <w:t xml:space="preserve"> and can be effective for prophylactic</w:t>
      </w:r>
      <w:r w:rsidRPr="00D35475">
        <w:rPr>
          <w:rFonts w:ascii="Book Antiqua" w:eastAsia="Book Antiqua" w:hAnsi="Book Antiqua" w:cs="Book Antiqua"/>
          <w:color w:val="000000"/>
          <w:vertAlign w:val="superscript"/>
        </w:rPr>
        <w:t>[7-9,34]</w:t>
      </w:r>
      <w:r w:rsidRPr="00D35475">
        <w:rPr>
          <w:rFonts w:ascii="Book Antiqua" w:eastAsia="Book Antiqua" w:hAnsi="Book Antiqua" w:cs="Book Antiqua"/>
          <w:color w:val="000000"/>
        </w:rPr>
        <w:t xml:space="preserve"> as well as emergency bleeding treatment</w:t>
      </w:r>
      <w:r w:rsidRPr="00D35475">
        <w:rPr>
          <w:rFonts w:ascii="Book Antiqua" w:eastAsia="Book Antiqua" w:hAnsi="Book Antiqua" w:cs="Book Antiqua"/>
          <w:color w:val="000000"/>
          <w:vertAlign w:val="superscript"/>
        </w:rPr>
        <w:t>[15,35,36]</w:t>
      </w:r>
      <w:r w:rsidRPr="00D35475">
        <w:rPr>
          <w:rFonts w:ascii="Book Antiqua" w:eastAsia="Book Antiqua" w:hAnsi="Book Antiqua" w:cs="Book Antiqua"/>
          <w:color w:val="000000"/>
        </w:rPr>
        <w:t>. Several studies have shown that BRTO is superior to endoscopic interventions in terms of bleeding control and prognosis in patients with GVs</w:t>
      </w:r>
      <w:r w:rsidRPr="00D35475">
        <w:rPr>
          <w:rFonts w:ascii="Book Antiqua" w:eastAsia="Book Antiqua" w:hAnsi="Book Antiqua" w:cs="Book Antiqua"/>
          <w:color w:val="000000"/>
          <w:vertAlign w:val="superscript"/>
        </w:rPr>
        <w:t>[35,37,38]</w:t>
      </w:r>
      <w:r w:rsidRPr="00D35475">
        <w:rPr>
          <w:rFonts w:ascii="Book Antiqua" w:eastAsia="Book Antiqua" w:hAnsi="Book Antiqua" w:cs="Book Antiqua"/>
          <w:color w:val="000000"/>
        </w:rPr>
        <w:t>. Furthermore, several comparative studies have reported that BRTO has a slight advantage over TIPS in terms of rebleeding, hepatic encephalopathy, hepatic functional reserve, and survival</w:t>
      </w:r>
      <w:r w:rsidRPr="00D35475">
        <w:rPr>
          <w:rFonts w:ascii="Book Antiqua" w:eastAsia="Book Antiqua" w:hAnsi="Book Antiqua" w:cs="Book Antiqua"/>
          <w:color w:val="000000"/>
          <w:vertAlign w:val="superscript"/>
        </w:rPr>
        <w:t>[39-44]</w:t>
      </w:r>
      <w:r w:rsidRPr="00D35475">
        <w:rPr>
          <w:rFonts w:ascii="Book Antiqua" w:eastAsia="Book Antiqua" w:hAnsi="Book Antiqua" w:cs="Book Antiqua"/>
          <w:color w:val="000000"/>
        </w:rPr>
        <w:t>. These studies are summarized in Table</w:t>
      </w:r>
      <w:r w:rsidR="00463552" w:rsidRPr="00D35475">
        <w:rPr>
          <w:rFonts w:ascii="Book Antiqua" w:eastAsia="Book Antiqua" w:hAnsi="Book Antiqua" w:cs="Book Antiqua"/>
          <w:color w:val="000000"/>
        </w:rPr>
        <w:t>s</w:t>
      </w:r>
      <w:r w:rsidRPr="00D35475">
        <w:rPr>
          <w:rFonts w:ascii="Book Antiqua" w:eastAsia="Book Antiqua" w:hAnsi="Book Antiqua" w:cs="Book Antiqua"/>
          <w:color w:val="000000"/>
        </w:rPr>
        <w:t xml:space="preserve"> 1-4. Table 1 shows the study design and sample size. Table 2 summarizes the sclerosant used for BRTO, types of stents used for TIPS, and the technical success rate of each procedure. Table 3 shows the rebleeding rates of GVs and EVs. Table 4 shows the notable complications after each procedure. Recent meta-analyses</w:t>
      </w:r>
      <w:r w:rsidRPr="00D35475">
        <w:rPr>
          <w:rFonts w:ascii="Book Antiqua" w:eastAsia="Book Antiqua" w:hAnsi="Book Antiqua" w:cs="Book Antiqua"/>
          <w:color w:val="000000"/>
          <w:vertAlign w:val="superscript"/>
        </w:rPr>
        <w:t>[45-47]</w:t>
      </w:r>
      <w:r w:rsidRPr="00D35475">
        <w:rPr>
          <w:rFonts w:ascii="Book Antiqua" w:eastAsia="Book Antiqua" w:hAnsi="Book Antiqua" w:cs="Book Antiqua"/>
          <w:color w:val="000000"/>
        </w:rPr>
        <w:t xml:space="preserve"> have concluded that BRTO in patients with GVs bleeding is associated with lower rates of rebleeding and postprocedural hepatic encephalopathy, as well as better survival than TIPS. Although BRTO is effective in eradicating GVs, it is associated with complications such as postprocedural EVs, ectopic varices, and intractable ascites. Further debate over the relative superiority of BRTO or TIPS is not constructive. Rather, clinicians should fully understand the characteristics, risks, and benefits of each and use them suitably according to individual patient therapeutic needs. Clinicians should also consider using them in various therapeutic combinations.</w:t>
      </w:r>
    </w:p>
    <w:p w14:paraId="03FBF138" w14:textId="77777777" w:rsidR="00A77B3E" w:rsidRPr="00D35475" w:rsidRDefault="00A77B3E" w:rsidP="000E27CD">
      <w:pPr>
        <w:adjustRightInd w:val="0"/>
        <w:snapToGrid w:val="0"/>
        <w:spacing w:line="360" w:lineRule="auto"/>
        <w:jc w:val="both"/>
        <w:rPr>
          <w:rFonts w:ascii="Book Antiqua" w:hAnsi="Book Antiqua"/>
        </w:rPr>
      </w:pPr>
    </w:p>
    <w:p w14:paraId="7361B66D"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caps/>
          <w:color w:val="000000"/>
          <w:u w:val="single"/>
        </w:rPr>
        <w:t>Conventional BRTO procedure</w:t>
      </w:r>
    </w:p>
    <w:p w14:paraId="56AAFCE7" w14:textId="31CA6826" w:rsidR="00111ABE" w:rsidRPr="00D35475" w:rsidRDefault="00CD48BE" w:rsidP="000E27CD">
      <w:pPr>
        <w:adjustRightInd w:val="0"/>
        <w:snapToGrid w:val="0"/>
        <w:spacing w:line="360" w:lineRule="auto"/>
        <w:jc w:val="both"/>
        <w:rPr>
          <w:rFonts w:ascii="Book Antiqua" w:eastAsia="Book Antiqua" w:hAnsi="Book Antiqua" w:cs="Book Antiqua"/>
          <w:color w:val="000000"/>
        </w:rPr>
      </w:pPr>
      <w:r w:rsidRPr="00D35475">
        <w:rPr>
          <w:rFonts w:ascii="Book Antiqua" w:eastAsia="Book Antiqua" w:hAnsi="Book Antiqua" w:cs="Book Antiqua"/>
          <w:color w:val="000000"/>
        </w:rPr>
        <w:t xml:space="preserve">BRTO drug preparation and procedures have been described in detail by Hirota </w:t>
      </w:r>
      <w:r w:rsidRPr="00D35475">
        <w:rPr>
          <w:rFonts w:ascii="Book Antiqua" w:eastAsia="Book Antiqua" w:hAnsi="Book Antiqua" w:cs="Book Antiqua"/>
          <w:i/>
          <w:iCs/>
          <w:color w:val="000000"/>
        </w:rPr>
        <w:t>et al</w:t>
      </w:r>
      <w:r w:rsidRPr="00D35475">
        <w:rPr>
          <w:rFonts w:ascii="Book Antiqua" w:eastAsia="Book Antiqua" w:hAnsi="Book Antiqua" w:cs="Book Antiqua"/>
          <w:color w:val="000000"/>
          <w:vertAlign w:val="superscript"/>
        </w:rPr>
        <w:t>[16]</w:t>
      </w:r>
      <w:r w:rsidRPr="00D35475">
        <w:rPr>
          <w:rFonts w:ascii="Book Antiqua" w:eastAsia="Book Antiqua" w:hAnsi="Book Antiqua" w:cs="Book Antiqua"/>
          <w:color w:val="000000"/>
        </w:rPr>
        <w:t>. In Japan, BRTO using ethanolamine oleate with iopamidol (EOI) became covered by insurance in 2018 after publication of a prospective multicenter clinical trial</w:t>
      </w:r>
      <w:r w:rsidRPr="00D35475">
        <w:rPr>
          <w:rFonts w:ascii="Book Antiqua" w:eastAsia="Book Antiqua" w:hAnsi="Book Antiqua" w:cs="Book Antiqua"/>
          <w:color w:val="000000"/>
          <w:vertAlign w:val="superscript"/>
        </w:rPr>
        <w:t>[48]</w:t>
      </w:r>
      <w:r w:rsidRPr="00D35475">
        <w:rPr>
          <w:rFonts w:ascii="Book Antiqua" w:eastAsia="Book Antiqua" w:hAnsi="Book Antiqua" w:cs="Book Antiqua"/>
          <w:color w:val="000000"/>
        </w:rPr>
        <w:t>.</w:t>
      </w:r>
    </w:p>
    <w:p w14:paraId="06A05F93" w14:textId="4E1324E8" w:rsidR="00A77B3E" w:rsidRPr="00D35475" w:rsidRDefault="00CD48BE" w:rsidP="000E27CD">
      <w:pPr>
        <w:adjustRightInd w:val="0"/>
        <w:snapToGrid w:val="0"/>
        <w:spacing w:line="360" w:lineRule="auto"/>
        <w:ind w:firstLineChars="200" w:firstLine="480"/>
        <w:jc w:val="both"/>
        <w:rPr>
          <w:rFonts w:ascii="Book Antiqua" w:hAnsi="Book Antiqua"/>
        </w:rPr>
      </w:pPr>
      <w:r w:rsidRPr="00D35475">
        <w:rPr>
          <w:rFonts w:ascii="Book Antiqua" w:eastAsia="Book Antiqua" w:hAnsi="Book Antiqua" w:cs="Book Antiqua"/>
          <w:color w:val="000000"/>
        </w:rPr>
        <w:t>Our conventional BRTO method is described as follows</w:t>
      </w:r>
      <w:r w:rsidRPr="00D35475">
        <w:rPr>
          <w:rFonts w:ascii="Book Antiqua" w:eastAsia="Book Antiqua" w:hAnsi="Book Antiqua" w:cs="Book Antiqua"/>
          <w:color w:val="000000"/>
          <w:vertAlign w:val="superscript"/>
        </w:rPr>
        <w:t>[15,49]</w:t>
      </w:r>
      <w:r w:rsidRPr="00D35475">
        <w:rPr>
          <w:rFonts w:ascii="Book Antiqua" w:eastAsia="Book Antiqua" w:hAnsi="Book Antiqua" w:cs="Book Antiqua"/>
          <w:color w:val="000000"/>
        </w:rPr>
        <w:t xml:space="preserve">: GRS is diagnosed by computed tomography (CT). An 8 Fr long </w:t>
      </w:r>
      <w:r w:rsidR="00497083" w:rsidRPr="00D35475">
        <w:rPr>
          <w:rFonts w:ascii="Book Antiqua" w:eastAsia="Book Antiqua" w:hAnsi="Book Antiqua" w:cs="Book Antiqua"/>
          <w:color w:val="000000"/>
        </w:rPr>
        <w:t xml:space="preserve">shepherd hook-shaped (Asato; Medikit, Tokyo, Japan) or </w:t>
      </w:r>
      <w:r w:rsidRPr="00D35475">
        <w:rPr>
          <w:rFonts w:ascii="Book Antiqua" w:eastAsia="Book Antiqua" w:hAnsi="Book Antiqua" w:cs="Book Antiqua"/>
          <w:color w:val="000000"/>
        </w:rPr>
        <w:t xml:space="preserve">cobra-shaped (S-one sheath; Terumo Clinical Supply Co., Gifu, Japan) sheath introducer is advanced into the left renal vein </w:t>
      </w:r>
      <w:r w:rsidRPr="00D35475">
        <w:rPr>
          <w:rFonts w:ascii="Book Antiqua" w:eastAsia="Book Antiqua" w:hAnsi="Book Antiqua" w:cs="Book Antiqua"/>
          <w:i/>
          <w:iCs/>
          <w:color w:val="000000"/>
        </w:rPr>
        <w:t>via</w:t>
      </w:r>
      <w:r w:rsidRPr="00D35475">
        <w:rPr>
          <w:rFonts w:ascii="Book Antiqua" w:eastAsia="Book Antiqua" w:hAnsi="Book Antiqua" w:cs="Book Antiqua"/>
          <w:color w:val="000000"/>
        </w:rPr>
        <w:t xml:space="preserve"> the right </w:t>
      </w:r>
      <w:r w:rsidR="00497083" w:rsidRPr="00D35475">
        <w:rPr>
          <w:rFonts w:ascii="Book Antiqua" w:eastAsia="Book Antiqua" w:hAnsi="Book Antiqua" w:cs="Book Antiqua"/>
          <w:color w:val="000000"/>
        </w:rPr>
        <w:t xml:space="preserve">femoral or </w:t>
      </w:r>
      <w:r w:rsidRPr="00D35475">
        <w:rPr>
          <w:rFonts w:ascii="Book Antiqua" w:eastAsia="Book Antiqua" w:hAnsi="Book Antiqua" w:cs="Book Antiqua"/>
          <w:color w:val="000000"/>
        </w:rPr>
        <w:t xml:space="preserve">internal </w:t>
      </w:r>
      <w:r w:rsidRPr="00D35475">
        <w:rPr>
          <w:rFonts w:ascii="Book Antiqua" w:eastAsia="Book Antiqua" w:hAnsi="Book Antiqua" w:cs="Book Antiqua"/>
          <w:color w:val="000000"/>
        </w:rPr>
        <w:lastRenderedPageBreak/>
        <w:t>jugular vein, respectively. A</w:t>
      </w:r>
      <w:r w:rsidR="00497083" w:rsidRPr="00D35475">
        <w:rPr>
          <w:rFonts w:ascii="Book Antiqua" w:eastAsia="Book Antiqua" w:hAnsi="Book Antiqua" w:cs="Book Antiqua"/>
          <w:color w:val="000000"/>
        </w:rPr>
        <w:t xml:space="preserve"> 6 Fr catheter with a 20 mm diameter</w:t>
      </w:r>
      <w:r w:rsidRPr="00D35475">
        <w:rPr>
          <w:rFonts w:ascii="Book Antiqua" w:eastAsia="Book Antiqua" w:hAnsi="Book Antiqua" w:cs="Book Antiqua"/>
          <w:color w:val="000000"/>
        </w:rPr>
        <w:t xml:space="preserve"> </w:t>
      </w:r>
      <w:r w:rsidR="00497083" w:rsidRPr="00D35475">
        <w:rPr>
          <w:rFonts w:ascii="Book Antiqua" w:eastAsia="Book Antiqua" w:hAnsi="Book Antiqua" w:cs="Book Antiqua"/>
          <w:color w:val="000000"/>
        </w:rPr>
        <w:t xml:space="preserve">balloon or </w:t>
      </w:r>
      <w:r w:rsidRPr="00D35475">
        <w:rPr>
          <w:rFonts w:ascii="Book Antiqua" w:eastAsia="Book Antiqua" w:hAnsi="Book Antiqua" w:cs="Book Antiqua"/>
          <w:color w:val="000000"/>
        </w:rPr>
        <w:t xml:space="preserve">5.2 Fr catheter with a 9 mm diameter balloon (Selecon MP Catheter; Terumo Clinical Supply Co.) is then advanced into the GRS </w:t>
      </w:r>
      <w:r w:rsidR="00497083" w:rsidRPr="00D35475">
        <w:rPr>
          <w:rFonts w:ascii="Book Antiqua" w:eastAsia="Book Antiqua" w:hAnsi="Book Antiqua" w:cs="Book Antiqua"/>
          <w:color w:val="000000"/>
        </w:rPr>
        <w:t xml:space="preserve">through the introducer </w:t>
      </w:r>
      <w:r w:rsidRPr="00D35475">
        <w:rPr>
          <w:rFonts w:ascii="Book Antiqua" w:eastAsia="Book Antiqua" w:hAnsi="Book Antiqua" w:cs="Book Antiqua"/>
          <w:color w:val="000000"/>
        </w:rPr>
        <w:t xml:space="preserve">in a retrograde fashion. BRTV (Figure 1) is then performed to identify shunts and their inflow and outflow. Before sclerosing the GRS, the route from the GVs to the GRS needs to be simplified. We use </w:t>
      </w:r>
      <w:r w:rsidR="004F0FBA" w:rsidRPr="00D35475">
        <w:rPr>
          <w:rFonts w:ascii="Book Antiqua" w:eastAsia="Book Antiqua" w:hAnsi="Book Antiqua" w:cs="Book Antiqua"/>
          <w:color w:val="000000"/>
        </w:rPr>
        <w:t>the down-grading method</w:t>
      </w:r>
      <w:r w:rsidR="004F0FBA" w:rsidRPr="00D35475">
        <w:rPr>
          <w:rFonts w:ascii="Book Antiqua" w:eastAsia="Book Antiqua" w:hAnsi="Book Antiqua" w:cs="Book Antiqua"/>
          <w:color w:val="000000"/>
          <w:vertAlign w:val="superscript"/>
        </w:rPr>
        <w:t xml:space="preserve"> </w:t>
      </w:r>
      <w:r w:rsidRPr="00D35475">
        <w:rPr>
          <w:rFonts w:ascii="Book Antiqua" w:eastAsia="Book Antiqua" w:hAnsi="Book Antiqua" w:cs="Book Antiqua"/>
          <w:color w:val="000000"/>
          <w:vertAlign w:val="superscript"/>
        </w:rPr>
        <w:t>[50]</w:t>
      </w:r>
      <w:r w:rsidRPr="00D35475">
        <w:rPr>
          <w:rFonts w:ascii="Book Antiqua" w:eastAsia="Book Antiqua" w:hAnsi="Book Antiqua" w:cs="Book Antiqua"/>
          <w:color w:val="000000"/>
        </w:rPr>
        <w:t>, selective coil embolization of the minor accessory draining veins</w:t>
      </w:r>
      <w:r w:rsidRPr="00D35475">
        <w:rPr>
          <w:rFonts w:ascii="Book Antiqua" w:eastAsia="Book Antiqua" w:hAnsi="Book Antiqua" w:cs="Book Antiqua"/>
          <w:color w:val="000000"/>
          <w:vertAlign w:val="superscript"/>
        </w:rPr>
        <w:t>[</w:t>
      </w:r>
      <w:r w:rsidR="004F0FBA" w:rsidRPr="00D35475">
        <w:rPr>
          <w:rFonts w:ascii="Book Antiqua" w:eastAsia="Book Antiqua" w:hAnsi="Book Antiqua" w:cs="Book Antiqua"/>
          <w:color w:val="000000"/>
          <w:vertAlign w:val="superscript"/>
        </w:rPr>
        <w:t>51</w:t>
      </w:r>
      <w:r w:rsidRPr="00D35475">
        <w:rPr>
          <w:rFonts w:ascii="Book Antiqua" w:eastAsia="Book Antiqua" w:hAnsi="Book Antiqua" w:cs="Book Antiqua"/>
          <w:color w:val="000000"/>
          <w:vertAlign w:val="superscript"/>
        </w:rPr>
        <w:t>]</w:t>
      </w:r>
      <w:r w:rsidRPr="00D35475">
        <w:rPr>
          <w:rFonts w:ascii="Book Antiqua" w:eastAsia="Book Antiqua" w:hAnsi="Book Antiqua" w:cs="Book Antiqua"/>
          <w:color w:val="000000"/>
        </w:rPr>
        <w:t xml:space="preserve">, and/or </w:t>
      </w:r>
      <w:r w:rsidR="004F0FBA" w:rsidRPr="00D35475">
        <w:rPr>
          <w:rFonts w:ascii="Book Antiqua" w:eastAsia="Book Antiqua" w:hAnsi="Book Antiqua" w:cs="Book Antiqua"/>
          <w:color w:val="000000"/>
        </w:rPr>
        <w:t xml:space="preserve"> the stepwise injection method</w:t>
      </w:r>
      <w:r w:rsidR="004F0FBA" w:rsidRPr="00D35475">
        <w:rPr>
          <w:rFonts w:ascii="Book Antiqua" w:eastAsia="Book Antiqua" w:hAnsi="Book Antiqua" w:cs="Book Antiqua"/>
          <w:color w:val="000000"/>
          <w:vertAlign w:val="superscript"/>
        </w:rPr>
        <w:t xml:space="preserve"> </w:t>
      </w:r>
      <w:r w:rsidRPr="00D35475">
        <w:rPr>
          <w:rFonts w:ascii="Book Antiqua" w:eastAsia="Book Antiqua" w:hAnsi="Book Antiqua" w:cs="Book Antiqua"/>
          <w:color w:val="000000"/>
          <w:vertAlign w:val="superscript"/>
        </w:rPr>
        <w:t>[51]</w:t>
      </w:r>
      <w:r w:rsidRPr="00D35475">
        <w:rPr>
          <w:rFonts w:ascii="Book Antiqua" w:eastAsia="Book Antiqua" w:hAnsi="Book Antiqua" w:cs="Book Antiqua"/>
          <w:color w:val="000000"/>
        </w:rPr>
        <w:t xml:space="preserve"> to down-grade the target shunt vessels to a relatively simple Hirota grade 1 or 2</w:t>
      </w:r>
      <w:r w:rsidRPr="00D35475">
        <w:rPr>
          <w:rFonts w:ascii="Book Antiqua" w:eastAsia="Book Antiqua" w:hAnsi="Book Antiqua" w:cs="Book Antiqua"/>
          <w:color w:val="000000"/>
          <w:vertAlign w:val="superscript"/>
        </w:rPr>
        <w:t>[52]</w:t>
      </w:r>
      <w:r w:rsidRPr="00D35475">
        <w:rPr>
          <w:rFonts w:ascii="Book Antiqua" w:eastAsia="Book Antiqua" w:hAnsi="Book Antiqua" w:cs="Book Antiqua"/>
          <w:color w:val="000000"/>
        </w:rPr>
        <w:t xml:space="preserve"> (Figure 2A-D). If the coexisting GCS has a large diameter and selective coil embolization of the left inferior phrenic vein is impossible, the GCS is occluded with another balloon catheter</w:t>
      </w:r>
      <w:r w:rsidRPr="00D35475">
        <w:rPr>
          <w:rFonts w:ascii="Book Antiqua" w:eastAsia="Book Antiqua" w:hAnsi="Book Antiqua" w:cs="Book Antiqua"/>
          <w:color w:val="000000"/>
          <w:vertAlign w:val="superscript"/>
        </w:rPr>
        <w:t>[53]</w:t>
      </w:r>
      <w:r w:rsidRPr="00D35475">
        <w:rPr>
          <w:rFonts w:ascii="Book Antiqua" w:eastAsia="Book Antiqua" w:hAnsi="Book Antiqua" w:cs="Book Antiqua"/>
          <w:color w:val="000000"/>
        </w:rPr>
        <w:t xml:space="preserve"> (Figure 2E). Under temporary balloon occlusion, contrast medium is injected </w:t>
      </w:r>
      <w:r w:rsidRPr="00D35475">
        <w:rPr>
          <w:rFonts w:ascii="Book Antiqua" w:eastAsia="Book Antiqua" w:hAnsi="Book Antiqua" w:cs="Book Antiqua"/>
          <w:i/>
          <w:iCs/>
          <w:color w:val="000000"/>
        </w:rPr>
        <w:t>via</w:t>
      </w:r>
      <w:r w:rsidRPr="00D35475">
        <w:rPr>
          <w:rFonts w:ascii="Book Antiqua" w:eastAsia="Book Antiqua" w:hAnsi="Book Antiqua" w:cs="Book Antiqua"/>
          <w:color w:val="000000"/>
        </w:rPr>
        <w:t xml:space="preserve"> the balloon catheter to confirm stagnation of variceal flow for ≥</w:t>
      </w:r>
      <w:r w:rsidR="00111ABE" w:rsidRPr="00D35475">
        <w:rPr>
          <w:rFonts w:ascii="Book Antiqua" w:eastAsia="Book Antiqua" w:hAnsi="Book Antiqua" w:cs="Book Antiqua"/>
          <w:color w:val="000000"/>
        </w:rPr>
        <w:t xml:space="preserve"> </w:t>
      </w:r>
      <w:r w:rsidRPr="00D35475">
        <w:rPr>
          <w:rFonts w:ascii="Book Antiqua" w:eastAsia="Book Antiqua" w:hAnsi="Book Antiqua" w:cs="Book Antiqua"/>
          <w:color w:val="000000"/>
        </w:rPr>
        <w:t>10 min and evaluate the required volume of sclerosing solution. When stagnation of the contrast medium is confirmed, the same volume (10</w:t>
      </w:r>
      <w:r w:rsidR="003258B6">
        <w:rPr>
          <w:rFonts w:ascii="Book Antiqua" w:eastAsia="Book Antiqua" w:hAnsi="Book Antiqua" w:cs="Book Antiqua"/>
          <w:color w:val="000000"/>
        </w:rPr>
        <w:t>-</w:t>
      </w:r>
      <w:r w:rsidRPr="00D35475">
        <w:rPr>
          <w:rFonts w:ascii="Book Antiqua" w:eastAsia="Book Antiqua" w:hAnsi="Book Antiqua" w:cs="Book Antiqua"/>
          <w:color w:val="000000"/>
        </w:rPr>
        <w:t xml:space="preserve">40 mL) of 5% EOI is injected and remains stagnant in the vessels with overnight balloon occlusion. </w:t>
      </w:r>
      <w:r w:rsidR="00497083" w:rsidRPr="00D35475">
        <w:rPr>
          <w:rFonts w:ascii="Book Antiqua" w:eastAsia="Book Antiqua" w:hAnsi="Book Antiqua" w:cs="Book Antiqua"/>
          <w:color w:val="000000"/>
        </w:rPr>
        <w:t>H</w:t>
      </w:r>
      <w:r w:rsidRPr="00D35475">
        <w:rPr>
          <w:rFonts w:ascii="Book Antiqua" w:eastAsia="Book Antiqua" w:hAnsi="Book Antiqua" w:cs="Book Antiqua"/>
          <w:color w:val="000000"/>
        </w:rPr>
        <w:t>uman haptoglobin (4000 units) is administered prior to EOI injection</w:t>
      </w:r>
      <w:r w:rsidR="00497083" w:rsidRPr="00D35475">
        <w:rPr>
          <w:rFonts w:ascii="Book Antiqua" w:eastAsia="Book Antiqua" w:hAnsi="Book Antiqua" w:cs="Book Antiqua"/>
          <w:color w:val="000000"/>
        </w:rPr>
        <w:t xml:space="preserve"> to prevent </w:t>
      </w:r>
      <w:r w:rsidR="00064409" w:rsidRPr="00D35475">
        <w:rPr>
          <w:rFonts w:ascii="Book Antiqua" w:eastAsia="Book Antiqua" w:hAnsi="Book Antiqua" w:cs="Book Antiqua"/>
          <w:color w:val="000000"/>
        </w:rPr>
        <w:t xml:space="preserve">acute kidney injury </w:t>
      </w:r>
      <w:r w:rsidR="00497083" w:rsidRPr="00D35475">
        <w:rPr>
          <w:rFonts w:ascii="Book Antiqua" w:eastAsia="Book Antiqua" w:hAnsi="Book Antiqua" w:cs="Book Antiqua"/>
          <w:color w:val="000000"/>
        </w:rPr>
        <w:t>secondary to hemolysis caused by EOI</w:t>
      </w:r>
      <w:r w:rsidRPr="00D35475">
        <w:rPr>
          <w:rFonts w:ascii="Book Antiqua" w:eastAsia="Book Antiqua" w:hAnsi="Book Antiqua" w:cs="Book Antiqua"/>
          <w:color w:val="000000"/>
          <w:vertAlign w:val="superscript"/>
        </w:rPr>
        <w:t>[54]</w:t>
      </w:r>
      <w:r w:rsidRPr="00D35475">
        <w:rPr>
          <w:rFonts w:ascii="Book Antiqua" w:eastAsia="Book Antiqua" w:hAnsi="Book Antiqua" w:cs="Book Antiqua"/>
          <w:color w:val="000000"/>
        </w:rPr>
        <w:t>. The catheter is removed after overnight occlusion. Thrombosis of the GVs-GRS outflow (therapeutic effect) and thrombus formation elsewhere in the portal system (adverse effect) are confirmed by CT 3 to 7 d after BRTO. Eradication of GVs is confirmed by endoscopy after 2 to 3 mo.</w:t>
      </w:r>
    </w:p>
    <w:p w14:paraId="517F3423" w14:textId="77777777" w:rsidR="00A77B3E" w:rsidRPr="00D35475" w:rsidRDefault="00A77B3E" w:rsidP="000E27CD">
      <w:pPr>
        <w:adjustRightInd w:val="0"/>
        <w:snapToGrid w:val="0"/>
        <w:spacing w:line="360" w:lineRule="auto"/>
        <w:jc w:val="both"/>
        <w:rPr>
          <w:rFonts w:ascii="Book Antiqua" w:hAnsi="Book Antiqua"/>
        </w:rPr>
      </w:pPr>
    </w:p>
    <w:p w14:paraId="1800033A"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caps/>
          <w:color w:val="000000"/>
          <w:u w:val="single"/>
        </w:rPr>
        <w:t>BRTO modifications</w:t>
      </w:r>
    </w:p>
    <w:p w14:paraId="19F8402D" w14:textId="5DA03756" w:rsidR="00111ABE" w:rsidRPr="00D35475" w:rsidRDefault="00CD48BE" w:rsidP="000E27CD">
      <w:pPr>
        <w:adjustRightInd w:val="0"/>
        <w:snapToGrid w:val="0"/>
        <w:spacing w:line="360" w:lineRule="auto"/>
        <w:jc w:val="both"/>
        <w:rPr>
          <w:rFonts w:ascii="Book Antiqua" w:eastAsia="Book Antiqua" w:hAnsi="Book Antiqua" w:cs="Book Antiqua"/>
          <w:color w:val="000000"/>
        </w:rPr>
      </w:pPr>
      <w:r w:rsidRPr="00D35475">
        <w:rPr>
          <w:rFonts w:ascii="Book Antiqua" w:eastAsia="Book Antiqua" w:hAnsi="Book Antiqua" w:cs="Book Antiqua"/>
          <w:color w:val="000000"/>
        </w:rPr>
        <w:t>BRTO is commonly performed overnight to prevent the outflow of sclerosant into the systemic circulation</w:t>
      </w:r>
      <w:r w:rsidRPr="00D35475">
        <w:rPr>
          <w:rFonts w:ascii="Book Antiqua" w:eastAsia="Book Antiqua" w:hAnsi="Book Antiqua" w:cs="Book Antiqua"/>
          <w:color w:val="000000"/>
          <w:vertAlign w:val="superscript"/>
        </w:rPr>
        <w:t>[15,16,48]</w:t>
      </w:r>
      <w:r w:rsidRPr="00D35475">
        <w:rPr>
          <w:rFonts w:ascii="Book Antiqua" w:eastAsia="Book Antiqua" w:hAnsi="Book Antiqua" w:cs="Book Antiqua"/>
          <w:color w:val="000000"/>
        </w:rPr>
        <w:t>. Alternatively, a vascular plug</w:t>
      </w:r>
      <w:r w:rsidRPr="00D35475">
        <w:rPr>
          <w:rFonts w:ascii="Book Antiqua" w:eastAsia="Book Antiqua" w:hAnsi="Book Antiqua" w:cs="Book Antiqua"/>
          <w:color w:val="000000"/>
          <w:vertAlign w:val="superscript"/>
        </w:rPr>
        <w:t>[55]</w:t>
      </w:r>
      <w:r w:rsidRPr="00D35475">
        <w:rPr>
          <w:rFonts w:ascii="Book Antiqua" w:eastAsia="Book Antiqua" w:hAnsi="Book Antiqua" w:cs="Book Antiqua"/>
          <w:color w:val="000000"/>
        </w:rPr>
        <w:t xml:space="preserve"> or microcoils</w:t>
      </w:r>
      <w:r w:rsidRPr="00D35475">
        <w:rPr>
          <w:rFonts w:ascii="Book Antiqua" w:eastAsia="Book Antiqua" w:hAnsi="Book Antiqua" w:cs="Book Antiqua"/>
          <w:color w:val="000000"/>
          <w:vertAlign w:val="superscript"/>
        </w:rPr>
        <w:t>[56]</w:t>
      </w:r>
      <w:r w:rsidRPr="00D35475">
        <w:rPr>
          <w:rFonts w:ascii="Book Antiqua" w:eastAsia="Book Antiqua" w:hAnsi="Book Antiqua" w:cs="Book Antiqua"/>
          <w:color w:val="000000"/>
        </w:rPr>
        <w:t xml:space="preserve"> can be placed to occlude the GRS instead, allowing catheter system removal as soon as the treatment is complete (a single day procedure). The original methods of plug-associated retrograde transvenous obliteration (PARTO)</w:t>
      </w:r>
      <w:r w:rsidRPr="00D35475">
        <w:rPr>
          <w:rFonts w:ascii="Book Antiqua" w:eastAsia="Book Antiqua" w:hAnsi="Book Antiqua" w:cs="Book Antiqua"/>
          <w:color w:val="000000"/>
          <w:vertAlign w:val="superscript"/>
        </w:rPr>
        <w:t>[55]</w:t>
      </w:r>
      <w:r w:rsidRPr="00D35475">
        <w:rPr>
          <w:rFonts w:ascii="Book Antiqua" w:eastAsia="Book Antiqua" w:hAnsi="Book Antiqua" w:cs="Book Antiqua"/>
          <w:color w:val="000000"/>
        </w:rPr>
        <w:t xml:space="preserve"> and coil-associated retrograde transvenous obliteration (CARTO)</w:t>
      </w:r>
      <w:r w:rsidRPr="00D35475">
        <w:rPr>
          <w:rFonts w:ascii="Book Antiqua" w:eastAsia="Book Antiqua" w:hAnsi="Book Antiqua" w:cs="Book Antiqua"/>
          <w:color w:val="000000"/>
          <w:vertAlign w:val="superscript"/>
        </w:rPr>
        <w:t>[56]</w:t>
      </w:r>
      <w:r w:rsidRPr="00D35475">
        <w:rPr>
          <w:rFonts w:ascii="Book Antiqua" w:eastAsia="Book Antiqua" w:hAnsi="Book Antiqua" w:cs="Book Antiqua"/>
          <w:color w:val="000000"/>
        </w:rPr>
        <w:t xml:space="preserve"> (Figure 3A</w:t>
      </w:r>
      <w:r w:rsidR="00111ABE" w:rsidRPr="00D35475">
        <w:rPr>
          <w:rFonts w:ascii="Book Antiqua" w:eastAsia="Book Antiqua" w:hAnsi="Book Antiqua" w:cs="Book Antiqua"/>
          <w:color w:val="000000"/>
        </w:rPr>
        <w:t xml:space="preserve"> and</w:t>
      </w:r>
      <w:r w:rsidRPr="00D35475">
        <w:rPr>
          <w:rFonts w:ascii="Book Antiqua" w:eastAsia="Book Antiqua" w:hAnsi="Book Antiqua" w:cs="Book Antiqua"/>
          <w:color w:val="000000"/>
        </w:rPr>
        <w:t xml:space="preserve"> B) emphasized their advantage of not requiring balloon catheters, sclerosants, or a long period of postprocedural bed rest </w:t>
      </w:r>
      <w:r w:rsidRPr="00D35475">
        <w:rPr>
          <w:rFonts w:ascii="Book Antiqua" w:eastAsia="Book Antiqua" w:hAnsi="Book Antiqua" w:cs="Book Antiqua"/>
          <w:color w:val="000000"/>
        </w:rPr>
        <w:lastRenderedPageBreak/>
        <w:t>and monitoring. However, these techniques have the disadvantage of high cost. By embolizing the small drainage vessels with gelatin particles, the selective coil embolization procedure can be omitted, and the procedure becomes easy and effective</w:t>
      </w:r>
      <w:r w:rsidRPr="00D35475">
        <w:rPr>
          <w:rFonts w:ascii="Book Antiqua" w:eastAsia="Book Antiqua" w:hAnsi="Book Antiqua" w:cs="Book Antiqua"/>
          <w:color w:val="000000"/>
          <w:vertAlign w:val="superscript"/>
        </w:rPr>
        <w:t>[55,57]</w:t>
      </w:r>
      <w:r w:rsidRPr="00D35475">
        <w:rPr>
          <w:rFonts w:ascii="Book Antiqua" w:eastAsia="Book Antiqua" w:hAnsi="Book Antiqua" w:cs="Book Antiqua"/>
          <w:color w:val="000000"/>
        </w:rPr>
        <w:t>. However, recurrence of GVs is lower when a surfactant such as sodium tetradecyl sulfate is used as a sclerosant in PARTO compared with use of gelatin alone</w:t>
      </w:r>
      <w:r w:rsidRPr="00D35475">
        <w:rPr>
          <w:rFonts w:ascii="Book Antiqua" w:eastAsia="Book Antiqua" w:hAnsi="Book Antiqua" w:cs="Book Antiqua"/>
          <w:color w:val="000000"/>
          <w:vertAlign w:val="superscript"/>
        </w:rPr>
        <w:t>[57]</w:t>
      </w:r>
      <w:r w:rsidRPr="00D35475">
        <w:rPr>
          <w:rFonts w:ascii="Book Antiqua" w:eastAsia="Book Antiqua" w:hAnsi="Book Antiqua" w:cs="Book Antiqua"/>
          <w:color w:val="000000"/>
        </w:rPr>
        <w:t xml:space="preserve">. Recurrence might be due to recanalization through the gelatin sponge which does not provide the permanent endothelial </w:t>
      </w:r>
      <w:r w:rsidR="00064409" w:rsidRPr="00D35475">
        <w:rPr>
          <w:rFonts w:ascii="Book Antiqua" w:eastAsia="Book Antiqua" w:hAnsi="Book Antiqua" w:cs="Book Antiqua"/>
          <w:color w:val="000000"/>
        </w:rPr>
        <w:t>injury</w:t>
      </w:r>
      <w:r w:rsidR="00D40096" w:rsidRPr="00D35475">
        <w:rPr>
          <w:rFonts w:ascii="Book Antiqua" w:eastAsia="MS Mincho" w:hAnsi="Book Antiqua" w:cs="MS Mincho"/>
          <w:color w:val="000000"/>
          <w:lang w:eastAsia="ja-JP"/>
        </w:rPr>
        <w:t xml:space="preserve"> </w:t>
      </w:r>
      <w:r w:rsidRPr="00D35475">
        <w:rPr>
          <w:rFonts w:ascii="Book Antiqua" w:eastAsia="Book Antiqua" w:hAnsi="Book Antiqua" w:cs="Book Antiqua"/>
          <w:color w:val="000000"/>
        </w:rPr>
        <w:t xml:space="preserve">and thrombosis </w:t>
      </w:r>
      <w:r w:rsidR="00064409" w:rsidRPr="00D35475">
        <w:rPr>
          <w:rFonts w:ascii="Book Antiqua" w:eastAsia="Book Antiqua" w:hAnsi="Book Antiqua" w:cs="Book Antiqua"/>
          <w:color w:val="000000"/>
        </w:rPr>
        <w:t>caused by</w:t>
      </w:r>
      <w:r w:rsidRPr="00D35475">
        <w:rPr>
          <w:rFonts w:ascii="Book Antiqua" w:eastAsia="Book Antiqua" w:hAnsi="Book Antiqua" w:cs="Book Antiqua"/>
          <w:color w:val="000000"/>
        </w:rPr>
        <w:t xml:space="preserve"> sclerosants</w:t>
      </w:r>
      <w:r w:rsidRPr="00D35475">
        <w:rPr>
          <w:rFonts w:ascii="Book Antiqua" w:eastAsia="Book Antiqua" w:hAnsi="Book Antiqua" w:cs="Book Antiqua"/>
          <w:color w:val="000000"/>
          <w:vertAlign w:val="superscript"/>
        </w:rPr>
        <w:t>[58]</w:t>
      </w:r>
      <w:r w:rsidRPr="00D35475">
        <w:rPr>
          <w:rFonts w:ascii="Book Antiqua" w:eastAsia="Book Antiqua" w:hAnsi="Book Antiqua" w:cs="Book Antiqua"/>
          <w:color w:val="000000"/>
        </w:rPr>
        <w:t>. Injected gelatin has no direct effect on blood clot formation. Once the injected gelatin particles flow into the systemic circulation, they become emboli to the micro-vessels elsewhere. In contrast, sclerosant has a thrombus-forming effect on small drainage vessels, even in small amounts. However, if a small amount of sclerosant flows into the systemic circulation, it is often diluted with a large amount of blood and the effect of vascular endothelial damage can be ignored. Therefore, we believe that sclerosant should be used in BRTO rather than gelatin sponge alone.</w:t>
      </w:r>
    </w:p>
    <w:p w14:paraId="7BA06642" w14:textId="77777777" w:rsidR="00111ABE" w:rsidRPr="00D35475" w:rsidRDefault="00CD48BE" w:rsidP="000E27CD">
      <w:pPr>
        <w:adjustRightInd w:val="0"/>
        <w:snapToGrid w:val="0"/>
        <w:spacing w:line="360" w:lineRule="auto"/>
        <w:ind w:firstLineChars="200" w:firstLine="480"/>
        <w:jc w:val="both"/>
        <w:rPr>
          <w:rFonts w:ascii="Book Antiqua" w:eastAsia="Book Antiqua" w:hAnsi="Book Antiqua" w:cs="Book Antiqua"/>
          <w:color w:val="000000"/>
        </w:rPr>
      </w:pPr>
      <w:r w:rsidRPr="00D35475">
        <w:rPr>
          <w:rFonts w:ascii="Book Antiqua" w:eastAsia="Book Antiqua" w:hAnsi="Book Antiqua" w:cs="Book Antiqua"/>
          <w:color w:val="000000"/>
        </w:rPr>
        <w:t>Instead of downgrading by advancing the balloon catheter, a modified CARTO</w:t>
      </w:r>
      <w:r w:rsidRPr="00D35475">
        <w:rPr>
          <w:rFonts w:ascii="Book Antiqua" w:eastAsia="Book Antiqua" w:hAnsi="Book Antiqua" w:cs="Book Antiqua"/>
          <w:color w:val="000000"/>
          <w:vertAlign w:val="superscript"/>
        </w:rPr>
        <w:t>[59]</w:t>
      </w:r>
      <w:r w:rsidRPr="00D35475">
        <w:rPr>
          <w:rFonts w:ascii="Book Antiqua" w:eastAsia="Book Antiqua" w:hAnsi="Book Antiqua" w:cs="Book Antiqua"/>
          <w:color w:val="000000"/>
        </w:rPr>
        <w:t xml:space="preserve"> in which embolization is performed using microcoils and sclerosant is injected upstream to the GVs has also been described (Figure 3C). Yamamoto </w:t>
      </w:r>
      <w:r w:rsidRPr="00D35475">
        <w:rPr>
          <w:rFonts w:ascii="Book Antiqua" w:eastAsia="Book Antiqua" w:hAnsi="Book Antiqua" w:cs="Book Antiqua"/>
          <w:i/>
          <w:iCs/>
          <w:color w:val="000000"/>
        </w:rPr>
        <w:t>et al</w:t>
      </w:r>
      <w:r w:rsidR="00111ABE" w:rsidRPr="00D35475">
        <w:rPr>
          <w:rFonts w:ascii="Book Antiqua" w:eastAsia="Book Antiqua" w:hAnsi="Book Antiqua" w:cs="Book Antiqua"/>
          <w:color w:val="000000"/>
          <w:vertAlign w:val="superscript"/>
        </w:rPr>
        <w:t>[60]</w:t>
      </w:r>
      <w:r w:rsidRPr="00D35475">
        <w:rPr>
          <w:rFonts w:ascii="Book Antiqua" w:eastAsia="Book Antiqua" w:hAnsi="Book Antiqua" w:cs="Book Antiqua"/>
          <w:color w:val="000000"/>
        </w:rPr>
        <w:t xml:space="preserve"> described CARTO-II, in which sclerosant is injected from a balloon catheter in the same manner as conventional BRTO, coil-embolization is performed just above the balloon (Figure 3D), and the balloon catheter is finally removed. In CARTO-II, thrombosis has already occurred due to vascular endothelial damage caused by the sclerosant, and coil-embolization is performed to prevent the thrombus from flowing to the systemic circulation after removing the balloon catheter. The same group also reported the utility of a mixture of low-dose gelatin sponge particles and 5% EOI in retrograde transvenous obliteration (GERTO)</w:t>
      </w:r>
      <w:r w:rsidRPr="00D35475">
        <w:rPr>
          <w:rFonts w:ascii="Book Antiqua" w:eastAsia="Book Antiqua" w:hAnsi="Book Antiqua" w:cs="Book Antiqua"/>
          <w:color w:val="000000"/>
          <w:vertAlign w:val="superscript"/>
        </w:rPr>
        <w:t>[61]</w:t>
      </w:r>
      <w:r w:rsidRPr="00D35475">
        <w:rPr>
          <w:rFonts w:ascii="Book Antiqua" w:eastAsia="Book Antiqua" w:hAnsi="Book Antiqua" w:cs="Book Antiqua"/>
          <w:color w:val="000000"/>
        </w:rPr>
        <w:t xml:space="preserve">. GERTO combines the advantages of gelatin particles and sclerosant, blocking small drainage vessels and causing reliable thrombosis </w:t>
      </w:r>
      <w:r w:rsidRPr="00D35475">
        <w:rPr>
          <w:rFonts w:ascii="Book Antiqua" w:eastAsia="Book Antiqua" w:hAnsi="Book Antiqua" w:cs="Book Antiqua"/>
          <w:i/>
          <w:iCs/>
          <w:color w:val="000000"/>
        </w:rPr>
        <w:t>via</w:t>
      </w:r>
      <w:r w:rsidRPr="00D35475">
        <w:rPr>
          <w:rFonts w:ascii="Book Antiqua" w:eastAsia="Book Antiqua" w:hAnsi="Book Antiqua" w:cs="Book Antiqua"/>
          <w:color w:val="000000"/>
        </w:rPr>
        <w:t xml:space="preserve"> vascular endothelial damage.</w:t>
      </w:r>
    </w:p>
    <w:p w14:paraId="538879BF" w14:textId="0877EBDE" w:rsidR="00A77B3E" w:rsidRPr="00D35475" w:rsidRDefault="00CD48BE" w:rsidP="000E27CD">
      <w:pPr>
        <w:adjustRightInd w:val="0"/>
        <w:snapToGrid w:val="0"/>
        <w:spacing w:line="360" w:lineRule="auto"/>
        <w:ind w:firstLineChars="200" w:firstLine="480"/>
        <w:jc w:val="both"/>
        <w:rPr>
          <w:rFonts w:ascii="Book Antiqua" w:hAnsi="Book Antiqua"/>
        </w:rPr>
      </w:pPr>
      <w:r w:rsidRPr="00D35475">
        <w:rPr>
          <w:rFonts w:ascii="Book Antiqua" w:eastAsia="Book Antiqua" w:hAnsi="Book Antiqua" w:cs="Book Antiqua"/>
          <w:color w:val="000000"/>
        </w:rPr>
        <w:lastRenderedPageBreak/>
        <w:t>Although these various BRTO modifications have appeared, their advantages and disadvantages have not yet been thoroughly evaluated. However, an advantage of both PARTO and CARTO is short indwelling balloon time; their disadvantage is high cost.</w:t>
      </w:r>
    </w:p>
    <w:p w14:paraId="35B37EA3" w14:textId="77777777" w:rsidR="00A77B3E" w:rsidRPr="00D35475" w:rsidRDefault="00A77B3E" w:rsidP="000E27CD">
      <w:pPr>
        <w:adjustRightInd w:val="0"/>
        <w:snapToGrid w:val="0"/>
        <w:spacing w:line="360" w:lineRule="auto"/>
        <w:jc w:val="both"/>
        <w:rPr>
          <w:rFonts w:ascii="Book Antiqua" w:hAnsi="Book Antiqua"/>
        </w:rPr>
      </w:pPr>
    </w:p>
    <w:p w14:paraId="420DFC6C"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caps/>
          <w:color w:val="000000"/>
          <w:u w:val="single"/>
        </w:rPr>
        <w:t>Combined treatment</w:t>
      </w:r>
    </w:p>
    <w:p w14:paraId="2D998078" w14:textId="50A02BB6"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Various additional treatments have been performed in combination with BRTO. If BRTO alone is difficult, additional embolization of gastric vein inflow may be used to completely obliterate the GVs. Percutaneous transhepatic obliteration (PTO) may be used when conditions are unsuitable for BRTO, such as GVs without GRS</w:t>
      </w:r>
      <w:r w:rsidRPr="00D35475">
        <w:rPr>
          <w:rFonts w:ascii="Book Antiqua" w:eastAsia="Book Antiqua" w:hAnsi="Book Antiqua" w:cs="Book Antiqua"/>
          <w:color w:val="000000"/>
          <w:vertAlign w:val="superscript"/>
        </w:rPr>
        <w:t>[40,50,62]</w:t>
      </w:r>
      <w:r w:rsidRPr="00D35475">
        <w:rPr>
          <w:rFonts w:ascii="Book Antiqua" w:eastAsia="Book Antiqua" w:hAnsi="Book Antiqua" w:cs="Book Antiqua"/>
          <w:color w:val="000000"/>
        </w:rPr>
        <w:t xml:space="preserve">. Combined BRTO and PTO can obstruct both the feeding and draining veins of GVs to completely retain the sclerosant with in </w:t>
      </w:r>
      <w:r w:rsidR="00FB468B" w:rsidRPr="00D35475">
        <w:rPr>
          <w:rFonts w:ascii="Book Antiqua" w:eastAsia="Book Antiqua" w:hAnsi="Book Antiqua" w:cs="Book Antiqua"/>
          <w:color w:val="000000"/>
        </w:rPr>
        <w:t>GVs</w:t>
      </w:r>
      <w:r w:rsidRPr="00D35475">
        <w:rPr>
          <w:rFonts w:ascii="Book Antiqua" w:eastAsia="Book Antiqua" w:hAnsi="Book Antiqua" w:cs="Book Antiqua"/>
          <w:color w:val="000000"/>
        </w:rPr>
        <w:t>, which may provide better control of variceal blood flow than either procedure alone</w:t>
      </w:r>
      <w:r w:rsidRPr="00D35475">
        <w:rPr>
          <w:rFonts w:ascii="Book Antiqua" w:eastAsia="Book Antiqua" w:hAnsi="Book Antiqua" w:cs="Book Antiqua"/>
          <w:color w:val="000000"/>
          <w:vertAlign w:val="superscript"/>
        </w:rPr>
        <w:t>[63]</w:t>
      </w:r>
      <w:r w:rsidRPr="00D35475">
        <w:rPr>
          <w:rFonts w:ascii="Book Antiqua" w:eastAsia="Book Antiqua" w:hAnsi="Book Antiqua" w:cs="Book Antiqua"/>
          <w:color w:val="000000"/>
        </w:rPr>
        <w:t>. However, the drawback of shunt embolization, including BRTO and PTO, is an increase in PVP. Although BRTO is associated with a lower rate of GVs rebleeding than TIPS</w:t>
      </w:r>
      <w:r w:rsidRPr="00D35475">
        <w:rPr>
          <w:rFonts w:ascii="Book Antiqua" w:eastAsia="Book Antiqua" w:hAnsi="Book Antiqua" w:cs="Book Antiqua"/>
          <w:color w:val="000000"/>
          <w:vertAlign w:val="superscript"/>
        </w:rPr>
        <w:t>[39-44]</w:t>
      </w:r>
      <w:r w:rsidRPr="00D35475">
        <w:rPr>
          <w:rFonts w:ascii="Book Antiqua" w:eastAsia="Book Antiqua" w:hAnsi="Book Antiqua" w:cs="Book Antiqua"/>
          <w:color w:val="000000"/>
        </w:rPr>
        <w:t xml:space="preserve"> or endoscopic intervention</w:t>
      </w:r>
      <w:r w:rsidRPr="00D35475">
        <w:rPr>
          <w:rFonts w:ascii="Book Antiqua" w:eastAsia="Book Antiqua" w:hAnsi="Book Antiqua" w:cs="Book Antiqua"/>
          <w:color w:val="000000"/>
          <w:vertAlign w:val="superscript"/>
        </w:rPr>
        <w:t>[37,38]</w:t>
      </w:r>
      <w:r w:rsidRPr="00D35475">
        <w:rPr>
          <w:rFonts w:ascii="Book Antiqua" w:eastAsia="Book Antiqua" w:hAnsi="Book Antiqua" w:cs="Book Antiqua"/>
          <w:color w:val="000000"/>
        </w:rPr>
        <w:t>, the increased PVP may cause enlargement of EVs</w:t>
      </w:r>
      <w:r w:rsidRPr="00D35475">
        <w:rPr>
          <w:rFonts w:ascii="Book Antiqua" w:eastAsia="Book Antiqua" w:hAnsi="Book Antiqua" w:cs="Book Antiqua"/>
          <w:color w:val="000000"/>
          <w:vertAlign w:val="superscript"/>
        </w:rPr>
        <w:t>[64-66]</w:t>
      </w:r>
      <w:r w:rsidRPr="00D35475">
        <w:rPr>
          <w:rFonts w:ascii="Book Antiqua" w:eastAsia="Book Antiqua" w:hAnsi="Book Antiqua" w:cs="Book Antiqua"/>
          <w:color w:val="000000"/>
        </w:rPr>
        <w:t xml:space="preserve">. Saad </w:t>
      </w:r>
      <w:r w:rsidRPr="00D35475">
        <w:rPr>
          <w:rFonts w:ascii="Book Antiqua" w:eastAsia="Book Antiqua" w:hAnsi="Book Antiqua" w:cs="Book Antiqua"/>
          <w:i/>
          <w:iCs/>
          <w:color w:val="000000"/>
        </w:rPr>
        <w:t>et al</w:t>
      </w:r>
      <w:r w:rsidR="00111ABE" w:rsidRPr="00D35475">
        <w:rPr>
          <w:rFonts w:ascii="Book Antiqua" w:eastAsia="Book Antiqua" w:hAnsi="Book Antiqua" w:cs="Book Antiqua"/>
          <w:color w:val="000000"/>
          <w:vertAlign w:val="superscript"/>
        </w:rPr>
        <w:t>[67]</w:t>
      </w:r>
      <w:r w:rsidRPr="00D35475">
        <w:rPr>
          <w:rFonts w:ascii="Book Antiqua" w:eastAsia="Book Antiqua" w:hAnsi="Book Antiqua" w:cs="Book Antiqua"/>
          <w:color w:val="000000"/>
        </w:rPr>
        <w:t xml:space="preserve"> therefore proposed use of BATO </w:t>
      </w:r>
      <w:r w:rsidRPr="00D35475">
        <w:rPr>
          <w:rFonts w:ascii="Book Antiqua" w:eastAsia="Book Antiqua" w:hAnsi="Book Antiqua" w:cs="Book Antiqua"/>
          <w:i/>
          <w:iCs/>
          <w:color w:val="000000"/>
        </w:rPr>
        <w:t>via</w:t>
      </w:r>
      <w:r w:rsidRPr="00D35475">
        <w:rPr>
          <w:rFonts w:ascii="Book Antiqua" w:eastAsia="Book Antiqua" w:hAnsi="Book Antiqua" w:cs="Book Antiqua"/>
          <w:color w:val="000000"/>
        </w:rPr>
        <w:t xml:space="preserve"> the TIPS route, combined TIPS and BRTO, or combined BATO and BRTO, depending on the clinical situation. A recent study</w:t>
      </w:r>
      <w:r w:rsidRPr="00D35475">
        <w:rPr>
          <w:rFonts w:ascii="Book Antiqua" w:eastAsia="Book Antiqua" w:hAnsi="Book Antiqua" w:cs="Book Antiqua"/>
          <w:color w:val="000000"/>
          <w:vertAlign w:val="superscript"/>
        </w:rPr>
        <w:t>[68]</w:t>
      </w:r>
      <w:r w:rsidRPr="00D35475">
        <w:rPr>
          <w:rFonts w:ascii="Book Antiqua" w:eastAsia="Book Antiqua" w:hAnsi="Book Antiqua" w:cs="Book Antiqua"/>
          <w:color w:val="000000"/>
        </w:rPr>
        <w:t xml:space="preserve"> has proposed a modified method, balloon-assisted antegrade transvenous obliteration (BAATO), in which balloon occlusion of the GRS is performed in retrograde fashion followed by antegrade trans-TIPS catheter injection of CA rather than sclerosant. The distribution of CA in GVs can be controlled by modifying blood flow velocity </w:t>
      </w:r>
      <w:r w:rsidRPr="00D35475">
        <w:rPr>
          <w:rFonts w:ascii="Book Antiqua" w:eastAsia="Book Antiqua" w:hAnsi="Book Antiqua" w:cs="Book Antiqua"/>
          <w:i/>
          <w:iCs/>
          <w:color w:val="000000"/>
        </w:rPr>
        <w:t>via</w:t>
      </w:r>
      <w:r w:rsidRPr="00D35475">
        <w:rPr>
          <w:rFonts w:ascii="Book Antiqua" w:eastAsia="Book Antiqua" w:hAnsi="Book Antiqua" w:cs="Book Antiqua"/>
          <w:color w:val="000000"/>
        </w:rPr>
        <w:t xml:space="preserve"> balloon size adjustment. Thus, BAATO might be valuable alternative option as well. Although, TIPS certainly offsets the increase in PVP caused by BATO and/or BRTO, it can cause hepatic encephalopathy. Partial splenic embolization (PSE) also has a PVP-reducing effect, although weaker than TIPS, and combination with BRTO can be effective</w:t>
      </w:r>
      <w:r w:rsidRPr="00D35475">
        <w:rPr>
          <w:rFonts w:ascii="Book Antiqua" w:eastAsia="Book Antiqua" w:hAnsi="Book Antiqua" w:cs="Book Antiqua"/>
          <w:color w:val="000000"/>
          <w:vertAlign w:val="superscript"/>
        </w:rPr>
        <w:t>[69]</w:t>
      </w:r>
      <w:r w:rsidRPr="00D35475">
        <w:rPr>
          <w:rFonts w:ascii="Book Antiqua" w:eastAsia="Book Antiqua" w:hAnsi="Book Antiqua" w:cs="Book Antiqua"/>
          <w:color w:val="000000"/>
        </w:rPr>
        <w:t>. We previously reported that PSE can diminish the increase in PVP after BRTO</w:t>
      </w:r>
      <w:r w:rsidRPr="00D35475">
        <w:rPr>
          <w:rFonts w:ascii="Book Antiqua" w:eastAsia="Book Antiqua" w:hAnsi="Book Antiqua" w:cs="Book Antiqua"/>
          <w:color w:val="000000"/>
          <w:vertAlign w:val="superscript"/>
        </w:rPr>
        <w:t>[49]</w:t>
      </w:r>
      <w:r w:rsidRPr="00D35475">
        <w:rPr>
          <w:rFonts w:ascii="Book Antiqua" w:eastAsia="Book Antiqua" w:hAnsi="Book Antiqua" w:cs="Book Antiqua"/>
          <w:color w:val="000000"/>
        </w:rPr>
        <w:t xml:space="preserve"> and that combined BRTO and PSE is a safe and effective treatment for GVs</w:t>
      </w:r>
      <w:r w:rsidRPr="00D35475">
        <w:rPr>
          <w:rFonts w:ascii="Book Antiqua" w:eastAsia="Book Antiqua" w:hAnsi="Book Antiqua" w:cs="Book Antiqua"/>
          <w:color w:val="000000"/>
          <w:vertAlign w:val="superscript"/>
        </w:rPr>
        <w:t>[15]</w:t>
      </w:r>
      <w:r w:rsidRPr="00D35475">
        <w:rPr>
          <w:rFonts w:ascii="Book Antiqua" w:eastAsia="Book Antiqua" w:hAnsi="Book Antiqua" w:cs="Book Antiqua"/>
          <w:color w:val="000000"/>
        </w:rPr>
        <w:t xml:space="preserve">. PSE is technically easier than TIPS and can be performed rapidly. Furthermore, the incidence of EVs exacerbation is lower and improvement in hepatic functional reserve is </w:t>
      </w:r>
      <w:r w:rsidRPr="00D35475">
        <w:rPr>
          <w:rFonts w:ascii="Book Antiqua" w:eastAsia="Book Antiqua" w:hAnsi="Book Antiqua" w:cs="Book Antiqua"/>
          <w:color w:val="000000"/>
        </w:rPr>
        <w:lastRenderedPageBreak/>
        <w:t>greater after combined BRTO and PSE than BRTO alone</w:t>
      </w:r>
      <w:r w:rsidRPr="00D35475">
        <w:rPr>
          <w:rFonts w:ascii="Book Antiqua" w:eastAsia="Book Antiqua" w:hAnsi="Book Antiqua" w:cs="Book Antiqua"/>
          <w:color w:val="000000"/>
          <w:vertAlign w:val="superscript"/>
        </w:rPr>
        <w:t>[</w:t>
      </w:r>
      <w:r w:rsidR="00A231E4" w:rsidRPr="00D35475">
        <w:rPr>
          <w:rFonts w:ascii="Book Antiqua" w:eastAsia="Book Antiqua" w:hAnsi="Book Antiqua" w:cs="Book Antiqua"/>
          <w:color w:val="000000"/>
          <w:vertAlign w:val="superscript"/>
        </w:rPr>
        <w:t>15</w:t>
      </w:r>
      <w:r w:rsidRPr="00D35475">
        <w:rPr>
          <w:rFonts w:ascii="Book Antiqua" w:eastAsia="Book Antiqua" w:hAnsi="Book Antiqua" w:cs="Book Antiqua"/>
          <w:color w:val="000000"/>
          <w:vertAlign w:val="superscript"/>
        </w:rPr>
        <w:t>]</w:t>
      </w:r>
      <w:r w:rsidRPr="00D35475">
        <w:rPr>
          <w:rFonts w:ascii="Book Antiqua" w:eastAsia="Book Antiqua" w:hAnsi="Book Antiqua" w:cs="Book Antiqua"/>
          <w:color w:val="000000"/>
        </w:rPr>
        <w:t>. Increased portal venous flow after BRTO leads to improvement in the hepatic functional reserve</w:t>
      </w:r>
      <w:r w:rsidRPr="00D35475">
        <w:rPr>
          <w:rFonts w:ascii="Book Antiqua" w:eastAsia="Book Antiqua" w:hAnsi="Book Antiqua" w:cs="Book Antiqua"/>
          <w:color w:val="000000"/>
          <w:vertAlign w:val="superscript"/>
        </w:rPr>
        <w:t>[65,70]</w:t>
      </w:r>
      <w:r w:rsidRPr="00D35475">
        <w:rPr>
          <w:rFonts w:ascii="Book Antiqua" w:eastAsia="Book Antiqua" w:hAnsi="Book Antiqua" w:cs="Book Antiqua"/>
          <w:color w:val="000000"/>
        </w:rPr>
        <w:t xml:space="preserve"> and is mainly due to increased splenic venous blood flow (Figure 4A</w:t>
      </w:r>
      <w:r w:rsidR="00111ABE" w:rsidRPr="00D35475">
        <w:rPr>
          <w:rFonts w:ascii="Book Antiqua" w:eastAsia="Book Antiqua" w:hAnsi="Book Antiqua" w:cs="Book Antiqua"/>
          <w:color w:val="000000"/>
        </w:rPr>
        <w:t xml:space="preserve"> and</w:t>
      </w:r>
      <w:r w:rsidRPr="00D35475">
        <w:rPr>
          <w:rFonts w:ascii="Book Antiqua" w:eastAsia="Book Antiqua" w:hAnsi="Book Antiqua" w:cs="Book Antiqua"/>
          <w:color w:val="000000"/>
        </w:rPr>
        <w:t xml:space="preserve"> B) without a substantial increase in hepatopetal mesenteric venous blood flow. We speculate that hepatopetal mesenteric venous blood flow increases after PSE decreases the splenic venous blood flow (Figure 4C), which results in improved hepatic functional reserve. PSE has a PVP-reducing effect and can prevent exacerbation of EVs after BRTO. However, PSE-related complications may occur. According to a systematic review of 30 articles</w:t>
      </w:r>
      <w:r w:rsidRPr="00D35475">
        <w:rPr>
          <w:rFonts w:ascii="Book Antiqua" w:eastAsia="Book Antiqua" w:hAnsi="Book Antiqua" w:cs="Book Antiqua"/>
          <w:color w:val="000000"/>
          <w:vertAlign w:val="superscript"/>
        </w:rPr>
        <w:t>[71]</w:t>
      </w:r>
      <w:r w:rsidRPr="00D35475">
        <w:rPr>
          <w:rFonts w:ascii="Book Antiqua" w:eastAsia="Book Antiqua" w:hAnsi="Book Antiqua" w:cs="Book Antiqua"/>
          <w:color w:val="000000"/>
        </w:rPr>
        <w:t>, the incidence of post-embolic syndrome, pleural effusion, ascites, thrombosis (mainly portal thrombosis), splenic abscess/bacterial peritonitis, and death after PSE is 73.4%, 9.4%, 8.1%, 2.4%, 1.3%, and 1.0%, respectively. Underlying liver dysfunction and splenic infarction rate (infarcted splenic volume/total splenic volume) greater than 70% may be risk factors for major complications</w:t>
      </w:r>
      <w:r w:rsidRPr="00D35475">
        <w:rPr>
          <w:rFonts w:ascii="Book Antiqua" w:eastAsia="Book Antiqua" w:hAnsi="Book Antiqua" w:cs="Book Antiqua"/>
          <w:color w:val="000000"/>
          <w:vertAlign w:val="superscript"/>
        </w:rPr>
        <w:t>[71,72]</w:t>
      </w:r>
      <w:r w:rsidRPr="00D35475">
        <w:rPr>
          <w:rFonts w:ascii="Book Antiqua" w:eastAsia="Book Antiqua" w:hAnsi="Book Antiqua" w:cs="Book Antiqua"/>
          <w:color w:val="000000"/>
        </w:rPr>
        <w:t>.</w:t>
      </w:r>
    </w:p>
    <w:p w14:paraId="74E24F23" w14:textId="77777777" w:rsidR="00A77B3E" w:rsidRPr="00D35475" w:rsidRDefault="00A77B3E" w:rsidP="000E27CD">
      <w:pPr>
        <w:adjustRightInd w:val="0"/>
        <w:snapToGrid w:val="0"/>
        <w:spacing w:line="360" w:lineRule="auto"/>
        <w:jc w:val="both"/>
        <w:rPr>
          <w:rFonts w:ascii="Book Antiqua" w:hAnsi="Book Antiqua"/>
        </w:rPr>
      </w:pPr>
    </w:p>
    <w:p w14:paraId="2902DFDC"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caps/>
          <w:color w:val="000000"/>
          <w:u w:val="single"/>
        </w:rPr>
        <w:t>CONCLUSION</w:t>
      </w:r>
    </w:p>
    <w:p w14:paraId="6E52D55C" w14:textId="3587E8E2"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GVs rupture is potentially fatal. Although various GVs treatments have been reported, BRTO is widely used because of its effectiveness, ability to cure, and utility for both emergency and prophylactic treatment. Recent BRTO modifications and combinations with other therapies are also beneficial. Although BRTO combined with TIPS and BRTO combined with PSE seem promising, randomized trials have not been performed and serious complications may occur. Their use should be approached with caution.</w:t>
      </w:r>
    </w:p>
    <w:p w14:paraId="5904E580" w14:textId="77777777" w:rsidR="00A77B3E" w:rsidRPr="00D35475" w:rsidRDefault="00A77B3E" w:rsidP="000E27CD">
      <w:pPr>
        <w:adjustRightInd w:val="0"/>
        <w:snapToGrid w:val="0"/>
        <w:spacing w:line="360" w:lineRule="auto"/>
        <w:jc w:val="both"/>
        <w:rPr>
          <w:rFonts w:ascii="Book Antiqua" w:hAnsi="Book Antiqua"/>
        </w:rPr>
      </w:pPr>
    </w:p>
    <w:p w14:paraId="2BE54315"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color w:val="000000"/>
        </w:rPr>
        <w:t>REFERENCES</w:t>
      </w:r>
    </w:p>
    <w:p w14:paraId="154B3F78"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1 </w:t>
      </w:r>
      <w:r w:rsidRPr="00D35475">
        <w:rPr>
          <w:rFonts w:ascii="Book Antiqua" w:eastAsia="Book Antiqua" w:hAnsi="Book Antiqua" w:cs="Book Antiqua"/>
          <w:b/>
          <w:bCs/>
          <w:color w:val="000000"/>
        </w:rPr>
        <w:t>Sarin SK</w:t>
      </w:r>
      <w:r w:rsidRPr="00D35475">
        <w:rPr>
          <w:rFonts w:ascii="Book Antiqua" w:eastAsia="Book Antiqua" w:hAnsi="Book Antiqua" w:cs="Book Antiqua"/>
          <w:color w:val="000000"/>
        </w:rPr>
        <w:t xml:space="preserve">, Lahoti D, Saxena SP, Murthy NS, Makwana UK. Prevalence, classification and natural history of gastric varices: a long-term follow-up study in 568 portal hypertension patients. </w:t>
      </w:r>
      <w:r w:rsidRPr="00D35475">
        <w:rPr>
          <w:rFonts w:ascii="Book Antiqua" w:eastAsia="Book Antiqua" w:hAnsi="Book Antiqua" w:cs="Book Antiqua"/>
          <w:i/>
          <w:iCs/>
          <w:color w:val="000000"/>
        </w:rPr>
        <w:t>Hepatology</w:t>
      </w:r>
      <w:r w:rsidRPr="00D35475">
        <w:rPr>
          <w:rFonts w:ascii="Book Antiqua" w:eastAsia="Book Antiqua" w:hAnsi="Book Antiqua" w:cs="Book Antiqua"/>
          <w:color w:val="000000"/>
        </w:rPr>
        <w:t xml:space="preserve"> 1992; </w:t>
      </w:r>
      <w:r w:rsidRPr="00D35475">
        <w:rPr>
          <w:rFonts w:ascii="Book Antiqua" w:eastAsia="Book Antiqua" w:hAnsi="Book Antiqua" w:cs="Book Antiqua"/>
          <w:b/>
          <w:bCs/>
          <w:color w:val="000000"/>
        </w:rPr>
        <w:t>16</w:t>
      </w:r>
      <w:r w:rsidRPr="00D35475">
        <w:rPr>
          <w:rFonts w:ascii="Book Antiqua" w:eastAsia="Book Antiqua" w:hAnsi="Book Antiqua" w:cs="Book Antiqua"/>
          <w:color w:val="000000"/>
        </w:rPr>
        <w:t>: 1343-1349 [PMID: 1446890 DOI: 10.1002/hep.1840160607]</w:t>
      </w:r>
    </w:p>
    <w:p w14:paraId="02CE92F9"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lastRenderedPageBreak/>
        <w:t xml:space="preserve">2 </w:t>
      </w:r>
      <w:r w:rsidRPr="00D35475">
        <w:rPr>
          <w:rFonts w:ascii="Book Antiqua" w:eastAsia="Book Antiqua" w:hAnsi="Book Antiqua" w:cs="Book Antiqua"/>
          <w:b/>
          <w:bCs/>
          <w:color w:val="000000"/>
        </w:rPr>
        <w:t>Trudeau W</w:t>
      </w:r>
      <w:r w:rsidRPr="00D35475">
        <w:rPr>
          <w:rFonts w:ascii="Book Antiqua" w:eastAsia="Book Antiqua" w:hAnsi="Book Antiqua" w:cs="Book Antiqua"/>
          <w:color w:val="000000"/>
        </w:rPr>
        <w:t xml:space="preserve">, Prindiville T. Endoscopic injection sclerosis in bleeding gastric varices. </w:t>
      </w:r>
      <w:r w:rsidRPr="00D35475">
        <w:rPr>
          <w:rFonts w:ascii="Book Antiqua" w:eastAsia="Book Antiqua" w:hAnsi="Book Antiqua" w:cs="Book Antiqua"/>
          <w:i/>
          <w:iCs/>
          <w:color w:val="000000"/>
        </w:rPr>
        <w:t>Gastrointest Endosc</w:t>
      </w:r>
      <w:r w:rsidRPr="00D35475">
        <w:rPr>
          <w:rFonts w:ascii="Book Antiqua" w:eastAsia="Book Antiqua" w:hAnsi="Book Antiqua" w:cs="Book Antiqua"/>
          <w:color w:val="000000"/>
        </w:rPr>
        <w:t xml:space="preserve"> 1986; </w:t>
      </w:r>
      <w:r w:rsidRPr="00D35475">
        <w:rPr>
          <w:rFonts w:ascii="Book Antiqua" w:eastAsia="Book Antiqua" w:hAnsi="Book Antiqua" w:cs="Book Antiqua"/>
          <w:b/>
          <w:bCs/>
          <w:color w:val="000000"/>
        </w:rPr>
        <w:t>32</w:t>
      </w:r>
      <w:r w:rsidRPr="00D35475">
        <w:rPr>
          <w:rFonts w:ascii="Book Antiqua" w:eastAsia="Book Antiqua" w:hAnsi="Book Antiqua" w:cs="Book Antiqua"/>
          <w:color w:val="000000"/>
        </w:rPr>
        <w:t>: 264-268 [PMID: 3488937 DOI: 10.1016/s0016-5107(86)71843-9]</w:t>
      </w:r>
    </w:p>
    <w:p w14:paraId="49E90CA9"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3 </w:t>
      </w:r>
      <w:r w:rsidRPr="00D35475">
        <w:rPr>
          <w:rFonts w:ascii="Book Antiqua" w:eastAsia="Book Antiqua" w:hAnsi="Book Antiqua" w:cs="Book Antiqua"/>
          <w:b/>
          <w:bCs/>
          <w:color w:val="000000"/>
        </w:rPr>
        <w:t>Abdel-Wahab M</w:t>
      </w:r>
      <w:r w:rsidRPr="00D35475">
        <w:rPr>
          <w:rFonts w:ascii="Book Antiqua" w:eastAsia="Book Antiqua" w:hAnsi="Book Antiqua" w:cs="Book Antiqua"/>
          <w:color w:val="000000"/>
        </w:rPr>
        <w:t xml:space="preserve">, el-Ebidy G, Gad el-Hak N, Abou-Elenin A, Abou-Zid M, el-Ghawalby N, Sultan A, el-Fiky A, Fathy O, Ezzat F. Fundal varices: problem and management. </w:t>
      </w:r>
      <w:r w:rsidRPr="00D35475">
        <w:rPr>
          <w:rFonts w:ascii="Book Antiqua" w:eastAsia="Book Antiqua" w:hAnsi="Book Antiqua" w:cs="Book Antiqua"/>
          <w:i/>
          <w:iCs/>
          <w:color w:val="000000"/>
        </w:rPr>
        <w:t>Hepatogastroenterology</w:t>
      </w:r>
      <w:r w:rsidRPr="00D35475">
        <w:rPr>
          <w:rFonts w:ascii="Book Antiqua" w:eastAsia="Book Antiqua" w:hAnsi="Book Antiqua" w:cs="Book Antiqua"/>
          <w:color w:val="000000"/>
        </w:rPr>
        <w:t xml:space="preserve"> 1999; </w:t>
      </w:r>
      <w:r w:rsidRPr="00D35475">
        <w:rPr>
          <w:rFonts w:ascii="Book Antiqua" w:eastAsia="Book Antiqua" w:hAnsi="Book Antiqua" w:cs="Book Antiqua"/>
          <w:b/>
          <w:bCs/>
          <w:color w:val="000000"/>
        </w:rPr>
        <w:t>46</w:t>
      </w:r>
      <w:r w:rsidRPr="00D35475">
        <w:rPr>
          <w:rFonts w:ascii="Book Antiqua" w:eastAsia="Book Antiqua" w:hAnsi="Book Antiqua" w:cs="Book Antiqua"/>
          <w:color w:val="000000"/>
        </w:rPr>
        <w:t>: 849-854 [PMID: 10370625]</w:t>
      </w:r>
    </w:p>
    <w:p w14:paraId="0C977DB3"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4 </w:t>
      </w:r>
      <w:r w:rsidRPr="00D35475">
        <w:rPr>
          <w:rFonts w:ascii="Book Antiqua" w:eastAsia="Book Antiqua" w:hAnsi="Book Antiqua" w:cs="Book Antiqua"/>
          <w:b/>
          <w:bCs/>
          <w:color w:val="000000"/>
        </w:rPr>
        <w:t>Greig JD</w:t>
      </w:r>
      <w:r w:rsidRPr="00D35475">
        <w:rPr>
          <w:rFonts w:ascii="Book Antiqua" w:eastAsia="Book Antiqua" w:hAnsi="Book Antiqua" w:cs="Book Antiqua"/>
          <w:color w:val="000000"/>
        </w:rPr>
        <w:t xml:space="preserve">, Garden OJ, Anderson JR, Carter DC. Management of gastric variceal haemorrhage. </w:t>
      </w:r>
      <w:r w:rsidRPr="00D35475">
        <w:rPr>
          <w:rFonts w:ascii="Book Antiqua" w:eastAsia="Book Antiqua" w:hAnsi="Book Antiqua" w:cs="Book Antiqua"/>
          <w:i/>
          <w:iCs/>
          <w:color w:val="000000"/>
        </w:rPr>
        <w:t>Br J Surg</w:t>
      </w:r>
      <w:r w:rsidRPr="00D35475">
        <w:rPr>
          <w:rFonts w:ascii="Book Antiqua" w:eastAsia="Book Antiqua" w:hAnsi="Book Antiqua" w:cs="Book Antiqua"/>
          <w:color w:val="000000"/>
        </w:rPr>
        <w:t xml:space="preserve"> 1990; </w:t>
      </w:r>
      <w:r w:rsidRPr="00D35475">
        <w:rPr>
          <w:rFonts w:ascii="Book Antiqua" w:eastAsia="Book Antiqua" w:hAnsi="Book Antiqua" w:cs="Book Antiqua"/>
          <w:b/>
          <w:bCs/>
          <w:color w:val="000000"/>
        </w:rPr>
        <w:t>77</w:t>
      </w:r>
      <w:r w:rsidRPr="00D35475">
        <w:rPr>
          <w:rFonts w:ascii="Book Antiqua" w:eastAsia="Book Antiqua" w:hAnsi="Book Antiqua" w:cs="Book Antiqua"/>
          <w:color w:val="000000"/>
        </w:rPr>
        <w:t>: 297-299 [PMID: 2322791 DOI: 10.1002/bjs.1800770318]</w:t>
      </w:r>
    </w:p>
    <w:p w14:paraId="2ABDFF64"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5 </w:t>
      </w:r>
      <w:r w:rsidRPr="00D35475">
        <w:rPr>
          <w:rFonts w:ascii="Book Antiqua" w:eastAsia="Book Antiqua" w:hAnsi="Book Antiqua" w:cs="Book Antiqua"/>
          <w:b/>
          <w:bCs/>
          <w:color w:val="000000"/>
        </w:rPr>
        <w:t>Kiyosue H</w:t>
      </w:r>
      <w:r w:rsidRPr="00D35475">
        <w:rPr>
          <w:rFonts w:ascii="Book Antiqua" w:eastAsia="Book Antiqua" w:hAnsi="Book Antiqua" w:cs="Book Antiqua"/>
          <w:color w:val="000000"/>
        </w:rPr>
        <w:t xml:space="preserve">, Mori H, Matsumoto S, Yamada Y, Hori Y, Okino Y. Transcatheter obliteration of gastric varices. Part 1. Anatomic classification. </w:t>
      </w:r>
      <w:r w:rsidRPr="00D35475">
        <w:rPr>
          <w:rFonts w:ascii="Book Antiqua" w:eastAsia="Book Antiqua" w:hAnsi="Book Antiqua" w:cs="Book Antiqua"/>
          <w:i/>
          <w:iCs/>
          <w:color w:val="000000"/>
        </w:rPr>
        <w:t>Radiographics</w:t>
      </w:r>
      <w:r w:rsidRPr="00D35475">
        <w:rPr>
          <w:rFonts w:ascii="Book Antiqua" w:eastAsia="Book Antiqua" w:hAnsi="Book Antiqua" w:cs="Book Antiqua"/>
          <w:color w:val="000000"/>
        </w:rPr>
        <w:t xml:space="preserve"> 2003; </w:t>
      </w:r>
      <w:r w:rsidRPr="00D35475">
        <w:rPr>
          <w:rFonts w:ascii="Book Antiqua" w:eastAsia="Book Antiqua" w:hAnsi="Book Antiqua" w:cs="Book Antiqua"/>
          <w:b/>
          <w:bCs/>
          <w:color w:val="000000"/>
        </w:rPr>
        <w:t>23</w:t>
      </w:r>
      <w:r w:rsidRPr="00D35475">
        <w:rPr>
          <w:rFonts w:ascii="Book Antiqua" w:eastAsia="Book Antiqua" w:hAnsi="Book Antiqua" w:cs="Book Antiqua"/>
          <w:color w:val="000000"/>
        </w:rPr>
        <w:t>: 911-920 [PMID: 12853665 DOI: 10.1148/rg.234025044]</w:t>
      </w:r>
    </w:p>
    <w:p w14:paraId="55FB5E1E"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6 </w:t>
      </w:r>
      <w:r w:rsidRPr="00D35475">
        <w:rPr>
          <w:rFonts w:ascii="Book Antiqua" w:eastAsia="Book Antiqua" w:hAnsi="Book Antiqua" w:cs="Book Antiqua"/>
          <w:b/>
          <w:bCs/>
          <w:color w:val="000000"/>
        </w:rPr>
        <w:t>Kanagawa H</w:t>
      </w:r>
      <w:r w:rsidRPr="00D35475">
        <w:rPr>
          <w:rFonts w:ascii="Book Antiqua" w:eastAsia="Book Antiqua" w:hAnsi="Book Antiqua" w:cs="Book Antiqua"/>
          <w:color w:val="000000"/>
        </w:rPr>
        <w:t xml:space="preserve">, Mima S, Kouyama H, Gotoh K, Uchida T, Okuda K. Treatment of gastric fundal varices by balloon-occluded retrograde transvenous obliteration. </w:t>
      </w:r>
      <w:r w:rsidRPr="00D35475">
        <w:rPr>
          <w:rFonts w:ascii="Book Antiqua" w:eastAsia="Book Antiqua" w:hAnsi="Book Antiqua" w:cs="Book Antiqua"/>
          <w:i/>
          <w:iCs/>
          <w:color w:val="000000"/>
        </w:rPr>
        <w:t>J Gastroenterol Hepatol</w:t>
      </w:r>
      <w:r w:rsidRPr="00D35475">
        <w:rPr>
          <w:rFonts w:ascii="Book Antiqua" w:eastAsia="Book Antiqua" w:hAnsi="Book Antiqua" w:cs="Book Antiqua"/>
          <w:color w:val="000000"/>
        </w:rPr>
        <w:t xml:space="preserve"> 1996; </w:t>
      </w:r>
      <w:r w:rsidRPr="00D35475">
        <w:rPr>
          <w:rFonts w:ascii="Book Antiqua" w:eastAsia="Book Antiqua" w:hAnsi="Book Antiqua" w:cs="Book Antiqua"/>
          <w:b/>
          <w:bCs/>
          <w:color w:val="000000"/>
        </w:rPr>
        <w:t>11</w:t>
      </w:r>
      <w:r w:rsidRPr="00D35475">
        <w:rPr>
          <w:rFonts w:ascii="Book Antiqua" w:eastAsia="Book Antiqua" w:hAnsi="Book Antiqua" w:cs="Book Antiqua"/>
          <w:color w:val="000000"/>
        </w:rPr>
        <w:t>: 51-58 [PMID: 8672742 DOI: 10.1111/j.1440-1746.1996.tb00010.x]</w:t>
      </w:r>
    </w:p>
    <w:p w14:paraId="275686FB"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7 </w:t>
      </w:r>
      <w:r w:rsidRPr="00D35475">
        <w:rPr>
          <w:rFonts w:ascii="Book Antiqua" w:eastAsia="Book Antiqua" w:hAnsi="Book Antiqua" w:cs="Book Antiqua"/>
          <w:b/>
          <w:bCs/>
          <w:color w:val="000000"/>
        </w:rPr>
        <w:t>Chikamori F</w:t>
      </w:r>
      <w:r w:rsidRPr="00D35475">
        <w:rPr>
          <w:rFonts w:ascii="Book Antiqua" w:eastAsia="Book Antiqua" w:hAnsi="Book Antiqua" w:cs="Book Antiqua"/>
          <w:color w:val="000000"/>
        </w:rPr>
        <w:t xml:space="preserve">, Kuniyoshi N, Shibuya S, Takase Y. Eight years of experience with transjugular retrograde obliteration for gastric varices with gastrorenal shunts. </w:t>
      </w:r>
      <w:r w:rsidRPr="00D35475">
        <w:rPr>
          <w:rFonts w:ascii="Book Antiqua" w:eastAsia="Book Antiqua" w:hAnsi="Book Antiqua" w:cs="Book Antiqua"/>
          <w:i/>
          <w:iCs/>
          <w:color w:val="000000"/>
        </w:rPr>
        <w:t>Surgery</w:t>
      </w:r>
      <w:r w:rsidRPr="00D35475">
        <w:rPr>
          <w:rFonts w:ascii="Book Antiqua" w:eastAsia="Book Antiqua" w:hAnsi="Book Antiqua" w:cs="Book Antiqua"/>
          <w:color w:val="000000"/>
        </w:rPr>
        <w:t xml:space="preserve"> 2001; </w:t>
      </w:r>
      <w:r w:rsidRPr="00D35475">
        <w:rPr>
          <w:rFonts w:ascii="Book Antiqua" w:eastAsia="Book Antiqua" w:hAnsi="Book Antiqua" w:cs="Book Antiqua"/>
          <w:b/>
          <w:bCs/>
          <w:color w:val="000000"/>
        </w:rPr>
        <w:t>129</w:t>
      </w:r>
      <w:r w:rsidRPr="00D35475">
        <w:rPr>
          <w:rFonts w:ascii="Book Antiqua" w:eastAsia="Book Antiqua" w:hAnsi="Book Antiqua" w:cs="Book Antiqua"/>
          <w:color w:val="000000"/>
        </w:rPr>
        <w:t>: 414-420 [PMID: 11283531 DOI: 10.1067/msy.2001.112000]</w:t>
      </w:r>
    </w:p>
    <w:p w14:paraId="3D851C1B"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8 </w:t>
      </w:r>
      <w:r w:rsidRPr="00D35475">
        <w:rPr>
          <w:rFonts w:ascii="Book Antiqua" w:eastAsia="Book Antiqua" w:hAnsi="Book Antiqua" w:cs="Book Antiqua"/>
          <w:b/>
          <w:bCs/>
          <w:color w:val="000000"/>
        </w:rPr>
        <w:t>Ninoi T</w:t>
      </w:r>
      <w:r w:rsidRPr="00D35475">
        <w:rPr>
          <w:rFonts w:ascii="Book Antiqua" w:eastAsia="Book Antiqua" w:hAnsi="Book Antiqua" w:cs="Book Antiqua"/>
          <w:color w:val="000000"/>
        </w:rPr>
        <w:t xml:space="preserve">, Nishida N, Kaminou T, Sakai Y, Kitayama T, Hamuro M, Yamada R, Nakamura K, Arakawa T, Inoue Y. Balloon-occluded retrograde transvenous obliteration of gastric varices with gastrorenal shunt: long-term follow-up in 78 patients. </w:t>
      </w:r>
      <w:r w:rsidRPr="00D35475">
        <w:rPr>
          <w:rFonts w:ascii="Book Antiqua" w:eastAsia="Book Antiqua" w:hAnsi="Book Antiqua" w:cs="Book Antiqua"/>
          <w:i/>
          <w:iCs/>
          <w:color w:val="000000"/>
        </w:rPr>
        <w:t>AJR Am J Roentgenol</w:t>
      </w:r>
      <w:r w:rsidRPr="00D35475">
        <w:rPr>
          <w:rFonts w:ascii="Book Antiqua" w:eastAsia="Book Antiqua" w:hAnsi="Book Antiqua" w:cs="Book Antiqua"/>
          <w:color w:val="000000"/>
        </w:rPr>
        <w:t xml:space="preserve"> 2005; </w:t>
      </w:r>
      <w:r w:rsidRPr="00D35475">
        <w:rPr>
          <w:rFonts w:ascii="Book Antiqua" w:eastAsia="Book Antiqua" w:hAnsi="Book Antiqua" w:cs="Book Antiqua"/>
          <w:b/>
          <w:bCs/>
          <w:color w:val="000000"/>
        </w:rPr>
        <w:t>184</w:t>
      </w:r>
      <w:r w:rsidRPr="00D35475">
        <w:rPr>
          <w:rFonts w:ascii="Book Antiqua" w:eastAsia="Book Antiqua" w:hAnsi="Book Antiqua" w:cs="Book Antiqua"/>
          <w:color w:val="000000"/>
        </w:rPr>
        <w:t>: 1340-1346 [PMID: 15788621 DOI: 10.2214/ajr.184.4.01841340]</w:t>
      </w:r>
    </w:p>
    <w:p w14:paraId="3694183E"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9 </w:t>
      </w:r>
      <w:r w:rsidRPr="00D35475">
        <w:rPr>
          <w:rFonts w:ascii="Book Antiqua" w:eastAsia="Book Antiqua" w:hAnsi="Book Antiqua" w:cs="Book Antiqua"/>
          <w:b/>
          <w:bCs/>
          <w:color w:val="000000"/>
        </w:rPr>
        <w:t>Takuma Y</w:t>
      </w:r>
      <w:r w:rsidRPr="00D35475">
        <w:rPr>
          <w:rFonts w:ascii="Book Antiqua" w:eastAsia="Book Antiqua" w:hAnsi="Book Antiqua" w:cs="Book Antiqua"/>
          <w:color w:val="000000"/>
        </w:rPr>
        <w:t xml:space="preserve">, Nouso K, Makino Y, Saito S, Shiratori Y. Prophylactic balloon-occluded retrograde transvenous obliteration for gastric varices in compensated cirrhosis. </w:t>
      </w:r>
      <w:r w:rsidRPr="00D35475">
        <w:rPr>
          <w:rFonts w:ascii="Book Antiqua" w:eastAsia="Book Antiqua" w:hAnsi="Book Antiqua" w:cs="Book Antiqua"/>
          <w:i/>
          <w:iCs/>
          <w:color w:val="000000"/>
        </w:rPr>
        <w:t>Clin Gastroenterol Hepatol</w:t>
      </w:r>
      <w:r w:rsidRPr="00D35475">
        <w:rPr>
          <w:rFonts w:ascii="Book Antiqua" w:eastAsia="Book Antiqua" w:hAnsi="Book Antiqua" w:cs="Book Antiqua"/>
          <w:color w:val="000000"/>
        </w:rPr>
        <w:t xml:space="preserve"> 2005; </w:t>
      </w:r>
      <w:r w:rsidRPr="00D35475">
        <w:rPr>
          <w:rFonts w:ascii="Book Antiqua" w:eastAsia="Book Antiqua" w:hAnsi="Book Antiqua" w:cs="Book Antiqua"/>
          <w:b/>
          <w:bCs/>
          <w:color w:val="000000"/>
        </w:rPr>
        <w:t>3</w:t>
      </w:r>
      <w:r w:rsidRPr="00D35475">
        <w:rPr>
          <w:rFonts w:ascii="Book Antiqua" w:eastAsia="Book Antiqua" w:hAnsi="Book Antiqua" w:cs="Book Antiqua"/>
          <w:color w:val="000000"/>
        </w:rPr>
        <w:t>: 1245-1252 [PMID: 16361051 DOI: 10.1016/s1542-3565(05)00744-5]</w:t>
      </w:r>
    </w:p>
    <w:p w14:paraId="6A72D398"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10 </w:t>
      </w:r>
      <w:r w:rsidRPr="00D35475">
        <w:rPr>
          <w:rFonts w:ascii="Book Antiqua" w:eastAsia="Book Antiqua" w:hAnsi="Book Antiqua" w:cs="Book Antiqua"/>
          <w:b/>
          <w:bCs/>
          <w:color w:val="000000"/>
        </w:rPr>
        <w:t>Cho SK</w:t>
      </w:r>
      <w:r w:rsidRPr="00D35475">
        <w:rPr>
          <w:rFonts w:ascii="Book Antiqua" w:eastAsia="Book Antiqua" w:hAnsi="Book Antiqua" w:cs="Book Antiqua"/>
          <w:color w:val="000000"/>
        </w:rPr>
        <w:t xml:space="preserve">, Shin SW, Lee IH, Do YS, Choo SW, Park KB, Yoo BC. Balloon-occluded retrograde transvenous obliteration of gastric varices: outcomes and complications in 49 </w:t>
      </w:r>
      <w:r w:rsidRPr="00D35475">
        <w:rPr>
          <w:rFonts w:ascii="Book Antiqua" w:eastAsia="Book Antiqua" w:hAnsi="Book Antiqua" w:cs="Book Antiqua"/>
          <w:color w:val="000000"/>
        </w:rPr>
        <w:lastRenderedPageBreak/>
        <w:t xml:space="preserve">patients. </w:t>
      </w:r>
      <w:r w:rsidRPr="00D35475">
        <w:rPr>
          <w:rFonts w:ascii="Book Antiqua" w:eastAsia="Book Antiqua" w:hAnsi="Book Antiqua" w:cs="Book Antiqua"/>
          <w:i/>
          <w:iCs/>
          <w:color w:val="000000"/>
        </w:rPr>
        <w:t>AJR Am J Roentgenol</w:t>
      </w:r>
      <w:r w:rsidRPr="00D35475">
        <w:rPr>
          <w:rFonts w:ascii="Book Antiqua" w:eastAsia="Book Antiqua" w:hAnsi="Book Antiqua" w:cs="Book Antiqua"/>
          <w:color w:val="000000"/>
        </w:rPr>
        <w:t xml:space="preserve"> 2007; </w:t>
      </w:r>
      <w:r w:rsidRPr="00D35475">
        <w:rPr>
          <w:rFonts w:ascii="Book Antiqua" w:eastAsia="Book Antiqua" w:hAnsi="Book Antiqua" w:cs="Book Antiqua"/>
          <w:b/>
          <w:bCs/>
          <w:color w:val="000000"/>
        </w:rPr>
        <w:t>189</w:t>
      </w:r>
      <w:r w:rsidRPr="00D35475">
        <w:rPr>
          <w:rFonts w:ascii="Book Antiqua" w:eastAsia="Book Antiqua" w:hAnsi="Book Antiqua" w:cs="Book Antiqua"/>
          <w:color w:val="000000"/>
        </w:rPr>
        <w:t>: W365-W372 [PMID: 18029851 DOI: 10.2214/AJR.07.2266]</w:t>
      </w:r>
    </w:p>
    <w:p w14:paraId="522C5C96"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11 </w:t>
      </w:r>
      <w:r w:rsidRPr="00D35475">
        <w:rPr>
          <w:rFonts w:ascii="Book Antiqua" w:eastAsia="Book Antiqua" w:hAnsi="Book Antiqua" w:cs="Book Antiqua"/>
          <w:b/>
          <w:bCs/>
          <w:color w:val="000000"/>
        </w:rPr>
        <w:t>Sabri SS</w:t>
      </w:r>
      <w:r w:rsidRPr="00D35475">
        <w:rPr>
          <w:rFonts w:ascii="Book Antiqua" w:eastAsia="Book Antiqua" w:hAnsi="Book Antiqua" w:cs="Book Antiqua"/>
          <w:color w:val="000000"/>
        </w:rPr>
        <w:t xml:space="preserve">, Swee W, Turba UC, Saad WE, Park AW, Al-Osaimi AM, Caldwell SH, Matsumoto AH, Angle JF. Bleeding gastric varices obliteration with balloon-occluded retrograde transvenous obliteration using sodium tetradecyl sulfate foam. </w:t>
      </w:r>
      <w:r w:rsidRPr="00D35475">
        <w:rPr>
          <w:rFonts w:ascii="Book Antiqua" w:eastAsia="Book Antiqua" w:hAnsi="Book Antiqua" w:cs="Book Antiqua"/>
          <w:i/>
          <w:iCs/>
          <w:color w:val="000000"/>
        </w:rPr>
        <w:t>J Vasc Interv Radiol</w:t>
      </w:r>
      <w:r w:rsidRPr="00D35475">
        <w:rPr>
          <w:rFonts w:ascii="Book Antiqua" w:eastAsia="Book Antiqua" w:hAnsi="Book Antiqua" w:cs="Book Antiqua"/>
          <w:color w:val="000000"/>
        </w:rPr>
        <w:t xml:space="preserve"> 2011; </w:t>
      </w:r>
      <w:r w:rsidRPr="00D35475">
        <w:rPr>
          <w:rFonts w:ascii="Book Antiqua" w:eastAsia="Book Antiqua" w:hAnsi="Book Antiqua" w:cs="Book Antiqua"/>
          <w:b/>
          <w:bCs/>
          <w:color w:val="000000"/>
        </w:rPr>
        <w:t>22</w:t>
      </w:r>
      <w:r w:rsidRPr="00D35475">
        <w:rPr>
          <w:rFonts w:ascii="Book Antiqua" w:eastAsia="Book Antiqua" w:hAnsi="Book Antiqua" w:cs="Book Antiqua"/>
          <w:color w:val="000000"/>
        </w:rPr>
        <w:t>: 309-16; quiz 316 [PMID: 21353984 DOI: 10.1016/j.jvir.2010.11.022]</w:t>
      </w:r>
    </w:p>
    <w:p w14:paraId="0AE8D5B0"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12 </w:t>
      </w:r>
      <w:r w:rsidRPr="00D35475">
        <w:rPr>
          <w:rFonts w:ascii="Book Antiqua" w:eastAsia="Book Antiqua" w:hAnsi="Book Antiqua" w:cs="Book Antiqua"/>
          <w:b/>
          <w:bCs/>
          <w:color w:val="000000"/>
        </w:rPr>
        <w:t>Weil D</w:t>
      </w:r>
      <w:r w:rsidRPr="00D35475">
        <w:rPr>
          <w:rFonts w:ascii="Book Antiqua" w:eastAsia="Book Antiqua" w:hAnsi="Book Antiqua" w:cs="Book Antiqua"/>
          <w:color w:val="000000"/>
        </w:rPr>
        <w:t xml:space="preserve">, Cervoni JP, Fares N, Rudler M, Bureau C, Plessier A, Dao T, Pauwels A, Thabut D, Castellani P, Oberti F, Carbonell N, Elkrief L, Di Martino V, Thevenot T; Club Francophone pour l’Etude de l’Hypertension Portale (CFEHTP). Management of gastric varices: a French national survey. </w:t>
      </w:r>
      <w:r w:rsidRPr="00D35475">
        <w:rPr>
          <w:rFonts w:ascii="Book Antiqua" w:eastAsia="Book Antiqua" w:hAnsi="Book Antiqua" w:cs="Book Antiqua"/>
          <w:i/>
          <w:iCs/>
          <w:color w:val="000000"/>
        </w:rPr>
        <w:t>Eur J Gastroenterol Hepatol</w:t>
      </w:r>
      <w:r w:rsidRPr="00D35475">
        <w:rPr>
          <w:rFonts w:ascii="Book Antiqua" w:eastAsia="Book Antiqua" w:hAnsi="Book Antiqua" w:cs="Book Antiqua"/>
          <w:color w:val="000000"/>
        </w:rPr>
        <w:t xml:space="preserve"> 2016; </w:t>
      </w:r>
      <w:r w:rsidRPr="00D35475">
        <w:rPr>
          <w:rFonts w:ascii="Book Antiqua" w:eastAsia="Book Antiqua" w:hAnsi="Book Antiqua" w:cs="Book Antiqua"/>
          <w:b/>
          <w:bCs/>
          <w:color w:val="000000"/>
        </w:rPr>
        <w:t>28</w:t>
      </w:r>
      <w:r w:rsidRPr="00D35475">
        <w:rPr>
          <w:rFonts w:ascii="Book Antiqua" w:eastAsia="Book Antiqua" w:hAnsi="Book Antiqua" w:cs="Book Antiqua"/>
          <w:color w:val="000000"/>
        </w:rPr>
        <w:t>: 576-581 [PMID: 26866524 DOI: 10.1097/MEG.0000000000000560]</w:t>
      </w:r>
    </w:p>
    <w:p w14:paraId="215A89B2"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13 </w:t>
      </w:r>
      <w:r w:rsidRPr="00D35475">
        <w:rPr>
          <w:rFonts w:ascii="Book Antiqua" w:eastAsia="Book Antiqua" w:hAnsi="Book Antiqua" w:cs="Book Antiqua"/>
          <w:b/>
          <w:bCs/>
          <w:color w:val="000000"/>
        </w:rPr>
        <w:t>de Franchis R</w:t>
      </w:r>
      <w:r w:rsidRPr="00D35475">
        <w:rPr>
          <w:rFonts w:ascii="Book Antiqua" w:eastAsia="Book Antiqua" w:hAnsi="Book Antiqua" w:cs="Book Antiqua"/>
          <w:color w:val="000000"/>
        </w:rPr>
        <w:t xml:space="preserve">; Baveno VI Faculty. Expanding consensus in portal hypertension: Report of the Baveno VI Consensus Workshop: Stratifying risk and individualizing care for portal hypertension. </w:t>
      </w:r>
      <w:r w:rsidRPr="00D35475">
        <w:rPr>
          <w:rFonts w:ascii="Book Antiqua" w:eastAsia="Book Antiqua" w:hAnsi="Book Antiqua" w:cs="Book Antiqua"/>
          <w:i/>
          <w:iCs/>
          <w:color w:val="000000"/>
        </w:rPr>
        <w:t>J Hepatol</w:t>
      </w:r>
      <w:r w:rsidRPr="00D35475">
        <w:rPr>
          <w:rFonts w:ascii="Book Antiqua" w:eastAsia="Book Antiqua" w:hAnsi="Book Antiqua" w:cs="Book Antiqua"/>
          <w:color w:val="000000"/>
        </w:rPr>
        <w:t xml:space="preserve"> 2015; </w:t>
      </w:r>
      <w:r w:rsidRPr="00D35475">
        <w:rPr>
          <w:rFonts w:ascii="Book Antiqua" w:eastAsia="Book Antiqua" w:hAnsi="Book Antiqua" w:cs="Book Antiqua"/>
          <w:b/>
          <w:bCs/>
          <w:color w:val="000000"/>
        </w:rPr>
        <w:t>63</w:t>
      </w:r>
      <w:r w:rsidRPr="00D35475">
        <w:rPr>
          <w:rFonts w:ascii="Book Antiqua" w:eastAsia="Book Antiqua" w:hAnsi="Book Antiqua" w:cs="Book Antiqua"/>
          <w:color w:val="000000"/>
        </w:rPr>
        <w:t>: 743-752 [PMID: 26047908 DOI: 10.1016/j.jhep.2015.05.022]</w:t>
      </w:r>
    </w:p>
    <w:p w14:paraId="29613374"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14 </w:t>
      </w:r>
      <w:r w:rsidRPr="00D35475">
        <w:rPr>
          <w:rFonts w:ascii="Book Antiqua" w:eastAsia="Book Antiqua" w:hAnsi="Book Antiqua" w:cs="Book Antiqua"/>
          <w:b/>
          <w:bCs/>
          <w:color w:val="000000"/>
        </w:rPr>
        <w:t>Saad WE</w:t>
      </w:r>
      <w:r w:rsidRPr="00D35475">
        <w:rPr>
          <w:rFonts w:ascii="Book Antiqua" w:eastAsia="Book Antiqua" w:hAnsi="Book Antiqua" w:cs="Book Antiqua"/>
          <w:color w:val="000000"/>
        </w:rPr>
        <w:t xml:space="preserve">, Kitanosono T, Koizumi J, Hirota S. The conventional balloon-occluded retrograde transvenous obliteration procedure: indications, contraindications, and technical applications. </w:t>
      </w:r>
      <w:r w:rsidRPr="00D35475">
        <w:rPr>
          <w:rFonts w:ascii="Book Antiqua" w:eastAsia="Book Antiqua" w:hAnsi="Book Antiqua" w:cs="Book Antiqua"/>
          <w:i/>
          <w:iCs/>
          <w:color w:val="000000"/>
        </w:rPr>
        <w:t>Tech Vasc Interv Radiol</w:t>
      </w:r>
      <w:r w:rsidRPr="00D35475">
        <w:rPr>
          <w:rFonts w:ascii="Book Antiqua" w:eastAsia="Book Antiqua" w:hAnsi="Book Antiqua" w:cs="Book Antiqua"/>
          <w:color w:val="000000"/>
        </w:rPr>
        <w:t xml:space="preserve"> 2013; </w:t>
      </w:r>
      <w:r w:rsidRPr="00D35475">
        <w:rPr>
          <w:rFonts w:ascii="Book Antiqua" w:eastAsia="Book Antiqua" w:hAnsi="Book Antiqua" w:cs="Book Antiqua"/>
          <w:b/>
          <w:bCs/>
          <w:color w:val="000000"/>
        </w:rPr>
        <w:t>16</w:t>
      </w:r>
      <w:r w:rsidRPr="00D35475">
        <w:rPr>
          <w:rFonts w:ascii="Book Antiqua" w:eastAsia="Book Antiqua" w:hAnsi="Book Antiqua" w:cs="Book Antiqua"/>
          <w:color w:val="000000"/>
        </w:rPr>
        <w:t>: 101-151 [PMID: 23830671 DOI: 10.1053/j.tvir.2013.02.003]</w:t>
      </w:r>
    </w:p>
    <w:p w14:paraId="10FFAF0D"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15 </w:t>
      </w:r>
      <w:r w:rsidRPr="00D35475">
        <w:rPr>
          <w:rFonts w:ascii="Book Antiqua" w:eastAsia="Book Antiqua" w:hAnsi="Book Antiqua" w:cs="Book Antiqua"/>
          <w:b/>
          <w:bCs/>
          <w:color w:val="000000"/>
        </w:rPr>
        <w:t>Waguri N</w:t>
      </w:r>
      <w:r w:rsidRPr="00D35475">
        <w:rPr>
          <w:rFonts w:ascii="Book Antiqua" w:eastAsia="Book Antiqua" w:hAnsi="Book Antiqua" w:cs="Book Antiqua"/>
          <w:color w:val="000000"/>
        </w:rPr>
        <w:t xml:space="preserve">, Osaki A, Ikarashi S, Ogawa M, Kuraoka N, Ogawa K, Sato M, Aiba T, Yoneyama O, Furukawa K, Sugimura K, Igarashi K. Simultaneous combined balloon-occluded retrograde transvenous obliteration and partial splenic embolization for gastric fundal varices. </w:t>
      </w:r>
      <w:r w:rsidRPr="00D35475">
        <w:rPr>
          <w:rFonts w:ascii="Book Antiqua" w:eastAsia="Book Antiqua" w:hAnsi="Book Antiqua" w:cs="Book Antiqua"/>
          <w:i/>
          <w:iCs/>
          <w:color w:val="000000"/>
        </w:rPr>
        <w:t>United European Gastroenterol J</w:t>
      </w:r>
      <w:r w:rsidRPr="00D35475">
        <w:rPr>
          <w:rFonts w:ascii="Book Antiqua" w:eastAsia="Book Antiqua" w:hAnsi="Book Antiqua" w:cs="Book Antiqua"/>
          <w:color w:val="000000"/>
        </w:rPr>
        <w:t xml:space="preserve"> 2016; </w:t>
      </w:r>
      <w:r w:rsidRPr="00D35475">
        <w:rPr>
          <w:rFonts w:ascii="Book Antiqua" w:eastAsia="Book Antiqua" w:hAnsi="Book Antiqua" w:cs="Book Antiqua"/>
          <w:b/>
          <w:bCs/>
          <w:color w:val="000000"/>
        </w:rPr>
        <w:t>4</w:t>
      </w:r>
      <w:r w:rsidRPr="00D35475">
        <w:rPr>
          <w:rFonts w:ascii="Book Antiqua" w:eastAsia="Book Antiqua" w:hAnsi="Book Antiqua" w:cs="Book Antiqua"/>
          <w:color w:val="000000"/>
        </w:rPr>
        <w:t>: 62-69 [PMID: 26966524 DOI: 10.1177/2050640615581966]</w:t>
      </w:r>
    </w:p>
    <w:p w14:paraId="3BEB4B42"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16 </w:t>
      </w:r>
      <w:r w:rsidRPr="00D35475">
        <w:rPr>
          <w:rFonts w:ascii="Book Antiqua" w:eastAsia="Book Antiqua" w:hAnsi="Book Antiqua" w:cs="Book Antiqua"/>
          <w:b/>
          <w:bCs/>
          <w:color w:val="000000"/>
        </w:rPr>
        <w:t>Hirota S</w:t>
      </w:r>
      <w:r w:rsidRPr="00D35475">
        <w:rPr>
          <w:rFonts w:ascii="Book Antiqua" w:eastAsia="Book Antiqua" w:hAnsi="Book Antiqua" w:cs="Book Antiqua"/>
          <w:color w:val="000000"/>
        </w:rPr>
        <w:t xml:space="preserve">, Kobayashi K, Kako Y, Takaki H, Yamakado K. Balloon-occluded retrograde transvenous obliteration of varices: focusing on the portal hemodynamics and the recent techniques. </w:t>
      </w:r>
      <w:r w:rsidRPr="00D35475">
        <w:rPr>
          <w:rFonts w:ascii="Book Antiqua" w:eastAsia="Book Antiqua" w:hAnsi="Book Antiqua" w:cs="Book Antiqua"/>
          <w:i/>
          <w:iCs/>
          <w:color w:val="000000"/>
        </w:rPr>
        <w:t>Hepatol Int</w:t>
      </w:r>
      <w:r w:rsidRPr="00D35475">
        <w:rPr>
          <w:rFonts w:ascii="Book Antiqua" w:eastAsia="Book Antiqua" w:hAnsi="Book Antiqua" w:cs="Book Antiqua"/>
          <w:color w:val="000000"/>
        </w:rPr>
        <w:t xml:space="preserve"> 2018; </w:t>
      </w:r>
      <w:r w:rsidRPr="00D35475">
        <w:rPr>
          <w:rFonts w:ascii="Book Antiqua" w:eastAsia="Book Antiqua" w:hAnsi="Book Antiqua" w:cs="Book Antiqua"/>
          <w:b/>
          <w:bCs/>
          <w:color w:val="000000"/>
        </w:rPr>
        <w:t>12</w:t>
      </w:r>
      <w:r w:rsidRPr="00D35475">
        <w:rPr>
          <w:rFonts w:ascii="Book Antiqua" w:eastAsia="Book Antiqua" w:hAnsi="Book Antiqua" w:cs="Book Antiqua"/>
          <w:color w:val="000000"/>
        </w:rPr>
        <w:t>: 102-111 [PMID: 28875380 DOI: 10.1007/s12072-017-9813-2]</w:t>
      </w:r>
    </w:p>
    <w:p w14:paraId="4CB2EC08"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lastRenderedPageBreak/>
        <w:t xml:space="preserve">17 </w:t>
      </w:r>
      <w:r w:rsidRPr="00D35475">
        <w:rPr>
          <w:rFonts w:ascii="Book Antiqua" w:eastAsia="Book Antiqua" w:hAnsi="Book Antiqua" w:cs="Book Antiqua"/>
          <w:b/>
          <w:bCs/>
          <w:color w:val="000000"/>
        </w:rPr>
        <w:t>Tajiri T</w:t>
      </w:r>
      <w:r w:rsidRPr="00D35475">
        <w:rPr>
          <w:rFonts w:ascii="Book Antiqua" w:eastAsia="Book Antiqua" w:hAnsi="Book Antiqua" w:cs="Book Antiqua"/>
          <w:color w:val="000000"/>
        </w:rPr>
        <w:t xml:space="preserve">, Yoshida H, Obara K, Onji M, Kage M, Kitano S, Kokudo N, Kokubu S, Sakaida I, Sata M, Tajiri H, Tsukada K, Nonami T, Hashizume M, Hirota S, Murashima N, Moriyasu F, Saigenji K, Makuuchi H, Oho K, Yoshida T, Suzuki H, Hasumi A, Okita K, Futagawa S, Idezuki Y. General rules for recording endoscopic findings of esophagogastric varices (2nd edition). </w:t>
      </w:r>
      <w:r w:rsidRPr="00D35475">
        <w:rPr>
          <w:rFonts w:ascii="Book Antiqua" w:eastAsia="Book Antiqua" w:hAnsi="Book Antiqua" w:cs="Book Antiqua"/>
          <w:i/>
          <w:iCs/>
          <w:color w:val="000000"/>
        </w:rPr>
        <w:t>Dig Endosc</w:t>
      </w:r>
      <w:r w:rsidRPr="00D35475">
        <w:rPr>
          <w:rFonts w:ascii="Book Antiqua" w:eastAsia="Book Antiqua" w:hAnsi="Book Antiqua" w:cs="Book Antiqua"/>
          <w:color w:val="000000"/>
        </w:rPr>
        <w:t xml:space="preserve"> 2010; </w:t>
      </w:r>
      <w:r w:rsidRPr="00D35475">
        <w:rPr>
          <w:rFonts w:ascii="Book Antiqua" w:eastAsia="Book Antiqua" w:hAnsi="Book Antiqua" w:cs="Book Antiqua"/>
          <w:b/>
          <w:bCs/>
          <w:color w:val="000000"/>
        </w:rPr>
        <w:t>22</w:t>
      </w:r>
      <w:r w:rsidRPr="00D35475">
        <w:rPr>
          <w:rFonts w:ascii="Book Antiqua" w:eastAsia="Book Antiqua" w:hAnsi="Book Antiqua" w:cs="Book Antiqua"/>
          <w:color w:val="000000"/>
        </w:rPr>
        <w:t>: 1-9 [PMID: 20078657 DOI: 10.1111/j.1443-1661.2009.00929.x]</w:t>
      </w:r>
    </w:p>
    <w:p w14:paraId="0715CC92"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18 </w:t>
      </w:r>
      <w:r w:rsidRPr="00D35475">
        <w:rPr>
          <w:rFonts w:ascii="Book Antiqua" w:eastAsia="Book Antiqua" w:hAnsi="Book Antiqua" w:cs="Book Antiqua"/>
          <w:b/>
          <w:bCs/>
          <w:color w:val="000000"/>
        </w:rPr>
        <w:t>Rodrigues SG</w:t>
      </w:r>
      <w:r w:rsidRPr="00D35475">
        <w:rPr>
          <w:rFonts w:ascii="Book Antiqua" w:eastAsia="Book Antiqua" w:hAnsi="Book Antiqua" w:cs="Book Antiqua"/>
          <w:color w:val="000000"/>
        </w:rPr>
        <w:t xml:space="preserve">, Mendoza YP, Bosch J. Beta-blockers in cirrhosis: Evidence-based indications and limitations. </w:t>
      </w:r>
      <w:r w:rsidRPr="00D35475">
        <w:rPr>
          <w:rFonts w:ascii="Book Antiqua" w:eastAsia="Book Antiqua" w:hAnsi="Book Antiqua" w:cs="Book Antiqua"/>
          <w:i/>
          <w:iCs/>
          <w:color w:val="000000"/>
        </w:rPr>
        <w:t>JHEP Rep</w:t>
      </w:r>
      <w:r w:rsidRPr="00D35475">
        <w:rPr>
          <w:rFonts w:ascii="Book Antiqua" w:eastAsia="Book Antiqua" w:hAnsi="Book Antiqua" w:cs="Book Antiqua"/>
          <w:color w:val="000000"/>
        </w:rPr>
        <w:t xml:space="preserve"> 2020; </w:t>
      </w:r>
      <w:r w:rsidRPr="00D35475">
        <w:rPr>
          <w:rFonts w:ascii="Book Antiqua" w:eastAsia="Book Antiqua" w:hAnsi="Book Antiqua" w:cs="Book Antiqua"/>
          <w:b/>
          <w:bCs/>
          <w:color w:val="000000"/>
        </w:rPr>
        <w:t>2</w:t>
      </w:r>
      <w:r w:rsidRPr="00D35475">
        <w:rPr>
          <w:rFonts w:ascii="Book Antiqua" w:eastAsia="Book Antiqua" w:hAnsi="Book Antiqua" w:cs="Book Antiqua"/>
          <w:color w:val="000000"/>
        </w:rPr>
        <w:t>: 100063 [PMID: 32039404 DOI: 10.1016/j.jhepr.2019.12.001]</w:t>
      </w:r>
    </w:p>
    <w:p w14:paraId="6A55B276"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19 </w:t>
      </w:r>
      <w:r w:rsidRPr="00D35475">
        <w:rPr>
          <w:rFonts w:ascii="Book Antiqua" w:eastAsia="Book Antiqua" w:hAnsi="Book Antiqua" w:cs="Book Antiqua"/>
          <w:b/>
          <w:bCs/>
          <w:color w:val="000000"/>
        </w:rPr>
        <w:t>Barange K</w:t>
      </w:r>
      <w:r w:rsidRPr="00D35475">
        <w:rPr>
          <w:rFonts w:ascii="Book Antiqua" w:eastAsia="Book Antiqua" w:hAnsi="Book Antiqua" w:cs="Book Antiqua"/>
          <w:color w:val="000000"/>
        </w:rPr>
        <w:t xml:space="preserve">, Péron JM, Imani K, Otal P, Payen JL, Rousseau H, Pascal JP, Joffre F, Vinel JP. Transjugular intrahepatic portosystemic shunt in the treatment of refractory bleeding from ruptured gastric varices. </w:t>
      </w:r>
      <w:r w:rsidRPr="00D35475">
        <w:rPr>
          <w:rFonts w:ascii="Book Antiqua" w:eastAsia="Book Antiqua" w:hAnsi="Book Antiqua" w:cs="Book Antiqua"/>
          <w:i/>
          <w:iCs/>
          <w:color w:val="000000"/>
        </w:rPr>
        <w:t>Hepatology</w:t>
      </w:r>
      <w:r w:rsidRPr="00D35475">
        <w:rPr>
          <w:rFonts w:ascii="Book Antiqua" w:eastAsia="Book Antiqua" w:hAnsi="Book Antiqua" w:cs="Book Antiqua"/>
          <w:color w:val="000000"/>
        </w:rPr>
        <w:t xml:space="preserve"> 1999; </w:t>
      </w:r>
      <w:r w:rsidRPr="00D35475">
        <w:rPr>
          <w:rFonts w:ascii="Book Antiqua" w:eastAsia="Book Antiqua" w:hAnsi="Book Antiqua" w:cs="Book Antiqua"/>
          <w:b/>
          <w:bCs/>
          <w:color w:val="000000"/>
        </w:rPr>
        <w:t>30</w:t>
      </w:r>
      <w:r w:rsidRPr="00D35475">
        <w:rPr>
          <w:rFonts w:ascii="Book Antiqua" w:eastAsia="Book Antiqua" w:hAnsi="Book Antiqua" w:cs="Book Antiqua"/>
          <w:color w:val="000000"/>
        </w:rPr>
        <w:t>: 1139-1143 [PMID: 10534333 DOI: 10.1002/hep.510300523]</w:t>
      </w:r>
    </w:p>
    <w:p w14:paraId="74AC4642"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20 </w:t>
      </w:r>
      <w:r w:rsidRPr="00D35475">
        <w:rPr>
          <w:rFonts w:ascii="Book Antiqua" w:eastAsia="Book Antiqua" w:hAnsi="Book Antiqua" w:cs="Book Antiqua"/>
          <w:b/>
          <w:bCs/>
          <w:color w:val="000000"/>
        </w:rPr>
        <w:t>Luca A</w:t>
      </w:r>
      <w:r w:rsidRPr="00D35475">
        <w:rPr>
          <w:rFonts w:ascii="Book Antiqua" w:eastAsia="Book Antiqua" w:hAnsi="Book Antiqua" w:cs="Book Antiqua"/>
          <w:color w:val="000000"/>
        </w:rPr>
        <w:t xml:space="preserve">, D'Amico G, La Galla R, Midiri M, Morabito A, Pagliaro L. TIPS for prevention of recurrent bleeding in patients with cirrhosis: meta-analysis of randomized clinical trials. </w:t>
      </w:r>
      <w:r w:rsidRPr="00D35475">
        <w:rPr>
          <w:rFonts w:ascii="Book Antiqua" w:eastAsia="Book Antiqua" w:hAnsi="Book Antiqua" w:cs="Book Antiqua"/>
          <w:i/>
          <w:iCs/>
          <w:color w:val="000000"/>
        </w:rPr>
        <w:t>Radiology</w:t>
      </w:r>
      <w:r w:rsidRPr="00D35475">
        <w:rPr>
          <w:rFonts w:ascii="Book Antiqua" w:eastAsia="Book Antiqua" w:hAnsi="Book Antiqua" w:cs="Book Antiqua"/>
          <w:color w:val="000000"/>
        </w:rPr>
        <w:t xml:space="preserve"> 1999; </w:t>
      </w:r>
      <w:r w:rsidRPr="00D35475">
        <w:rPr>
          <w:rFonts w:ascii="Book Antiqua" w:eastAsia="Book Antiqua" w:hAnsi="Book Antiqua" w:cs="Book Antiqua"/>
          <w:b/>
          <w:bCs/>
          <w:color w:val="000000"/>
        </w:rPr>
        <w:t>212</w:t>
      </w:r>
      <w:r w:rsidRPr="00D35475">
        <w:rPr>
          <w:rFonts w:ascii="Book Antiqua" w:eastAsia="Book Antiqua" w:hAnsi="Book Antiqua" w:cs="Book Antiqua"/>
          <w:color w:val="000000"/>
        </w:rPr>
        <w:t>: 411-421 [PMID: 10429698 DOI: 10.1148/radiology.212.2.r99au46411]</w:t>
      </w:r>
    </w:p>
    <w:p w14:paraId="101059AD"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21 </w:t>
      </w:r>
      <w:r w:rsidRPr="00D35475">
        <w:rPr>
          <w:rFonts w:ascii="Book Antiqua" w:eastAsia="Book Antiqua" w:hAnsi="Book Antiqua" w:cs="Book Antiqua"/>
          <w:b/>
          <w:bCs/>
          <w:color w:val="000000"/>
        </w:rPr>
        <w:t>Papatheodoridis GV</w:t>
      </w:r>
      <w:r w:rsidRPr="00D35475">
        <w:rPr>
          <w:rFonts w:ascii="Book Antiqua" w:eastAsia="Book Antiqua" w:hAnsi="Book Antiqua" w:cs="Book Antiqua"/>
          <w:color w:val="000000"/>
        </w:rPr>
        <w:t xml:space="preserve">, Goulis J, Leandro G, Patch D, Burroughs AK. Transjugular intrahepatic portosystemic shunt compared with endoscopic treatment for prevention of variceal rebleeding: A meta-analysis. </w:t>
      </w:r>
      <w:r w:rsidRPr="00D35475">
        <w:rPr>
          <w:rFonts w:ascii="Book Antiqua" w:eastAsia="Book Antiqua" w:hAnsi="Book Antiqua" w:cs="Book Antiqua"/>
          <w:i/>
          <w:iCs/>
          <w:color w:val="000000"/>
        </w:rPr>
        <w:t>Hepatology</w:t>
      </w:r>
      <w:r w:rsidRPr="00D35475">
        <w:rPr>
          <w:rFonts w:ascii="Book Antiqua" w:eastAsia="Book Antiqua" w:hAnsi="Book Antiqua" w:cs="Book Antiqua"/>
          <w:color w:val="000000"/>
        </w:rPr>
        <w:t xml:space="preserve"> 1999; </w:t>
      </w:r>
      <w:r w:rsidRPr="00D35475">
        <w:rPr>
          <w:rFonts w:ascii="Book Antiqua" w:eastAsia="Book Antiqua" w:hAnsi="Book Antiqua" w:cs="Book Antiqua"/>
          <w:b/>
          <w:bCs/>
          <w:color w:val="000000"/>
        </w:rPr>
        <w:t>30</w:t>
      </w:r>
      <w:r w:rsidRPr="00D35475">
        <w:rPr>
          <w:rFonts w:ascii="Book Antiqua" w:eastAsia="Book Antiqua" w:hAnsi="Book Antiqua" w:cs="Book Antiqua"/>
          <w:color w:val="000000"/>
        </w:rPr>
        <w:t>: 612-622 [PMID: 10462365 DOI: 10.1002/hep.510300316]</w:t>
      </w:r>
    </w:p>
    <w:p w14:paraId="5E4CF386"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22 </w:t>
      </w:r>
      <w:r w:rsidRPr="00D35475">
        <w:rPr>
          <w:rFonts w:ascii="Book Antiqua" w:eastAsia="Book Antiqua" w:hAnsi="Book Antiqua" w:cs="Book Antiqua"/>
          <w:b/>
          <w:bCs/>
          <w:color w:val="000000"/>
        </w:rPr>
        <w:t>García-Pagán JC</w:t>
      </w:r>
      <w:r w:rsidRPr="00D35475">
        <w:rPr>
          <w:rFonts w:ascii="Book Antiqua" w:eastAsia="Book Antiqua" w:hAnsi="Book Antiqua" w:cs="Book Antiqua"/>
          <w:color w:val="000000"/>
        </w:rPr>
        <w:t xml:space="preserve">, Caca K, Bureau C, Laleman W, Appenrodt B, Luca A, Abraldes JG, Nevens F, Vinel JP, Mössner J, Bosch J; Early TIPS (Transjugular Intrahepatic Portosystemic Shunt) Cooperative Study Group. Early use of TIPS in patients with cirrhosis and variceal bleeding. </w:t>
      </w:r>
      <w:r w:rsidRPr="00D35475">
        <w:rPr>
          <w:rFonts w:ascii="Book Antiqua" w:eastAsia="Book Antiqua" w:hAnsi="Book Antiqua" w:cs="Book Antiqua"/>
          <w:i/>
          <w:iCs/>
          <w:color w:val="000000"/>
        </w:rPr>
        <w:t>N Engl J Med</w:t>
      </w:r>
      <w:r w:rsidRPr="00D35475">
        <w:rPr>
          <w:rFonts w:ascii="Book Antiqua" w:eastAsia="Book Antiqua" w:hAnsi="Book Antiqua" w:cs="Book Antiqua"/>
          <w:color w:val="000000"/>
        </w:rPr>
        <w:t xml:space="preserve"> 2010; </w:t>
      </w:r>
      <w:r w:rsidRPr="00D35475">
        <w:rPr>
          <w:rFonts w:ascii="Book Antiqua" w:eastAsia="Book Antiqua" w:hAnsi="Book Antiqua" w:cs="Book Antiqua"/>
          <w:b/>
          <w:bCs/>
          <w:color w:val="000000"/>
        </w:rPr>
        <w:t>362</w:t>
      </w:r>
      <w:r w:rsidRPr="00D35475">
        <w:rPr>
          <w:rFonts w:ascii="Book Antiqua" w:eastAsia="Book Antiqua" w:hAnsi="Book Antiqua" w:cs="Book Antiqua"/>
          <w:color w:val="000000"/>
        </w:rPr>
        <w:t>: 2370-2379 [PMID: 20573925 DOI: 10.1056/NEJMoa0910102]</w:t>
      </w:r>
    </w:p>
    <w:p w14:paraId="492745EE"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23 </w:t>
      </w:r>
      <w:r w:rsidRPr="00D35475">
        <w:rPr>
          <w:rFonts w:ascii="Book Antiqua" w:eastAsia="Book Antiqua" w:hAnsi="Book Antiqua" w:cs="Book Antiqua"/>
          <w:b/>
          <w:bCs/>
          <w:color w:val="000000"/>
        </w:rPr>
        <w:t>Boyer TD</w:t>
      </w:r>
      <w:r w:rsidRPr="00D35475">
        <w:rPr>
          <w:rFonts w:ascii="Book Antiqua" w:eastAsia="Book Antiqua" w:hAnsi="Book Antiqua" w:cs="Book Antiqua"/>
          <w:color w:val="000000"/>
        </w:rPr>
        <w:t xml:space="preserve">, Haskal ZJ; American Association for the Study of Liver Diseases. The role of transjugular intrahepatic portosystemic shunt in the management of portal hypertension. </w:t>
      </w:r>
      <w:r w:rsidRPr="00D35475">
        <w:rPr>
          <w:rFonts w:ascii="Book Antiqua" w:eastAsia="Book Antiqua" w:hAnsi="Book Antiqua" w:cs="Book Antiqua"/>
          <w:i/>
          <w:iCs/>
          <w:color w:val="000000"/>
        </w:rPr>
        <w:t>Hepatology</w:t>
      </w:r>
      <w:r w:rsidRPr="00D35475">
        <w:rPr>
          <w:rFonts w:ascii="Book Antiqua" w:eastAsia="Book Antiqua" w:hAnsi="Book Antiqua" w:cs="Book Antiqua"/>
          <w:color w:val="000000"/>
        </w:rPr>
        <w:t xml:space="preserve"> 2005; </w:t>
      </w:r>
      <w:r w:rsidRPr="00D35475">
        <w:rPr>
          <w:rFonts w:ascii="Book Antiqua" w:eastAsia="Book Antiqua" w:hAnsi="Book Antiqua" w:cs="Book Antiqua"/>
          <w:b/>
          <w:bCs/>
          <w:color w:val="000000"/>
        </w:rPr>
        <w:t>41</w:t>
      </w:r>
      <w:r w:rsidRPr="00D35475">
        <w:rPr>
          <w:rFonts w:ascii="Book Antiqua" w:eastAsia="Book Antiqua" w:hAnsi="Book Antiqua" w:cs="Book Antiqua"/>
          <w:color w:val="000000"/>
        </w:rPr>
        <w:t>: 386-400 [PMID: 15660434 DOI: 10.1002/hep.20559]</w:t>
      </w:r>
    </w:p>
    <w:p w14:paraId="02B284AC"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lastRenderedPageBreak/>
        <w:t xml:space="preserve">24 </w:t>
      </w:r>
      <w:r w:rsidRPr="00D35475">
        <w:rPr>
          <w:rFonts w:ascii="Book Antiqua" w:eastAsia="Book Antiqua" w:hAnsi="Book Antiqua" w:cs="Book Antiqua"/>
          <w:b/>
          <w:bCs/>
          <w:color w:val="000000"/>
        </w:rPr>
        <w:t>Krajina A</w:t>
      </w:r>
      <w:r w:rsidRPr="00D35475">
        <w:rPr>
          <w:rFonts w:ascii="Book Antiqua" w:eastAsia="Book Antiqua" w:hAnsi="Book Antiqua" w:cs="Book Antiqua"/>
          <w:color w:val="000000"/>
        </w:rPr>
        <w:t xml:space="preserve">, Hulek P, Fejfar T, Valek V. Quality improvement guidelines for Transjugular Intrahepatic Portosystemic Shunt (TIPS). </w:t>
      </w:r>
      <w:r w:rsidRPr="00D35475">
        <w:rPr>
          <w:rFonts w:ascii="Book Antiqua" w:eastAsia="Book Antiqua" w:hAnsi="Book Antiqua" w:cs="Book Antiqua"/>
          <w:i/>
          <w:iCs/>
          <w:color w:val="000000"/>
        </w:rPr>
        <w:t>Cardiovasc Intervent Radiol</w:t>
      </w:r>
      <w:r w:rsidRPr="00D35475">
        <w:rPr>
          <w:rFonts w:ascii="Book Antiqua" w:eastAsia="Book Antiqua" w:hAnsi="Book Antiqua" w:cs="Book Antiqua"/>
          <w:color w:val="000000"/>
        </w:rPr>
        <w:t xml:space="preserve"> 2012; </w:t>
      </w:r>
      <w:r w:rsidRPr="00D35475">
        <w:rPr>
          <w:rFonts w:ascii="Book Antiqua" w:eastAsia="Book Antiqua" w:hAnsi="Book Antiqua" w:cs="Book Antiqua"/>
          <w:b/>
          <w:bCs/>
          <w:color w:val="000000"/>
        </w:rPr>
        <w:t>35</w:t>
      </w:r>
      <w:r w:rsidRPr="00D35475">
        <w:rPr>
          <w:rFonts w:ascii="Book Antiqua" w:eastAsia="Book Antiqua" w:hAnsi="Book Antiqua" w:cs="Book Antiqua"/>
          <w:color w:val="000000"/>
        </w:rPr>
        <w:t>: 1295-1300 [PMID: 23070105 DOI: 10.1007/s00270-012-0493-y]</w:t>
      </w:r>
    </w:p>
    <w:p w14:paraId="1598595C"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25 </w:t>
      </w:r>
      <w:r w:rsidRPr="00D35475">
        <w:rPr>
          <w:rFonts w:ascii="Book Antiqua" w:eastAsia="Book Antiqua" w:hAnsi="Book Antiqua" w:cs="Book Antiqua"/>
          <w:b/>
          <w:bCs/>
          <w:color w:val="000000"/>
        </w:rPr>
        <w:t>Loffroy R</w:t>
      </w:r>
      <w:r w:rsidRPr="00D35475">
        <w:rPr>
          <w:rFonts w:ascii="Book Antiqua" w:eastAsia="Book Antiqua" w:hAnsi="Book Antiqua" w:cs="Book Antiqua"/>
          <w:color w:val="000000"/>
        </w:rPr>
        <w:t xml:space="preserve">, Estivalet L, Cherblanc V, Favelier S, Pottecher P, Hamza S, Minello A, Hillon P, Thouant P, Lefevre PH, Krausé D, Cercueil JP. Transjugular intrahepatic portosystemic shunt for the management of acute variceal hemorrhage. </w:t>
      </w:r>
      <w:r w:rsidRPr="00D35475">
        <w:rPr>
          <w:rFonts w:ascii="Book Antiqua" w:eastAsia="Book Antiqua" w:hAnsi="Book Antiqua" w:cs="Book Antiqua"/>
          <w:i/>
          <w:iCs/>
          <w:color w:val="000000"/>
        </w:rPr>
        <w:t>World J Gastroenterol</w:t>
      </w:r>
      <w:r w:rsidRPr="00D35475">
        <w:rPr>
          <w:rFonts w:ascii="Book Antiqua" w:eastAsia="Book Antiqua" w:hAnsi="Book Antiqua" w:cs="Book Antiqua"/>
          <w:color w:val="000000"/>
        </w:rPr>
        <w:t xml:space="preserve"> 2013; </w:t>
      </w:r>
      <w:r w:rsidRPr="00D35475">
        <w:rPr>
          <w:rFonts w:ascii="Book Antiqua" w:eastAsia="Book Antiqua" w:hAnsi="Book Antiqua" w:cs="Book Antiqua"/>
          <w:b/>
          <w:bCs/>
          <w:color w:val="000000"/>
        </w:rPr>
        <w:t>19</w:t>
      </w:r>
      <w:r w:rsidRPr="00D35475">
        <w:rPr>
          <w:rFonts w:ascii="Book Antiqua" w:eastAsia="Book Antiqua" w:hAnsi="Book Antiqua" w:cs="Book Antiqua"/>
          <w:color w:val="000000"/>
        </w:rPr>
        <w:t>: 6131-6143 [PMID: 24115809 DOI: 10.3748/wjg.v19.i37.6131]</w:t>
      </w:r>
    </w:p>
    <w:p w14:paraId="10A8CB9C"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26 </w:t>
      </w:r>
      <w:r w:rsidRPr="00D35475">
        <w:rPr>
          <w:rFonts w:ascii="Book Antiqua" w:eastAsia="Book Antiqua" w:hAnsi="Book Antiqua" w:cs="Book Antiqua"/>
          <w:b/>
          <w:bCs/>
          <w:color w:val="000000"/>
        </w:rPr>
        <w:t>Luca A</w:t>
      </w:r>
      <w:r w:rsidRPr="00D35475">
        <w:rPr>
          <w:rFonts w:ascii="Book Antiqua" w:eastAsia="Book Antiqua" w:hAnsi="Book Antiqua" w:cs="Book Antiqua"/>
          <w:color w:val="000000"/>
        </w:rPr>
        <w:t xml:space="preserve">, Miraglia R, Maruzzelli L, D'Amico M, Tuzzolino F. Early Liver Failure after Transjugular Intrahepatic Portosystemic Shunt in Patients with Cirrhosis with Model for End-Stage Liver Disease Score of 12 or Less: Incidence, Outcome, and Prognostic Factors. </w:t>
      </w:r>
      <w:r w:rsidRPr="00D35475">
        <w:rPr>
          <w:rFonts w:ascii="Book Antiqua" w:eastAsia="Book Antiqua" w:hAnsi="Book Antiqua" w:cs="Book Antiqua"/>
          <w:i/>
          <w:iCs/>
          <w:color w:val="000000"/>
        </w:rPr>
        <w:t>Radiology</w:t>
      </w:r>
      <w:r w:rsidRPr="00D35475">
        <w:rPr>
          <w:rFonts w:ascii="Book Antiqua" w:eastAsia="Book Antiqua" w:hAnsi="Book Antiqua" w:cs="Book Antiqua"/>
          <w:color w:val="000000"/>
        </w:rPr>
        <w:t xml:space="preserve"> 2016; </w:t>
      </w:r>
      <w:r w:rsidRPr="00D35475">
        <w:rPr>
          <w:rFonts w:ascii="Book Antiqua" w:eastAsia="Book Antiqua" w:hAnsi="Book Antiqua" w:cs="Book Antiqua"/>
          <w:b/>
          <w:bCs/>
          <w:color w:val="000000"/>
        </w:rPr>
        <w:t>280</w:t>
      </w:r>
      <w:r w:rsidRPr="00D35475">
        <w:rPr>
          <w:rFonts w:ascii="Book Antiqua" w:eastAsia="Book Antiqua" w:hAnsi="Book Antiqua" w:cs="Book Antiqua"/>
          <w:color w:val="000000"/>
        </w:rPr>
        <w:t>: 622-629 [PMID: 26982564 DOI: 10.1148/radiol.2016151625]</w:t>
      </w:r>
    </w:p>
    <w:p w14:paraId="3697D818"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27 </w:t>
      </w:r>
      <w:r w:rsidRPr="00D35475">
        <w:rPr>
          <w:rFonts w:ascii="Book Antiqua" w:eastAsia="Book Antiqua" w:hAnsi="Book Antiqua" w:cs="Book Antiqua"/>
          <w:b/>
          <w:bCs/>
          <w:color w:val="000000"/>
        </w:rPr>
        <w:t>Rossi P</w:t>
      </w:r>
      <w:r w:rsidRPr="00D35475">
        <w:rPr>
          <w:rFonts w:ascii="Book Antiqua" w:eastAsia="Book Antiqua" w:hAnsi="Book Antiqua" w:cs="Book Antiqua"/>
          <w:color w:val="000000"/>
        </w:rPr>
        <w:t xml:space="preserve">, Salvatori FM, Fanelli F, Bezzi M, Rossi M, Marcelli G, Pepino D, Riggio O, Passariello R. Polytetrafluoroethylene-covered nitinol stent-graft for transjugular intrahepatic portosystemic shunt creation: 3-year experience. </w:t>
      </w:r>
      <w:r w:rsidRPr="00D35475">
        <w:rPr>
          <w:rFonts w:ascii="Book Antiqua" w:eastAsia="Book Antiqua" w:hAnsi="Book Antiqua" w:cs="Book Antiqua"/>
          <w:i/>
          <w:iCs/>
          <w:color w:val="000000"/>
        </w:rPr>
        <w:t>Radiology</w:t>
      </w:r>
      <w:r w:rsidRPr="00D35475">
        <w:rPr>
          <w:rFonts w:ascii="Book Antiqua" w:eastAsia="Book Antiqua" w:hAnsi="Book Antiqua" w:cs="Book Antiqua"/>
          <w:color w:val="000000"/>
        </w:rPr>
        <w:t xml:space="preserve"> 2004; </w:t>
      </w:r>
      <w:r w:rsidRPr="00D35475">
        <w:rPr>
          <w:rFonts w:ascii="Book Antiqua" w:eastAsia="Book Antiqua" w:hAnsi="Book Antiqua" w:cs="Book Antiqua"/>
          <w:b/>
          <w:bCs/>
          <w:color w:val="000000"/>
        </w:rPr>
        <w:t>231</w:t>
      </w:r>
      <w:r w:rsidRPr="00D35475">
        <w:rPr>
          <w:rFonts w:ascii="Book Antiqua" w:eastAsia="Book Antiqua" w:hAnsi="Book Antiqua" w:cs="Book Antiqua"/>
          <w:color w:val="000000"/>
        </w:rPr>
        <w:t>: 820-830 [PMID: 15118117 DOI: 10.1148/radiol.2313030349]</w:t>
      </w:r>
    </w:p>
    <w:p w14:paraId="7A49E1F0"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28 </w:t>
      </w:r>
      <w:r w:rsidRPr="00D35475">
        <w:rPr>
          <w:rFonts w:ascii="Book Antiqua" w:eastAsia="Book Antiqua" w:hAnsi="Book Antiqua" w:cs="Book Antiqua"/>
          <w:b/>
          <w:bCs/>
          <w:color w:val="000000"/>
        </w:rPr>
        <w:t>Trebicka J</w:t>
      </w:r>
      <w:r w:rsidRPr="00D35475">
        <w:rPr>
          <w:rFonts w:ascii="Book Antiqua" w:eastAsia="Book Antiqua" w:hAnsi="Book Antiqua" w:cs="Book Antiqua"/>
          <w:color w:val="000000"/>
        </w:rPr>
        <w:t xml:space="preserve">, Gu W, Ibáñez-Samaniego L, Hernández-Gea V, Pitarch C, Garcia E, Procopet B, Giráldez Á, Amitrano L, Villanueva C, Thabut D, Silva-Junior G, Martinez J, Genescà J, Bureau C, Llop E, Laleman W, Palazon JM, Castellote J, Rodrigues S, Gluud L, Ferreira CN, Barcelo R, Cañete N, Rodríguez M, Ferlitsch A, Mundi JL, Gronbaek H, Hernández-Guerra M, Sassatelli R, Dell'Era A, Senzolo M, Abraldes JG, Romero-Gómez M, Zipprich A, Casas M, Masnou H, Primignani M, Weiss E, Catalina MV, Erasmus HP, Uschner FE, Schulz M, Brol MJ, Praktiknjo M, Chang J, Krag A, Nevens F, Calleja JL, Robic MA, Conejo I, Albillos A, Rudler M, Alvarado E, Guardascione MA, Tantau M, Bosch J, Torres F, Pavesi M, Garcia-Pagán JC, Jansen C, Bañares R; International Variceal Bleeding Observational Study Group and Baveno Cooperation. Rebleeding and mortality risk are increased by ACLF but reduced by pre-emptive TIPS. </w:t>
      </w:r>
      <w:r w:rsidRPr="00D35475">
        <w:rPr>
          <w:rFonts w:ascii="Book Antiqua" w:eastAsia="Book Antiqua" w:hAnsi="Book Antiqua" w:cs="Book Antiqua"/>
          <w:i/>
          <w:iCs/>
          <w:color w:val="000000"/>
        </w:rPr>
        <w:t>J Hepatol</w:t>
      </w:r>
      <w:r w:rsidRPr="00D35475">
        <w:rPr>
          <w:rFonts w:ascii="Book Antiqua" w:eastAsia="Book Antiqua" w:hAnsi="Book Antiqua" w:cs="Book Antiqua"/>
          <w:color w:val="000000"/>
        </w:rPr>
        <w:t xml:space="preserve"> 2020; </w:t>
      </w:r>
      <w:r w:rsidRPr="00D35475">
        <w:rPr>
          <w:rFonts w:ascii="Book Antiqua" w:eastAsia="Book Antiqua" w:hAnsi="Book Antiqua" w:cs="Book Antiqua"/>
          <w:b/>
          <w:bCs/>
          <w:color w:val="000000"/>
        </w:rPr>
        <w:t>73</w:t>
      </w:r>
      <w:r w:rsidRPr="00D35475">
        <w:rPr>
          <w:rFonts w:ascii="Book Antiqua" w:eastAsia="Book Antiqua" w:hAnsi="Book Antiqua" w:cs="Book Antiqua"/>
          <w:color w:val="000000"/>
        </w:rPr>
        <w:t>: 1082-1091 [PMID: 32339602 DOI: 10.1016/j.jhep.2020.04.024]</w:t>
      </w:r>
    </w:p>
    <w:p w14:paraId="7F6DB07D"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29 </w:t>
      </w:r>
      <w:r w:rsidRPr="00D35475">
        <w:rPr>
          <w:rFonts w:ascii="Book Antiqua" w:eastAsia="Book Antiqua" w:hAnsi="Book Antiqua" w:cs="Book Antiqua"/>
          <w:b/>
          <w:bCs/>
          <w:color w:val="000000"/>
        </w:rPr>
        <w:t>Franco MC</w:t>
      </w:r>
      <w:r w:rsidRPr="00D35475">
        <w:rPr>
          <w:rFonts w:ascii="Book Antiqua" w:eastAsia="Book Antiqua" w:hAnsi="Book Antiqua" w:cs="Book Antiqua"/>
          <w:color w:val="000000"/>
        </w:rPr>
        <w:t xml:space="preserve">, Gomes GF, Nakao FS, de Paulo GA, Ferrari AP Jr, Libera ED Jr. Efficacy and safety of endoscopic prophylactic treatment with undiluted cyanoacrylate for </w:t>
      </w:r>
      <w:r w:rsidRPr="00D35475">
        <w:rPr>
          <w:rFonts w:ascii="Book Antiqua" w:eastAsia="Book Antiqua" w:hAnsi="Book Antiqua" w:cs="Book Antiqua"/>
          <w:color w:val="000000"/>
        </w:rPr>
        <w:lastRenderedPageBreak/>
        <w:t xml:space="preserve">gastric varices. </w:t>
      </w:r>
      <w:r w:rsidRPr="00D35475">
        <w:rPr>
          <w:rFonts w:ascii="Book Antiqua" w:eastAsia="Book Antiqua" w:hAnsi="Book Antiqua" w:cs="Book Antiqua"/>
          <w:i/>
          <w:iCs/>
          <w:color w:val="000000"/>
        </w:rPr>
        <w:t>World J Gastrointest Endosc</w:t>
      </w:r>
      <w:r w:rsidRPr="00D35475">
        <w:rPr>
          <w:rFonts w:ascii="Book Antiqua" w:eastAsia="Book Antiqua" w:hAnsi="Book Antiqua" w:cs="Book Antiqua"/>
          <w:color w:val="000000"/>
        </w:rPr>
        <w:t xml:space="preserve"> 2014; </w:t>
      </w:r>
      <w:r w:rsidRPr="00D35475">
        <w:rPr>
          <w:rFonts w:ascii="Book Antiqua" w:eastAsia="Book Antiqua" w:hAnsi="Book Antiqua" w:cs="Book Antiqua"/>
          <w:b/>
          <w:bCs/>
          <w:color w:val="000000"/>
        </w:rPr>
        <w:t>6</w:t>
      </w:r>
      <w:r w:rsidRPr="00D35475">
        <w:rPr>
          <w:rFonts w:ascii="Book Antiqua" w:eastAsia="Book Antiqua" w:hAnsi="Book Antiqua" w:cs="Book Antiqua"/>
          <w:color w:val="000000"/>
        </w:rPr>
        <w:t>: 254-259 [PMID: 24932378 DOI: 10.4253/wjge.v6.i6.254]</w:t>
      </w:r>
    </w:p>
    <w:p w14:paraId="2E18B8CD"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30 </w:t>
      </w:r>
      <w:r w:rsidRPr="00D35475">
        <w:rPr>
          <w:rFonts w:ascii="Book Antiqua" w:eastAsia="Book Antiqua" w:hAnsi="Book Antiqua" w:cs="Book Antiqua"/>
          <w:b/>
          <w:bCs/>
          <w:color w:val="000000"/>
        </w:rPr>
        <w:t>Khawaja A</w:t>
      </w:r>
      <w:r w:rsidRPr="00D35475">
        <w:rPr>
          <w:rFonts w:ascii="Book Antiqua" w:eastAsia="Book Antiqua" w:hAnsi="Book Antiqua" w:cs="Book Antiqua"/>
          <w:color w:val="000000"/>
        </w:rPr>
        <w:t xml:space="preserve">, Sonawalla AA, Somani SF, Abid S. Management of bleeding gastric varices: a single session of histoacryl injection may be sufficient. </w:t>
      </w:r>
      <w:r w:rsidRPr="00D35475">
        <w:rPr>
          <w:rFonts w:ascii="Book Antiqua" w:eastAsia="Book Antiqua" w:hAnsi="Book Antiqua" w:cs="Book Antiqua"/>
          <w:i/>
          <w:iCs/>
          <w:color w:val="000000"/>
        </w:rPr>
        <w:t>Eur J Gastroenterol Hepatol</w:t>
      </w:r>
      <w:r w:rsidRPr="00D35475">
        <w:rPr>
          <w:rFonts w:ascii="Book Antiqua" w:eastAsia="Book Antiqua" w:hAnsi="Book Antiqua" w:cs="Book Antiqua"/>
          <w:color w:val="000000"/>
        </w:rPr>
        <w:t xml:space="preserve"> 2014; </w:t>
      </w:r>
      <w:r w:rsidRPr="00D35475">
        <w:rPr>
          <w:rFonts w:ascii="Book Antiqua" w:eastAsia="Book Antiqua" w:hAnsi="Book Antiqua" w:cs="Book Antiqua"/>
          <w:b/>
          <w:bCs/>
          <w:color w:val="000000"/>
        </w:rPr>
        <w:t>26</w:t>
      </w:r>
      <w:r w:rsidRPr="00D35475">
        <w:rPr>
          <w:rFonts w:ascii="Book Antiqua" w:eastAsia="Book Antiqua" w:hAnsi="Book Antiqua" w:cs="Book Antiqua"/>
          <w:color w:val="000000"/>
        </w:rPr>
        <w:t>: 661-667 [PMID: 24732750 DOI: 10.1097/MEG.0000000000000080]</w:t>
      </w:r>
    </w:p>
    <w:p w14:paraId="05766106"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31 </w:t>
      </w:r>
      <w:r w:rsidRPr="00D35475">
        <w:rPr>
          <w:rFonts w:ascii="Book Antiqua" w:eastAsia="Book Antiqua" w:hAnsi="Book Antiqua" w:cs="Book Antiqua"/>
          <w:b/>
          <w:bCs/>
          <w:color w:val="000000"/>
        </w:rPr>
        <w:t>Mishra SR</w:t>
      </w:r>
      <w:r w:rsidRPr="00D35475">
        <w:rPr>
          <w:rFonts w:ascii="Book Antiqua" w:eastAsia="Book Antiqua" w:hAnsi="Book Antiqua" w:cs="Book Antiqua"/>
          <w:color w:val="000000"/>
        </w:rPr>
        <w:t xml:space="preserve">, Sharma BC, Kumar A, Sarin SK. Primary prophylaxis of gastric variceal bleeding comparing cyanoacrylate injection and beta-blockers: a randomized controlled trial. </w:t>
      </w:r>
      <w:r w:rsidRPr="00D35475">
        <w:rPr>
          <w:rFonts w:ascii="Book Antiqua" w:eastAsia="Book Antiqua" w:hAnsi="Book Antiqua" w:cs="Book Antiqua"/>
          <w:i/>
          <w:iCs/>
          <w:color w:val="000000"/>
        </w:rPr>
        <w:t>J Hepatol</w:t>
      </w:r>
      <w:r w:rsidRPr="00D35475">
        <w:rPr>
          <w:rFonts w:ascii="Book Antiqua" w:eastAsia="Book Antiqua" w:hAnsi="Book Antiqua" w:cs="Book Antiqua"/>
          <w:color w:val="000000"/>
        </w:rPr>
        <w:t xml:space="preserve"> 2011; </w:t>
      </w:r>
      <w:r w:rsidRPr="00D35475">
        <w:rPr>
          <w:rFonts w:ascii="Book Antiqua" w:eastAsia="Book Antiqua" w:hAnsi="Book Antiqua" w:cs="Book Antiqua"/>
          <w:b/>
          <w:bCs/>
          <w:color w:val="000000"/>
        </w:rPr>
        <w:t>54</w:t>
      </w:r>
      <w:r w:rsidRPr="00D35475">
        <w:rPr>
          <w:rFonts w:ascii="Book Antiqua" w:eastAsia="Book Antiqua" w:hAnsi="Book Antiqua" w:cs="Book Antiqua"/>
          <w:color w:val="000000"/>
        </w:rPr>
        <w:t>: 1161-1167 [PMID: 21145834 DOI: 10.1016/j.jhep.2010.09.031]</w:t>
      </w:r>
    </w:p>
    <w:p w14:paraId="2974E0C6"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32 </w:t>
      </w:r>
      <w:r w:rsidRPr="00D35475">
        <w:rPr>
          <w:rFonts w:ascii="Book Antiqua" w:eastAsia="Book Antiqua" w:hAnsi="Book Antiqua" w:cs="Book Antiqua"/>
          <w:b/>
          <w:bCs/>
          <w:color w:val="000000"/>
        </w:rPr>
        <w:t>Garcia-Tsao G</w:t>
      </w:r>
      <w:r w:rsidRPr="00D35475">
        <w:rPr>
          <w:rFonts w:ascii="Book Antiqua" w:eastAsia="Book Antiqua" w:hAnsi="Book Antiqua" w:cs="Book Antiqua"/>
          <w:color w:val="000000"/>
        </w:rPr>
        <w:t xml:space="preserve">, Abraldes JG, Berzigotti A, Bosch J. Portal hypertensive bleeding in cirrhosis: Risk stratification, diagnosis, and management: 2016 practice guidance by the American Association for the study of liver diseases. </w:t>
      </w:r>
      <w:r w:rsidRPr="00D35475">
        <w:rPr>
          <w:rFonts w:ascii="Book Antiqua" w:eastAsia="Book Antiqua" w:hAnsi="Book Antiqua" w:cs="Book Antiqua"/>
          <w:i/>
          <w:iCs/>
          <w:color w:val="000000"/>
        </w:rPr>
        <w:t>Hepatology</w:t>
      </w:r>
      <w:r w:rsidRPr="00D35475">
        <w:rPr>
          <w:rFonts w:ascii="Book Antiqua" w:eastAsia="Book Antiqua" w:hAnsi="Book Antiqua" w:cs="Book Antiqua"/>
          <w:color w:val="000000"/>
        </w:rPr>
        <w:t xml:space="preserve"> 2017; </w:t>
      </w:r>
      <w:r w:rsidRPr="00D35475">
        <w:rPr>
          <w:rFonts w:ascii="Book Antiqua" w:eastAsia="Book Antiqua" w:hAnsi="Book Antiqua" w:cs="Book Antiqua"/>
          <w:b/>
          <w:bCs/>
          <w:color w:val="000000"/>
        </w:rPr>
        <w:t>65</w:t>
      </w:r>
      <w:r w:rsidRPr="00D35475">
        <w:rPr>
          <w:rFonts w:ascii="Book Antiqua" w:eastAsia="Book Antiqua" w:hAnsi="Book Antiqua" w:cs="Book Antiqua"/>
          <w:color w:val="000000"/>
        </w:rPr>
        <w:t>: 310-335 [PMID: 27786365 DOI: 10.1002/hep.28906]</w:t>
      </w:r>
    </w:p>
    <w:p w14:paraId="03DFCB40" w14:textId="3710BC15"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33 </w:t>
      </w:r>
      <w:r w:rsidRPr="00D35475">
        <w:rPr>
          <w:rFonts w:ascii="Book Antiqua" w:eastAsia="Book Antiqua" w:hAnsi="Book Antiqua" w:cs="Book Antiqua"/>
          <w:b/>
          <w:bCs/>
          <w:color w:val="000000"/>
        </w:rPr>
        <w:t>European Association for the Study of the Liver</w:t>
      </w:r>
      <w:r w:rsidRPr="00BB1988">
        <w:rPr>
          <w:rFonts w:ascii="Book Antiqua" w:eastAsia="Book Antiqua" w:hAnsi="Book Antiqua" w:cs="Book Antiqua"/>
          <w:bCs/>
          <w:color w:val="000000"/>
        </w:rPr>
        <w:t xml:space="preserve">. </w:t>
      </w:r>
      <w:r w:rsidRPr="00D35475">
        <w:rPr>
          <w:rFonts w:ascii="Book Antiqua" w:eastAsia="Book Antiqua" w:hAnsi="Book Antiqua" w:cs="Book Antiqua"/>
          <w:color w:val="000000"/>
        </w:rPr>
        <w:t xml:space="preserve">EASL Clinical Practice Guidelines for the management of patients with decompensated cirrhosis. </w:t>
      </w:r>
      <w:r w:rsidRPr="00D35475">
        <w:rPr>
          <w:rFonts w:ascii="Book Antiqua" w:eastAsia="Book Antiqua" w:hAnsi="Book Antiqua" w:cs="Book Antiqua"/>
          <w:i/>
          <w:iCs/>
          <w:color w:val="000000"/>
        </w:rPr>
        <w:t>J Hepatol</w:t>
      </w:r>
      <w:r w:rsidRPr="00D35475">
        <w:rPr>
          <w:rFonts w:ascii="Book Antiqua" w:eastAsia="Book Antiqua" w:hAnsi="Book Antiqua" w:cs="Book Antiqua"/>
          <w:color w:val="000000"/>
        </w:rPr>
        <w:t xml:space="preserve"> 2018; </w:t>
      </w:r>
      <w:r w:rsidRPr="00D35475">
        <w:rPr>
          <w:rFonts w:ascii="Book Antiqua" w:eastAsia="Book Antiqua" w:hAnsi="Book Antiqua" w:cs="Book Antiqua"/>
          <w:b/>
          <w:bCs/>
          <w:color w:val="000000"/>
        </w:rPr>
        <w:t>69</w:t>
      </w:r>
      <w:r w:rsidRPr="00D35475">
        <w:rPr>
          <w:rFonts w:ascii="Book Antiqua" w:eastAsia="Book Antiqua" w:hAnsi="Book Antiqua" w:cs="Book Antiqua"/>
          <w:color w:val="000000"/>
        </w:rPr>
        <w:t>: 406-460 [PMID: 29653741 DOI: 10.1016/j.jhep.2018.03.024]</w:t>
      </w:r>
    </w:p>
    <w:p w14:paraId="3B84F605"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34 </w:t>
      </w:r>
      <w:r w:rsidRPr="00D35475">
        <w:rPr>
          <w:rFonts w:ascii="Book Antiqua" w:eastAsia="Book Antiqua" w:hAnsi="Book Antiqua" w:cs="Book Antiqua"/>
          <w:b/>
          <w:bCs/>
          <w:color w:val="000000"/>
        </w:rPr>
        <w:t>Koito K</w:t>
      </w:r>
      <w:r w:rsidRPr="00D35475">
        <w:rPr>
          <w:rFonts w:ascii="Book Antiqua" w:eastAsia="Book Antiqua" w:hAnsi="Book Antiqua" w:cs="Book Antiqua"/>
          <w:color w:val="000000"/>
        </w:rPr>
        <w:t xml:space="preserve">, Namieno T, Nagakawa T, Morita K. Balloon-occluded retrograde transvenous obliteration for gastric varices with gastrorenal or gastrocaval collaterals. </w:t>
      </w:r>
      <w:r w:rsidRPr="00D35475">
        <w:rPr>
          <w:rFonts w:ascii="Book Antiqua" w:eastAsia="Book Antiqua" w:hAnsi="Book Antiqua" w:cs="Book Antiqua"/>
          <w:i/>
          <w:iCs/>
          <w:color w:val="000000"/>
        </w:rPr>
        <w:t>AJR Am J Roentgenol</w:t>
      </w:r>
      <w:r w:rsidRPr="00D35475">
        <w:rPr>
          <w:rFonts w:ascii="Book Antiqua" w:eastAsia="Book Antiqua" w:hAnsi="Book Antiqua" w:cs="Book Antiqua"/>
          <w:color w:val="000000"/>
        </w:rPr>
        <w:t xml:space="preserve"> 1996; </w:t>
      </w:r>
      <w:r w:rsidRPr="00D35475">
        <w:rPr>
          <w:rFonts w:ascii="Book Antiqua" w:eastAsia="Book Antiqua" w:hAnsi="Book Antiqua" w:cs="Book Antiqua"/>
          <w:b/>
          <w:bCs/>
          <w:color w:val="000000"/>
        </w:rPr>
        <w:t>167</w:t>
      </w:r>
      <w:r w:rsidRPr="00D35475">
        <w:rPr>
          <w:rFonts w:ascii="Book Antiqua" w:eastAsia="Book Antiqua" w:hAnsi="Book Antiqua" w:cs="Book Antiqua"/>
          <w:color w:val="000000"/>
        </w:rPr>
        <w:t>: 1317-1320 [PMID: 8911204 DOI: 10.2214/ajr.167.5.8911204]</w:t>
      </w:r>
    </w:p>
    <w:p w14:paraId="76DEF840"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35 </w:t>
      </w:r>
      <w:r w:rsidRPr="00D35475">
        <w:rPr>
          <w:rFonts w:ascii="Book Antiqua" w:eastAsia="Book Antiqua" w:hAnsi="Book Antiqua" w:cs="Book Antiqua"/>
          <w:b/>
          <w:bCs/>
          <w:color w:val="000000"/>
        </w:rPr>
        <w:t>Akahoshi T</w:t>
      </w:r>
      <w:r w:rsidRPr="00D35475">
        <w:rPr>
          <w:rFonts w:ascii="Book Antiqua" w:eastAsia="Book Antiqua" w:hAnsi="Book Antiqua" w:cs="Book Antiqua"/>
          <w:color w:val="000000"/>
        </w:rPr>
        <w:t xml:space="preserve">, Tomikawa M, Kamori M, Tsutsumi N, Nagao Y, Hashizume M, Maehara Y. Impact of balloon-occluded retrograde transvenous obliteration on management of isolated fundal gastric variceal bleeding. </w:t>
      </w:r>
      <w:r w:rsidRPr="00D35475">
        <w:rPr>
          <w:rFonts w:ascii="Book Antiqua" w:eastAsia="Book Antiqua" w:hAnsi="Book Antiqua" w:cs="Book Antiqua"/>
          <w:i/>
          <w:iCs/>
          <w:color w:val="000000"/>
        </w:rPr>
        <w:t>Hepatol Res</w:t>
      </w:r>
      <w:r w:rsidRPr="00D35475">
        <w:rPr>
          <w:rFonts w:ascii="Book Antiqua" w:eastAsia="Book Antiqua" w:hAnsi="Book Antiqua" w:cs="Book Antiqua"/>
          <w:color w:val="000000"/>
        </w:rPr>
        <w:t xml:space="preserve"> 2012; </w:t>
      </w:r>
      <w:r w:rsidRPr="00D35475">
        <w:rPr>
          <w:rFonts w:ascii="Book Antiqua" w:eastAsia="Book Antiqua" w:hAnsi="Book Antiqua" w:cs="Book Antiqua"/>
          <w:b/>
          <w:bCs/>
          <w:color w:val="000000"/>
        </w:rPr>
        <w:t>42</w:t>
      </w:r>
      <w:r w:rsidRPr="00D35475">
        <w:rPr>
          <w:rFonts w:ascii="Book Antiqua" w:eastAsia="Book Antiqua" w:hAnsi="Book Antiqua" w:cs="Book Antiqua"/>
          <w:color w:val="000000"/>
        </w:rPr>
        <w:t>: 385-393 [PMID: 22176386 DOI: 10.1111/j.1872-034X.2011.00939.x]</w:t>
      </w:r>
    </w:p>
    <w:p w14:paraId="62E6B8AB"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36 </w:t>
      </w:r>
      <w:r w:rsidRPr="00D35475">
        <w:rPr>
          <w:rFonts w:ascii="Book Antiqua" w:eastAsia="Book Antiqua" w:hAnsi="Book Antiqua" w:cs="Book Antiqua"/>
          <w:b/>
          <w:bCs/>
          <w:color w:val="000000"/>
        </w:rPr>
        <w:t>Arai H</w:t>
      </w:r>
      <w:r w:rsidRPr="00D35475">
        <w:rPr>
          <w:rFonts w:ascii="Book Antiqua" w:eastAsia="Book Antiqua" w:hAnsi="Book Antiqua" w:cs="Book Antiqua"/>
          <w:color w:val="000000"/>
        </w:rPr>
        <w:t xml:space="preserve">, Abe T, Shimoda R, Takagi H, Yamada T, Mori M. Emergency balloon-occluded retrograde transvenous obliteration for gastric varices. </w:t>
      </w:r>
      <w:r w:rsidRPr="00D35475">
        <w:rPr>
          <w:rFonts w:ascii="Book Antiqua" w:eastAsia="Book Antiqua" w:hAnsi="Book Antiqua" w:cs="Book Antiqua"/>
          <w:i/>
          <w:iCs/>
          <w:color w:val="000000"/>
        </w:rPr>
        <w:t>J Gastroenterol</w:t>
      </w:r>
      <w:r w:rsidRPr="00D35475">
        <w:rPr>
          <w:rFonts w:ascii="Book Antiqua" w:eastAsia="Book Antiqua" w:hAnsi="Book Antiqua" w:cs="Book Antiqua"/>
          <w:color w:val="000000"/>
        </w:rPr>
        <w:t xml:space="preserve"> 2005; </w:t>
      </w:r>
      <w:r w:rsidRPr="00D35475">
        <w:rPr>
          <w:rFonts w:ascii="Book Antiqua" w:eastAsia="Book Antiqua" w:hAnsi="Book Antiqua" w:cs="Book Antiqua"/>
          <w:b/>
          <w:bCs/>
          <w:color w:val="000000"/>
        </w:rPr>
        <w:t>40</w:t>
      </w:r>
      <w:r w:rsidRPr="00D35475">
        <w:rPr>
          <w:rFonts w:ascii="Book Antiqua" w:eastAsia="Book Antiqua" w:hAnsi="Book Antiqua" w:cs="Book Antiqua"/>
          <w:color w:val="000000"/>
        </w:rPr>
        <w:t>: 964-971 [PMID: 16261433 DOI: 10.1007/s00535-005-1654-4]</w:t>
      </w:r>
    </w:p>
    <w:p w14:paraId="4847570E"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37 </w:t>
      </w:r>
      <w:r w:rsidRPr="00D35475">
        <w:rPr>
          <w:rFonts w:ascii="Book Antiqua" w:eastAsia="Book Antiqua" w:hAnsi="Book Antiqua" w:cs="Book Antiqua"/>
          <w:b/>
          <w:bCs/>
          <w:color w:val="000000"/>
        </w:rPr>
        <w:t>Hong CH</w:t>
      </w:r>
      <w:r w:rsidRPr="00D35475">
        <w:rPr>
          <w:rFonts w:ascii="Book Antiqua" w:eastAsia="Book Antiqua" w:hAnsi="Book Antiqua" w:cs="Book Antiqua"/>
          <w:color w:val="000000"/>
        </w:rPr>
        <w:t xml:space="preserve">, Kim HJ, Park JH, Park DI, Cho YK, Sohn CI, Jeon WK, Kim BI, Hong HP, Shin JH. Treatment of patients with gastric variceal hemorrhage: endoscopic N-butyl-2-cyanoacrylate injection </w:t>
      </w:r>
      <w:r w:rsidRPr="00D35475">
        <w:rPr>
          <w:rFonts w:ascii="Book Antiqua" w:eastAsia="Book Antiqua" w:hAnsi="Book Antiqua" w:cs="Book Antiqua"/>
          <w:i/>
          <w:iCs/>
          <w:color w:val="000000"/>
        </w:rPr>
        <w:t>vs</w:t>
      </w:r>
      <w:r w:rsidRPr="00D35475">
        <w:rPr>
          <w:rFonts w:ascii="Book Antiqua" w:eastAsia="Book Antiqua" w:hAnsi="Book Antiqua" w:cs="Book Antiqua"/>
          <w:color w:val="000000"/>
        </w:rPr>
        <w:t xml:space="preserve"> balloon-occluded retrograde transvenous obliteration. </w:t>
      </w:r>
      <w:r w:rsidRPr="00D35475">
        <w:rPr>
          <w:rFonts w:ascii="Book Antiqua" w:eastAsia="Book Antiqua" w:hAnsi="Book Antiqua" w:cs="Book Antiqua"/>
          <w:i/>
          <w:iCs/>
          <w:color w:val="000000"/>
        </w:rPr>
        <w:t xml:space="preserve">J </w:t>
      </w:r>
      <w:r w:rsidRPr="00D35475">
        <w:rPr>
          <w:rFonts w:ascii="Book Antiqua" w:eastAsia="Book Antiqua" w:hAnsi="Book Antiqua" w:cs="Book Antiqua"/>
          <w:i/>
          <w:iCs/>
          <w:color w:val="000000"/>
        </w:rPr>
        <w:lastRenderedPageBreak/>
        <w:t>Gastroenterol Hepatol</w:t>
      </w:r>
      <w:r w:rsidRPr="00D35475">
        <w:rPr>
          <w:rFonts w:ascii="Book Antiqua" w:eastAsia="Book Antiqua" w:hAnsi="Book Antiqua" w:cs="Book Antiqua"/>
          <w:color w:val="000000"/>
        </w:rPr>
        <w:t xml:space="preserve"> 2009; </w:t>
      </w:r>
      <w:r w:rsidRPr="00D35475">
        <w:rPr>
          <w:rFonts w:ascii="Book Antiqua" w:eastAsia="Book Antiqua" w:hAnsi="Book Antiqua" w:cs="Book Antiqua"/>
          <w:b/>
          <w:bCs/>
          <w:color w:val="000000"/>
        </w:rPr>
        <w:t>24</w:t>
      </w:r>
      <w:r w:rsidRPr="00D35475">
        <w:rPr>
          <w:rFonts w:ascii="Book Antiqua" w:eastAsia="Book Antiqua" w:hAnsi="Book Antiqua" w:cs="Book Antiqua"/>
          <w:color w:val="000000"/>
        </w:rPr>
        <w:t>: 372-378 [PMID: 19032446 DOI: 10.1111/j.1440-1746.2008.05651.x]</w:t>
      </w:r>
    </w:p>
    <w:p w14:paraId="73E3933E"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38 </w:t>
      </w:r>
      <w:r w:rsidRPr="00D35475">
        <w:rPr>
          <w:rFonts w:ascii="Book Antiqua" w:eastAsia="Book Antiqua" w:hAnsi="Book Antiqua" w:cs="Book Antiqua"/>
          <w:b/>
          <w:bCs/>
          <w:color w:val="000000"/>
        </w:rPr>
        <w:t>Emori K</w:t>
      </w:r>
      <w:r w:rsidRPr="00D35475">
        <w:rPr>
          <w:rFonts w:ascii="Book Antiqua" w:eastAsia="Book Antiqua" w:hAnsi="Book Antiqua" w:cs="Book Antiqua"/>
          <w:color w:val="000000"/>
        </w:rPr>
        <w:t xml:space="preserve">, Toyonaga A, Oho K, Kumamoto M, Haruta T, Inoue H, Morita Y, Mitsuyama K, Tsuruta O, Sata M. Balloon-occluded retrograde transvenous obliteration </w:t>
      </w:r>
      <w:r w:rsidRPr="00D35475">
        <w:rPr>
          <w:rFonts w:ascii="Book Antiqua" w:eastAsia="Book Antiqua" w:hAnsi="Book Antiqua" w:cs="Book Antiqua"/>
          <w:i/>
          <w:iCs/>
          <w:color w:val="000000"/>
        </w:rPr>
        <w:t>vs</w:t>
      </w:r>
      <w:r w:rsidRPr="00D35475">
        <w:rPr>
          <w:rFonts w:ascii="Book Antiqua" w:eastAsia="Book Antiqua" w:hAnsi="Book Antiqua" w:cs="Book Antiqua"/>
          <w:color w:val="000000"/>
        </w:rPr>
        <w:t xml:space="preserve"> endoscopic injection sclerotherapy for isolated gastric varices: a comparative study. </w:t>
      </w:r>
      <w:r w:rsidRPr="00D35475">
        <w:rPr>
          <w:rFonts w:ascii="Book Antiqua" w:eastAsia="Book Antiqua" w:hAnsi="Book Antiqua" w:cs="Book Antiqua"/>
          <w:i/>
          <w:iCs/>
          <w:color w:val="000000"/>
        </w:rPr>
        <w:t>Kurume Med J</w:t>
      </w:r>
      <w:r w:rsidRPr="00D35475">
        <w:rPr>
          <w:rFonts w:ascii="Book Antiqua" w:eastAsia="Book Antiqua" w:hAnsi="Book Antiqua" w:cs="Book Antiqua"/>
          <w:color w:val="000000"/>
        </w:rPr>
        <w:t xml:space="preserve"> 2014; </w:t>
      </w:r>
      <w:r w:rsidRPr="00D35475">
        <w:rPr>
          <w:rFonts w:ascii="Book Antiqua" w:eastAsia="Book Antiqua" w:hAnsi="Book Antiqua" w:cs="Book Antiqua"/>
          <w:b/>
          <w:bCs/>
          <w:color w:val="000000"/>
        </w:rPr>
        <w:t>60</w:t>
      </w:r>
      <w:r w:rsidRPr="00D35475">
        <w:rPr>
          <w:rFonts w:ascii="Book Antiqua" w:eastAsia="Book Antiqua" w:hAnsi="Book Antiqua" w:cs="Book Antiqua"/>
          <w:color w:val="000000"/>
        </w:rPr>
        <w:t>: 105-113 [PMID: 24858411 DOI: 10.2739/kurumemedj.ms63009]</w:t>
      </w:r>
    </w:p>
    <w:p w14:paraId="7C94A596"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39 </w:t>
      </w:r>
      <w:r w:rsidRPr="00D35475">
        <w:rPr>
          <w:rFonts w:ascii="Book Antiqua" w:eastAsia="Book Antiqua" w:hAnsi="Book Antiqua" w:cs="Book Antiqua"/>
          <w:b/>
          <w:bCs/>
          <w:color w:val="000000"/>
        </w:rPr>
        <w:t>Choi YH</w:t>
      </w:r>
      <w:r w:rsidRPr="00D35475">
        <w:rPr>
          <w:rFonts w:ascii="Book Antiqua" w:eastAsia="Book Antiqua" w:hAnsi="Book Antiqua" w:cs="Book Antiqua"/>
          <w:color w:val="000000"/>
        </w:rPr>
        <w:t xml:space="preserve">, Yoon CJ, Park JH, Chung JW, Kwon JW, Choi GM. Balloon-occluded retrograde transvenous obliteration for gastric variceal bleeding: its feasibility compared with transjugular intrahepatic portosystemic shunt. </w:t>
      </w:r>
      <w:r w:rsidRPr="00D35475">
        <w:rPr>
          <w:rFonts w:ascii="Book Antiqua" w:eastAsia="Book Antiqua" w:hAnsi="Book Antiqua" w:cs="Book Antiqua"/>
          <w:i/>
          <w:iCs/>
          <w:color w:val="000000"/>
        </w:rPr>
        <w:t>Korean J Radiol</w:t>
      </w:r>
      <w:r w:rsidRPr="00D35475">
        <w:rPr>
          <w:rFonts w:ascii="Book Antiqua" w:eastAsia="Book Antiqua" w:hAnsi="Book Antiqua" w:cs="Book Antiqua"/>
          <w:color w:val="000000"/>
        </w:rPr>
        <w:t xml:space="preserve"> 2003; </w:t>
      </w:r>
      <w:r w:rsidRPr="00D35475">
        <w:rPr>
          <w:rFonts w:ascii="Book Antiqua" w:eastAsia="Book Antiqua" w:hAnsi="Book Antiqua" w:cs="Book Antiqua"/>
          <w:b/>
          <w:bCs/>
          <w:color w:val="000000"/>
        </w:rPr>
        <w:t>4</w:t>
      </w:r>
      <w:r w:rsidRPr="00D35475">
        <w:rPr>
          <w:rFonts w:ascii="Book Antiqua" w:eastAsia="Book Antiqua" w:hAnsi="Book Antiqua" w:cs="Book Antiqua"/>
          <w:color w:val="000000"/>
        </w:rPr>
        <w:t>: 109-116 [PMID: 12845306 DOI: 10.3348/kjr.2003.4.2.109]</w:t>
      </w:r>
    </w:p>
    <w:p w14:paraId="6DA15344"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40 </w:t>
      </w:r>
      <w:r w:rsidRPr="00D35475">
        <w:rPr>
          <w:rFonts w:ascii="Book Antiqua" w:eastAsia="Book Antiqua" w:hAnsi="Book Antiqua" w:cs="Book Antiqua"/>
          <w:b/>
          <w:bCs/>
          <w:color w:val="000000"/>
        </w:rPr>
        <w:t>Ninoi T</w:t>
      </w:r>
      <w:r w:rsidRPr="00D35475">
        <w:rPr>
          <w:rFonts w:ascii="Book Antiqua" w:eastAsia="Book Antiqua" w:hAnsi="Book Antiqua" w:cs="Book Antiqua"/>
          <w:color w:val="000000"/>
        </w:rPr>
        <w:t xml:space="preserve">, Nakamura K, Kaminou T, Nishida N, Sakai Y, Kitayama T, Hamuro M, Yamada R, Arakawa T, Inoue Y. TIPS </w:t>
      </w:r>
      <w:r w:rsidRPr="00D35475">
        <w:rPr>
          <w:rFonts w:ascii="Book Antiqua" w:eastAsia="Book Antiqua" w:hAnsi="Book Antiqua" w:cs="Book Antiqua"/>
          <w:i/>
          <w:iCs/>
          <w:color w:val="000000"/>
        </w:rPr>
        <w:t>vs</w:t>
      </w:r>
      <w:r w:rsidRPr="00D35475">
        <w:rPr>
          <w:rFonts w:ascii="Book Antiqua" w:eastAsia="Book Antiqua" w:hAnsi="Book Antiqua" w:cs="Book Antiqua"/>
          <w:color w:val="000000"/>
        </w:rPr>
        <w:t xml:space="preserve"> transcatheter sclerotherapy for gastric varices. </w:t>
      </w:r>
      <w:r w:rsidRPr="00D35475">
        <w:rPr>
          <w:rFonts w:ascii="Book Antiqua" w:eastAsia="Book Antiqua" w:hAnsi="Book Antiqua" w:cs="Book Antiqua"/>
          <w:i/>
          <w:iCs/>
          <w:color w:val="000000"/>
        </w:rPr>
        <w:t>AJR Am J Roentgenol</w:t>
      </w:r>
      <w:r w:rsidRPr="00D35475">
        <w:rPr>
          <w:rFonts w:ascii="Book Antiqua" w:eastAsia="Book Antiqua" w:hAnsi="Book Antiqua" w:cs="Book Antiqua"/>
          <w:color w:val="000000"/>
        </w:rPr>
        <w:t xml:space="preserve"> 2004; </w:t>
      </w:r>
      <w:r w:rsidRPr="00D35475">
        <w:rPr>
          <w:rFonts w:ascii="Book Antiqua" w:eastAsia="Book Antiqua" w:hAnsi="Book Antiqua" w:cs="Book Antiqua"/>
          <w:b/>
          <w:bCs/>
          <w:color w:val="000000"/>
        </w:rPr>
        <w:t>183</w:t>
      </w:r>
      <w:r w:rsidRPr="00D35475">
        <w:rPr>
          <w:rFonts w:ascii="Book Antiqua" w:eastAsia="Book Antiqua" w:hAnsi="Book Antiqua" w:cs="Book Antiqua"/>
          <w:color w:val="000000"/>
        </w:rPr>
        <w:t>: 369-376 [PMID: 15269027 DOI: 10.2214/ajr.183.2.1830369]</w:t>
      </w:r>
    </w:p>
    <w:p w14:paraId="61044792"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41 </w:t>
      </w:r>
      <w:r w:rsidRPr="00D35475">
        <w:rPr>
          <w:rFonts w:ascii="Book Antiqua" w:eastAsia="Book Antiqua" w:hAnsi="Book Antiqua" w:cs="Book Antiqua"/>
          <w:b/>
          <w:bCs/>
          <w:color w:val="000000"/>
        </w:rPr>
        <w:t>Sabri SS</w:t>
      </w:r>
      <w:r w:rsidRPr="00D35475">
        <w:rPr>
          <w:rFonts w:ascii="Book Antiqua" w:eastAsia="Book Antiqua" w:hAnsi="Book Antiqua" w:cs="Book Antiqua"/>
          <w:color w:val="000000"/>
        </w:rPr>
        <w:t xml:space="preserve">, Abi-Jaoudeh N, Swee W, Saad WE, Turba UC, Caldwell SH, Angle JF, Matsumoto AH. Short-term rebleeding rates for isolated gastric varices managed by transjugular intrahepatic portosystemic shunt </w:t>
      </w:r>
      <w:r w:rsidRPr="00D35475">
        <w:rPr>
          <w:rFonts w:ascii="Book Antiqua" w:eastAsia="Book Antiqua" w:hAnsi="Book Antiqua" w:cs="Book Antiqua"/>
          <w:i/>
          <w:iCs/>
          <w:color w:val="000000"/>
        </w:rPr>
        <w:t>vs</w:t>
      </w:r>
      <w:r w:rsidRPr="00D35475">
        <w:rPr>
          <w:rFonts w:ascii="Book Antiqua" w:eastAsia="Book Antiqua" w:hAnsi="Book Antiqua" w:cs="Book Antiqua"/>
          <w:color w:val="000000"/>
        </w:rPr>
        <w:t xml:space="preserve"> balloon-occluded retrograde transvenous obliteration. </w:t>
      </w:r>
      <w:r w:rsidRPr="00D35475">
        <w:rPr>
          <w:rFonts w:ascii="Book Antiqua" w:eastAsia="Book Antiqua" w:hAnsi="Book Antiqua" w:cs="Book Antiqua"/>
          <w:i/>
          <w:iCs/>
          <w:color w:val="000000"/>
        </w:rPr>
        <w:t>J Vasc Interv Radiol</w:t>
      </w:r>
      <w:r w:rsidRPr="00D35475">
        <w:rPr>
          <w:rFonts w:ascii="Book Antiqua" w:eastAsia="Book Antiqua" w:hAnsi="Book Antiqua" w:cs="Book Antiqua"/>
          <w:color w:val="000000"/>
        </w:rPr>
        <w:t xml:space="preserve"> 2014; </w:t>
      </w:r>
      <w:r w:rsidRPr="00D35475">
        <w:rPr>
          <w:rFonts w:ascii="Book Antiqua" w:eastAsia="Book Antiqua" w:hAnsi="Book Antiqua" w:cs="Book Antiqua"/>
          <w:b/>
          <w:bCs/>
          <w:color w:val="000000"/>
        </w:rPr>
        <w:t>25</w:t>
      </w:r>
      <w:r w:rsidRPr="00D35475">
        <w:rPr>
          <w:rFonts w:ascii="Book Antiqua" w:eastAsia="Book Antiqua" w:hAnsi="Book Antiqua" w:cs="Book Antiqua"/>
          <w:color w:val="000000"/>
        </w:rPr>
        <w:t>: 355-361 [PMID: 24468043 DOI: 10.1016/j.jvir.2013.12.001]</w:t>
      </w:r>
    </w:p>
    <w:p w14:paraId="7C3A8D38"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42 </w:t>
      </w:r>
      <w:r w:rsidRPr="00D35475">
        <w:rPr>
          <w:rFonts w:ascii="Book Antiqua" w:eastAsia="Book Antiqua" w:hAnsi="Book Antiqua" w:cs="Book Antiqua"/>
          <w:b/>
          <w:bCs/>
          <w:color w:val="000000"/>
        </w:rPr>
        <w:t>Kim SK</w:t>
      </w:r>
      <w:r w:rsidRPr="00D35475">
        <w:rPr>
          <w:rFonts w:ascii="Book Antiqua" w:eastAsia="Book Antiqua" w:hAnsi="Book Antiqua" w:cs="Book Antiqua"/>
          <w:color w:val="000000"/>
        </w:rPr>
        <w:t xml:space="preserve">, Lee KA, Sauk S, Korenblat K. Comparison of Transjugular Intrahepatic Portosystemic Shunt with Covered Stent and Balloon-Occluded Retrograde Transvenous Obliteration in Managing Isolated Gastric Varices. </w:t>
      </w:r>
      <w:r w:rsidRPr="00D35475">
        <w:rPr>
          <w:rFonts w:ascii="Book Antiqua" w:eastAsia="Book Antiqua" w:hAnsi="Book Antiqua" w:cs="Book Antiqua"/>
          <w:i/>
          <w:iCs/>
          <w:color w:val="000000"/>
        </w:rPr>
        <w:t>Korean J Radiol</w:t>
      </w:r>
      <w:r w:rsidRPr="00D35475">
        <w:rPr>
          <w:rFonts w:ascii="Book Antiqua" w:eastAsia="Book Antiqua" w:hAnsi="Book Antiqua" w:cs="Book Antiqua"/>
          <w:color w:val="000000"/>
        </w:rPr>
        <w:t xml:space="preserve"> 2017; </w:t>
      </w:r>
      <w:r w:rsidRPr="00D35475">
        <w:rPr>
          <w:rFonts w:ascii="Book Antiqua" w:eastAsia="Book Antiqua" w:hAnsi="Book Antiqua" w:cs="Book Antiqua"/>
          <w:b/>
          <w:bCs/>
          <w:color w:val="000000"/>
        </w:rPr>
        <w:t>18</w:t>
      </w:r>
      <w:r w:rsidRPr="00D35475">
        <w:rPr>
          <w:rFonts w:ascii="Book Antiqua" w:eastAsia="Book Antiqua" w:hAnsi="Book Antiqua" w:cs="Book Antiqua"/>
          <w:color w:val="000000"/>
        </w:rPr>
        <w:t>: 345-354 [PMID: 28246514 DOI: 10.3348/kjr.2017.18.2.345]</w:t>
      </w:r>
    </w:p>
    <w:p w14:paraId="6D488DBC"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43 </w:t>
      </w:r>
      <w:r w:rsidRPr="00D35475">
        <w:rPr>
          <w:rFonts w:ascii="Book Antiqua" w:eastAsia="Book Antiqua" w:hAnsi="Book Antiqua" w:cs="Book Antiqua"/>
          <w:b/>
          <w:bCs/>
          <w:color w:val="000000"/>
        </w:rPr>
        <w:t>Lee SJ</w:t>
      </w:r>
      <w:r w:rsidRPr="00D35475">
        <w:rPr>
          <w:rFonts w:ascii="Book Antiqua" w:eastAsia="Book Antiqua" w:hAnsi="Book Antiqua" w:cs="Book Antiqua"/>
          <w:color w:val="000000"/>
        </w:rPr>
        <w:t xml:space="preserve">, Kim SU, Kim MD, Kim YH, Kim GM, Park SI, Won JY, Lee DY, Lee KH. Comparison of treatment outcomes between balloon-occluded retrograde transvenous obliteration and transjugular intrahepatic portosystemic shunt for gastric variceal bleeding hemostasis. </w:t>
      </w:r>
      <w:r w:rsidRPr="00D35475">
        <w:rPr>
          <w:rFonts w:ascii="Book Antiqua" w:eastAsia="Book Antiqua" w:hAnsi="Book Antiqua" w:cs="Book Antiqua"/>
          <w:i/>
          <w:iCs/>
          <w:color w:val="000000"/>
        </w:rPr>
        <w:t>J Gastroenterol Hepatol</w:t>
      </w:r>
      <w:r w:rsidRPr="00D35475">
        <w:rPr>
          <w:rFonts w:ascii="Book Antiqua" w:eastAsia="Book Antiqua" w:hAnsi="Book Antiqua" w:cs="Book Antiqua"/>
          <w:color w:val="000000"/>
        </w:rPr>
        <w:t xml:space="preserve"> 2017; </w:t>
      </w:r>
      <w:r w:rsidRPr="00D35475">
        <w:rPr>
          <w:rFonts w:ascii="Book Antiqua" w:eastAsia="Book Antiqua" w:hAnsi="Book Antiqua" w:cs="Book Antiqua"/>
          <w:b/>
          <w:bCs/>
          <w:color w:val="000000"/>
        </w:rPr>
        <w:t>32</w:t>
      </w:r>
      <w:r w:rsidRPr="00D35475">
        <w:rPr>
          <w:rFonts w:ascii="Book Antiqua" w:eastAsia="Book Antiqua" w:hAnsi="Book Antiqua" w:cs="Book Antiqua"/>
          <w:color w:val="000000"/>
        </w:rPr>
        <w:t>: 1487-1494 [PMID: 28085232 DOI: 10.1111/jgh.13729]</w:t>
      </w:r>
    </w:p>
    <w:p w14:paraId="137250D2"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44 </w:t>
      </w:r>
      <w:r w:rsidRPr="00D35475">
        <w:rPr>
          <w:rFonts w:ascii="Book Antiqua" w:eastAsia="Book Antiqua" w:hAnsi="Book Antiqua" w:cs="Book Antiqua"/>
          <w:b/>
          <w:bCs/>
          <w:color w:val="000000"/>
        </w:rPr>
        <w:t>Gimm G</w:t>
      </w:r>
      <w:r w:rsidRPr="00D35475">
        <w:rPr>
          <w:rFonts w:ascii="Book Antiqua" w:eastAsia="Book Antiqua" w:hAnsi="Book Antiqua" w:cs="Book Antiqua"/>
          <w:color w:val="000000"/>
        </w:rPr>
        <w:t xml:space="preserve">, Chang Y, Kim HC, Shin A, Cho EJ, Lee JH, Yu SJ, Yoon JH, Kim YJ. Balloon-Occluded Retrograde Transvenous Obliteration </w:t>
      </w:r>
      <w:r w:rsidRPr="00D35475">
        <w:rPr>
          <w:rFonts w:ascii="Book Antiqua" w:eastAsia="Book Antiqua" w:hAnsi="Book Antiqua" w:cs="Book Antiqua"/>
          <w:i/>
          <w:iCs/>
          <w:color w:val="000000"/>
        </w:rPr>
        <w:t>vs</w:t>
      </w:r>
      <w:r w:rsidRPr="00D35475">
        <w:rPr>
          <w:rFonts w:ascii="Book Antiqua" w:eastAsia="Book Antiqua" w:hAnsi="Book Antiqua" w:cs="Book Antiqua"/>
          <w:color w:val="000000"/>
        </w:rPr>
        <w:t xml:space="preserve"> Transjugular Intrahepatic </w:t>
      </w:r>
      <w:r w:rsidRPr="00D35475">
        <w:rPr>
          <w:rFonts w:ascii="Book Antiqua" w:eastAsia="Book Antiqua" w:hAnsi="Book Antiqua" w:cs="Book Antiqua"/>
          <w:color w:val="000000"/>
        </w:rPr>
        <w:lastRenderedPageBreak/>
        <w:t xml:space="preserve">Portosystemic Shunt for the Management of Gastric Variceal Bleeding. </w:t>
      </w:r>
      <w:r w:rsidRPr="00D35475">
        <w:rPr>
          <w:rFonts w:ascii="Book Antiqua" w:eastAsia="Book Antiqua" w:hAnsi="Book Antiqua" w:cs="Book Antiqua"/>
          <w:i/>
          <w:iCs/>
          <w:color w:val="000000"/>
        </w:rPr>
        <w:t>Gut Liver</w:t>
      </w:r>
      <w:r w:rsidRPr="00D35475">
        <w:rPr>
          <w:rFonts w:ascii="Book Antiqua" w:eastAsia="Book Antiqua" w:hAnsi="Book Antiqua" w:cs="Book Antiqua"/>
          <w:color w:val="000000"/>
        </w:rPr>
        <w:t xml:space="preserve"> 2018; </w:t>
      </w:r>
      <w:r w:rsidRPr="00D35475">
        <w:rPr>
          <w:rFonts w:ascii="Book Antiqua" w:eastAsia="Book Antiqua" w:hAnsi="Book Antiqua" w:cs="Book Antiqua"/>
          <w:b/>
          <w:bCs/>
          <w:color w:val="000000"/>
        </w:rPr>
        <w:t>12</w:t>
      </w:r>
      <w:r w:rsidRPr="00D35475">
        <w:rPr>
          <w:rFonts w:ascii="Book Antiqua" w:eastAsia="Book Antiqua" w:hAnsi="Book Antiqua" w:cs="Book Antiqua"/>
          <w:color w:val="000000"/>
        </w:rPr>
        <w:t>: 704-713 [PMID: 29938456 DOI: 10.5009/gnl17515]</w:t>
      </w:r>
    </w:p>
    <w:p w14:paraId="239354F1"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45 </w:t>
      </w:r>
      <w:r w:rsidRPr="00D35475">
        <w:rPr>
          <w:rFonts w:ascii="Book Antiqua" w:eastAsia="Book Antiqua" w:hAnsi="Book Antiqua" w:cs="Book Antiqua"/>
          <w:b/>
          <w:bCs/>
          <w:color w:val="000000"/>
        </w:rPr>
        <w:t>Wang ZW</w:t>
      </w:r>
      <w:r w:rsidRPr="00D35475">
        <w:rPr>
          <w:rFonts w:ascii="Book Antiqua" w:eastAsia="Book Antiqua" w:hAnsi="Book Antiqua" w:cs="Book Antiqua"/>
          <w:color w:val="000000"/>
        </w:rPr>
        <w:t xml:space="preserve">, Liu JC, Zhao F, Zhang WG, Duan XH, Chen PF, Yang SF, Li HW, Chen FW, Shi HS, Ren JZ. Comparison of the Effects of TIPS </w:t>
      </w:r>
      <w:r w:rsidRPr="00D35475">
        <w:rPr>
          <w:rFonts w:ascii="Book Antiqua" w:eastAsia="Book Antiqua" w:hAnsi="Book Antiqua" w:cs="Book Antiqua"/>
          <w:i/>
          <w:iCs/>
          <w:color w:val="000000"/>
        </w:rPr>
        <w:t>vs</w:t>
      </w:r>
      <w:r w:rsidRPr="00D35475">
        <w:rPr>
          <w:rFonts w:ascii="Book Antiqua" w:eastAsia="Book Antiqua" w:hAnsi="Book Antiqua" w:cs="Book Antiqua"/>
          <w:color w:val="000000"/>
        </w:rPr>
        <w:t xml:space="preserve"> BRTO on Bleeding Gastric Varices: A Meta-Analysis. </w:t>
      </w:r>
      <w:r w:rsidRPr="00D35475">
        <w:rPr>
          <w:rFonts w:ascii="Book Antiqua" w:eastAsia="Book Antiqua" w:hAnsi="Book Antiqua" w:cs="Book Antiqua"/>
          <w:i/>
          <w:iCs/>
          <w:color w:val="000000"/>
        </w:rPr>
        <w:t>Can J Gastroenterol Hepatol</w:t>
      </w:r>
      <w:r w:rsidRPr="00D35475">
        <w:rPr>
          <w:rFonts w:ascii="Book Antiqua" w:eastAsia="Book Antiqua" w:hAnsi="Book Antiqua" w:cs="Book Antiqua"/>
          <w:color w:val="000000"/>
        </w:rPr>
        <w:t xml:space="preserve"> 2020; </w:t>
      </w:r>
      <w:r w:rsidRPr="00D35475">
        <w:rPr>
          <w:rFonts w:ascii="Book Antiqua" w:eastAsia="Book Antiqua" w:hAnsi="Book Antiqua" w:cs="Book Antiqua"/>
          <w:b/>
          <w:bCs/>
          <w:color w:val="000000"/>
        </w:rPr>
        <w:t>2020</w:t>
      </w:r>
      <w:r w:rsidRPr="00D35475">
        <w:rPr>
          <w:rFonts w:ascii="Book Antiqua" w:eastAsia="Book Antiqua" w:hAnsi="Book Antiqua" w:cs="Book Antiqua"/>
          <w:color w:val="000000"/>
        </w:rPr>
        <w:t>: 5143013 [PMID: 32104670 DOI: 10.1155/2020/5143013]</w:t>
      </w:r>
    </w:p>
    <w:p w14:paraId="662E746B"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46 </w:t>
      </w:r>
      <w:r w:rsidRPr="00D35475">
        <w:rPr>
          <w:rFonts w:ascii="Book Antiqua" w:eastAsia="Book Antiqua" w:hAnsi="Book Antiqua" w:cs="Book Antiqua"/>
          <w:b/>
          <w:bCs/>
          <w:color w:val="000000"/>
        </w:rPr>
        <w:t>Paleti S</w:t>
      </w:r>
      <w:r w:rsidRPr="00D35475">
        <w:rPr>
          <w:rFonts w:ascii="Book Antiqua" w:eastAsia="Book Antiqua" w:hAnsi="Book Antiqua" w:cs="Book Antiqua"/>
          <w:color w:val="000000"/>
        </w:rPr>
        <w:t xml:space="preserve">, Nutalapati V, Fathallah J, Jeepalyam S, Rustagi T. Balloon-Occluded Retrograde Transvenous Obliteration (BRTO) Versus Transjugular Intrahepatic Portosystemic Shunt (TIPS) for Treatment of Gastric Varices Because of Portal Hypertension: A Systematic Review and Meta-Analysis. </w:t>
      </w:r>
      <w:r w:rsidRPr="00D35475">
        <w:rPr>
          <w:rFonts w:ascii="Book Antiqua" w:eastAsia="Book Antiqua" w:hAnsi="Book Antiqua" w:cs="Book Antiqua"/>
          <w:i/>
          <w:iCs/>
          <w:color w:val="000000"/>
        </w:rPr>
        <w:t>J Clin Gastroenterol</w:t>
      </w:r>
      <w:r w:rsidRPr="00D35475">
        <w:rPr>
          <w:rFonts w:ascii="Book Antiqua" w:eastAsia="Book Antiqua" w:hAnsi="Book Antiqua" w:cs="Book Antiqua"/>
          <w:color w:val="000000"/>
        </w:rPr>
        <w:t xml:space="preserve"> 2020; </w:t>
      </w:r>
      <w:r w:rsidRPr="00D35475">
        <w:rPr>
          <w:rFonts w:ascii="Book Antiqua" w:eastAsia="Book Antiqua" w:hAnsi="Book Antiqua" w:cs="Book Antiqua"/>
          <w:b/>
          <w:bCs/>
          <w:color w:val="000000"/>
        </w:rPr>
        <w:t>54</w:t>
      </w:r>
      <w:r w:rsidRPr="00D35475">
        <w:rPr>
          <w:rFonts w:ascii="Book Antiqua" w:eastAsia="Book Antiqua" w:hAnsi="Book Antiqua" w:cs="Book Antiqua"/>
          <w:color w:val="000000"/>
        </w:rPr>
        <w:t>: 655-660 [PMID: 31688366 DOI: 10.1097/MCG.0000000000001275]</w:t>
      </w:r>
    </w:p>
    <w:p w14:paraId="1F352908"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47 </w:t>
      </w:r>
      <w:r w:rsidRPr="00D35475">
        <w:rPr>
          <w:rFonts w:ascii="Book Antiqua" w:eastAsia="Book Antiqua" w:hAnsi="Book Antiqua" w:cs="Book Antiqua"/>
          <w:b/>
          <w:bCs/>
          <w:color w:val="000000"/>
        </w:rPr>
        <w:t>Yu Q</w:t>
      </w:r>
      <w:r w:rsidRPr="00D35475">
        <w:rPr>
          <w:rFonts w:ascii="Book Antiqua" w:eastAsia="Book Antiqua" w:hAnsi="Book Antiqua" w:cs="Book Antiqua"/>
          <w:color w:val="000000"/>
        </w:rPr>
        <w:t xml:space="preserve">, Liu C, Raissi D. Balloon-occluded Retrograde Transvenous Obliteration Versus Transjugular Intrahepatic Portosystemic Shunt for Gastric Varices: A Meta-Analysis. </w:t>
      </w:r>
      <w:r w:rsidRPr="00D35475">
        <w:rPr>
          <w:rFonts w:ascii="Book Antiqua" w:eastAsia="Book Antiqua" w:hAnsi="Book Antiqua" w:cs="Book Antiqua"/>
          <w:i/>
          <w:iCs/>
          <w:color w:val="000000"/>
        </w:rPr>
        <w:t>J Clin Gastroenterol</w:t>
      </w:r>
      <w:r w:rsidRPr="00D35475">
        <w:rPr>
          <w:rFonts w:ascii="Book Antiqua" w:eastAsia="Book Antiqua" w:hAnsi="Book Antiqua" w:cs="Book Antiqua"/>
          <w:color w:val="000000"/>
        </w:rPr>
        <w:t xml:space="preserve"> 2021; </w:t>
      </w:r>
      <w:r w:rsidRPr="00D35475">
        <w:rPr>
          <w:rFonts w:ascii="Book Antiqua" w:eastAsia="Book Antiqua" w:hAnsi="Book Antiqua" w:cs="Book Antiqua"/>
          <w:b/>
          <w:bCs/>
          <w:color w:val="000000"/>
        </w:rPr>
        <w:t>55</w:t>
      </w:r>
      <w:r w:rsidRPr="00D35475">
        <w:rPr>
          <w:rFonts w:ascii="Book Antiqua" w:eastAsia="Book Antiqua" w:hAnsi="Book Antiqua" w:cs="Book Antiqua"/>
          <w:color w:val="000000"/>
        </w:rPr>
        <w:t>: 147-158 [PMID: 31876839 DOI: 10.1097/MCG.0000000000001305]</w:t>
      </w:r>
    </w:p>
    <w:p w14:paraId="5573CA8F"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48 </w:t>
      </w:r>
      <w:r w:rsidRPr="00D35475">
        <w:rPr>
          <w:rFonts w:ascii="Book Antiqua" w:eastAsia="Book Antiqua" w:hAnsi="Book Antiqua" w:cs="Book Antiqua"/>
          <w:b/>
          <w:bCs/>
          <w:color w:val="000000"/>
        </w:rPr>
        <w:t>Kobayakawa M</w:t>
      </w:r>
      <w:r w:rsidRPr="00D35475">
        <w:rPr>
          <w:rFonts w:ascii="Book Antiqua" w:eastAsia="Book Antiqua" w:hAnsi="Book Antiqua" w:cs="Book Antiqua"/>
          <w:color w:val="000000"/>
        </w:rPr>
        <w:t xml:space="preserve">, Kokubu S, Hirota S, Koizumi J, Nishida N, Yasumoto T, Mochida S, Hidaka H, Tanaka N, Tajima T. Short-Term Safety and Efficacy of Balloon-Occluded Retrograde Transvenous Obliteration Using Ethanolamine Oleate: Results of a Prospective, Multicenter, Single-Arm Trial. </w:t>
      </w:r>
      <w:r w:rsidRPr="00D35475">
        <w:rPr>
          <w:rFonts w:ascii="Book Antiqua" w:eastAsia="Book Antiqua" w:hAnsi="Book Antiqua" w:cs="Book Antiqua"/>
          <w:i/>
          <w:iCs/>
          <w:color w:val="000000"/>
        </w:rPr>
        <w:t>J Vasc Interv Radiol</w:t>
      </w:r>
      <w:r w:rsidRPr="00D35475">
        <w:rPr>
          <w:rFonts w:ascii="Book Antiqua" w:eastAsia="Book Antiqua" w:hAnsi="Book Antiqua" w:cs="Book Antiqua"/>
          <w:color w:val="000000"/>
        </w:rPr>
        <w:t xml:space="preserve"> 2017; </w:t>
      </w:r>
      <w:r w:rsidRPr="00D35475">
        <w:rPr>
          <w:rFonts w:ascii="Book Antiqua" w:eastAsia="Book Antiqua" w:hAnsi="Book Antiqua" w:cs="Book Antiqua"/>
          <w:b/>
          <w:bCs/>
          <w:color w:val="000000"/>
        </w:rPr>
        <w:t>28</w:t>
      </w:r>
      <w:r w:rsidRPr="00D35475">
        <w:rPr>
          <w:rFonts w:ascii="Book Antiqua" w:eastAsia="Book Antiqua" w:hAnsi="Book Antiqua" w:cs="Book Antiqua"/>
          <w:color w:val="000000"/>
        </w:rPr>
        <w:t>: 1108-1115.e2 [PMID: 28483304 DOI: 10.1016/j.jvir.2017.03.041]</w:t>
      </w:r>
    </w:p>
    <w:p w14:paraId="562EA1B2"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49 </w:t>
      </w:r>
      <w:r w:rsidRPr="00D35475">
        <w:rPr>
          <w:rFonts w:ascii="Book Antiqua" w:eastAsia="Book Antiqua" w:hAnsi="Book Antiqua" w:cs="Book Antiqua"/>
          <w:b/>
          <w:bCs/>
          <w:color w:val="000000"/>
        </w:rPr>
        <w:t>Waguri N</w:t>
      </w:r>
      <w:r w:rsidRPr="00D35475">
        <w:rPr>
          <w:rFonts w:ascii="Book Antiqua" w:eastAsia="Book Antiqua" w:hAnsi="Book Antiqua" w:cs="Book Antiqua"/>
          <w:color w:val="000000"/>
        </w:rPr>
        <w:t xml:space="preserve">, Hayashi M, Yokoo T, Sato R, Arao Y, Setsu T, Sato M, Kohisa J, Hama I, Ohsugi K, Aiba T, Yoneyama O, Furukawa K, Sugimura K, Igarashi K, Suda T. Simultaneous combined balloon-occluded retrograde transvenous obliteration and partial splenic embolization for portosystemic shunts. </w:t>
      </w:r>
      <w:r w:rsidRPr="00D35475">
        <w:rPr>
          <w:rFonts w:ascii="Book Antiqua" w:eastAsia="Book Antiqua" w:hAnsi="Book Antiqua" w:cs="Book Antiqua"/>
          <w:i/>
          <w:iCs/>
          <w:color w:val="000000"/>
        </w:rPr>
        <w:t>J Vasc Interv Radiol</w:t>
      </w:r>
      <w:r w:rsidRPr="00D35475">
        <w:rPr>
          <w:rFonts w:ascii="Book Antiqua" w:eastAsia="Book Antiqua" w:hAnsi="Book Antiqua" w:cs="Book Antiqua"/>
          <w:color w:val="000000"/>
        </w:rPr>
        <w:t xml:space="preserve"> 2012; </w:t>
      </w:r>
      <w:r w:rsidRPr="00D35475">
        <w:rPr>
          <w:rFonts w:ascii="Book Antiqua" w:eastAsia="Book Antiqua" w:hAnsi="Book Antiqua" w:cs="Book Antiqua"/>
          <w:b/>
          <w:bCs/>
          <w:color w:val="000000"/>
        </w:rPr>
        <w:t>23</w:t>
      </w:r>
      <w:r w:rsidRPr="00D35475">
        <w:rPr>
          <w:rFonts w:ascii="Book Antiqua" w:eastAsia="Book Antiqua" w:hAnsi="Book Antiqua" w:cs="Book Antiqua"/>
          <w:color w:val="000000"/>
        </w:rPr>
        <w:t>: 650-657 [PMID: 22459878 DOI: 10.1016/j.jvir.2012.01.065]</w:t>
      </w:r>
    </w:p>
    <w:p w14:paraId="55FE0A05" w14:textId="0E8D0FD1"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50 </w:t>
      </w:r>
      <w:r w:rsidR="004F0FBA" w:rsidRPr="00D35475">
        <w:rPr>
          <w:rFonts w:ascii="Book Antiqua" w:eastAsia="Book Antiqua" w:hAnsi="Book Antiqua" w:cs="Book Antiqua"/>
          <w:b/>
          <w:bCs/>
          <w:color w:val="000000"/>
        </w:rPr>
        <w:t>Fukuda T</w:t>
      </w:r>
      <w:r w:rsidR="004F0FBA" w:rsidRPr="00D35475">
        <w:rPr>
          <w:rFonts w:ascii="Book Antiqua" w:eastAsia="Book Antiqua" w:hAnsi="Book Antiqua" w:cs="Book Antiqua"/>
          <w:color w:val="000000"/>
        </w:rPr>
        <w:t xml:space="preserve">, Hirota S, Sugimoto K, Matsumoto S, Zamora CA, Sugimura K. "Downgrading" of gastric varices with multiple collateral veins in balloon-occluded retrograde transvenous obliteration. </w:t>
      </w:r>
      <w:r w:rsidR="004F0FBA" w:rsidRPr="00D35475">
        <w:rPr>
          <w:rFonts w:ascii="Book Antiqua" w:eastAsia="Book Antiqua" w:hAnsi="Book Antiqua" w:cs="Book Antiqua"/>
          <w:i/>
          <w:iCs/>
          <w:color w:val="000000"/>
        </w:rPr>
        <w:t>J Vasc Interv Radiol</w:t>
      </w:r>
      <w:r w:rsidR="004F0FBA" w:rsidRPr="00D35475">
        <w:rPr>
          <w:rFonts w:ascii="Book Antiqua" w:eastAsia="Book Antiqua" w:hAnsi="Book Antiqua" w:cs="Book Antiqua"/>
          <w:color w:val="000000"/>
        </w:rPr>
        <w:t xml:space="preserve"> 2005; </w:t>
      </w:r>
      <w:r w:rsidR="004F0FBA" w:rsidRPr="00D35475">
        <w:rPr>
          <w:rFonts w:ascii="Book Antiqua" w:eastAsia="Book Antiqua" w:hAnsi="Book Antiqua" w:cs="Book Antiqua"/>
          <w:b/>
          <w:bCs/>
          <w:color w:val="000000"/>
        </w:rPr>
        <w:t>16</w:t>
      </w:r>
      <w:r w:rsidR="004F0FBA" w:rsidRPr="00D35475">
        <w:rPr>
          <w:rFonts w:ascii="Book Antiqua" w:eastAsia="Book Antiqua" w:hAnsi="Book Antiqua" w:cs="Book Antiqua"/>
          <w:color w:val="000000"/>
        </w:rPr>
        <w:t>: 1379-1383 [PMID: 16221910 DOI: 10.1097/01.RVI.0000175336.05823.eb]</w:t>
      </w:r>
    </w:p>
    <w:p w14:paraId="0DD3524A" w14:textId="69BCE43E"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lastRenderedPageBreak/>
        <w:t xml:space="preserve">51 </w:t>
      </w:r>
      <w:r w:rsidR="004F0FBA" w:rsidRPr="00D35475">
        <w:rPr>
          <w:rFonts w:ascii="Book Antiqua" w:eastAsia="Book Antiqua" w:hAnsi="Book Antiqua" w:cs="Book Antiqua"/>
          <w:b/>
          <w:bCs/>
          <w:color w:val="000000"/>
        </w:rPr>
        <w:t>Kiyosue H</w:t>
      </w:r>
      <w:r w:rsidR="004F0FBA" w:rsidRPr="00D35475">
        <w:rPr>
          <w:rFonts w:ascii="Book Antiqua" w:eastAsia="Book Antiqua" w:hAnsi="Book Antiqua" w:cs="Book Antiqua"/>
          <w:color w:val="000000"/>
        </w:rPr>
        <w:t xml:space="preserve">, Mori H, Matsumoto S, Yamada Y, Hori Y, Okino Y. Transcatheter obliteration of gastric varices: Part 2. Strategy and techniques based on hemodynamic features. </w:t>
      </w:r>
      <w:r w:rsidR="004F0FBA" w:rsidRPr="00D35475">
        <w:rPr>
          <w:rFonts w:ascii="Book Antiqua" w:eastAsia="Book Antiqua" w:hAnsi="Book Antiqua" w:cs="Book Antiqua"/>
          <w:i/>
          <w:iCs/>
          <w:color w:val="000000"/>
        </w:rPr>
        <w:t>Radiographics</w:t>
      </w:r>
      <w:r w:rsidR="004F0FBA" w:rsidRPr="00D35475">
        <w:rPr>
          <w:rFonts w:ascii="Book Antiqua" w:eastAsia="Book Antiqua" w:hAnsi="Book Antiqua" w:cs="Book Antiqua"/>
          <w:color w:val="000000"/>
        </w:rPr>
        <w:t xml:space="preserve"> 2003; </w:t>
      </w:r>
      <w:r w:rsidR="004F0FBA" w:rsidRPr="00D35475">
        <w:rPr>
          <w:rFonts w:ascii="Book Antiqua" w:eastAsia="Book Antiqua" w:hAnsi="Book Antiqua" w:cs="Book Antiqua"/>
          <w:b/>
          <w:bCs/>
          <w:color w:val="000000"/>
        </w:rPr>
        <w:t>23</w:t>
      </w:r>
      <w:r w:rsidR="004F0FBA" w:rsidRPr="00D35475">
        <w:rPr>
          <w:rFonts w:ascii="Book Antiqua" w:eastAsia="Book Antiqua" w:hAnsi="Book Antiqua" w:cs="Book Antiqua"/>
          <w:color w:val="000000"/>
        </w:rPr>
        <w:t>: 921-37; discussion 937 [PMID: 12853666 DOI: 10.1148/rg.234025135]</w:t>
      </w:r>
    </w:p>
    <w:p w14:paraId="7F0886A5"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52 </w:t>
      </w:r>
      <w:r w:rsidRPr="00D35475">
        <w:rPr>
          <w:rFonts w:ascii="Book Antiqua" w:eastAsia="Book Antiqua" w:hAnsi="Book Antiqua" w:cs="Book Antiqua"/>
          <w:b/>
          <w:bCs/>
          <w:color w:val="000000"/>
        </w:rPr>
        <w:t>Hirota S</w:t>
      </w:r>
      <w:r w:rsidRPr="00D35475">
        <w:rPr>
          <w:rFonts w:ascii="Book Antiqua" w:eastAsia="Book Antiqua" w:hAnsi="Book Antiqua" w:cs="Book Antiqua"/>
          <w:color w:val="000000"/>
        </w:rPr>
        <w:t xml:space="preserve">, Matsumoto S, Tomita M, Sako M, Kono M. Retrograde transvenous obliteration of gastric varices. </w:t>
      </w:r>
      <w:r w:rsidRPr="00D35475">
        <w:rPr>
          <w:rFonts w:ascii="Book Antiqua" w:eastAsia="Book Antiqua" w:hAnsi="Book Antiqua" w:cs="Book Antiqua"/>
          <w:i/>
          <w:iCs/>
          <w:color w:val="000000"/>
        </w:rPr>
        <w:t>Radiology</w:t>
      </w:r>
      <w:r w:rsidRPr="00D35475">
        <w:rPr>
          <w:rFonts w:ascii="Book Antiqua" w:eastAsia="Book Antiqua" w:hAnsi="Book Antiqua" w:cs="Book Antiqua"/>
          <w:color w:val="000000"/>
        </w:rPr>
        <w:t xml:space="preserve"> 1999; </w:t>
      </w:r>
      <w:r w:rsidRPr="00D35475">
        <w:rPr>
          <w:rFonts w:ascii="Book Antiqua" w:eastAsia="Book Antiqua" w:hAnsi="Book Antiqua" w:cs="Book Antiqua"/>
          <w:b/>
          <w:bCs/>
          <w:color w:val="000000"/>
        </w:rPr>
        <w:t>211</w:t>
      </w:r>
      <w:r w:rsidRPr="00D35475">
        <w:rPr>
          <w:rFonts w:ascii="Book Antiqua" w:eastAsia="Book Antiqua" w:hAnsi="Book Antiqua" w:cs="Book Antiqua"/>
          <w:color w:val="000000"/>
        </w:rPr>
        <w:t>: 349-356 [PMID: 10228513 DOI: 10.1148/radiology.211.2.r99ma25349]</w:t>
      </w:r>
    </w:p>
    <w:p w14:paraId="052256C4"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53 </w:t>
      </w:r>
      <w:r w:rsidRPr="00D35475">
        <w:rPr>
          <w:rFonts w:ascii="Book Antiqua" w:eastAsia="Book Antiqua" w:hAnsi="Book Antiqua" w:cs="Book Antiqua"/>
          <w:b/>
          <w:bCs/>
          <w:color w:val="000000"/>
        </w:rPr>
        <w:t>Nishida N</w:t>
      </w:r>
      <w:r w:rsidRPr="00D35475">
        <w:rPr>
          <w:rFonts w:ascii="Book Antiqua" w:eastAsia="Book Antiqua" w:hAnsi="Book Antiqua" w:cs="Book Antiqua"/>
          <w:color w:val="000000"/>
        </w:rPr>
        <w:t xml:space="preserve">, Ninoi T, Kitayama T, Yamamoto A, Sakai Y, Sato K, Hamuro M, Nakamura K, Inoue Y, Yamada R. Dual balloon-occluded retrograde transvenous obliteration of gastric varix draining into the left adrenal vein and left inferior phrenic vein. </w:t>
      </w:r>
      <w:r w:rsidRPr="00D35475">
        <w:rPr>
          <w:rFonts w:ascii="Book Antiqua" w:eastAsia="Book Antiqua" w:hAnsi="Book Antiqua" w:cs="Book Antiqua"/>
          <w:i/>
          <w:iCs/>
          <w:color w:val="000000"/>
        </w:rPr>
        <w:t>Cardiovasc Intervent Radiol</w:t>
      </w:r>
      <w:r w:rsidRPr="00D35475">
        <w:rPr>
          <w:rFonts w:ascii="Book Antiqua" w:eastAsia="Book Antiqua" w:hAnsi="Book Antiqua" w:cs="Book Antiqua"/>
          <w:color w:val="000000"/>
        </w:rPr>
        <w:t xml:space="preserve"> 2004; </w:t>
      </w:r>
      <w:r w:rsidRPr="00D35475">
        <w:rPr>
          <w:rFonts w:ascii="Book Antiqua" w:eastAsia="Book Antiqua" w:hAnsi="Book Antiqua" w:cs="Book Antiqua"/>
          <w:b/>
          <w:bCs/>
          <w:color w:val="000000"/>
        </w:rPr>
        <w:t>27</w:t>
      </w:r>
      <w:r w:rsidRPr="00D35475">
        <w:rPr>
          <w:rFonts w:ascii="Book Antiqua" w:eastAsia="Book Antiqua" w:hAnsi="Book Antiqua" w:cs="Book Antiqua"/>
          <w:color w:val="000000"/>
        </w:rPr>
        <w:t>: 560-562 [PMID: 15461983 DOI: 10.1007/s00270-004-0185-3]</w:t>
      </w:r>
    </w:p>
    <w:p w14:paraId="11674332"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54 </w:t>
      </w:r>
      <w:r w:rsidRPr="00D35475">
        <w:rPr>
          <w:rFonts w:ascii="Book Antiqua" w:eastAsia="Book Antiqua" w:hAnsi="Book Antiqua" w:cs="Book Antiqua"/>
          <w:b/>
          <w:bCs/>
          <w:color w:val="000000"/>
        </w:rPr>
        <w:t>Hashizume M</w:t>
      </w:r>
      <w:r w:rsidRPr="00D35475">
        <w:rPr>
          <w:rFonts w:ascii="Book Antiqua" w:eastAsia="Book Antiqua" w:hAnsi="Book Antiqua" w:cs="Book Antiqua"/>
          <w:color w:val="000000"/>
        </w:rPr>
        <w:t xml:space="preserve">, Kitano S, Yamaga H, Sugimachi K. Haptoglobin to protect against renal damage from ethanolamine oleate sclerosant. </w:t>
      </w:r>
      <w:r w:rsidRPr="00D35475">
        <w:rPr>
          <w:rFonts w:ascii="Book Antiqua" w:eastAsia="Book Antiqua" w:hAnsi="Book Antiqua" w:cs="Book Antiqua"/>
          <w:i/>
          <w:iCs/>
          <w:color w:val="000000"/>
        </w:rPr>
        <w:t>Lancet</w:t>
      </w:r>
      <w:r w:rsidRPr="00D35475">
        <w:rPr>
          <w:rFonts w:ascii="Book Antiqua" w:eastAsia="Book Antiqua" w:hAnsi="Book Antiqua" w:cs="Book Antiqua"/>
          <w:color w:val="000000"/>
        </w:rPr>
        <w:t xml:space="preserve"> 1988; </w:t>
      </w:r>
      <w:r w:rsidRPr="00D35475">
        <w:rPr>
          <w:rFonts w:ascii="Book Antiqua" w:eastAsia="Book Antiqua" w:hAnsi="Book Antiqua" w:cs="Book Antiqua"/>
          <w:b/>
          <w:bCs/>
          <w:color w:val="000000"/>
        </w:rPr>
        <w:t>2</w:t>
      </w:r>
      <w:r w:rsidRPr="00D35475">
        <w:rPr>
          <w:rFonts w:ascii="Book Antiqua" w:eastAsia="Book Antiqua" w:hAnsi="Book Antiqua" w:cs="Book Antiqua"/>
          <w:color w:val="000000"/>
        </w:rPr>
        <w:t>: 340-341 [PMID: 2899760 DOI: 10.1016/s0140-6736(88)92400-2]</w:t>
      </w:r>
    </w:p>
    <w:p w14:paraId="41898C29"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55 </w:t>
      </w:r>
      <w:r w:rsidRPr="00D35475">
        <w:rPr>
          <w:rFonts w:ascii="Book Antiqua" w:eastAsia="Book Antiqua" w:hAnsi="Book Antiqua" w:cs="Book Antiqua"/>
          <w:b/>
          <w:bCs/>
          <w:color w:val="000000"/>
        </w:rPr>
        <w:t>Gwon DI</w:t>
      </w:r>
      <w:r w:rsidRPr="00D35475">
        <w:rPr>
          <w:rFonts w:ascii="Book Antiqua" w:eastAsia="Book Antiqua" w:hAnsi="Book Antiqua" w:cs="Book Antiqua"/>
          <w:color w:val="000000"/>
        </w:rPr>
        <w:t xml:space="preserve">, Ko GY, Yoon HK, Sung KB, Kim JH, Shin JH, Ko HK, Song HY. Gastric varices and hepatic encephalopathy: treatment with vascular plug and gelatin sponge-assisted retrograde transvenous obliteration--a primary report. </w:t>
      </w:r>
      <w:r w:rsidRPr="00D35475">
        <w:rPr>
          <w:rFonts w:ascii="Book Antiqua" w:eastAsia="Book Antiqua" w:hAnsi="Book Antiqua" w:cs="Book Antiqua"/>
          <w:i/>
          <w:iCs/>
          <w:color w:val="000000"/>
        </w:rPr>
        <w:t>Radiology</w:t>
      </w:r>
      <w:r w:rsidRPr="00D35475">
        <w:rPr>
          <w:rFonts w:ascii="Book Antiqua" w:eastAsia="Book Antiqua" w:hAnsi="Book Antiqua" w:cs="Book Antiqua"/>
          <w:color w:val="000000"/>
        </w:rPr>
        <w:t xml:space="preserve"> 2013; </w:t>
      </w:r>
      <w:r w:rsidRPr="00D35475">
        <w:rPr>
          <w:rFonts w:ascii="Book Antiqua" w:eastAsia="Book Antiqua" w:hAnsi="Book Antiqua" w:cs="Book Antiqua"/>
          <w:b/>
          <w:bCs/>
          <w:color w:val="000000"/>
        </w:rPr>
        <w:t>268</w:t>
      </w:r>
      <w:r w:rsidRPr="00D35475">
        <w:rPr>
          <w:rFonts w:ascii="Book Antiqua" w:eastAsia="Book Antiqua" w:hAnsi="Book Antiqua" w:cs="Book Antiqua"/>
          <w:color w:val="000000"/>
        </w:rPr>
        <w:t>: 281-287 [PMID: 23481167 DOI: 10.1148/radiol.13122102]</w:t>
      </w:r>
    </w:p>
    <w:p w14:paraId="54D2E72C"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56 </w:t>
      </w:r>
      <w:r w:rsidRPr="00D35475">
        <w:rPr>
          <w:rFonts w:ascii="Book Antiqua" w:eastAsia="Book Antiqua" w:hAnsi="Book Antiqua" w:cs="Book Antiqua"/>
          <w:b/>
          <w:bCs/>
          <w:color w:val="000000"/>
        </w:rPr>
        <w:t>Lee EW</w:t>
      </w:r>
      <w:r w:rsidRPr="00D35475">
        <w:rPr>
          <w:rFonts w:ascii="Book Antiqua" w:eastAsia="Book Antiqua" w:hAnsi="Book Antiqua" w:cs="Book Antiqua"/>
          <w:color w:val="000000"/>
        </w:rPr>
        <w:t xml:space="preserve">, Saab S, Gomes AS, Busuttil R, McWilliams J, Durazo F, Han SH, Goldstein L, Tafti BA, Moriarty J, Loh CT, Kee ST. Coil-Assisted Retrograde Transvenous Obliteration (CARTO) for the Treatment of Portal Hypertensive Variceal Bleeding: Preliminary Results. </w:t>
      </w:r>
      <w:r w:rsidRPr="00D35475">
        <w:rPr>
          <w:rFonts w:ascii="Book Antiqua" w:eastAsia="Book Antiqua" w:hAnsi="Book Antiqua" w:cs="Book Antiqua"/>
          <w:i/>
          <w:iCs/>
          <w:color w:val="000000"/>
        </w:rPr>
        <w:t>Clin Transl Gastroenterol</w:t>
      </w:r>
      <w:r w:rsidRPr="00D35475">
        <w:rPr>
          <w:rFonts w:ascii="Book Antiqua" w:eastAsia="Book Antiqua" w:hAnsi="Book Antiqua" w:cs="Book Antiqua"/>
          <w:color w:val="000000"/>
        </w:rPr>
        <w:t xml:space="preserve"> 2014; </w:t>
      </w:r>
      <w:r w:rsidRPr="00D35475">
        <w:rPr>
          <w:rFonts w:ascii="Book Antiqua" w:eastAsia="Book Antiqua" w:hAnsi="Book Antiqua" w:cs="Book Antiqua"/>
          <w:b/>
          <w:bCs/>
          <w:color w:val="000000"/>
        </w:rPr>
        <w:t>5</w:t>
      </w:r>
      <w:r w:rsidRPr="00D35475">
        <w:rPr>
          <w:rFonts w:ascii="Book Antiqua" w:eastAsia="Book Antiqua" w:hAnsi="Book Antiqua" w:cs="Book Antiqua"/>
          <w:color w:val="000000"/>
        </w:rPr>
        <w:t>: e61 [PMID: 25273155 DOI: 10.1038/ctg.2014.12]</w:t>
      </w:r>
    </w:p>
    <w:p w14:paraId="39FB5A80"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57 </w:t>
      </w:r>
      <w:r w:rsidRPr="00D35475">
        <w:rPr>
          <w:rFonts w:ascii="Book Antiqua" w:eastAsia="Book Antiqua" w:hAnsi="Book Antiqua" w:cs="Book Antiqua"/>
          <w:b/>
          <w:bCs/>
          <w:color w:val="000000"/>
        </w:rPr>
        <w:t>Gwon DI</w:t>
      </w:r>
      <w:r w:rsidRPr="00D35475">
        <w:rPr>
          <w:rFonts w:ascii="Book Antiqua" w:eastAsia="Book Antiqua" w:hAnsi="Book Antiqua" w:cs="Book Antiqua"/>
          <w:color w:val="000000"/>
        </w:rPr>
        <w:t xml:space="preserve">, Kim YH, Ko GY, Kim JW, Ko HK, Kim JH, Shin JH, Yoon HK, Sung KB. Vascular Plug-Assisted Retrograde Transvenous Obliteration for the Treatment of Gastric Varices and Hepatic Encephalopathy: A Prospective Multicenter Study. </w:t>
      </w:r>
      <w:r w:rsidRPr="00D35475">
        <w:rPr>
          <w:rFonts w:ascii="Book Antiqua" w:eastAsia="Book Antiqua" w:hAnsi="Book Antiqua" w:cs="Book Antiqua"/>
          <w:i/>
          <w:iCs/>
          <w:color w:val="000000"/>
        </w:rPr>
        <w:t>J Vasc Interv Radiol</w:t>
      </w:r>
      <w:r w:rsidRPr="00D35475">
        <w:rPr>
          <w:rFonts w:ascii="Book Antiqua" w:eastAsia="Book Antiqua" w:hAnsi="Book Antiqua" w:cs="Book Antiqua"/>
          <w:color w:val="000000"/>
        </w:rPr>
        <w:t xml:space="preserve"> 2015; </w:t>
      </w:r>
      <w:r w:rsidRPr="00D35475">
        <w:rPr>
          <w:rFonts w:ascii="Book Antiqua" w:eastAsia="Book Antiqua" w:hAnsi="Book Antiqua" w:cs="Book Antiqua"/>
          <w:b/>
          <w:bCs/>
          <w:color w:val="000000"/>
        </w:rPr>
        <w:t>26</w:t>
      </w:r>
      <w:r w:rsidRPr="00D35475">
        <w:rPr>
          <w:rFonts w:ascii="Book Antiqua" w:eastAsia="Book Antiqua" w:hAnsi="Book Antiqua" w:cs="Book Antiqua"/>
          <w:color w:val="000000"/>
        </w:rPr>
        <w:t>: 1589-1595 [PMID: 26316136 DOI: 10.1016/j.jvir.2015.07.011]</w:t>
      </w:r>
    </w:p>
    <w:p w14:paraId="7ACBC054"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lastRenderedPageBreak/>
        <w:t xml:space="preserve">58 </w:t>
      </w:r>
      <w:r w:rsidRPr="00D35475">
        <w:rPr>
          <w:rFonts w:ascii="Book Antiqua" w:eastAsia="Book Antiqua" w:hAnsi="Book Antiqua" w:cs="Book Antiqua"/>
          <w:b/>
          <w:bCs/>
          <w:color w:val="000000"/>
        </w:rPr>
        <w:t>Kim YH</w:t>
      </w:r>
      <w:r w:rsidRPr="00D35475">
        <w:rPr>
          <w:rFonts w:ascii="Book Antiqua" w:eastAsia="Book Antiqua" w:hAnsi="Book Antiqua" w:cs="Book Antiqua"/>
          <w:color w:val="000000"/>
        </w:rPr>
        <w:t xml:space="preserve">, Kim YH, Kim CS, Kang UR, Kim SH, Kim JH. Comparison of Balloon-Occluded Retrograde Transvenous Obliteration (BRTO) Using Ethanolamine Oleate (EO), BRTO Using Sodium Tetradecyl Sulfate (STS) Foam and Vascular Plug-Assisted Retrograde Transvenous Obliteration (PARTO). </w:t>
      </w:r>
      <w:r w:rsidRPr="00D35475">
        <w:rPr>
          <w:rFonts w:ascii="Book Antiqua" w:eastAsia="Book Antiqua" w:hAnsi="Book Antiqua" w:cs="Book Antiqua"/>
          <w:i/>
          <w:iCs/>
          <w:color w:val="000000"/>
        </w:rPr>
        <w:t>Cardiovasc Intervent Radiol</w:t>
      </w:r>
      <w:r w:rsidRPr="00D35475">
        <w:rPr>
          <w:rFonts w:ascii="Book Antiqua" w:eastAsia="Book Antiqua" w:hAnsi="Book Antiqua" w:cs="Book Antiqua"/>
          <w:color w:val="000000"/>
        </w:rPr>
        <w:t xml:space="preserve"> 2016; </w:t>
      </w:r>
      <w:r w:rsidRPr="00D35475">
        <w:rPr>
          <w:rFonts w:ascii="Book Antiqua" w:eastAsia="Book Antiqua" w:hAnsi="Book Antiqua" w:cs="Book Antiqua"/>
          <w:b/>
          <w:bCs/>
          <w:color w:val="000000"/>
        </w:rPr>
        <w:t>39</w:t>
      </w:r>
      <w:r w:rsidRPr="00D35475">
        <w:rPr>
          <w:rFonts w:ascii="Book Antiqua" w:eastAsia="Book Antiqua" w:hAnsi="Book Antiqua" w:cs="Book Antiqua"/>
          <w:color w:val="000000"/>
        </w:rPr>
        <w:t>: 840-846 [PMID: 26757912 DOI: 10.1007/s00270-015-1288-8]</w:t>
      </w:r>
    </w:p>
    <w:p w14:paraId="759E62EE"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59 </w:t>
      </w:r>
      <w:r w:rsidRPr="00D35475">
        <w:rPr>
          <w:rFonts w:ascii="Book Antiqua" w:eastAsia="Book Antiqua" w:hAnsi="Book Antiqua" w:cs="Book Antiqua"/>
          <w:b/>
          <w:bCs/>
          <w:color w:val="000000"/>
        </w:rPr>
        <w:t>Uotani K</w:t>
      </w:r>
      <w:r w:rsidRPr="00D35475">
        <w:rPr>
          <w:rFonts w:ascii="Book Antiqua" w:eastAsia="Book Antiqua" w:hAnsi="Book Antiqua" w:cs="Book Antiqua"/>
          <w:color w:val="000000"/>
        </w:rPr>
        <w:t xml:space="preserve">, Matsushiro E, Hamanaka A, Yamasaki Y, Kushima T, Sugimoto K. Modified Coil-Assisted Retrograde Transvenous Obliteration (m-CARTO) for Gastric Varices. </w:t>
      </w:r>
      <w:r w:rsidRPr="00D35475">
        <w:rPr>
          <w:rFonts w:ascii="Book Antiqua" w:eastAsia="Book Antiqua" w:hAnsi="Book Antiqua" w:cs="Book Antiqua"/>
          <w:i/>
          <w:iCs/>
          <w:color w:val="000000"/>
        </w:rPr>
        <w:t>Cardiovasc Intervent Radiol</w:t>
      </w:r>
      <w:r w:rsidRPr="00D35475">
        <w:rPr>
          <w:rFonts w:ascii="Book Antiqua" w:eastAsia="Book Antiqua" w:hAnsi="Book Antiqua" w:cs="Book Antiqua"/>
          <w:color w:val="000000"/>
        </w:rPr>
        <w:t xml:space="preserve"> 2020; </w:t>
      </w:r>
      <w:r w:rsidRPr="00D35475">
        <w:rPr>
          <w:rFonts w:ascii="Book Antiqua" w:eastAsia="Book Antiqua" w:hAnsi="Book Antiqua" w:cs="Book Antiqua"/>
          <w:b/>
          <w:bCs/>
          <w:color w:val="000000"/>
        </w:rPr>
        <w:t>43</w:t>
      </w:r>
      <w:r w:rsidRPr="00D35475">
        <w:rPr>
          <w:rFonts w:ascii="Book Antiqua" w:eastAsia="Book Antiqua" w:hAnsi="Book Antiqua" w:cs="Book Antiqua"/>
          <w:color w:val="000000"/>
        </w:rPr>
        <w:t>: 1100-1102 [PMID: 32382860 DOI: 10.1007/s00270-020-02492-8]</w:t>
      </w:r>
    </w:p>
    <w:p w14:paraId="58462D96"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60 </w:t>
      </w:r>
      <w:r w:rsidRPr="00D35475">
        <w:rPr>
          <w:rFonts w:ascii="Book Antiqua" w:eastAsia="Book Antiqua" w:hAnsi="Book Antiqua" w:cs="Book Antiqua"/>
          <w:b/>
          <w:bCs/>
          <w:color w:val="000000"/>
        </w:rPr>
        <w:t>Yamamoto A</w:t>
      </w:r>
      <w:r w:rsidRPr="00D35475">
        <w:rPr>
          <w:rFonts w:ascii="Book Antiqua" w:eastAsia="Book Antiqua" w:hAnsi="Book Antiqua" w:cs="Book Antiqua"/>
          <w:color w:val="000000"/>
        </w:rPr>
        <w:t xml:space="preserve">, Jogo A, Kageyama K, Sohgawa E, Hamamoto S, Hamuro M, Kamino T, Miki Y. Utility of Coil-Assisted Retrograde Transvenous Obliteration II (CARTO-II) for the Treatment of Gastric Varices. </w:t>
      </w:r>
      <w:r w:rsidRPr="00D35475">
        <w:rPr>
          <w:rFonts w:ascii="Book Antiqua" w:eastAsia="Book Antiqua" w:hAnsi="Book Antiqua" w:cs="Book Antiqua"/>
          <w:i/>
          <w:iCs/>
          <w:color w:val="000000"/>
        </w:rPr>
        <w:t>Cardiovasc Intervent Radiol</w:t>
      </w:r>
      <w:r w:rsidRPr="00D35475">
        <w:rPr>
          <w:rFonts w:ascii="Book Antiqua" w:eastAsia="Book Antiqua" w:hAnsi="Book Antiqua" w:cs="Book Antiqua"/>
          <w:color w:val="000000"/>
        </w:rPr>
        <w:t xml:space="preserve"> 2020; </w:t>
      </w:r>
      <w:r w:rsidRPr="00D35475">
        <w:rPr>
          <w:rFonts w:ascii="Book Antiqua" w:eastAsia="Book Antiqua" w:hAnsi="Book Antiqua" w:cs="Book Antiqua"/>
          <w:b/>
          <w:bCs/>
          <w:color w:val="000000"/>
        </w:rPr>
        <w:t>43</w:t>
      </w:r>
      <w:r w:rsidRPr="00D35475">
        <w:rPr>
          <w:rFonts w:ascii="Book Antiqua" w:eastAsia="Book Antiqua" w:hAnsi="Book Antiqua" w:cs="Book Antiqua"/>
          <w:color w:val="000000"/>
        </w:rPr>
        <w:t>: 565-571 [PMID: 31875235 DOI: 10.1007/s00270-019-02399-z]</w:t>
      </w:r>
    </w:p>
    <w:p w14:paraId="174FA757"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61 </w:t>
      </w:r>
      <w:r w:rsidRPr="00D35475">
        <w:rPr>
          <w:rFonts w:ascii="Book Antiqua" w:eastAsia="Book Antiqua" w:hAnsi="Book Antiqua" w:cs="Book Antiqua"/>
          <w:b/>
          <w:bCs/>
          <w:color w:val="000000"/>
        </w:rPr>
        <w:t>Jogo A</w:t>
      </w:r>
      <w:r w:rsidRPr="00D35475">
        <w:rPr>
          <w:rFonts w:ascii="Book Antiqua" w:eastAsia="Book Antiqua" w:hAnsi="Book Antiqua" w:cs="Book Antiqua"/>
          <w:color w:val="000000"/>
        </w:rPr>
        <w:t xml:space="preserve">, Yamamoto A, Kaminoh T, Nakano M, Kageyama K, Sohgawa E, Hamamoto S, Sakai Y, Hamuro M, Nishida N, Miki Y. Utility of low-dose gelatin sponge particles and 5% ethanolamine oleate iopamidol mixture in retrograde transvenous obliteration (GERTO) for gastric varices. </w:t>
      </w:r>
      <w:r w:rsidRPr="00D35475">
        <w:rPr>
          <w:rFonts w:ascii="Book Antiqua" w:eastAsia="Book Antiqua" w:hAnsi="Book Antiqua" w:cs="Book Antiqua"/>
          <w:i/>
          <w:iCs/>
          <w:color w:val="000000"/>
        </w:rPr>
        <w:t>Br J Radiol</w:t>
      </w:r>
      <w:r w:rsidRPr="00D35475">
        <w:rPr>
          <w:rFonts w:ascii="Book Antiqua" w:eastAsia="Book Antiqua" w:hAnsi="Book Antiqua" w:cs="Book Antiqua"/>
          <w:color w:val="000000"/>
        </w:rPr>
        <w:t xml:space="preserve"> 2020; </w:t>
      </w:r>
      <w:r w:rsidRPr="00D35475">
        <w:rPr>
          <w:rFonts w:ascii="Book Antiqua" w:eastAsia="Book Antiqua" w:hAnsi="Book Antiqua" w:cs="Book Antiqua"/>
          <w:b/>
          <w:bCs/>
          <w:color w:val="000000"/>
        </w:rPr>
        <w:t>93</w:t>
      </w:r>
      <w:r w:rsidRPr="00D35475">
        <w:rPr>
          <w:rFonts w:ascii="Book Antiqua" w:eastAsia="Book Antiqua" w:hAnsi="Book Antiqua" w:cs="Book Antiqua"/>
          <w:color w:val="000000"/>
        </w:rPr>
        <w:t>: 20190751 [PMID: 32017608 DOI: 10.1259/bjr.20190751]</w:t>
      </w:r>
    </w:p>
    <w:p w14:paraId="65D371E5"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62 </w:t>
      </w:r>
      <w:r w:rsidRPr="00D35475">
        <w:rPr>
          <w:rFonts w:ascii="Book Antiqua" w:eastAsia="Book Antiqua" w:hAnsi="Book Antiqua" w:cs="Book Antiqua"/>
          <w:b/>
          <w:bCs/>
          <w:color w:val="000000"/>
        </w:rPr>
        <w:t>Ishikawa T</w:t>
      </w:r>
      <w:r w:rsidRPr="00D35475">
        <w:rPr>
          <w:rFonts w:ascii="Book Antiqua" w:eastAsia="Book Antiqua" w:hAnsi="Book Antiqua" w:cs="Book Antiqua"/>
          <w:color w:val="000000"/>
        </w:rPr>
        <w:t xml:space="preserve">, Imai M, Ko M, Sato H, Nozawa Y, Sano T, Iwanaga A, Seki K, Honma T, Yoshida T. Percutaneous transhepatic obliteration and percutaneous transhepatic sclerotherapy for intractable hepatic encephalopathy and gastric varices improves the hepatic function reserve. </w:t>
      </w:r>
      <w:r w:rsidRPr="00D35475">
        <w:rPr>
          <w:rFonts w:ascii="Book Antiqua" w:eastAsia="Book Antiqua" w:hAnsi="Book Antiqua" w:cs="Book Antiqua"/>
          <w:i/>
          <w:iCs/>
          <w:color w:val="000000"/>
        </w:rPr>
        <w:t>Biomed Rep</w:t>
      </w:r>
      <w:r w:rsidRPr="00D35475">
        <w:rPr>
          <w:rFonts w:ascii="Book Antiqua" w:eastAsia="Book Antiqua" w:hAnsi="Book Antiqua" w:cs="Book Antiqua"/>
          <w:color w:val="000000"/>
        </w:rPr>
        <w:t xml:space="preserve"> 2017; </w:t>
      </w:r>
      <w:r w:rsidRPr="00D35475">
        <w:rPr>
          <w:rFonts w:ascii="Book Antiqua" w:eastAsia="Book Antiqua" w:hAnsi="Book Antiqua" w:cs="Book Antiqua"/>
          <w:b/>
          <w:bCs/>
          <w:color w:val="000000"/>
        </w:rPr>
        <w:t>6</w:t>
      </w:r>
      <w:r w:rsidRPr="00D35475">
        <w:rPr>
          <w:rFonts w:ascii="Book Antiqua" w:eastAsia="Book Antiqua" w:hAnsi="Book Antiqua" w:cs="Book Antiqua"/>
          <w:color w:val="000000"/>
        </w:rPr>
        <w:t>: 99-102 [PMID: 28123716 DOI: 10.3892/br.2016.811]</w:t>
      </w:r>
    </w:p>
    <w:p w14:paraId="7BC54E5B"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63 </w:t>
      </w:r>
      <w:r w:rsidRPr="00D35475">
        <w:rPr>
          <w:rFonts w:ascii="Book Antiqua" w:eastAsia="Book Antiqua" w:hAnsi="Book Antiqua" w:cs="Book Antiqua"/>
          <w:b/>
          <w:bCs/>
          <w:color w:val="000000"/>
        </w:rPr>
        <w:t>Arai H</w:t>
      </w:r>
      <w:r w:rsidRPr="00D35475">
        <w:rPr>
          <w:rFonts w:ascii="Book Antiqua" w:eastAsia="Book Antiqua" w:hAnsi="Book Antiqua" w:cs="Book Antiqua"/>
          <w:color w:val="000000"/>
        </w:rPr>
        <w:t xml:space="preserve">, Abe T, Takagi H, Mori M. Efficacy of balloon-occluded retrograde transvenous obliteration, percutaneous transhepatic obliteration and combined techniques for the management of gastric fundal varices. </w:t>
      </w:r>
      <w:r w:rsidRPr="00D35475">
        <w:rPr>
          <w:rFonts w:ascii="Book Antiqua" w:eastAsia="Book Antiqua" w:hAnsi="Book Antiqua" w:cs="Book Antiqua"/>
          <w:i/>
          <w:iCs/>
          <w:color w:val="000000"/>
        </w:rPr>
        <w:t>World J Gastroenterol</w:t>
      </w:r>
      <w:r w:rsidRPr="00D35475">
        <w:rPr>
          <w:rFonts w:ascii="Book Antiqua" w:eastAsia="Book Antiqua" w:hAnsi="Book Antiqua" w:cs="Book Antiqua"/>
          <w:color w:val="000000"/>
        </w:rPr>
        <w:t xml:space="preserve"> 2006; </w:t>
      </w:r>
      <w:r w:rsidRPr="00D35475">
        <w:rPr>
          <w:rFonts w:ascii="Book Antiqua" w:eastAsia="Book Antiqua" w:hAnsi="Book Antiqua" w:cs="Book Antiqua"/>
          <w:b/>
          <w:bCs/>
          <w:color w:val="000000"/>
        </w:rPr>
        <w:t>12</w:t>
      </w:r>
      <w:r w:rsidRPr="00D35475">
        <w:rPr>
          <w:rFonts w:ascii="Book Antiqua" w:eastAsia="Book Antiqua" w:hAnsi="Book Antiqua" w:cs="Book Antiqua"/>
          <w:color w:val="000000"/>
        </w:rPr>
        <w:t>: 3866-3873 [PMID: 16804972 DOI: 10.3748/wjg.v12.i24.3866]</w:t>
      </w:r>
    </w:p>
    <w:p w14:paraId="5B5BF60A"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64 </w:t>
      </w:r>
      <w:r w:rsidRPr="00D35475">
        <w:rPr>
          <w:rFonts w:ascii="Book Antiqua" w:eastAsia="Book Antiqua" w:hAnsi="Book Antiqua" w:cs="Book Antiqua"/>
          <w:b/>
          <w:bCs/>
          <w:color w:val="000000"/>
        </w:rPr>
        <w:t>Elsamman MK</w:t>
      </w:r>
      <w:r w:rsidRPr="00D35475">
        <w:rPr>
          <w:rFonts w:ascii="Book Antiqua" w:eastAsia="Book Antiqua" w:hAnsi="Book Antiqua" w:cs="Book Antiqua"/>
          <w:color w:val="000000"/>
        </w:rPr>
        <w:t xml:space="preserve">, Fujiwara Y, Kameda N, Okazaki H, Tanigawa T, Shiba M, Tominaga K, Watanabe T, Oshitani N, Arafa UA, El-Sayed AA, Nakamura K, Arakawa T. </w:t>
      </w:r>
      <w:r w:rsidRPr="00D35475">
        <w:rPr>
          <w:rFonts w:ascii="Book Antiqua" w:eastAsia="Book Antiqua" w:hAnsi="Book Antiqua" w:cs="Book Antiqua"/>
          <w:color w:val="000000"/>
        </w:rPr>
        <w:lastRenderedPageBreak/>
        <w:t xml:space="preserve">Predictive factors of worsening of esophageal varices after balloon-occluded retrograde transvenous obliteration in patients with gastric varices. </w:t>
      </w:r>
      <w:r w:rsidRPr="00D35475">
        <w:rPr>
          <w:rFonts w:ascii="Book Antiqua" w:eastAsia="Book Antiqua" w:hAnsi="Book Antiqua" w:cs="Book Antiqua"/>
          <w:i/>
          <w:iCs/>
          <w:color w:val="000000"/>
        </w:rPr>
        <w:t>Am J Gastroenterol</w:t>
      </w:r>
      <w:r w:rsidRPr="00D35475">
        <w:rPr>
          <w:rFonts w:ascii="Book Antiqua" w:eastAsia="Book Antiqua" w:hAnsi="Book Antiqua" w:cs="Book Antiqua"/>
          <w:color w:val="000000"/>
        </w:rPr>
        <w:t xml:space="preserve"> 2009; </w:t>
      </w:r>
      <w:r w:rsidRPr="00D35475">
        <w:rPr>
          <w:rFonts w:ascii="Book Antiqua" w:eastAsia="Book Antiqua" w:hAnsi="Book Antiqua" w:cs="Book Antiqua"/>
          <w:b/>
          <w:bCs/>
          <w:color w:val="000000"/>
        </w:rPr>
        <w:t>104</w:t>
      </w:r>
      <w:r w:rsidRPr="00D35475">
        <w:rPr>
          <w:rFonts w:ascii="Book Antiqua" w:eastAsia="Book Antiqua" w:hAnsi="Book Antiqua" w:cs="Book Antiqua"/>
          <w:color w:val="000000"/>
        </w:rPr>
        <w:t>: 2214-2221 [PMID: 19319121 DOI: 10.1038/ajg.2008.140]</w:t>
      </w:r>
    </w:p>
    <w:p w14:paraId="71FAB692"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65 </w:t>
      </w:r>
      <w:r w:rsidRPr="00D35475">
        <w:rPr>
          <w:rFonts w:ascii="Book Antiqua" w:eastAsia="Book Antiqua" w:hAnsi="Book Antiqua" w:cs="Book Antiqua"/>
          <w:b/>
          <w:bCs/>
          <w:color w:val="000000"/>
        </w:rPr>
        <w:t>Fukuda T</w:t>
      </w:r>
      <w:r w:rsidRPr="00D35475">
        <w:rPr>
          <w:rFonts w:ascii="Book Antiqua" w:eastAsia="Book Antiqua" w:hAnsi="Book Antiqua" w:cs="Book Antiqua"/>
          <w:color w:val="000000"/>
        </w:rPr>
        <w:t xml:space="preserve">, Hirota S, Sugimura K. Long-term results of balloon-occluded retrograde transvenous obliteration for the treatment of gastric varices and hepatic encephalopathy. </w:t>
      </w:r>
      <w:r w:rsidRPr="00D35475">
        <w:rPr>
          <w:rFonts w:ascii="Book Antiqua" w:eastAsia="Book Antiqua" w:hAnsi="Book Antiqua" w:cs="Book Antiqua"/>
          <w:i/>
          <w:iCs/>
          <w:color w:val="000000"/>
        </w:rPr>
        <w:t>J Vasc Interv Radiol</w:t>
      </w:r>
      <w:r w:rsidRPr="00D35475">
        <w:rPr>
          <w:rFonts w:ascii="Book Antiqua" w:eastAsia="Book Antiqua" w:hAnsi="Book Antiqua" w:cs="Book Antiqua"/>
          <w:color w:val="000000"/>
        </w:rPr>
        <w:t xml:space="preserve"> 2001; </w:t>
      </w:r>
      <w:r w:rsidRPr="00D35475">
        <w:rPr>
          <w:rFonts w:ascii="Book Antiqua" w:eastAsia="Book Antiqua" w:hAnsi="Book Antiqua" w:cs="Book Antiqua"/>
          <w:b/>
          <w:bCs/>
          <w:color w:val="000000"/>
        </w:rPr>
        <w:t>12</w:t>
      </w:r>
      <w:r w:rsidRPr="00D35475">
        <w:rPr>
          <w:rFonts w:ascii="Book Antiqua" w:eastAsia="Book Antiqua" w:hAnsi="Book Antiqua" w:cs="Book Antiqua"/>
          <w:color w:val="000000"/>
        </w:rPr>
        <w:t>: 327-336 [PMID: 11287510 DOI: 10.1016/s1051-0443(07)61912-5]</w:t>
      </w:r>
    </w:p>
    <w:p w14:paraId="3A3AF02E"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66 </w:t>
      </w:r>
      <w:r w:rsidRPr="00D35475">
        <w:rPr>
          <w:rFonts w:ascii="Book Antiqua" w:eastAsia="Book Antiqua" w:hAnsi="Book Antiqua" w:cs="Book Antiqua"/>
          <w:b/>
          <w:bCs/>
          <w:color w:val="000000"/>
        </w:rPr>
        <w:t>Jogo A</w:t>
      </w:r>
      <w:r w:rsidRPr="00D35475">
        <w:rPr>
          <w:rFonts w:ascii="Book Antiqua" w:eastAsia="Book Antiqua" w:hAnsi="Book Antiqua" w:cs="Book Antiqua"/>
          <w:color w:val="000000"/>
        </w:rPr>
        <w:t xml:space="preserve">, Nishida N, Yamamoto A, Matsui H, Takeshita T, Sakai Y, Matsuoka T, Nakamura K, Miki Y. Factors associated with aggravation of esophageal varices after B-RTO for gastric varices. </w:t>
      </w:r>
      <w:r w:rsidRPr="00D35475">
        <w:rPr>
          <w:rFonts w:ascii="Book Antiqua" w:eastAsia="Book Antiqua" w:hAnsi="Book Antiqua" w:cs="Book Antiqua"/>
          <w:i/>
          <w:iCs/>
          <w:color w:val="000000"/>
        </w:rPr>
        <w:t>Cardiovasc Intervent Radiol</w:t>
      </w:r>
      <w:r w:rsidRPr="00D35475">
        <w:rPr>
          <w:rFonts w:ascii="Book Antiqua" w:eastAsia="Book Antiqua" w:hAnsi="Book Antiqua" w:cs="Book Antiqua"/>
          <w:color w:val="000000"/>
        </w:rPr>
        <w:t xml:space="preserve"> 2014; </w:t>
      </w:r>
      <w:r w:rsidRPr="00D35475">
        <w:rPr>
          <w:rFonts w:ascii="Book Antiqua" w:eastAsia="Book Antiqua" w:hAnsi="Book Antiqua" w:cs="Book Antiqua"/>
          <w:b/>
          <w:bCs/>
          <w:color w:val="000000"/>
        </w:rPr>
        <w:t>37</w:t>
      </w:r>
      <w:r w:rsidRPr="00D35475">
        <w:rPr>
          <w:rFonts w:ascii="Book Antiqua" w:eastAsia="Book Antiqua" w:hAnsi="Book Antiqua" w:cs="Book Antiqua"/>
          <w:color w:val="000000"/>
        </w:rPr>
        <w:t>: 1243-1250 [PMID: 24322305 DOI: 10.1007/s00270-013-0809-6]</w:t>
      </w:r>
    </w:p>
    <w:p w14:paraId="021CF958"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67 </w:t>
      </w:r>
      <w:r w:rsidRPr="00D35475">
        <w:rPr>
          <w:rFonts w:ascii="Book Antiqua" w:eastAsia="Book Antiqua" w:hAnsi="Book Antiqua" w:cs="Book Antiqua"/>
          <w:b/>
          <w:bCs/>
          <w:color w:val="000000"/>
        </w:rPr>
        <w:t>Saad WE</w:t>
      </w:r>
      <w:r w:rsidRPr="00D35475">
        <w:rPr>
          <w:rFonts w:ascii="Book Antiqua" w:eastAsia="Book Antiqua" w:hAnsi="Book Antiqua" w:cs="Book Antiqua"/>
          <w:color w:val="000000"/>
        </w:rPr>
        <w:t xml:space="preserve">, Kitanosono T, Koizumi J. Balloon-occluded antegrade transvenous obliteration with or without balloon-occluded retrograde transvenous obliteration for the management of gastric varices: concept and technical applications. </w:t>
      </w:r>
      <w:r w:rsidRPr="00D35475">
        <w:rPr>
          <w:rFonts w:ascii="Book Antiqua" w:eastAsia="Book Antiqua" w:hAnsi="Book Antiqua" w:cs="Book Antiqua"/>
          <w:i/>
          <w:iCs/>
          <w:color w:val="000000"/>
        </w:rPr>
        <w:t>Tech Vasc Interv Radiol</w:t>
      </w:r>
      <w:r w:rsidRPr="00D35475">
        <w:rPr>
          <w:rFonts w:ascii="Book Antiqua" w:eastAsia="Book Antiqua" w:hAnsi="Book Antiqua" w:cs="Book Antiqua"/>
          <w:color w:val="000000"/>
        </w:rPr>
        <w:t xml:space="preserve"> 2012; </w:t>
      </w:r>
      <w:r w:rsidRPr="00D35475">
        <w:rPr>
          <w:rFonts w:ascii="Book Antiqua" w:eastAsia="Book Antiqua" w:hAnsi="Book Antiqua" w:cs="Book Antiqua"/>
          <w:b/>
          <w:bCs/>
          <w:color w:val="000000"/>
        </w:rPr>
        <w:t>15</w:t>
      </w:r>
      <w:r w:rsidRPr="00D35475">
        <w:rPr>
          <w:rFonts w:ascii="Book Antiqua" w:eastAsia="Book Antiqua" w:hAnsi="Book Antiqua" w:cs="Book Antiqua"/>
          <w:color w:val="000000"/>
        </w:rPr>
        <w:t>: 203-225 [PMID: 23021832 DOI: 10.1053/j.tvir.2012.07.004]</w:t>
      </w:r>
    </w:p>
    <w:p w14:paraId="2C965646"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68 </w:t>
      </w:r>
      <w:r w:rsidRPr="00D35475">
        <w:rPr>
          <w:rFonts w:ascii="Book Antiqua" w:eastAsia="Book Antiqua" w:hAnsi="Book Antiqua" w:cs="Book Antiqua"/>
          <w:b/>
          <w:bCs/>
          <w:color w:val="000000"/>
        </w:rPr>
        <w:t>Liu J</w:t>
      </w:r>
      <w:r w:rsidRPr="00D35475">
        <w:rPr>
          <w:rFonts w:ascii="Book Antiqua" w:eastAsia="Book Antiqua" w:hAnsi="Book Antiqua" w:cs="Book Antiqua"/>
          <w:color w:val="000000"/>
        </w:rPr>
        <w:t xml:space="preserve">, Yang C, Huang S, Zhou C, Shi Q, Qian K, Song S, Xiong B. The combination of balloon-assisted antegrade transvenous obliteration and transjugular intrahepatic portosystemic shunt for the management of cardiofundal varices hemorrhage. </w:t>
      </w:r>
      <w:r w:rsidRPr="00D35475">
        <w:rPr>
          <w:rFonts w:ascii="Book Antiqua" w:eastAsia="Book Antiqua" w:hAnsi="Book Antiqua" w:cs="Book Antiqua"/>
          <w:i/>
          <w:iCs/>
          <w:color w:val="000000"/>
        </w:rPr>
        <w:t>Eur J Gastroenterol Hepatol</w:t>
      </w:r>
      <w:r w:rsidRPr="00D35475">
        <w:rPr>
          <w:rFonts w:ascii="Book Antiqua" w:eastAsia="Book Antiqua" w:hAnsi="Book Antiqua" w:cs="Book Antiqua"/>
          <w:color w:val="000000"/>
        </w:rPr>
        <w:t xml:space="preserve"> 2020; </w:t>
      </w:r>
      <w:r w:rsidRPr="00D35475">
        <w:rPr>
          <w:rFonts w:ascii="Book Antiqua" w:eastAsia="Book Antiqua" w:hAnsi="Book Antiqua" w:cs="Book Antiqua"/>
          <w:b/>
          <w:bCs/>
          <w:color w:val="000000"/>
        </w:rPr>
        <w:t>32</w:t>
      </w:r>
      <w:r w:rsidRPr="00D35475">
        <w:rPr>
          <w:rFonts w:ascii="Book Antiqua" w:eastAsia="Book Antiqua" w:hAnsi="Book Antiqua" w:cs="Book Antiqua"/>
          <w:color w:val="000000"/>
        </w:rPr>
        <w:t>: 656-662 [PMID: 32175982 DOI: 10.1097/MEG.0000000000001705]</w:t>
      </w:r>
    </w:p>
    <w:p w14:paraId="1E7882D7"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69 </w:t>
      </w:r>
      <w:r w:rsidRPr="00D35475">
        <w:rPr>
          <w:rFonts w:ascii="Book Antiqua" w:eastAsia="Book Antiqua" w:hAnsi="Book Antiqua" w:cs="Book Antiqua"/>
          <w:b/>
          <w:bCs/>
          <w:color w:val="000000"/>
        </w:rPr>
        <w:t>Chikamori F</w:t>
      </w:r>
      <w:r w:rsidRPr="00D35475">
        <w:rPr>
          <w:rFonts w:ascii="Book Antiqua" w:eastAsia="Book Antiqua" w:hAnsi="Book Antiqua" w:cs="Book Antiqua"/>
          <w:color w:val="000000"/>
        </w:rPr>
        <w:t xml:space="preserve">, Kuniyoshi N, Kawashima T, Takase Y. Gastric varices with gastrorenal shunt: combined therapy using transjugular retrograde obliteration and partial splenic embolization. </w:t>
      </w:r>
      <w:r w:rsidRPr="00D35475">
        <w:rPr>
          <w:rFonts w:ascii="Book Antiqua" w:eastAsia="Book Antiqua" w:hAnsi="Book Antiqua" w:cs="Book Antiqua"/>
          <w:i/>
          <w:iCs/>
          <w:color w:val="000000"/>
        </w:rPr>
        <w:t>AJR Am J Roentgenol</w:t>
      </w:r>
      <w:r w:rsidRPr="00D35475">
        <w:rPr>
          <w:rFonts w:ascii="Book Antiqua" w:eastAsia="Book Antiqua" w:hAnsi="Book Antiqua" w:cs="Book Antiqua"/>
          <w:color w:val="000000"/>
        </w:rPr>
        <w:t xml:space="preserve"> 2008; </w:t>
      </w:r>
      <w:r w:rsidRPr="00D35475">
        <w:rPr>
          <w:rFonts w:ascii="Book Antiqua" w:eastAsia="Book Antiqua" w:hAnsi="Book Antiqua" w:cs="Book Antiqua"/>
          <w:b/>
          <w:bCs/>
          <w:color w:val="000000"/>
        </w:rPr>
        <w:t>191</w:t>
      </w:r>
      <w:r w:rsidRPr="00D35475">
        <w:rPr>
          <w:rFonts w:ascii="Book Antiqua" w:eastAsia="Book Antiqua" w:hAnsi="Book Antiqua" w:cs="Book Antiqua"/>
          <w:color w:val="000000"/>
        </w:rPr>
        <w:t>: 555-559 [PMID: 18647931 DOI: 10.2214/AJR.07.3356]</w:t>
      </w:r>
    </w:p>
    <w:p w14:paraId="1040408F"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70 </w:t>
      </w:r>
      <w:r w:rsidRPr="00D35475">
        <w:rPr>
          <w:rFonts w:ascii="Book Antiqua" w:eastAsia="Book Antiqua" w:hAnsi="Book Antiqua" w:cs="Book Antiqua"/>
          <w:b/>
          <w:bCs/>
          <w:color w:val="000000"/>
        </w:rPr>
        <w:t>Miyamoto Y</w:t>
      </w:r>
      <w:r w:rsidRPr="00D35475">
        <w:rPr>
          <w:rFonts w:ascii="Book Antiqua" w:eastAsia="Book Antiqua" w:hAnsi="Book Antiqua" w:cs="Book Antiqua"/>
          <w:color w:val="000000"/>
        </w:rPr>
        <w:t xml:space="preserve">, Oho K, Kumamoto M, Toyonaga A, Sata M. Balloon-occluded retrograde transvenous obliteration improves liver function in patients with cirrhosis and portal hypertension. </w:t>
      </w:r>
      <w:r w:rsidRPr="00D35475">
        <w:rPr>
          <w:rFonts w:ascii="Book Antiqua" w:eastAsia="Book Antiqua" w:hAnsi="Book Antiqua" w:cs="Book Antiqua"/>
          <w:i/>
          <w:iCs/>
          <w:color w:val="000000"/>
        </w:rPr>
        <w:t>J Gastroenterol Hepatol</w:t>
      </w:r>
      <w:r w:rsidRPr="00D35475">
        <w:rPr>
          <w:rFonts w:ascii="Book Antiqua" w:eastAsia="Book Antiqua" w:hAnsi="Book Antiqua" w:cs="Book Antiqua"/>
          <w:color w:val="000000"/>
        </w:rPr>
        <w:t xml:space="preserve"> 2003; </w:t>
      </w:r>
      <w:r w:rsidRPr="00D35475">
        <w:rPr>
          <w:rFonts w:ascii="Book Antiqua" w:eastAsia="Book Antiqua" w:hAnsi="Book Antiqua" w:cs="Book Antiqua"/>
          <w:b/>
          <w:bCs/>
          <w:color w:val="000000"/>
        </w:rPr>
        <w:t>18</w:t>
      </w:r>
      <w:r w:rsidRPr="00D35475">
        <w:rPr>
          <w:rFonts w:ascii="Book Antiqua" w:eastAsia="Book Antiqua" w:hAnsi="Book Antiqua" w:cs="Book Antiqua"/>
          <w:color w:val="000000"/>
        </w:rPr>
        <w:t>: 934-942 [PMID: 12859723 DOI: 10.1046/j.1440-1746.2003.03087.x]</w:t>
      </w:r>
    </w:p>
    <w:p w14:paraId="0BF9683F"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lastRenderedPageBreak/>
        <w:t xml:space="preserve">71 </w:t>
      </w:r>
      <w:r w:rsidRPr="00D35475">
        <w:rPr>
          <w:rFonts w:ascii="Book Antiqua" w:eastAsia="Book Antiqua" w:hAnsi="Book Antiqua" w:cs="Book Antiqua"/>
          <w:b/>
          <w:bCs/>
          <w:color w:val="000000"/>
        </w:rPr>
        <w:t>Talwar A</w:t>
      </w:r>
      <w:r w:rsidRPr="00D35475">
        <w:rPr>
          <w:rFonts w:ascii="Book Antiqua" w:eastAsia="Book Antiqua" w:hAnsi="Book Antiqua" w:cs="Book Antiqua"/>
          <w:color w:val="000000"/>
        </w:rPr>
        <w:t xml:space="preserve">, Gabr A, Riaz A, Desai K, Thornburg B, Mouli S, Lewandowski RJ, Salem R. Adverse Events Related to Partial Splenic Embolization for the Treatment of Hypersplenism: A Systematic Review. </w:t>
      </w:r>
      <w:r w:rsidRPr="00D35475">
        <w:rPr>
          <w:rFonts w:ascii="Book Antiqua" w:eastAsia="Book Antiqua" w:hAnsi="Book Antiqua" w:cs="Book Antiqua"/>
          <w:i/>
          <w:iCs/>
          <w:color w:val="000000"/>
        </w:rPr>
        <w:t>J Vasc Interv Radiol</w:t>
      </w:r>
      <w:r w:rsidRPr="00D35475">
        <w:rPr>
          <w:rFonts w:ascii="Book Antiqua" w:eastAsia="Book Antiqua" w:hAnsi="Book Antiqua" w:cs="Book Antiqua"/>
          <w:color w:val="000000"/>
        </w:rPr>
        <w:t xml:space="preserve"> 2020; </w:t>
      </w:r>
      <w:r w:rsidRPr="00D35475">
        <w:rPr>
          <w:rFonts w:ascii="Book Antiqua" w:eastAsia="Book Antiqua" w:hAnsi="Book Antiqua" w:cs="Book Antiqua"/>
          <w:b/>
          <w:bCs/>
          <w:color w:val="000000"/>
        </w:rPr>
        <w:t>31</w:t>
      </w:r>
      <w:r w:rsidRPr="00D35475">
        <w:rPr>
          <w:rFonts w:ascii="Book Antiqua" w:eastAsia="Book Antiqua" w:hAnsi="Book Antiqua" w:cs="Book Antiqua"/>
          <w:color w:val="000000"/>
        </w:rPr>
        <w:t>: 1118-1131.e6 [PMID: 32014400 DOI: 10.1016/j.jvir.2019.08.015]</w:t>
      </w:r>
    </w:p>
    <w:p w14:paraId="7A20F87F"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72 </w:t>
      </w:r>
      <w:r w:rsidRPr="00D35475">
        <w:rPr>
          <w:rFonts w:ascii="Book Antiqua" w:eastAsia="Book Antiqua" w:hAnsi="Book Antiqua" w:cs="Book Antiqua"/>
          <w:b/>
          <w:bCs/>
          <w:color w:val="000000"/>
        </w:rPr>
        <w:t>Sakai T</w:t>
      </w:r>
      <w:r w:rsidRPr="00D35475">
        <w:rPr>
          <w:rFonts w:ascii="Book Antiqua" w:eastAsia="Book Antiqua" w:hAnsi="Book Antiqua" w:cs="Book Antiqua"/>
          <w:color w:val="000000"/>
        </w:rPr>
        <w:t xml:space="preserve">, Shiraki K, Inoue H, Sugimoto K, Ohmori S, Murata K, Takase K, Nakano T. Complications of partial splenic embolization in cirrhotic patients. </w:t>
      </w:r>
      <w:r w:rsidRPr="00D35475">
        <w:rPr>
          <w:rFonts w:ascii="Book Antiqua" w:eastAsia="Book Antiqua" w:hAnsi="Book Antiqua" w:cs="Book Antiqua"/>
          <w:i/>
          <w:iCs/>
          <w:color w:val="000000"/>
        </w:rPr>
        <w:t>Dig Dis Sci</w:t>
      </w:r>
      <w:r w:rsidRPr="00D35475">
        <w:rPr>
          <w:rFonts w:ascii="Book Antiqua" w:eastAsia="Book Antiqua" w:hAnsi="Book Antiqua" w:cs="Book Antiqua"/>
          <w:color w:val="000000"/>
        </w:rPr>
        <w:t xml:space="preserve"> 2002; </w:t>
      </w:r>
      <w:r w:rsidRPr="00D35475">
        <w:rPr>
          <w:rFonts w:ascii="Book Antiqua" w:eastAsia="Book Antiqua" w:hAnsi="Book Antiqua" w:cs="Book Antiqua"/>
          <w:b/>
          <w:bCs/>
          <w:color w:val="000000"/>
        </w:rPr>
        <w:t>47</w:t>
      </w:r>
      <w:r w:rsidRPr="00D35475">
        <w:rPr>
          <w:rFonts w:ascii="Book Antiqua" w:eastAsia="Book Antiqua" w:hAnsi="Book Antiqua" w:cs="Book Antiqua"/>
          <w:color w:val="000000"/>
        </w:rPr>
        <w:t>: 388-391 [PMID: 11855556 DOI: 10.1023/a:1013786509418]</w:t>
      </w:r>
    </w:p>
    <w:p w14:paraId="5DEA2881" w14:textId="77777777" w:rsidR="00A77B3E" w:rsidRPr="00D35475" w:rsidRDefault="00A77B3E" w:rsidP="000E27CD">
      <w:pPr>
        <w:adjustRightInd w:val="0"/>
        <w:snapToGrid w:val="0"/>
        <w:spacing w:line="360" w:lineRule="auto"/>
        <w:jc w:val="both"/>
        <w:rPr>
          <w:rFonts w:ascii="Book Antiqua" w:hAnsi="Book Antiqua"/>
        </w:rPr>
        <w:sectPr w:rsidR="00A77B3E" w:rsidRPr="00D35475">
          <w:pgSz w:w="12240" w:h="15840"/>
          <w:pgMar w:top="1440" w:right="1440" w:bottom="1440" w:left="1440" w:header="720" w:footer="720" w:gutter="0"/>
          <w:cols w:space="720"/>
          <w:docGrid w:linePitch="360"/>
        </w:sectPr>
      </w:pPr>
    </w:p>
    <w:p w14:paraId="7B20CD2D"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color w:val="000000"/>
        </w:rPr>
        <w:lastRenderedPageBreak/>
        <w:t>Footnotes</w:t>
      </w:r>
    </w:p>
    <w:p w14:paraId="346C4244"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bCs/>
          <w:color w:val="000000"/>
        </w:rPr>
        <w:t xml:space="preserve">Conflict-of-interest statement: </w:t>
      </w:r>
      <w:r w:rsidRPr="00D35475">
        <w:rPr>
          <w:rFonts w:ascii="Book Antiqua" w:eastAsia="Book Antiqua" w:hAnsi="Book Antiqua" w:cs="Book Antiqua"/>
          <w:color w:val="000000"/>
        </w:rPr>
        <w:t>There are no conflicts of interest.</w:t>
      </w:r>
    </w:p>
    <w:p w14:paraId="3836FB8D" w14:textId="77777777" w:rsidR="00A77B3E" w:rsidRPr="00D35475" w:rsidRDefault="00A77B3E" w:rsidP="000E27CD">
      <w:pPr>
        <w:adjustRightInd w:val="0"/>
        <w:snapToGrid w:val="0"/>
        <w:spacing w:line="360" w:lineRule="auto"/>
        <w:jc w:val="both"/>
        <w:rPr>
          <w:rFonts w:ascii="Book Antiqua" w:hAnsi="Book Antiqua"/>
        </w:rPr>
      </w:pPr>
    </w:p>
    <w:p w14:paraId="305D29B0"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bCs/>
          <w:color w:val="000000"/>
        </w:rPr>
        <w:t xml:space="preserve">Open-Access: </w:t>
      </w:r>
      <w:r w:rsidRPr="00D3547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1151A23" w14:textId="77777777" w:rsidR="00A77B3E" w:rsidRPr="00D35475" w:rsidRDefault="00A77B3E" w:rsidP="000E27CD">
      <w:pPr>
        <w:adjustRightInd w:val="0"/>
        <w:snapToGrid w:val="0"/>
        <w:spacing w:line="360" w:lineRule="auto"/>
        <w:jc w:val="both"/>
        <w:rPr>
          <w:rFonts w:ascii="Book Antiqua" w:hAnsi="Book Antiqua"/>
        </w:rPr>
      </w:pPr>
    </w:p>
    <w:p w14:paraId="219851FC" w14:textId="41248EA5"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color w:val="000000"/>
        </w:rPr>
        <w:t xml:space="preserve">Manuscript source: </w:t>
      </w:r>
      <w:r w:rsidRPr="00D35475">
        <w:rPr>
          <w:rFonts w:ascii="Book Antiqua" w:eastAsia="Book Antiqua" w:hAnsi="Book Antiqua" w:cs="Book Antiqua"/>
          <w:color w:val="000000"/>
        </w:rPr>
        <w:t xml:space="preserve">Invited </w:t>
      </w:r>
      <w:r w:rsidR="001A6005">
        <w:rPr>
          <w:rFonts w:ascii="Book Antiqua" w:eastAsia="Book Antiqua" w:hAnsi="Book Antiqua" w:cs="Book Antiqua"/>
          <w:color w:val="000000"/>
        </w:rPr>
        <w:t>m</w:t>
      </w:r>
      <w:r w:rsidRPr="00D35475">
        <w:rPr>
          <w:rFonts w:ascii="Book Antiqua" w:eastAsia="Book Antiqua" w:hAnsi="Book Antiqua" w:cs="Book Antiqua"/>
          <w:color w:val="000000"/>
        </w:rPr>
        <w:t>anuscript</w:t>
      </w:r>
    </w:p>
    <w:p w14:paraId="6B8DFCE6" w14:textId="77777777" w:rsidR="00A77B3E" w:rsidRPr="00D35475" w:rsidRDefault="00A77B3E" w:rsidP="000E27CD">
      <w:pPr>
        <w:adjustRightInd w:val="0"/>
        <w:snapToGrid w:val="0"/>
        <w:spacing w:line="360" w:lineRule="auto"/>
        <w:jc w:val="both"/>
        <w:rPr>
          <w:rFonts w:ascii="Book Antiqua" w:hAnsi="Book Antiqua"/>
        </w:rPr>
      </w:pPr>
    </w:p>
    <w:p w14:paraId="412BEC6B"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color w:val="000000"/>
        </w:rPr>
        <w:t xml:space="preserve">Peer-review started: </w:t>
      </w:r>
      <w:r w:rsidRPr="00D35475">
        <w:rPr>
          <w:rFonts w:ascii="Book Antiqua" w:eastAsia="Book Antiqua" w:hAnsi="Book Antiqua" w:cs="Book Antiqua"/>
          <w:color w:val="000000"/>
        </w:rPr>
        <w:t>February 25, 2021</w:t>
      </w:r>
    </w:p>
    <w:p w14:paraId="4D199378"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color w:val="000000"/>
        </w:rPr>
        <w:t xml:space="preserve">First decision: </w:t>
      </w:r>
      <w:r w:rsidRPr="00D35475">
        <w:rPr>
          <w:rFonts w:ascii="Book Antiqua" w:eastAsia="Book Antiqua" w:hAnsi="Book Antiqua" w:cs="Book Antiqua"/>
          <w:color w:val="000000"/>
        </w:rPr>
        <w:t>March 29, 2021</w:t>
      </w:r>
    </w:p>
    <w:p w14:paraId="693B5130"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color w:val="000000"/>
        </w:rPr>
        <w:t xml:space="preserve">Article in press: </w:t>
      </w:r>
    </w:p>
    <w:p w14:paraId="23A67C2D" w14:textId="77777777" w:rsidR="00A77B3E" w:rsidRPr="00D35475" w:rsidRDefault="00A77B3E" w:rsidP="000E27CD">
      <w:pPr>
        <w:adjustRightInd w:val="0"/>
        <w:snapToGrid w:val="0"/>
        <w:spacing w:line="360" w:lineRule="auto"/>
        <w:jc w:val="both"/>
        <w:rPr>
          <w:rFonts w:ascii="Book Antiqua" w:hAnsi="Book Antiqua"/>
        </w:rPr>
      </w:pPr>
    </w:p>
    <w:p w14:paraId="44F686BD" w14:textId="1FAB5526"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color w:val="000000"/>
        </w:rPr>
        <w:t xml:space="preserve">Specialty type: </w:t>
      </w:r>
      <w:r w:rsidRPr="00D35475">
        <w:rPr>
          <w:rFonts w:ascii="Book Antiqua" w:eastAsia="Book Antiqua" w:hAnsi="Book Antiqua" w:cs="Book Antiqua"/>
          <w:color w:val="000000"/>
        </w:rPr>
        <w:t xml:space="preserve">Gastroenterology and </w:t>
      </w:r>
      <w:r w:rsidR="001A6005">
        <w:rPr>
          <w:rFonts w:ascii="Book Antiqua" w:eastAsia="Book Antiqua" w:hAnsi="Book Antiqua" w:cs="Book Antiqua"/>
          <w:color w:val="000000"/>
        </w:rPr>
        <w:t>h</w:t>
      </w:r>
      <w:r w:rsidRPr="00D35475">
        <w:rPr>
          <w:rFonts w:ascii="Book Antiqua" w:eastAsia="Book Antiqua" w:hAnsi="Book Antiqua" w:cs="Book Antiqua"/>
          <w:color w:val="000000"/>
        </w:rPr>
        <w:t>epatology</w:t>
      </w:r>
    </w:p>
    <w:p w14:paraId="409BE9EF"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color w:val="000000"/>
        </w:rPr>
        <w:t xml:space="preserve">Country/Territory of origin: </w:t>
      </w:r>
      <w:r w:rsidRPr="00D35475">
        <w:rPr>
          <w:rFonts w:ascii="Book Antiqua" w:eastAsia="Book Antiqua" w:hAnsi="Book Antiqua" w:cs="Book Antiqua"/>
          <w:color w:val="000000"/>
        </w:rPr>
        <w:t>Japan</w:t>
      </w:r>
    </w:p>
    <w:p w14:paraId="386A5788"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b/>
          <w:color w:val="000000"/>
        </w:rPr>
        <w:t>Peer-review report’s scientific quality classification</w:t>
      </w:r>
    </w:p>
    <w:p w14:paraId="62ACD0D9" w14:textId="4761281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Grade A (Excellent): A</w:t>
      </w:r>
      <w:r w:rsidR="00506D93">
        <w:rPr>
          <w:rFonts w:ascii="Book Antiqua" w:eastAsia="Book Antiqua" w:hAnsi="Book Antiqua" w:cs="Book Antiqua"/>
          <w:color w:val="000000"/>
        </w:rPr>
        <w:t>, A</w:t>
      </w:r>
    </w:p>
    <w:p w14:paraId="1AD509DF" w14:textId="7A37C6E6"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 xml:space="preserve">Grade B (Very good): </w:t>
      </w:r>
      <w:r w:rsidR="00506D93">
        <w:rPr>
          <w:rFonts w:ascii="Book Antiqua" w:eastAsia="Book Antiqua" w:hAnsi="Book Antiqua" w:cs="Book Antiqua"/>
          <w:color w:val="000000"/>
        </w:rPr>
        <w:t>B</w:t>
      </w:r>
    </w:p>
    <w:p w14:paraId="79E87F35"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Grade C (Good): C</w:t>
      </w:r>
    </w:p>
    <w:p w14:paraId="6765143B"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Grade D (Fair): D</w:t>
      </w:r>
    </w:p>
    <w:p w14:paraId="2BC5FE91" w14:textId="77777777"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t>Grade E (Poor): 0</w:t>
      </w:r>
    </w:p>
    <w:p w14:paraId="65C3C010" w14:textId="77777777" w:rsidR="00A77B3E" w:rsidRPr="00D35475" w:rsidRDefault="00A77B3E" w:rsidP="000E27CD">
      <w:pPr>
        <w:adjustRightInd w:val="0"/>
        <w:snapToGrid w:val="0"/>
        <w:spacing w:line="360" w:lineRule="auto"/>
        <w:jc w:val="both"/>
        <w:rPr>
          <w:rFonts w:ascii="Book Antiqua" w:hAnsi="Book Antiqua"/>
        </w:rPr>
      </w:pPr>
    </w:p>
    <w:p w14:paraId="21AC1947" w14:textId="34056F47" w:rsidR="00A77B3E" w:rsidRPr="00D35475" w:rsidRDefault="00CD48BE" w:rsidP="000E27CD">
      <w:pPr>
        <w:adjustRightInd w:val="0"/>
        <w:snapToGrid w:val="0"/>
        <w:spacing w:line="360" w:lineRule="auto"/>
        <w:jc w:val="both"/>
        <w:rPr>
          <w:rFonts w:ascii="Book Antiqua" w:hAnsi="Book Antiqua"/>
        </w:rPr>
        <w:sectPr w:rsidR="00A77B3E" w:rsidRPr="00D35475">
          <w:pgSz w:w="12240" w:h="15840"/>
          <w:pgMar w:top="1440" w:right="1440" w:bottom="1440" w:left="1440" w:header="720" w:footer="720" w:gutter="0"/>
          <w:cols w:space="720"/>
          <w:docGrid w:linePitch="360"/>
        </w:sectPr>
      </w:pPr>
      <w:r w:rsidRPr="00D35475">
        <w:rPr>
          <w:rFonts w:ascii="Book Antiqua" w:eastAsia="Book Antiqua" w:hAnsi="Book Antiqua" w:cs="Book Antiqua"/>
          <w:b/>
          <w:color w:val="000000"/>
        </w:rPr>
        <w:t xml:space="preserve">P-Reviewer: </w:t>
      </w:r>
      <w:r w:rsidRPr="00D35475">
        <w:rPr>
          <w:rFonts w:ascii="Book Antiqua" w:eastAsia="Book Antiqua" w:hAnsi="Book Antiqua" w:cs="Book Antiqua"/>
          <w:color w:val="000000"/>
        </w:rPr>
        <w:t>Chiu KW, Simón-Talero M, Xiong B</w:t>
      </w:r>
      <w:r w:rsidRPr="00D35475">
        <w:rPr>
          <w:rFonts w:ascii="Book Antiqua" w:eastAsia="Book Antiqua" w:hAnsi="Book Antiqua" w:cs="Book Antiqua"/>
          <w:b/>
          <w:color w:val="000000"/>
        </w:rPr>
        <w:t xml:space="preserve"> S-Editor: </w:t>
      </w:r>
      <w:r w:rsidR="00EB461F" w:rsidRPr="00D35475">
        <w:rPr>
          <w:rFonts w:ascii="Book Antiqua" w:eastAsia="Book Antiqua" w:hAnsi="Book Antiqua" w:cs="Book Antiqua"/>
          <w:color w:val="000000"/>
        </w:rPr>
        <w:t>L</w:t>
      </w:r>
      <w:r w:rsidR="00EB461F" w:rsidRPr="00D35475">
        <w:rPr>
          <w:rFonts w:ascii="Book Antiqua" w:hAnsi="Book Antiqua" w:cs="Book Antiqua"/>
          <w:color w:val="000000"/>
          <w:lang w:eastAsia="zh-CN"/>
        </w:rPr>
        <w:t>iu</w:t>
      </w:r>
      <w:r w:rsidR="00EB461F" w:rsidRPr="00D35475">
        <w:rPr>
          <w:rFonts w:ascii="Book Antiqua" w:eastAsia="Book Antiqua" w:hAnsi="Book Antiqua" w:cs="Book Antiqua"/>
          <w:color w:val="000000"/>
        </w:rPr>
        <w:t xml:space="preserve"> M</w:t>
      </w:r>
      <w:r w:rsidRPr="00D35475">
        <w:rPr>
          <w:rFonts w:ascii="Book Antiqua" w:eastAsia="Book Antiqua" w:hAnsi="Book Antiqua" w:cs="Book Antiqua"/>
          <w:b/>
          <w:color w:val="000000"/>
        </w:rPr>
        <w:t xml:space="preserve"> L-Editor:  P-Editor: </w:t>
      </w:r>
    </w:p>
    <w:p w14:paraId="62528F1C" w14:textId="5C4AF27C" w:rsidR="00A77B3E" w:rsidRPr="00D35475" w:rsidRDefault="00CD48BE" w:rsidP="000E27CD">
      <w:pPr>
        <w:adjustRightInd w:val="0"/>
        <w:snapToGrid w:val="0"/>
        <w:spacing w:line="360" w:lineRule="auto"/>
        <w:jc w:val="both"/>
        <w:rPr>
          <w:rFonts w:ascii="Book Antiqua" w:eastAsia="Book Antiqua" w:hAnsi="Book Antiqua" w:cs="Book Antiqua"/>
          <w:b/>
          <w:color w:val="000000"/>
        </w:rPr>
      </w:pPr>
      <w:r w:rsidRPr="00D35475">
        <w:rPr>
          <w:rFonts w:ascii="Book Antiqua" w:eastAsia="Book Antiqua" w:hAnsi="Book Antiqua" w:cs="Book Antiqua"/>
          <w:b/>
          <w:color w:val="000000"/>
        </w:rPr>
        <w:lastRenderedPageBreak/>
        <w:t>Figure Legends</w:t>
      </w:r>
    </w:p>
    <w:p w14:paraId="424555E4" w14:textId="0C1A7D3C" w:rsidR="00111A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noProof/>
          <w:lang w:eastAsia="zh-CN"/>
        </w:rPr>
        <w:drawing>
          <wp:inline distT="0" distB="0" distL="0" distR="0" wp14:anchorId="61FD2022" wp14:editId="1D8B8282">
            <wp:extent cx="2590800" cy="26339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0" cy="2633980"/>
                    </a:xfrm>
                    <a:prstGeom prst="rect">
                      <a:avLst/>
                    </a:prstGeom>
                    <a:noFill/>
                  </pic:spPr>
                </pic:pic>
              </a:graphicData>
            </a:graphic>
          </wp:inline>
        </w:drawing>
      </w:r>
    </w:p>
    <w:p w14:paraId="1449089B" w14:textId="72944D86" w:rsidR="00CD48BE" w:rsidRPr="00D35475" w:rsidRDefault="00CD48BE" w:rsidP="000E27CD">
      <w:pPr>
        <w:adjustRightInd w:val="0"/>
        <w:snapToGrid w:val="0"/>
        <w:spacing w:line="360" w:lineRule="auto"/>
        <w:jc w:val="both"/>
        <w:rPr>
          <w:rFonts w:ascii="Book Antiqua" w:eastAsia="Book Antiqua" w:hAnsi="Book Antiqua" w:cs="Book Antiqua"/>
          <w:color w:val="000000"/>
        </w:rPr>
      </w:pPr>
      <w:r w:rsidRPr="00D35475">
        <w:rPr>
          <w:rFonts w:ascii="Book Antiqua" w:eastAsia="Book Antiqua" w:hAnsi="Book Antiqua" w:cs="Book Antiqua"/>
          <w:b/>
          <w:bCs/>
          <w:color w:val="000000"/>
        </w:rPr>
        <w:t xml:space="preserve">Figure 1 Balloon-occluded retrograde transvenous venography. </w:t>
      </w:r>
      <w:r w:rsidRPr="00D35475">
        <w:rPr>
          <w:rFonts w:ascii="Book Antiqua" w:eastAsia="Book Antiqua" w:hAnsi="Book Antiqua" w:cs="Book Antiqua"/>
          <w:color w:val="000000"/>
        </w:rPr>
        <w:t xml:space="preserve">When the gastrorenal shunt is balloon-occluded (arrow) and retrogradely imaged, the posterior gastric vein, which is the inflow vessel, is visualized </w:t>
      </w:r>
      <w:r w:rsidRPr="00D35475">
        <w:rPr>
          <w:rFonts w:ascii="Book Antiqua" w:eastAsia="Book Antiqua" w:hAnsi="Book Antiqua" w:cs="Book Antiqua"/>
          <w:i/>
          <w:iCs/>
          <w:color w:val="000000"/>
        </w:rPr>
        <w:t>via</w:t>
      </w:r>
      <w:r w:rsidRPr="00D35475">
        <w:rPr>
          <w:rFonts w:ascii="Book Antiqua" w:eastAsia="Book Antiqua" w:hAnsi="Book Antiqua" w:cs="Book Antiqua"/>
          <w:color w:val="000000"/>
        </w:rPr>
        <w:t xml:space="preserve"> the gastric varices. A part of the left inferior phrenic vein as an outflow vessel is also demonstrated.</w:t>
      </w:r>
      <w:r w:rsidR="000F707F" w:rsidRPr="00D35475">
        <w:rPr>
          <w:rFonts w:ascii="Book Antiqua" w:eastAsia="Book Antiqua" w:hAnsi="Book Antiqua" w:cs="Book Antiqua"/>
          <w:color w:val="000000"/>
        </w:rPr>
        <w:t xml:space="preserve"> PGV: Posterior gastric vein; GV: Gastric varice; LIPV: Left inferior phrenic vein</w:t>
      </w:r>
      <w:r w:rsidR="00C674A2" w:rsidRPr="00D35475">
        <w:rPr>
          <w:rFonts w:ascii="Book Antiqua" w:eastAsia="Book Antiqua" w:hAnsi="Book Antiqua" w:cs="Book Antiqua"/>
          <w:color w:val="000000"/>
        </w:rPr>
        <w:t>.</w:t>
      </w:r>
    </w:p>
    <w:p w14:paraId="7887BEBF" w14:textId="631119B9"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br w:type="page"/>
      </w:r>
      <w:r w:rsidR="000F707F" w:rsidRPr="00D35475">
        <w:rPr>
          <w:rFonts w:ascii="Book Antiqua" w:eastAsia="Book Antiqua" w:hAnsi="Book Antiqua" w:cs="Book Antiqua"/>
          <w:noProof/>
          <w:color w:val="000000"/>
          <w:lang w:eastAsia="zh-CN"/>
        </w:rPr>
        <w:lastRenderedPageBreak/>
        <w:drawing>
          <wp:inline distT="0" distB="0" distL="0" distR="0" wp14:anchorId="4C61C1E8" wp14:editId="5D1C2A7F">
            <wp:extent cx="3494040" cy="56692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4771" cy="5719143"/>
                    </a:xfrm>
                    <a:prstGeom prst="rect">
                      <a:avLst/>
                    </a:prstGeom>
                    <a:noFill/>
                  </pic:spPr>
                </pic:pic>
              </a:graphicData>
            </a:graphic>
          </wp:inline>
        </w:drawing>
      </w:r>
    </w:p>
    <w:p w14:paraId="50DBD735" w14:textId="042EC171" w:rsidR="00CD48BE" w:rsidRPr="00D35475" w:rsidRDefault="00CD48BE" w:rsidP="000E27CD">
      <w:pPr>
        <w:adjustRightInd w:val="0"/>
        <w:snapToGrid w:val="0"/>
        <w:spacing w:line="360" w:lineRule="auto"/>
        <w:jc w:val="both"/>
        <w:rPr>
          <w:rFonts w:ascii="Book Antiqua" w:eastAsia="Book Antiqua" w:hAnsi="Book Antiqua" w:cs="Book Antiqua"/>
          <w:color w:val="000000"/>
        </w:rPr>
      </w:pPr>
      <w:r w:rsidRPr="00D35475">
        <w:rPr>
          <w:rFonts w:ascii="Book Antiqua" w:eastAsia="Book Antiqua" w:hAnsi="Book Antiqua" w:cs="Book Antiqua"/>
          <w:b/>
          <w:bCs/>
          <w:color w:val="000000"/>
        </w:rPr>
        <w:t xml:space="preserve">Figure 2 Illustration of the balloon-occluded retrograde transvenous obliteration procedure. </w:t>
      </w:r>
      <w:r w:rsidRPr="00D35475">
        <w:rPr>
          <w:rFonts w:ascii="Book Antiqua" w:eastAsia="Book Antiqua" w:hAnsi="Book Antiqua" w:cs="Book Antiqua"/>
          <w:color w:val="000000"/>
        </w:rPr>
        <w:t>A: Balloon-occluded retrograde transvenous venography (BRTV). The initial BRTV does not visualize the main body of the gastric varices (GVs) because multiple draining vessels are present (</w:t>
      </w:r>
      <w:r w:rsidR="000F707F" w:rsidRPr="00D35475">
        <w:rPr>
          <w:rFonts w:ascii="Book Antiqua" w:eastAsia="Book Antiqua" w:hAnsi="Book Antiqua" w:cs="Book Antiqua"/>
          <w:color w:val="000000"/>
          <w:vertAlign w:val="superscript"/>
        </w:rPr>
        <w:t>a</w:t>
      </w:r>
      <w:r w:rsidRPr="00D35475">
        <w:rPr>
          <w:rFonts w:ascii="Book Antiqua" w:eastAsia="Book Antiqua" w:hAnsi="Book Antiqua" w:cs="Book Antiqua"/>
          <w:color w:val="000000"/>
        </w:rPr>
        <w:t>); B: When the balloon catheter is advanced beyond the small drainage vessels (downgrading method), the relatively large diameter left inferior phrenic vein (LIPV) becomes visualized as another drainage route to the gastrocaval shunt (GCS); C: GVs become visualized when selective coil embolization (arrow) of the LIPV is performed. As small amounts of sclerosant are injected sequentially over time, the smaller drainage vessels (</w:t>
      </w:r>
      <w:r w:rsidR="000F707F" w:rsidRPr="00D35475">
        <w:rPr>
          <w:rFonts w:ascii="Book Antiqua" w:eastAsia="Book Antiqua" w:hAnsi="Book Antiqua" w:cs="Book Antiqua"/>
          <w:color w:val="000000"/>
          <w:vertAlign w:val="superscript"/>
        </w:rPr>
        <w:t>b</w:t>
      </w:r>
      <w:r w:rsidRPr="00D35475">
        <w:rPr>
          <w:rFonts w:ascii="Book Antiqua" w:eastAsia="Book Antiqua" w:hAnsi="Book Antiqua" w:cs="Book Antiqua"/>
          <w:color w:val="000000"/>
        </w:rPr>
        <w:t xml:space="preserve">) are gradually embolized (stepwise injection method); D: </w:t>
      </w:r>
      <w:r w:rsidRPr="00D35475">
        <w:rPr>
          <w:rFonts w:ascii="Book Antiqua" w:eastAsia="Book Antiqua" w:hAnsi="Book Antiqua" w:cs="Book Antiqua"/>
          <w:color w:val="000000"/>
        </w:rPr>
        <w:lastRenderedPageBreak/>
        <w:t xml:space="preserve">After stepwise injection, BRTV demonstrated the GVs in their entirety as well as the inflowing posterior gastric vein; E: If selective coil embolization of the LIPV is impossible, the GCS should be occluded with another balloon catheter for </w:t>
      </w:r>
      <w:r w:rsidR="000F707F" w:rsidRPr="00D35475">
        <w:rPr>
          <w:rFonts w:ascii="Book Antiqua" w:eastAsia="Book Antiqua" w:hAnsi="Book Antiqua" w:cs="Book Antiqua"/>
          <w:color w:val="000000"/>
        </w:rPr>
        <w:t>balloon-occluded retrograde transvenous obliteration (</w:t>
      </w:r>
      <w:r w:rsidRPr="00D35475">
        <w:rPr>
          <w:rFonts w:ascii="Book Antiqua" w:eastAsia="Book Antiqua" w:hAnsi="Book Antiqua" w:cs="Book Antiqua"/>
          <w:color w:val="000000"/>
        </w:rPr>
        <w:t>BRTO</w:t>
      </w:r>
      <w:r w:rsidR="000F707F" w:rsidRPr="00D35475">
        <w:rPr>
          <w:rFonts w:ascii="Book Antiqua" w:eastAsia="Book Antiqua" w:hAnsi="Book Antiqua" w:cs="Book Antiqua"/>
          <w:color w:val="000000"/>
        </w:rPr>
        <w:t>)</w:t>
      </w:r>
      <w:r w:rsidRPr="00D35475">
        <w:rPr>
          <w:rFonts w:ascii="Book Antiqua" w:eastAsia="Book Antiqua" w:hAnsi="Book Antiqua" w:cs="Book Antiqua"/>
          <w:color w:val="000000"/>
        </w:rPr>
        <w:t xml:space="preserve"> (dual-BRTO). Selective coil embolization of the </w:t>
      </w:r>
      <w:bookmarkStart w:id="1" w:name="OLE_LINK1"/>
      <w:bookmarkStart w:id="2" w:name="OLE_LINK2"/>
      <w:r w:rsidRPr="00D35475">
        <w:rPr>
          <w:rFonts w:ascii="Book Antiqua" w:eastAsia="Book Antiqua" w:hAnsi="Book Antiqua" w:cs="Book Antiqua"/>
          <w:color w:val="000000"/>
        </w:rPr>
        <w:t>LIPV</w:t>
      </w:r>
      <w:bookmarkEnd w:id="1"/>
      <w:bookmarkEnd w:id="2"/>
      <w:r w:rsidRPr="00D35475">
        <w:rPr>
          <w:rFonts w:ascii="Book Antiqua" w:eastAsia="Book Antiqua" w:hAnsi="Book Antiqua" w:cs="Book Antiqua"/>
          <w:color w:val="000000"/>
        </w:rPr>
        <w:t xml:space="preserve"> branch (arrow) is performed through the catheter </w:t>
      </w:r>
      <w:r w:rsidRPr="00D35475">
        <w:rPr>
          <w:rFonts w:ascii="Book Antiqua" w:eastAsia="Book Antiqua" w:hAnsi="Book Antiqua" w:cs="Book Antiqua"/>
          <w:i/>
          <w:iCs/>
          <w:color w:val="000000"/>
        </w:rPr>
        <w:t>via</w:t>
      </w:r>
      <w:r w:rsidRPr="00D35475">
        <w:rPr>
          <w:rFonts w:ascii="Book Antiqua" w:eastAsia="Book Antiqua" w:hAnsi="Book Antiqua" w:cs="Book Antiqua"/>
          <w:color w:val="000000"/>
        </w:rPr>
        <w:t xml:space="preserve"> the GCS.</w:t>
      </w:r>
      <w:r w:rsidR="001543BB" w:rsidRPr="00D35475">
        <w:rPr>
          <w:rFonts w:ascii="Book Antiqua" w:eastAsia="Book Antiqua" w:hAnsi="Book Antiqua" w:cs="Book Antiqua"/>
          <w:color w:val="000000"/>
        </w:rPr>
        <w:t xml:space="preserve"> PGV: Posterior gastric vein; GV</w:t>
      </w:r>
      <w:r w:rsidR="00A231E4" w:rsidRPr="00D35475">
        <w:rPr>
          <w:rFonts w:ascii="Book Antiqua" w:eastAsia="Book Antiqua" w:hAnsi="Book Antiqua" w:cs="Book Antiqua"/>
          <w:color w:val="000000"/>
        </w:rPr>
        <w:t>s</w:t>
      </w:r>
      <w:r w:rsidR="001543BB" w:rsidRPr="00D35475">
        <w:rPr>
          <w:rFonts w:ascii="Book Antiqua" w:eastAsia="Book Antiqua" w:hAnsi="Book Antiqua" w:cs="Book Antiqua"/>
          <w:color w:val="000000"/>
        </w:rPr>
        <w:t>: Gastric varice</w:t>
      </w:r>
      <w:r w:rsidR="00A231E4" w:rsidRPr="00D35475">
        <w:rPr>
          <w:rFonts w:ascii="Book Antiqua" w:eastAsia="Book Antiqua" w:hAnsi="Book Antiqua" w:cs="Book Antiqua"/>
          <w:color w:val="000000"/>
        </w:rPr>
        <w:t>s</w:t>
      </w:r>
      <w:r w:rsidR="001543BB" w:rsidRPr="00D35475">
        <w:rPr>
          <w:rFonts w:ascii="Book Antiqua" w:eastAsia="Book Antiqua" w:hAnsi="Book Antiqua" w:cs="Book Antiqua"/>
          <w:color w:val="000000"/>
        </w:rPr>
        <w:t>; LIPV: Left inferior phrenic vein; GCS: Gastrocaval shunt.</w:t>
      </w:r>
    </w:p>
    <w:p w14:paraId="5828C28E" w14:textId="64A4B7CC" w:rsidR="00A77B3E" w:rsidRPr="00D35475" w:rsidRDefault="00CD48BE" w:rsidP="000E27CD">
      <w:pPr>
        <w:adjustRightInd w:val="0"/>
        <w:snapToGrid w:val="0"/>
        <w:spacing w:line="360" w:lineRule="auto"/>
        <w:jc w:val="both"/>
        <w:rPr>
          <w:rFonts w:ascii="Book Antiqua" w:hAnsi="Book Antiqua"/>
        </w:rPr>
      </w:pPr>
      <w:r w:rsidRPr="00D35475">
        <w:rPr>
          <w:rFonts w:ascii="Book Antiqua" w:eastAsia="Book Antiqua" w:hAnsi="Book Antiqua" w:cs="Book Antiqua"/>
          <w:color w:val="000000"/>
        </w:rPr>
        <w:br w:type="page"/>
      </w:r>
      <w:r w:rsidRPr="00D35475">
        <w:rPr>
          <w:rFonts w:ascii="Book Antiqua" w:eastAsia="Book Antiqua" w:hAnsi="Book Antiqua" w:cs="Book Antiqua"/>
          <w:noProof/>
          <w:color w:val="000000"/>
          <w:lang w:eastAsia="zh-CN"/>
        </w:rPr>
        <w:lastRenderedPageBreak/>
        <w:drawing>
          <wp:inline distT="0" distB="0" distL="0" distR="0" wp14:anchorId="2BF57167" wp14:editId="3D014145">
            <wp:extent cx="3580695" cy="415853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7834" cy="4178436"/>
                    </a:xfrm>
                    <a:prstGeom prst="rect">
                      <a:avLst/>
                    </a:prstGeom>
                    <a:noFill/>
                  </pic:spPr>
                </pic:pic>
              </a:graphicData>
            </a:graphic>
          </wp:inline>
        </w:drawing>
      </w:r>
    </w:p>
    <w:p w14:paraId="31681C4D" w14:textId="5C7A9B8B" w:rsidR="00CD48BE" w:rsidRPr="00D35475" w:rsidRDefault="00CD48BE" w:rsidP="000E27CD">
      <w:pPr>
        <w:adjustRightInd w:val="0"/>
        <w:snapToGrid w:val="0"/>
        <w:spacing w:line="360" w:lineRule="auto"/>
        <w:jc w:val="both"/>
        <w:rPr>
          <w:rFonts w:ascii="Book Antiqua" w:eastAsia="Book Antiqua" w:hAnsi="Book Antiqua" w:cs="Book Antiqua"/>
          <w:color w:val="000000"/>
        </w:rPr>
      </w:pPr>
      <w:r w:rsidRPr="00D35475">
        <w:rPr>
          <w:rFonts w:ascii="Book Antiqua" w:eastAsia="Book Antiqua" w:hAnsi="Book Antiqua" w:cs="Book Antiqua"/>
          <w:b/>
          <w:bCs/>
          <w:color w:val="000000"/>
        </w:rPr>
        <w:t xml:space="preserve">Figure 3 Schema of balloon-occluded retrograde transvenous obliteration modified variants. </w:t>
      </w:r>
      <w:r w:rsidRPr="00D35475">
        <w:rPr>
          <w:rFonts w:ascii="Book Antiqua" w:eastAsia="Book Antiqua" w:hAnsi="Book Antiqua" w:cs="Book Antiqua"/>
          <w:color w:val="000000"/>
        </w:rPr>
        <w:t>A: In plug-assisted retrograde transvenous obliteration, a vascular plug is placed instead of a balloon catheter to block shunt blood flow. In the original method, gelatin sponge suspension is injected instead of sclerosant;</w:t>
      </w:r>
      <w:r w:rsidR="009F787A" w:rsidRPr="00D35475">
        <w:rPr>
          <w:rFonts w:ascii="Book Antiqua" w:eastAsia="Book Antiqua" w:hAnsi="Book Antiqua" w:cs="Book Antiqua"/>
          <w:color w:val="000000"/>
        </w:rPr>
        <w:t xml:space="preserve"> </w:t>
      </w:r>
      <w:r w:rsidRPr="00D35475">
        <w:rPr>
          <w:rFonts w:ascii="Book Antiqua" w:eastAsia="Book Antiqua" w:hAnsi="Book Antiqua" w:cs="Book Antiqua"/>
          <w:color w:val="000000"/>
        </w:rPr>
        <w:t>B: In coil-assisted retrograde transvenous obliteration (CARTO), shunt blood flow is blocked using microcoils and gelatin sponge suspension is injected to embolize the gastric varices; C: In modified CARTO, instead of downgrading by advancing the balloon catheter, embolization is performed using microcoils and sclerosant is injected upstream into the gastric varices; D: In CARTO-II, sclerosant is injected from a balloon catheter in the same manner as conventional</w:t>
      </w:r>
      <w:r w:rsidR="009F787A" w:rsidRPr="00D35475">
        <w:rPr>
          <w:rFonts w:ascii="Book Antiqua" w:eastAsia="Book Antiqua" w:hAnsi="Book Antiqua" w:cs="Book Antiqua"/>
          <w:color w:val="000000"/>
        </w:rPr>
        <w:t xml:space="preserve"> balloon-occluded retrograde transvenous obliteration</w:t>
      </w:r>
      <w:r w:rsidRPr="00D35475">
        <w:rPr>
          <w:rFonts w:ascii="Book Antiqua" w:eastAsia="Book Antiqua" w:hAnsi="Book Antiqua" w:cs="Book Antiqua"/>
          <w:color w:val="000000"/>
        </w:rPr>
        <w:t>, coil embolization is performed just above the balloon, and the balloon catheter is finally removed.</w:t>
      </w:r>
    </w:p>
    <w:p w14:paraId="5F6B29B6" w14:textId="55061194" w:rsidR="00CD48BE" w:rsidRPr="00D35475" w:rsidRDefault="00CD48BE" w:rsidP="000E27CD">
      <w:pPr>
        <w:adjustRightInd w:val="0"/>
        <w:snapToGrid w:val="0"/>
        <w:spacing w:line="360" w:lineRule="auto"/>
        <w:jc w:val="both"/>
        <w:rPr>
          <w:rFonts w:ascii="Book Antiqua" w:eastAsia="Book Antiqua" w:hAnsi="Book Antiqua" w:cs="Book Antiqua"/>
          <w:color w:val="000000"/>
        </w:rPr>
      </w:pPr>
      <w:r w:rsidRPr="00D35475">
        <w:rPr>
          <w:rFonts w:ascii="Book Antiqua" w:eastAsia="Book Antiqua" w:hAnsi="Book Antiqua" w:cs="Book Antiqua"/>
          <w:color w:val="000000"/>
        </w:rPr>
        <w:br w:type="page"/>
      </w:r>
      <w:r w:rsidRPr="00D35475">
        <w:rPr>
          <w:rFonts w:ascii="Book Antiqua" w:eastAsia="Book Antiqua" w:hAnsi="Book Antiqua" w:cs="Book Antiqua"/>
          <w:noProof/>
          <w:color w:val="000000"/>
          <w:lang w:eastAsia="zh-CN"/>
        </w:rPr>
        <w:lastRenderedPageBreak/>
        <w:drawing>
          <wp:inline distT="0" distB="0" distL="0" distR="0" wp14:anchorId="2111D439" wp14:editId="5DEE88FD">
            <wp:extent cx="1874951" cy="50013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3787" cy="5051615"/>
                    </a:xfrm>
                    <a:prstGeom prst="rect">
                      <a:avLst/>
                    </a:prstGeom>
                    <a:noFill/>
                  </pic:spPr>
                </pic:pic>
              </a:graphicData>
            </a:graphic>
          </wp:inline>
        </w:drawing>
      </w:r>
    </w:p>
    <w:p w14:paraId="1CDBEF3D" w14:textId="2FFE6230" w:rsidR="00CD48BE" w:rsidRPr="00D35475" w:rsidRDefault="00CD48BE" w:rsidP="000E27CD">
      <w:pPr>
        <w:adjustRightInd w:val="0"/>
        <w:snapToGrid w:val="0"/>
        <w:spacing w:line="360" w:lineRule="auto"/>
        <w:jc w:val="both"/>
        <w:rPr>
          <w:rFonts w:ascii="Book Antiqua" w:eastAsia="Book Antiqua" w:hAnsi="Book Antiqua" w:cs="Book Antiqua"/>
          <w:color w:val="000000"/>
        </w:rPr>
      </w:pPr>
      <w:r w:rsidRPr="00D35475">
        <w:rPr>
          <w:rFonts w:ascii="Book Antiqua" w:eastAsia="Book Antiqua" w:hAnsi="Book Antiqua" w:cs="Book Antiqua"/>
          <w:b/>
          <w:bCs/>
          <w:color w:val="000000"/>
        </w:rPr>
        <w:t xml:space="preserve">Figure 4 Schema of changes in portal hemodynamics due to combined balloon-occluded retrograde transvenous obliteration and partial splenic embolization. </w:t>
      </w:r>
      <w:r w:rsidRPr="00D35475">
        <w:rPr>
          <w:rFonts w:ascii="Book Antiqua" w:eastAsia="Book Antiqua" w:hAnsi="Book Antiqua" w:cs="Book Antiqua"/>
          <w:color w:val="000000"/>
        </w:rPr>
        <w:t xml:space="preserve">A: Before treatment, most of the splenic blood flow is short-circuited to the systemic circulation </w:t>
      </w:r>
      <w:r w:rsidRPr="00D35475">
        <w:rPr>
          <w:rFonts w:ascii="Book Antiqua" w:eastAsia="Book Antiqua" w:hAnsi="Book Antiqua" w:cs="Book Antiqua"/>
          <w:i/>
          <w:iCs/>
          <w:color w:val="000000"/>
        </w:rPr>
        <w:t>via</w:t>
      </w:r>
      <w:r w:rsidRPr="00D35475">
        <w:rPr>
          <w:rFonts w:ascii="Book Antiqua" w:eastAsia="Book Antiqua" w:hAnsi="Book Antiqua" w:cs="Book Antiqua"/>
          <w:color w:val="000000"/>
        </w:rPr>
        <w:t xml:space="preserve"> the gastrorenal shunt (GRS); B: The GRS is embolized by </w:t>
      </w:r>
      <w:r w:rsidR="009F787A" w:rsidRPr="00D35475">
        <w:rPr>
          <w:rFonts w:ascii="Book Antiqua" w:eastAsia="Book Antiqua" w:hAnsi="Book Antiqua" w:cs="Book Antiqua"/>
          <w:color w:val="000000"/>
        </w:rPr>
        <w:t>balloon-occluded retrograde transvenous obliteration (BRTO)</w:t>
      </w:r>
      <w:r w:rsidRPr="00D35475">
        <w:rPr>
          <w:rFonts w:ascii="Book Antiqua" w:eastAsia="Book Antiqua" w:hAnsi="Book Antiqua" w:cs="Book Antiqua"/>
          <w:color w:val="000000"/>
        </w:rPr>
        <w:t xml:space="preserve"> (black asterisk). The increase in portal venous flow after BRTO is mainly caused by increased splenic venous blood flow without a substantial increase in hepatopetal mesenteric venous blood flow; C: The lower half of the spleen is infarcted by </w:t>
      </w:r>
      <w:r w:rsidR="009F787A" w:rsidRPr="00D35475">
        <w:rPr>
          <w:rFonts w:ascii="Book Antiqua" w:eastAsia="Book Antiqua" w:hAnsi="Book Antiqua" w:cs="Book Antiqua"/>
          <w:color w:val="000000"/>
        </w:rPr>
        <w:t>partial splenic embolization (PSE)</w:t>
      </w:r>
      <w:r w:rsidRPr="00D35475">
        <w:rPr>
          <w:rFonts w:ascii="Book Antiqua" w:eastAsia="Book Antiqua" w:hAnsi="Book Antiqua" w:cs="Book Antiqua"/>
          <w:color w:val="000000"/>
        </w:rPr>
        <w:t xml:space="preserve"> (white asterisk). Hepatopetal mesenteric venous blood flow increases after splenic venous blood flow is decreased by PSE. PV: portal vein, SPV: splenic vein, SMV: superior mesenteric vein.</w:t>
      </w:r>
    </w:p>
    <w:p w14:paraId="3C9BB3E8" w14:textId="3BBF05E2"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eastAsia="Book Antiqua" w:hAnsi="Book Antiqua" w:cs="Book Antiqua"/>
          <w:color w:val="000000"/>
        </w:rPr>
        <w:br w:type="page"/>
      </w:r>
      <w:r w:rsidR="0037320A" w:rsidRPr="00D35475">
        <w:rPr>
          <w:rFonts w:ascii="Book Antiqua" w:hAnsi="Book Antiqua"/>
          <w:b/>
          <w:bCs/>
        </w:rPr>
        <w:lastRenderedPageBreak/>
        <w:t>Table 1 The studies comparing balloon-occluded retrograde transvenous obliteration and transjugular intrahepatic portosystemic shunt</w:t>
      </w:r>
    </w:p>
    <w:tbl>
      <w:tblPr>
        <w:tblStyle w:val="a3"/>
        <w:tblW w:w="9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0"/>
        <w:gridCol w:w="1467"/>
        <w:gridCol w:w="1297"/>
        <w:gridCol w:w="2288"/>
        <w:gridCol w:w="1793"/>
        <w:gridCol w:w="1304"/>
      </w:tblGrid>
      <w:tr w:rsidR="00CD48BE" w:rsidRPr="00D35475" w14:paraId="1CD863DF" w14:textId="77777777" w:rsidTr="00783051">
        <w:trPr>
          <w:trHeight w:val="439"/>
        </w:trPr>
        <w:tc>
          <w:tcPr>
            <w:tcW w:w="1630" w:type="dxa"/>
            <w:vMerge w:val="restart"/>
            <w:tcBorders>
              <w:top w:val="single" w:sz="8" w:space="0" w:color="auto"/>
            </w:tcBorders>
            <w:vAlign w:val="center"/>
          </w:tcPr>
          <w:p w14:paraId="55E9E45D" w14:textId="314F8411" w:rsidR="00CD48BE" w:rsidRPr="00D35475" w:rsidRDefault="0037320A" w:rsidP="000E27CD">
            <w:pPr>
              <w:adjustRightInd w:val="0"/>
              <w:snapToGrid w:val="0"/>
              <w:spacing w:line="360" w:lineRule="auto"/>
              <w:jc w:val="both"/>
              <w:rPr>
                <w:rFonts w:ascii="Book Antiqua" w:hAnsi="Book Antiqua"/>
                <w:b/>
                <w:bCs/>
              </w:rPr>
            </w:pPr>
            <w:r w:rsidRPr="00D35475">
              <w:rPr>
                <w:rFonts w:ascii="Book Antiqua" w:hAnsi="Book Antiqua"/>
                <w:b/>
                <w:bCs/>
              </w:rPr>
              <w:t>Ref.</w:t>
            </w:r>
          </w:p>
        </w:tc>
        <w:tc>
          <w:tcPr>
            <w:tcW w:w="1467" w:type="dxa"/>
            <w:vMerge w:val="restart"/>
            <w:tcBorders>
              <w:top w:val="single" w:sz="8" w:space="0" w:color="auto"/>
            </w:tcBorders>
            <w:vAlign w:val="center"/>
          </w:tcPr>
          <w:p w14:paraId="08EAB887"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Journal</w:t>
            </w:r>
          </w:p>
        </w:tc>
        <w:tc>
          <w:tcPr>
            <w:tcW w:w="1297" w:type="dxa"/>
            <w:vMerge w:val="restart"/>
            <w:tcBorders>
              <w:top w:val="single" w:sz="8" w:space="0" w:color="auto"/>
            </w:tcBorders>
            <w:vAlign w:val="center"/>
          </w:tcPr>
          <w:p w14:paraId="2FB5C65F"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Country</w:t>
            </w:r>
          </w:p>
        </w:tc>
        <w:tc>
          <w:tcPr>
            <w:tcW w:w="2288" w:type="dxa"/>
            <w:vMerge w:val="restart"/>
            <w:tcBorders>
              <w:top w:val="single" w:sz="8" w:space="0" w:color="auto"/>
            </w:tcBorders>
            <w:vAlign w:val="center"/>
          </w:tcPr>
          <w:p w14:paraId="6B87EE3F"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Study design</w:t>
            </w:r>
          </w:p>
        </w:tc>
        <w:tc>
          <w:tcPr>
            <w:tcW w:w="3097" w:type="dxa"/>
            <w:gridSpan w:val="2"/>
            <w:tcBorders>
              <w:top w:val="single" w:sz="8" w:space="0" w:color="auto"/>
              <w:bottom w:val="single" w:sz="4" w:space="0" w:color="auto"/>
            </w:tcBorders>
            <w:vAlign w:val="center"/>
          </w:tcPr>
          <w:p w14:paraId="58CBC884"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Number of cases</w:t>
            </w:r>
          </w:p>
        </w:tc>
      </w:tr>
      <w:tr w:rsidR="00CD48BE" w:rsidRPr="00D35475" w14:paraId="6842F14C" w14:textId="77777777" w:rsidTr="00CE4818">
        <w:trPr>
          <w:trHeight w:val="60"/>
        </w:trPr>
        <w:tc>
          <w:tcPr>
            <w:tcW w:w="1630" w:type="dxa"/>
            <w:vMerge/>
            <w:tcBorders>
              <w:bottom w:val="single" w:sz="8" w:space="0" w:color="auto"/>
            </w:tcBorders>
            <w:vAlign w:val="center"/>
          </w:tcPr>
          <w:p w14:paraId="347C156A" w14:textId="77777777" w:rsidR="00CD48BE" w:rsidRPr="00D35475" w:rsidRDefault="00CD48BE" w:rsidP="000E27CD">
            <w:pPr>
              <w:adjustRightInd w:val="0"/>
              <w:snapToGrid w:val="0"/>
              <w:spacing w:line="360" w:lineRule="auto"/>
              <w:jc w:val="both"/>
              <w:rPr>
                <w:rFonts w:ascii="Book Antiqua" w:hAnsi="Book Antiqua"/>
                <w:b/>
                <w:bCs/>
              </w:rPr>
            </w:pPr>
          </w:p>
        </w:tc>
        <w:tc>
          <w:tcPr>
            <w:tcW w:w="1467" w:type="dxa"/>
            <w:vMerge/>
            <w:tcBorders>
              <w:bottom w:val="single" w:sz="8" w:space="0" w:color="auto"/>
            </w:tcBorders>
            <w:vAlign w:val="center"/>
          </w:tcPr>
          <w:p w14:paraId="174E4E37" w14:textId="77777777" w:rsidR="00CD48BE" w:rsidRPr="00D35475" w:rsidRDefault="00CD48BE" w:rsidP="000E27CD">
            <w:pPr>
              <w:adjustRightInd w:val="0"/>
              <w:snapToGrid w:val="0"/>
              <w:spacing w:line="360" w:lineRule="auto"/>
              <w:jc w:val="both"/>
              <w:rPr>
                <w:rFonts w:ascii="Book Antiqua" w:hAnsi="Book Antiqua"/>
                <w:b/>
                <w:bCs/>
              </w:rPr>
            </w:pPr>
          </w:p>
        </w:tc>
        <w:tc>
          <w:tcPr>
            <w:tcW w:w="1297" w:type="dxa"/>
            <w:vMerge/>
            <w:tcBorders>
              <w:bottom w:val="single" w:sz="8" w:space="0" w:color="auto"/>
            </w:tcBorders>
            <w:vAlign w:val="center"/>
          </w:tcPr>
          <w:p w14:paraId="321B4B21" w14:textId="77777777" w:rsidR="00CD48BE" w:rsidRPr="00D35475" w:rsidRDefault="00CD48BE" w:rsidP="000E27CD">
            <w:pPr>
              <w:adjustRightInd w:val="0"/>
              <w:snapToGrid w:val="0"/>
              <w:spacing w:line="360" w:lineRule="auto"/>
              <w:jc w:val="both"/>
              <w:rPr>
                <w:rFonts w:ascii="Book Antiqua" w:hAnsi="Book Antiqua"/>
                <w:b/>
                <w:bCs/>
              </w:rPr>
            </w:pPr>
          </w:p>
        </w:tc>
        <w:tc>
          <w:tcPr>
            <w:tcW w:w="2288" w:type="dxa"/>
            <w:vMerge/>
            <w:tcBorders>
              <w:bottom w:val="single" w:sz="8" w:space="0" w:color="auto"/>
            </w:tcBorders>
            <w:vAlign w:val="center"/>
          </w:tcPr>
          <w:p w14:paraId="5C1DFED6" w14:textId="77777777" w:rsidR="00CD48BE" w:rsidRPr="00D35475" w:rsidRDefault="00CD48BE" w:rsidP="000E27CD">
            <w:pPr>
              <w:adjustRightInd w:val="0"/>
              <w:snapToGrid w:val="0"/>
              <w:spacing w:line="360" w:lineRule="auto"/>
              <w:jc w:val="both"/>
              <w:rPr>
                <w:rFonts w:ascii="Book Antiqua" w:hAnsi="Book Antiqua"/>
                <w:b/>
                <w:bCs/>
              </w:rPr>
            </w:pPr>
          </w:p>
        </w:tc>
        <w:tc>
          <w:tcPr>
            <w:tcW w:w="1793" w:type="dxa"/>
            <w:tcBorders>
              <w:top w:val="single" w:sz="4" w:space="0" w:color="auto"/>
              <w:bottom w:val="single" w:sz="8" w:space="0" w:color="auto"/>
            </w:tcBorders>
            <w:vAlign w:val="center"/>
          </w:tcPr>
          <w:p w14:paraId="05C64D62"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BRTO</w:t>
            </w:r>
          </w:p>
        </w:tc>
        <w:tc>
          <w:tcPr>
            <w:tcW w:w="1304" w:type="dxa"/>
            <w:tcBorders>
              <w:top w:val="single" w:sz="4" w:space="0" w:color="auto"/>
              <w:bottom w:val="single" w:sz="8" w:space="0" w:color="auto"/>
            </w:tcBorders>
            <w:vAlign w:val="center"/>
          </w:tcPr>
          <w:p w14:paraId="239362D3"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TIPS</w:t>
            </w:r>
          </w:p>
        </w:tc>
      </w:tr>
      <w:tr w:rsidR="00CD48BE" w:rsidRPr="00D35475" w14:paraId="2FAC930B" w14:textId="77777777" w:rsidTr="00643A5D">
        <w:trPr>
          <w:trHeight w:val="628"/>
        </w:trPr>
        <w:tc>
          <w:tcPr>
            <w:tcW w:w="1630" w:type="dxa"/>
            <w:tcBorders>
              <w:top w:val="single" w:sz="8" w:space="0" w:color="auto"/>
            </w:tcBorders>
            <w:vAlign w:val="center"/>
          </w:tcPr>
          <w:p w14:paraId="6B2FD6BC" w14:textId="3087A761"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Choi</w:t>
            </w:r>
            <w:r w:rsidR="005D1FFA" w:rsidRPr="00D35475">
              <w:rPr>
                <w:rFonts w:ascii="Book Antiqua" w:hAnsi="Book Antiqua"/>
              </w:rPr>
              <w:t xml:space="preserve"> </w:t>
            </w:r>
            <w:r w:rsidR="005D1FFA" w:rsidRPr="00D35475">
              <w:rPr>
                <w:rFonts w:ascii="Book Antiqua" w:hAnsi="Book Antiqua"/>
                <w:i/>
                <w:iCs/>
              </w:rPr>
              <w:t>et al</w:t>
            </w:r>
            <w:r w:rsidRPr="00D35475">
              <w:rPr>
                <w:rFonts w:ascii="Book Antiqua" w:hAnsi="Book Antiqua"/>
                <w:vertAlign w:val="superscript"/>
              </w:rPr>
              <w:t>[39]</w:t>
            </w:r>
          </w:p>
        </w:tc>
        <w:tc>
          <w:tcPr>
            <w:tcW w:w="1467" w:type="dxa"/>
            <w:tcBorders>
              <w:top w:val="single" w:sz="8" w:space="0" w:color="auto"/>
            </w:tcBorders>
            <w:vAlign w:val="center"/>
          </w:tcPr>
          <w:p w14:paraId="254DDA3E"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KJR 2003</w:t>
            </w:r>
          </w:p>
        </w:tc>
        <w:tc>
          <w:tcPr>
            <w:tcW w:w="1297" w:type="dxa"/>
            <w:tcBorders>
              <w:top w:val="single" w:sz="8" w:space="0" w:color="auto"/>
            </w:tcBorders>
            <w:vAlign w:val="center"/>
          </w:tcPr>
          <w:p w14:paraId="36BA3E63" w14:textId="2521BC4B" w:rsidR="00CD48BE" w:rsidRPr="00D35475" w:rsidRDefault="005A3556" w:rsidP="000E27CD">
            <w:pPr>
              <w:adjustRightInd w:val="0"/>
              <w:snapToGrid w:val="0"/>
              <w:spacing w:line="360" w:lineRule="auto"/>
              <w:jc w:val="both"/>
              <w:rPr>
                <w:rFonts w:ascii="Book Antiqua" w:hAnsi="Book Antiqua"/>
              </w:rPr>
            </w:pPr>
            <w:r>
              <w:rPr>
                <w:rFonts w:ascii="Book Antiqua" w:hAnsi="Book Antiqua"/>
              </w:rPr>
              <w:t xml:space="preserve">South </w:t>
            </w:r>
            <w:r w:rsidR="00CD48BE" w:rsidRPr="00D35475">
              <w:rPr>
                <w:rFonts w:ascii="Book Antiqua" w:hAnsi="Book Antiqua"/>
              </w:rPr>
              <w:t>Korea</w:t>
            </w:r>
          </w:p>
        </w:tc>
        <w:tc>
          <w:tcPr>
            <w:tcW w:w="2288" w:type="dxa"/>
            <w:tcBorders>
              <w:top w:val="single" w:sz="8" w:space="0" w:color="auto"/>
            </w:tcBorders>
            <w:vAlign w:val="center"/>
          </w:tcPr>
          <w:p w14:paraId="21F828D8"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RCT,</w:t>
            </w:r>
          </w:p>
          <w:p w14:paraId="4843A7E2"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Single institution</w:t>
            </w:r>
          </w:p>
        </w:tc>
        <w:tc>
          <w:tcPr>
            <w:tcW w:w="1793" w:type="dxa"/>
            <w:tcBorders>
              <w:top w:val="single" w:sz="8" w:space="0" w:color="auto"/>
            </w:tcBorders>
            <w:vAlign w:val="center"/>
          </w:tcPr>
          <w:p w14:paraId="668C5287"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8</w:t>
            </w:r>
          </w:p>
        </w:tc>
        <w:tc>
          <w:tcPr>
            <w:tcW w:w="1304" w:type="dxa"/>
            <w:tcBorders>
              <w:top w:val="single" w:sz="8" w:space="0" w:color="auto"/>
            </w:tcBorders>
            <w:vAlign w:val="center"/>
          </w:tcPr>
          <w:p w14:paraId="3047058C"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13</w:t>
            </w:r>
          </w:p>
        </w:tc>
      </w:tr>
      <w:tr w:rsidR="00CD48BE" w:rsidRPr="00D35475" w14:paraId="56F4A2B3" w14:textId="77777777" w:rsidTr="00643A5D">
        <w:trPr>
          <w:trHeight w:val="412"/>
        </w:trPr>
        <w:tc>
          <w:tcPr>
            <w:tcW w:w="1630" w:type="dxa"/>
            <w:vAlign w:val="center"/>
          </w:tcPr>
          <w:p w14:paraId="0A91D5E8" w14:textId="57FEA7C9"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Ninoi </w:t>
            </w:r>
            <w:r w:rsidR="005D1FFA" w:rsidRPr="00D35475">
              <w:rPr>
                <w:rFonts w:ascii="Book Antiqua" w:hAnsi="Book Antiqua"/>
                <w:i/>
                <w:iCs/>
              </w:rPr>
              <w:t>et al</w:t>
            </w:r>
            <w:r w:rsidRPr="00D35475">
              <w:rPr>
                <w:rFonts w:ascii="Book Antiqua" w:hAnsi="Book Antiqua"/>
                <w:vertAlign w:val="superscript"/>
              </w:rPr>
              <w:t>[40]</w:t>
            </w:r>
          </w:p>
        </w:tc>
        <w:tc>
          <w:tcPr>
            <w:tcW w:w="1467" w:type="dxa"/>
            <w:vAlign w:val="center"/>
          </w:tcPr>
          <w:p w14:paraId="17C7CEA5"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AJR 2004</w:t>
            </w:r>
          </w:p>
        </w:tc>
        <w:tc>
          <w:tcPr>
            <w:tcW w:w="1297" w:type="dxa"/>
            <w:vAlign w:val="center"/>
          </w:tcPr>
          <w:p w14:paraId="674F4D9B"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Japan</w:t>
            </w:r>
          </w:p>
        </w:tc>
        <w:tc>
          <w:tcPr>
            <w:tcW w:w="2288" w:type="dxa"/>
            <w:vAlign w:val="center"/>
          </w:tcPr>
          <w:p w14:paraId="68611FF4"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Retrospective</w:t>
            </w:r>
          </w:p>
          <w:p w14:paraId="7113BC03"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Single institution</w:t>
            </w:r>
          </w:p>
        </w:tc>
        <w:tc>
          <w:tcPr>
            <w:tcW w:w="1793" w:type="dxa"/>
            <w:vAlign w:val="center"/>
          </w:tcPr>
          <w:p w14:paraId="1D20C045"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77 (BRTO: 49 </w:t>
            </w:r>
          </w:p>
          <w:p w14:paraId="0C7CD03D"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PTS: 28)</w:t>
            </w:r>
          </w:p>
        </w:tc>
        <w:tc>
          <w:tcPr>
            <w:tcW w:w="1304" w:type="dxa"/>
            <w:vAlign w:val="center"/>
          </w:tcPr>
          <w:p w14:paraId="2B4D7E57"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27</w:t>
            </w:r>
          </w:p>
        </w:tc>
      </w:tr>
      <w:tr w:rsidR="00CD48BE" w:rsidRPr="00D35475" w14:paraId="25BD0199" w14:textId="77777777" w:rsidTr="00643A5D">
        <w:trPr>
          <w:trHeight w:val="70"/>
        </w:trPr>
        <w:tc>
          <w:tcPr>
            <w:tcW w:w="1630" w:type="dxa"/>
            <w:vAlign w:val="center"/>
          </w:tcPr>
          <w:p w14:paraId="021297BB" w14:textId="309DB5F9"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Sabri </w:t>
            </w:r>
            <w:r w:rsidR="005D1FFA" w:rsidRPr="00D35475">
              <w:rPr>
                <w:rFonts w:ascii="Book Antiqua" w:hAnsi="Book Antiqua"/>
                <w:i/>
                <w:iCs/>
              </w:rPr>
              <w:t>et al</w:t>
            </w:r>
            <w:r w:rsidRPr="00D35475">
              <w:rPr>
                <w:rFonts w:ascii="Book Antiqua" w:hAnsi="Book Antiqua"/>
                <w:vertAlign w:val="superscript"/>
              </w:rPr>
              <w:t>[41]</w:t>
            </w:r>
          </w:p>
        </w:tc>
        <w:tc>
          <w:tcPr>
            <w:tcW w:w="1467" w:type="dxa"/>
            <w:vAlign w:val="center"/>
          </w:tcPr>
          <w:p w14:paraId="1E538739"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JVIR 2014</w:t>
            </w:r>
          </w:p>
        </w:tc>
        <w:tc>
          <w:tcPr>
            <w:tcW w:w="1297" w:type="dxa"/>
            <w:vAlign w:val="center"/>
          </w:tcPr>
          <w:p w14:paraId="05776895" w14:textId="7816191C" w:rsidR="00CD48BE" w:rsidRPr="00D35475" w:rsidRDefault="0037320A" w:rsidP="000E27CD">
            <w:pPr>
              <w:adjustRightInd w:val="0"/>
              <w:snapToGrid w:val="0"/>
              <w:spacing w:line="360" w:lineRule="auto"/>
              <w:jc w:val="both"/>
              <w:rPr>
                <w:rFonts w:ascii="Book Antiqua" w:hAnsi="Book Antiqua"/>
              </w:rPr>
            </w:pPr>
            <w:r w:rsidRPr="00D35475">
              <w:rPr>
                <w:rFonts w:ascii="Book Antiqua" w:hAnsi="Book Antiqua"/>
              </w:rPr>
              <w:t>United States</w:t>
            </w:r>
          </w:p>
        </w:tc>
        <w:tc>
          <w:tcPr>
            <w:tcW w:w="2288" w:type="dxa"/>
            <w:vAlign w:val="center"/>
          </w:tcPr>
          <w:p w14:paraId="50F3E290"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Retrospective</w:t>
            </w:r>
          </w:p>
          <w:p w14:paraId="37477E43"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Single institution</w:t>
            </w:r>
          </w:p>
        </w:tc>
        <w:tc>
          <w:tcPr>
            <w:tcW w:w="1793" w:type="dxa"/>
            <w:vAlign w:val="center"/>
          </w:tcPr>
          <w:p w14:paraId="4CC3A2E9"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23</w:t>
            </w:r>
          </w:p>
        </w:tc>
        <w:tc>
          <w:tcPr>
            <w:tcW w:w="1304" w:type="dxa"/>
            <w:vAlign w:val="center"/>
          </w:tcPr>
          <w:p w14:paraId="084DA4EE"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27</w:t>
            </w:r>
          </w:p>
        </w:tc>
      </w:tr>
      <w:tr w:rsidR="00CD48BE" w:rsidRPr="00D35475" w14:paraId="2649081C" w14:textId="77777777" w:rsidTr="00643A5D">
        <w:trPr>
          <w:trHeight w:val="772"/>
        </w:trPr>
        <w:tc>
          <w:tcPr>
            <w:tcW w:w="1630" w:type="dxa"/>
            <w:vAlign w:val="center"/>
          </w:tcPr>
          <w:p w14:paraId="5EF31AD4" w14:textId="2FBF5626"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Kim </w:t>
            </w:r>
            <w:r w:rsidR="005D1FFA" w:rsidRPr="00D35475">
              <w:rPr>
                <w:rFonts w:ascii="Book Antiqua" w:hAnsi="Book Antiqua"/>
                <w:i/>
                <w:iCs/>
              </w:rPr>
              <w:t>et al</w:t>
            </w:r>
            <w:r w:rsidRPr="00D35475">
              <w:rPr>
                <w:rFonts w:ascii="Book Antiqua" w:hAnsi="Book Antiqua"/>
                <w:vertAlign w:val="superscript"/>
              </w:rPr>
              <w:t>[42]</w:t>
            </w:r>
          </w:p>
        </w:tc>
        <w:tc>
          <w:tcPr>
            <w:tcW w:w="1467" w:type="dxa"/>
            <w:vAlign w:val="center"/>
          </w:tcPr>
          <w:p w14:paraId="2F592576"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KJR 2017</w:t>
            </w:r>
          </w:p>
        </w:tc>
        <w:tc>
          <w:tcPr>
            <w:tcW w:w="1297" w:type="dxa"/>
            <w:vAlign w:val="center"/>
          </w:tcPr>
          <w:p w14:paraId="09FEEFAB" w14:textId="7CB5BCDE" w:rsidR="00CD48BE" w:rsidRPr="00D35475" w:rsidRDefault="0037320A" w:rsidP="000E27CD">
            <w:pPr>
              <w:adjustRightInd w:val="0"/>
              <w:snapToGrid w:val="0"/>
              <w:spacing w:line="360" w:lineRule="auto"/>
              <w:jc w:val="both"/>
              <w:rPr>
                <w:rFonts w:ascii="Book Antiqua" w:hAnsi="Book Antiqua"/>
              </w:rPr>
            </w:pPr>
            <w:r w:rsidRPr="00D35475">
              <w:rPr>
                <w:rFonts w:ascii="Book Antiqua" w:hAnsi="Book Antiqua"/>
              </w:rPr>
              <w:t>United States</w:t>
            </w:r>
          </w:p>
        </w:tc>
        <w:tc>
          <w:tcPr>
            <w:tcW w:w="2288" w:type="dxa"/>
            <w:vAlign w:val="center"/>
          </w:tcPr>
          <w:p w14:paraId="143D37C2"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Retrospective</w:t>
            </w:r>
          </w:p>
          <w:p w14:paraId="0B90CFA4"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Single institution</w:t>
            </w:r>
          </w:p>
        </w:tc>
        <w:tc>
          <w:tcPr>
            <w:tcW w:w="1793" w:type="dxa"/>
            <w:vAlign w:val="center"/>
          </w:tcPr>
          <w:p w14:paraId="4D7A88F7"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25</w:t>
            </w:r>
          </w:p>
        </w:tc>
        <w:tc>
          <w:tcPr>
            <w:tcW w:w="1304" w:type="dxa"/>
            <w:vAlign w:val="center"/>
          </w:tcPr>
          <w:p w14:paraId="70E54305"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27</w:t>
            </w:r>
          </w:p>
        </w:tc>
      </w:tr>
      <w:tr w:rsidR="005A3556" w:rsidRPr="00D35475" w14:paraId="473B3EB1" w14:textId="77777777" w:rsidTr="00535DAB">
        <w:trPr>
          <w:trHeight w:val="891"/>
        </w:trPr>
        <w:tc>
          <w:tcPr>
            <w:tcW w:w="1630" w:type="dxa"/>
            <w:vAlign w:val="center"/>
          </w:tcPr>
          <w:p w14:paraId="5AC8E639" w14:textId="371ACC6A" w:rsidR="005A3556" w:rsidRPr="00D35475" w:rsidRDefault="005A3556" w:rsidP="000E27CD">
            <w:pPr>
              <w:adjustRightInd w:val="0"/>
              <w:snapToGrid w:val="0"/>
              <w:spacing w:line="360" w:lineRule="auto"/>
              <w:jc w:val="both"/>
              <w:rPr>
                <w:rFonts w:ascii="Book Antiqua" w:hAnsi="Book Antiqua"/>
              </w:rPr>
            </w:pPr>
            <w:r w:rsidRPr="00D35475">
              <w:rPr>
                <w:rFonts w:ascii="Book Antiqua" w:hAnsi="Book Antiqua"/>
              </w:rPr>
              <w:t xml:space="preserve">Lee </w:t>
            </w:r>
            <w:r w:rsidRPr="00D35475">
              <w:rPr>
                <w:rFonts w:ascii="Book Antiqua" w:hAnsi="Book Antiqua"/>
                <w:i/>
                <w:iCs/>
              </w:rPr>
              <w:t>et al</w:t>
            </w:r>
            <w:r w:rsidRPr="00D35475">
              <w:rPr>
                <w:rFonts w:ascii="Book Antiqua" w:hAnsi="Book Antiqua"/>
                <w:vertAlign w:val="superscript"/>
              </w:rPr>
              <w:t>[43]</w:t>
            </w:r>
          </w:p>
        </w:tc>
        <w:tc>
          <w:tcPr>
            <w:tcW w:w="1467" w:type="dxa"/>
            <w:vAlign w:val="center"/>
          </w:tcPr>
          <w:p w14:paraId="6835008E" w14:textId="77777777" w:rsidR="005A3556" w:rsidRPr="00D35475" w:rsidRDefault="005A3556" w:rsidP="000E27CD">
            <w:pPr>
              <w:adjustRightInd w:val="0"/>
              <w:snapToGrid w:val="0"/>
              <w:spacing w:line="360" w:lineRule="auto"/>
              <w:jc w:val="both"/>
              <w:rPr>
                <w:rFonts w:ascii="Book Antiqua" w:hAnsi="Book Antiqua"/>
              </w:rPr>
            </w:pPr>
            <w:r w:rsidRPr="00D35475">
              <w:rPr>
                <w:rFonts w:ascii="Book Antiqua" w:hAnsi="Book Antiqua"/>
              </w:rPr>
              <w:t>JGH 2017</w:t>
            </w:r>
          </w:p>
        </w:tc>
        <w:tc>
          <w:tcPr>
            <w:tcW w:w="1297" w:type="dxa"/>
          </w:tcPr>
          <w:p w14:paraId="54633E59" w14:textId="6E00C16A" w:rsidR="005A3556" w:rsidRPr="00D35475" w:rsidRDefault="005A3556" w:rsidP="000E27CD">
            <w:pPr>
              <w:adjustRightInd w:val="0"/>
              <w:snapToGrid w:val="0"/>
              <w:spacing w:line="360" w:lineRule="auto"/>
              <w:jc w:val="both"/>
              <w:rPr>
                <w:rFonts w:ascii="Book Antiqua" w:hAnsi="Book Antiqua"/>
              </w:rPr>
            </w:pPr>
            <w:r w:rsidRPr="00435704">
              <w:rPr>
                <w:rFonts w:ascii="Book Antiqua" w:hAnsi="Book Antiqua"/>
              </w:rPr>
              <w:t>South Korea</w:t>
            </w:r>
          </w:p>
        </w:tc>
        <w:tc>
          <w:tcPr>
            <w:tcW w:w="2288" w:type="dxa"/>
            <w:vAlign w:val="center"/>
          </w:tcPr>
          <w:p w14:paraId="7E5BB259" w14:textId="77777777" w:rsidR="005A3556" w:rsidRPr="00D35475" w:rsidRDefault="005A3556" w:rsidP="000E27CD">
            <w:pPr>
              <w:adjustRightInd w:val="0"/>
              <w:snapToGrid w:val="0"/>
              <w:spacing w:line="360" w:lineRule="auto"/>
              <w:jc w:val="both"/>
              <w:rPr>
                <w:rFonts w:ascii="Book Antiqua" w:hAnsi="Book Antiqua"/>
              </w:rPr>
            </w:pPr>
            <w:r w:rsidRPr="00D35475">
              <w:rPr>
                <w:rFonts w:ascii="Book Antiqua" w:hAnsi="Book Antiqua"/>
              </w:rPr>
              <w:t>Retrospective</w:t>
            </w:r>
          </w:p>
          <w:p w14:paraId="1ED5EE41" w14:textId="77777777" w:rsidR="005A3556" w:rsidRPr="00D35475" w:rsidRDefault="005A3556" w:rsidP="000E27CD">
            <w:pPr>
              <w:adjustRightInd w:val="0"/>
              <w:snapToGrid w:val="0"/>
              <w:spacing w:line="360" w:lineRule="auto"/>
              <w:jc w:val="both"/>
              <w:rPr>
                <w:rFonts w:ascii="Book Antiqua" w:hAnsi="Book Antiqua"/>
              </w:rPr>
            </w:pPr>
            <w:r w:rsidRPr="00D35475">
              <w:rPr>
                <w:rFonts w:ascii="Book Antiqua" w:hAnsi="Book Antiqua"/>
              </w:rPr>
              <w:t>Two institutions</w:t>
            </w:r>
          </w:p>
        </w:tc>
        <w:tc>
          <w:tcPr>
            <w:tcW w:w="1793" w:type="dxa"/>
            <w:vAlign w:val="center"/>
          </w:tcPr>
          <w:p w14:paraId="1021F913" w14:textId="77777777" w:rsidR="005A3556" w:rsidRPr="00D35475" w:rsidRDefault="005A3556" w:rsidP="000E27CD">
            <w:pPr>
              <w:adjustRightInd w:val="0"/>
              <w:snapToGrid w:val="0"/>
              <w:spacing w:line="360" w:lineRule="auto"/>
              <w:jc w:val="both"/>
              <w:rPr>
                <w:rFonts w:ascii="Book Antiqua" w:hAnsi="Book Antiqua"/>
              </w:rPr>
            </w:pPr>
            <w:r w:rsidRPr="00D35475">
              <w:rPr>
                <w:rFonts w:ascii="Book Antiqua" w:hAnsi="Book Antiqua"/>
              </w:rPr>
              <w:t>95</w:t>
            </w:r>
          </w:p>
        </w:tc>
        <w:tc>
          <w:tcPr>
            <w:tcW w:w="1304" w:type="dxa"/>
            <w:vAlign w:val="center"/>
          </w:tcPr>
          <w:p w14:paraId="025D0FFE" w14:textId="77777777" w:rsidR="005A3556" w:rsidRPr="00D35475" w:rsidRDefault="005A3556" w:rsidP="000E27CD">
            <w:pPr>
              <w:adjustRightInd w:val="0"/>
              <w:snapToGrid w:val="0"/>
              <w:spacing w:line="360" w:lineRule="auto"/>
              <w:jc w:val="both"/>
              <w:rPr>
                <w:rFonts w:ascii="Book Antiqua" w:hAnsi="Book Antiqua"/>
              </w:rPr>
            </w:pPr>
            <w:r w:rsidRPr="00D35475">
              <w:rPr>
                <w:rFonts w:ascii="Book Antiqua" w:hAnsi="Book Antiqua"/>
              </w:rPr>
              <w:t>47</w:t>
            </w:r>
          </w:p>
        </w:tc>
      </w:tr>
      <w:tr w:rsidR="005A3556" w:rsidRPr="00D35475" w14:paraId="2993C92A" w14:textId="77777777" w:rsidTr="00643A5D">
        <w:trPr>
          <w:trHeight w:val="968"/>
        </w:trPr>
        <w:tc>
          <w:tcPr>
            <w:tcW w:w="1630" w:type="dxa"/>
            <w:tcBorders>
              <w:bottom w:val="single" w:sz="8" w:space="0" w:color="auto"/>
            </w:tcBorders>
            <w:vAlign w:val="center"/>
          </w:tcPr>
          <w:p w14:paraId="46E0E7B7" w14:textId="4286E6B6" w:rsidR="005A3556" w:rsidRPr="00D35475" w:rsidRDefault="005A3556" w:rsidP="000E27CD">
            <w:pPr>
              <w:adjustRightInd w:val="0"/>
              <w:snapToGrid w:val="0"/>
              <w:spacing w:line="360" w:lineRule="auto"/>
              <w:jc w:val="both"/>
              <w:rPr>
                <w:rFonts w:ascii="Book Antiqua" w:hAnsi="Book Antiqua"/>
              </w:rPr>
            </w:pPr>
            <w:r w:rsidRPr="00D35475">
              <w:rPr>
                <w:rFonts w:ascii="Book Antiqua" w:hAnsi="Book Antiqua"/>
              </w:rPr>
              <w:t xml:space="preserve">Gimm </w:t>
            </w:r>
            <w:r w:rsidRPr="00D35475">
              <w:rPr>
                <w:rFonts w:ascii="Book Antiqua" w:hAnsi="Book Antiqua"/>
                <w:i/>
                <w:iCs/>
              </w:rPr>
              <w:t>et al</w:t>
            </w:r>
            <w:r w:rsidRPr="00D35475">
              <w:rPr>
                <w:rFonts w:ascii="Book Antiqua" w:hAnsi="Book Antiqua"/>
                <w:vertAlign w:val="superscript"/>
              </w:rPr>
              <w:t>[44]</w:t>
            </w:r>
          </w:p>
        </w:tc>
        <w:tc>
          <w:tcPr>
            <w:tcW w:w="1467" w:type="dxa"/>
            <w:tcBorders>
              <w:bottom w:val="single" w:sz="8" w:space="0" w:color="auto"/>
            </w:tcBorders>
            <w:vAlign w:val="center"/>
          </w:tcPr>
          <w:p w14:paraId="3D26390A" w14:textId="77777777" w:rsidR="005A3556" w:rsidRPr="00D35475" w:rsidRDefault="005A3556" w:rsidP="000E27CD">
            <w:pPr>
              <w:adjustRightInd w:val="0"/>
              <w:snapToGrid w:val="0"/>
              <w:spacing w:line="360" w:lineRule="auto"/>
              <w:jc w:val="both"/>
              <w:rPr>
                <w:rFonts w:ascii="Book Antiqua" w:hAnsi="Book Antiqua"/>
              </w:rPr>
            </w:pPr>
            <w:r w:rsidRPr="00D35475">
              <w:rPr>
                <w:rFonts w:ascii="Book Antiqua" w:hAnsi="Book Antiqua"/>
              </w:rPr>
              <w:t>Gut and Liver 2018</w:t>
            </w:r>
          </w:p>
        </w:tc>
        <w:tc>
          <w:tcPr>
            <w:tcW w:w="1297" w:type="dxa"/>
            <w:tcBorders>
              <w:bottom w:val="single" w:sz="8" w:space="0" w:color="auto"/>
            </w:tcBorders>
          </w:tcPr>
          <w:p w14:paraId="7E66FB23" w14:textId="25AF0FD6" w:rsidR="005A3556" w:rsidRPr="00D35475" w:rsidRDefault="005A3556" w:rsidP="000E27CD">
            <w:pPr>
              <w:adjustRightInd w:val="0"/>
              <w:snapToGrid w:val="0"/>
              <w:spacing w:line="360" w:lineRule="auto"/>
              <w:jc w:val="both"/>
              <w:rPr>
                <w:rFonts w:ascii="Book Antiqua" w:hAnsi="Book Antiqua"/>
              </w:rPr>
            </w:pPr>
            <w:r w:rsidRPr="00435704">
              <w:rPr>
                <w:rFonts w:ascii="Book Antiqua" w:hAnsi="Book Antiqua"/>
              </w:rPr>
              <w:t>South Korea</w:t>
            </w:r>
          </w:p>
        </w:tc>
        <w:tc>
          <w:tcPr>
            <w:tcW w:w="2288" w:type="dxa"/>
            <w:tcBorders>
              <w:bottom w:val="single" w:sz="8" w:space="0" w:color="auto"/>
            </w:tcBorders>
            <w:vAlign w:val="center"/>
          </w:tcPr>
          <w:p w14:paraId="4FBD6AFF" w14:textId="77777777" w:rsidR="005A3556" w:rsidRPr="00D35475" w:rsidRDefault="005A3556" w:rsidP="000E27CD">
            <w:pPr>
              <w:adjustRightInd w:val="0"/>
              <w:snapToGrid w:val="0"/>
              <w:spacing w:line="360" w:lineRule="auto"/>
              <w:jc w:val="both"/>
              <w:rPr>
                <w:rFonts w:ascii="Book Antiqua" w:hAnsi="Book Antiqua"/>
              </w:rPr>
            </w:pPr>
            <w:r w:rsidRPr="00D35475">
              <w:rPr>
                <w:rFonts w:ascii="Book Antiqua" w:hAnsi="Book Antiqua"/>
              </w:rPr>
              <w:t>Retrospective</w:t>
            </w:r>
          </w:p>
          <w:p w14:paraId="30BE8717" w14:textId="77777777" w:rsidR="005A3556" w:rsidRPr="00D35475" w:rsidRDefault="005A3556" w:rsidP="000E27CD">
            <w:pPr>
              <w:adjustRightInd w:val="0"/>
              <w:snapToGrid w:val="0"/>
              <w:spacing w:line="360" w:lineRule="auto"/>
              <w:jc w:val="both"/>
              <w:rPr>
                <w:rFonts w:ascii="Book Antiqua" w:hAnsi="Book Antiqua"/>
              </w:rPr>
            </w:pPr>
            <w:r w:rsidRPr="00D35475">
              <w:rPr>
                <w:rFonts w:ascii="Book Antiqua" w:hAnsi="Book Antiqua"/>
              </w:rPr>
              <w:t>Single institution</w:t>
            </w:r>
          </w:p>
        </w:tc>
        <w:tc>
          <w:tcPr>
            <w:tcW w:w="1793" w:type="dxa"/>
            <w:tcBorders>
              <w:bottom w:val="single" w:sz="8" w:space="0" w:color="auto"/>
            </w:tcBorders>
            <w:vAlign w:val="center"/>
          </w:tcPr>
          <w:p w14:paraId="185137A7" w14:textId="77777777" w:rsidR="005A3556" w:rsidRPr="00D35475" w:rsidRDefault="005A3556" w:rsidP="000E27CD">
            <w:pPr>
              <w:adjustRightInd w:val="0"/>
              <w:snapToGrid w:val="0"/>
              <w:spacing w:line="360" w:lineRule="auto"/>
              <w:jc w:val="both"/>
              <w:rPr>
                <w:rFonts w:ascii="Book Antiqua" w:hAnsi="Book Antiqua"/>
              </w:rPr>
            </w:pPr>
            <w:r w:rsidRPr="00D35475">
              <w:rPr>
                <w:rFonts w:ascii="Book Antiqua" w:hAnsi="Book Antiqua"/>
              </w:rPr>
              <w:t>157</w:t>
            </w:r>
          </w:p>
        </w:tc>
        <w:tc>
          <w:tcPr>
            <w:tcW w:w="1304" w:type="dxa"/>
            <w:tcBorders>
              <w:bottom w:val="single" w:sz="8" w:space="0" w:color="auto"/>
            </w:tcBorders>
            <w:vAlign w:val="center"/>
          </w:tcPr>
          <w:p w14:paraId="7ED0C147" w14:textId="77777777" w:rsidR="005A3556" w:rsidRPr="00D35475" w:rsidRDefault="005A3556" w:rsidP="000E27CD">
            <w:pPr>
              <w:adjustRightInd w:val="0"/>
              <w:snapToGrid w:val="0"/>
              <w:spacing w:line="360" w:lineRule="auto"/>
              <w:jc w:val="both"/>
              <w:rPr>
                <w:rFonts w:ascii="Book Antiqua" w:hAnsi="Book Antiqua"/>
              </w:rPr>
            </w:pPr>
            <w:r w:rsidRPr="00D35475">
              <w:rPr>
                <w:rFonts w:ascii="Book Antiqua" w:hAnsi="Book Antiqua"/>
              </w:rPr>
              <w:t>19</w:t>
            </w:r>
          </w:p>
        </w:tc>
      </w:tr>
    </w:tbl>
    <w:p w14:paraId="5E772B2D" w14:textId="0C3AFD46"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BRTO: </w:t>
      </w:r>
      <w:r w:rsidR="0037320A" w:rsidRPr="00D35475">
        <w:rPr>
          <w:rFonts w:ascii="Book Antiqua" w:hAnsi="Book Antiqua"/>
        </w:rPr>
        <w:t>B</w:t>
      </w:r>
      <w:r w:rsidRPr="00D35475">
        <w:rPr>
          <w:rFonts w:ascii="Book Antiqua" w:hAnsi="Book Antiqua"/>
        </w:rPr>
        <w:t>alloon-occluded retrograde transvenous obliteration</w:t>
      </w:r>
      <w:r w:rsidR="0037320A" w:rsidRPr="00D35475">
        <w:rPr>
          <w:rFonts w:ascii="Book Antiqua" w:hAnsi="Book Antiqua"/>
        </w:rPr>
        <w:t xml:space="preserve">; </w:t>
      </w:r>
      <w:r w:rsidRPr="00D35475">
        <w:rPr>
          <w:rFonts w:ascii="Book Antiqua" w:hAnsi="Book Antiqua"/>
        </w:rPr>
        <w:t xml:space="preserve">TIPS: </w:t>
      </w:r>
      <w:r w:rsidR="0037320A" w:rsidRPr="00D35475">
        <w:rPr>
          <w:rFonts w:ascii="Book Antiqua" w:hAnsi="Book Antiqua"/>
        </w:rPr>
        <w:t>T</w:t>
      </w:r>
      <w:r w:rsidRPr="00D35475">
        <w:rPr>
          <w:rFonts w:ascii="Book Antiqua" w:hAnsi="Book Antiqua"/>
        </w:rPr>
        <w:t>ransjugular intrahepatic portosystemic shunt</w:t>
      </w:r>
      <w:r w:rsidR="0037320A" w:rsidRPr="00D35475">
        <w:rPr>
          <w:rFonts w:ascii="Book Antiqua" w:hAnsi="Book Antiqua"/>
        </w:rPr>
        <w:t xml:space="preserve">; </w:t>
      </w:r>
      <w:r w:rsidRPr="00D35475">
        <w:rPr>
          <w:rFonts w:ascii="Book Antiqua" w:hAnsi="Book Antiqua"/>
        </w:rPr>
        <w:t xml:space="preserve">RCT: </w:t>
      </w:r>
      <w:r w:rsidR="0037320A" w:rsidRPr="00D35475">
        <w:rPr>
          <w:rFonts w:ascii="Book Antiqua" w:hAnsi="Book Antiqua"/>
        </w:rPr>
        <w:t>R</w:t>
      </w:r>
      <w:r w:rsidRPr="00D35475">
        <w:rPr>
          <w:rFonts w:ascii="Book Antiqua" w:hAnsi="Book Antiqua"/>
        </w:rPr>
        <w:t>andomized controlled trial</w:t>
      </w:r>
      <w:r w:rsidR="0037320A" w:rsidRPr="00D35475">
        <w:rPr>
          <w:rFonts w:ascii="Book Antiqua" w:hAnsi="Book Antiqua"/>
        </w:rPr>
        <w:t xml:space="preserve">; </w:t>
      </w:r>
      <w:r w:rsidRPr="00D35475">
        <w:rPr>
          <w:rFonts w:ascii="Book Antiqua" w:hAnsi="Book Antiqua"/>
        </w:rPr>
        <w:t xml:space="preserve">PTS: </w:t>
      </w:r>
      <w:r w:rsidR="0037320A" w:rsidRPr="00D35475">
        <w:rPr>
          <w:rFonts w:ascii="Book Antiqua" w:hAnsi="Book Antiqua"/>
        </w:rPr>
        <w:t>P</w:t>
      </w:r>
      <w:r w:rsidRPr="00D35475">
        <w:rPr>
          <w:rFonts w:ascii="Book Antiqua" w:hAnsi="Book Antiqua"/>
        </w:rPr>
        <w:t>ercutaneous transhepatic sclerotherapy</w:t>
      </w:r>
      <w:r w:rsidR="0037320A" w:rsidRPr="00D35475">
        <w:rPr>
          <w:rFonts w:ascii="Book Antiqua" w:hAnsi="Book Antiqua"/>
        </w:rPr>
        <w:t>.</w:t>
      </w:r>
    </w:p>
    <w:p w14:paraId="1CC041C2" w14:textId="01BCE4BC"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rPr>
        <w:br w:type="page"/>
      </w:r>
      <w:r w:rsidR="005D1FFA" w:rsidRPr="00D35475">
        <w:rPr>
          <w:rFonts w:ascii="Book Antiqua" w:hAnsi="Book Antiqua"/>
          <w:b/>
          <w:bCs/>
        </w:rPr>
        <w:lastRenderedPageBreak/>
        <w:t>Table 2 Materials used and technical success rate</w:t>
      </w:r>
    </w:p>
    <w:tbl>
      <w:tblPr>
        <w:tblStyle w:val="a3"/>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1"/>
        <w:gridCol w:w="2578"/>
        <w:gridCol w:w="1772"/>
        <w:gridCol w:w="1772"/>
        <w:gridCol w:w="1588"/>
      </w:tblGrid>
      <w:tr w:rsidR="00CD48BE" w:rsidRPr="00D35475" w14:paraId="404131EB" w14:textId="77777777" w:rsidTr="000E229B">
        <w:trPr>
          <w:trHeight w:val="437"/>
        </w:trPr>
        <w:tc>
          <w:tcPr>
            <w:tcW w:w="2071" w:type="dxa"/>
            <w:vMerge w:val="restart"/>
            <w:tcBorders>
              <w:top w:val="single" w:sz="8" w:space="0" w:color="auto"/>
            </w:tcBorders>
            <w:vAlign w:val="center"/>
          </w:tcPr>
          <w:p w14:paraId="5D14F88F" w14:textId="4ACF76B7" w:rsidR="00CD48BE" w:rsidRPr="00D35475" w:rsidRDefault="005D1FFA" w:rsidP="000E27CD">
            <w:pPr>
              <w:adjustRightInd w:val="0"/>
              <w:snapToGrid w:val="0"/>
              <w:spacing w:line="360" w:lineRule="auto"/>
              <w:jc w:val="both"/>
              <w:rPr>
                <w:rFonts w:ascii="Book Antiqua" w:hAnsi="Book Antiqua"/>
                <w:b/>
                <w:bCs/>
              </w:rPr>
            </w:pPr>
            <w:r w:rsidRPr="00D35475">
              <w:rPr>
                <w:rFonts w:ascii="Book Antiqua" w:hAnsi="Book Antiqua"/>
                <w:b/>
                <w:bCs/>
              </w:rPr>
              <w:t>Ref.</w:t>
            </w:r>
          </w:p>
        </w:tc>
        <w:tc>
          <w:tcPr>
            <w:tcW w:w="2578" w:type="dxa"/>
            <w:tcBorders>
              <w:top w:val="single" w:sz="8" w:space="0" w:color="auto"/>
              <w:bottom w:val="single" w:sz="4" w:space="0" w:color="auto"/>
            </w:tcBorders>
            <w:vAlign w:val="center"/>
          </w:tcPr>
          <w:p w14:paraId="08907A2B"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BRTO</w:t>
            </w:r>
          </w:p>
        </w:tc>
        <w:tc>
          <w:tcPr>
            <w:tcW w:w="1772" w:type="dxa"/>
            <w:tcBorders>
              <w:top w:val="single" w:sz="8" w:space="0" w:color="auto"/>
              <w:bottom w:val="single" w:sz="4" w:space="0" w:color="auto"/>
            </w:tcBorders>
            <w:vAlign w:val="center"/>
          </w:tcPr>
          <w:p w14:paraId="29AB6C89" w14:textId="214DA1A6" w:rsidR="00CD48BE" w:rsidRPr="00D35475" w:rsidRDefault="005D1FFA" w:rsidP="000E27CD">
            <w:pPr>
              <w:adjustRightInd w:val="0"/>
              <w:snapToGrid w:val="0"/>
              <w:spacing w:line="360" w:lineRule="auto"/>
              <w:jc w:val="both"/>
              <w:rPr>
                <w:rFonts w:ascii="Book Antiqua" w:hAnsi="Book Antiqua"/>
                <w:b/>
                <w:bCs/>
              </w:rPr>
            </w:pPr>
            <w:r w:rsidRPr="00D35475">
              <w:rPr>
                <w:rFonts w:ascii="Book Antiqua" w:hAnsi="Book Antiqua"/>
                <w:b/>
                <w:bCs/>
              </w:rPr>
              <w:t>Tips</w:t>
            </w:r>
          </w:p>
        </w:tc>
        <w:tc>
          <w:tcPr>
            <w:tcW w:w="3360" w:type="dxa"/>
            <w:gridSpan w:val="2"/>
            <w:tcBorders>
              <w:top w:val="single" w:sz="8" w:space="0" w:color="auto"/>
              <w:bottom w:val="single" w:sz="4" w:space="0" w:color="auto"/>
            </w:tcBorders>
            <w:vAlign w:val="center"/>
          </w:tcPr>
          <w:p w14:paraId="306F7DFD"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Technical success rate</w:t>
            </w:r>
          </w:p>
        </w:tc>
      </w:tr>
      <w:tr w:rsidR="00CD48BE" w:rsidRPr="00D35475" w14:paraId="52E431A7" w14:textId="77777777" w:rsidTr="000E229B">
        <w:trPr>
          <w:trHeight w:val="450"/>
        </w:trPr>
        <w:tc>
          <w:tcPr>
            <w:tcW w:w="2071" w:type="dxa"/>
            <w:vMerge/>
            <w:tcBorders>
              <w:bottom w:val="single" w:sz="8" w:space="0" w:color="auto"/>
            </w:tcBorders>
            <w:vAlign w:val="center"/>
          </w:tcPr>
          <w:p w14:paraId="2024EA80" w14:textId="77777777" w:rsidR="00CD48BE" w:rsidRPr="00D35475" w:rsidRDefault="00CD48BE" w:rsidP="000E27CD">
            <w:pPr>
              <w:adjustRightInd w:val="0"/>
              <w:snapToGrid w:val="0"/>
              <w:spacing w:line="360" w:lineRule="auto"/>
              <w:jc w:val="both"/>
              <w:rPr>
                <w:rFonts w:ascii="Book Antiqua" w:hAnsi="Book Antiqua"/>
                <w:b/>
                <w:bCs/>
              </w:rPr>
            </w:pPr>
          </w:p>
        </w:tc>
        <w:tc>
          <w:tcPr>
            <w:tcW w:w="2578" w:type="dxa"/>
            <w:tcBorders>
              <w:top w:val="single" w:sz="4" w:space="0" w:color="auto"/>
              <w:bottom w:val="single" w:sz="8" w:space="0" w:color="auto"/>
            </w:tcBorders>
            <w:vAlign w:val="center"/>
          </w:tcPr>
          <w:p w14:paraId="4344FA14"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sclerosant</w:t>
            </w:r>
          </w:p>
        </w:tc>
        <w:tc>
          <w:tcPr>
            <w:tcW w:w="1772" w:type="dxa"/>
            <w:tcBorders>
              <w:top w:val="single" w:sz="4" w:space="0" w:color="auto"/>
              <w:bottom w:val="single" w:sz="8" w:space="0" w:color="auto"/>
            </w:tcBorders>
            <w:vAlign w:val="center"/>
          </w:tcPr>
          <w:p w14:paraId="483AB957"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Stent type</w:t>
            </w:r>
          </w:p>
        </w:tc>
        <w:tc>
          <w:tcPr>
            <w:tcW w:w="1772" w:type="dxa"/>
            <w:tcBorders>
              <w:top w:val="single" w:sz="4" w:space="0" w:color="auto"/>
              <w:bottom w:val="single" w:sz="8" w:space="0" w:color="auto"/>
            </w:tcBorders>
            <w:vAlign w:val="center"/>
          </w:tcPr>
          <w:p w14:paraId="0FE523E9"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BRTO</w:t>
            </w:r>
          </w:p>
        </w:tc>
        <w:tc>
          <w:tcPr>
            <w:tcW w:w="1588" w:type="dxa"/>
            <w:tcBorders>
              <w:top w:val="single" w:sz="4" w:space="0" w:color="auto"/>
              <w:bottom w:val="single" w:sz="8" w:space="0" w:color="auto"/>
            </w:tcBorders>
            <w:vAlign w:val="center"/>
          </w:tcPr>
          <w:p w14:paraId="649F6B4C"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TIPS</w:t>
            </w:r>
          </w:p>
        </w:tc>
      </w:tr>
      <w:tr w:rsidR="00CD48BE" w:rsidRPr="00D35475" w14:paraId="16E6AB44" w14:textId="77777777" w:rsidTr="000E229B">
        <w:trPr>
          <w:trHeight w:val="184"/>
        </w:trPr>
        <w:tc>
          <w:tcPr>
            <w:tcW w:w="2071" w:type="dxa"/>
            <w:tcBorders>
              <w:top w:val="single" w:sz="8" w:space="0" w:color="auto"/>
            </w:tcBorders>
            <w:vAlign w:val="center"/>
          </w:tcPr>
          <w:p w14:paraId="1751B4DA" w14:textId="5562CE7F"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Choi </w:t>
            </w:r>
            <w:r w:rsidR="005D1FFA" w:rsidRPr="00D35475">
              <w:rPr>
                <w:rFonts w:ascii="Book Antiqua" w:hAnsi="Book Antiqua"/>
                <w:i/>
                <w:iCs/>
              </w:rPr>
              <w:t>et al</w:t>
            </w:r>
            <w:r w:rsidRPr="00D35475">
              <w:rPr>
                <w:rFonts w:ascii="Book Antiqua" w:hAnsi="Book Antiqua"/>
                <w:vertAlign w:val="superscript"/>
              </w:rPr>
              <w:t>[39]</w:t>
            </w:r>
          </w:p>
        </w:tc>
        <w:tc>
          <w:tcPr>
            <w:tcW w:w="2578" w:type="dxa"/>
            <w:tcBorders>
              <w:top w:val="single" w:sz="8" w:space="0" w:color="auto"/>
            </w:tcBorders>
            <w:vAlign w:val="center"/>
          </w:tcPr>
          <w:p w14:paraId="3493D93A"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EO</w:t>
            </w:r>
          </w:p>
        </w:tc>
        <w:tc>
          <w:tcPr>
            <w:tcW w:w="1772" w:type="dxa"/>
            <w:tcBorders>
              <w:top w:val="single" w:sz="8" w:space="0" w:color="auto"/>
            </w:tcBorders>
            <w:vAlign w:val="center"/>
          </w:tcPr>
          <w:p w14:paraId="27014B3B" w14:textId="20179E78" w:rsidR="00CD48BE" w:rsidRPr="00D35475" w:rsidRDefault="005D1FFA" w:rsidP="000E27CD">
            <w:pPr>
              <w:adjustRightInd w:val="0"/>
              <w:snapToGrid w:val="0"/>
              <w:spacing w:line="360" w:lineRule="auto"/>
              <w:jc w:val="both"/>
              <w:rPr>
                <w:rFonts w:ascii="Book Antiqua" w:hAnsi="Book Antiqua"/>
              </w:rPr>
            </w:pPr>
            <w:r w:rsidRPr="00D35475">
              <w:rPr>
                <w:rFonts w:ascii="Book Antiqua" w:hAnsi="Book Antiqua"/>
              </w:rPr>
              <w:t>Bare</w:t>
            </w:r>
          </w:p>
        </w:tc>
        <w:tc>
          <w:tcPr>
            <w:tcW w:w="1772" w:type="dxa"/>
            <w:tcBorders>
              <w:top w:val="single" w:sz="8" w:space="0" w:color="auto"/>
            </w:tcBorders>
            <w:vAlign w:val="center"/>
          </w:tcPr>
          <w:p w14:paraId="77AFE302" w14:textId="746CB9AD"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8/8</w:t>
            </w:r>
          </w:p>
        </w:tc>
        <w:tc>
          <w:tcPr>
            <w:tcW w:w="1588" w:type="dxa"/>
            <w:tcBorders>
              <w:top w:val="single" w:sz="8" w:space="0" w:color="auto"/>
            </w:tcBorders>
            <w:vAlign w:val="center"/>
          </w:tcPr>
          <w:p w14:paraId="31A4B5FE" w14:textId="3C8AF4F3"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13/13</w:t>
            </w:r>
          </w:p>
        </w:tc>
      </w:tr>
      <w:tr w:rsidR="00CD48BE" w:rsidRPr="00D35475" w14:paraId="4B9BCE63" w14:textId="77777777" w:rsidTr="000E229B">
        <w:trPr>
          <w:trHeight w:val="131"/>
        </w:trPr>
        <w:tc>
          <w:tcPr>
            <w:tcW w:w="2071" w:type="dxa"/>
            <w:vAlign w:val="center"/>
          </w:tcPr>
          <w:p w14:paraId="2A4508F3" w14:textId="57157AE9"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Ninoi </w:t>
            </w:r>
            <w:r w:rsidR="005D1FFA" w:rsidRPr="00D35475">
              <w:rPr>
                <w:rFonts w:ascii="Book Antiqua" w:hAnsi="Book Antiqua"/>
                <w:i/>
                <w:iCs/>
              </w:rPr>
              <w:t>et al</w:t>
            </w:r>
            <w:r w:rsidRPr="00D35475">
              <w:rPr>
                <w:rFonts w:ascii="Book Antiqua" w:hAnsi="Book Antiqua"/>
                <w:vertAlign w:val="superscript"/>
              </w:rPr>
              <w:t>[40]</w:t>
            </w:r>
          </w:p>
        </w:tc>
        <w:tc>
          <w:tcPr>
            <w:tcW w:w="2578" w:type="dxa"/>
            <w:vAlign w:val="center"/>
          </w:tcPr>
          <w:p w14:paraId="3575236D"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EO</w:t>
            </w:r>
          </w:p>
        </w:tc>
        <w:tc>
          <w:tcPr>
            <w:tcW w:w="1772" w:type="dxa"/>
            <w:vAlign w:val="center"/>
          </w:tcPr>
          <w:p w14:paraId="69DCDB92" w14:textId="09D2C906" w:rsidR="00CD48BE" w:rsidRPr="00D35475" w:rsidRDefault="005D1FFA" w:rsidP="000E27CD">
            <w:pPr>
              <w:adjustRightInd w:val="0"/>
              <w:snapToGrid w:val="0"/>
              <w:spacing w:line="360" w:lineRule="auto"/>
              <w:jc w:val="both"/>
              <w:rPr>
                <w:rFonts w:ascii="Book Antiqua" w:hAnsi="Book Antiqua"/>
              </w:rPr>
            </w:pPr>
            <w:r w:rsidRPr="00D35475">
              <w:rPr>
                <w:rFonts w:ascii="Book Antiqua" w:hAnsi="Book Antiqua"/>
              </w:rPr>
              <w:t>Bare</w:t>
            </w:r>
          </w:p>
        </w:tc>
        <w:tc>
          <w:tcPr>
            <w:tcW w:w="1772" w:type="dxa"/>
            <w:vAlign w:val="center"/>
          </w:tcPr>
          <w:p w14:paraId="58E05B1C" w14:textId="7162005A"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49/58</w:t>
            </w:r>
          </w:p>
        </w:tc>
        <w:tc>
          <w:tcPr>
            <w:tcW w:w="1588" w:type="dxa"/>
            <w:vAlign w:val="center"/>
          </w:tcPr>
          <w:p w14:paraId="321430AB" w14:textId="536C57DE"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27/27</w:t>
            </w:r>
          </w:p>
        </w:tc>
      </w:tr>
      <w:tr w:rsidR="00CD48BE" w:rsidRPr="00D35475" w14:paraId="631E886D" w14:textId="77777777" w:rsidTr="000E229B">
        <w:trPr>
          <w:trHeight w:val="641"/>
        </w:trPr>
        <w:tc>
          <w:tcPr>
            <w:tcW w:w="2071" w:type="dxa"/>
            <w:vAlign w:val="center"/>
          </w:tcPr>
          <w:p w14:paraId="334983A2" w14:textId="79D0F702"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Sabri </w:t>
            </w:r>
            <w:r w:rsidR="005D1FFA" w:rsidRPr="00D35475">
              <w:rPr>
                <w:rFonts w:ascii="Book Antiqua" w:hAnsi="Book Antiqua"/>
                <w:i/>
                <w:iCs/>
              </w:rPr>
              <w:t>et al</w:t>
            </w:r>
            <w:r w:rsidRPr="00D35475">
              <w:rPr>
                <w:rFonts w:ascii="Book Antiqua" w:hAnsi="Book Antiqua"/>
                <w:vertAlign w:val="superscript"/>
              </w:rPr>
              <w:t>[41]</w:t>
            </w:r>
          </w:p>
        </w:tc>
        <w:tc>
          <w:tcPr>
            <w:tcW w:w="2578" w:type="dxa"/>
            <w:vAlign w:val="center"/>
          </w:tcPr>
          <w:p w14:paraId="264BA543"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STS</w:t>
            </w:r>
          </w:p>
        </w:tc>
        <w:tc>
          <w:tcPr>
            <w:tcW w:w="1772" w:type="dxa"/>
            <w:vAlign w:val="center"/>
          </w:tcPr>
          <w:p w14:paraId="3F0FB2CA" w14:textId="3D390128" w:rsidR="00CD48BE" w:rsidRPr="00D35475" w:rsidRDefault="005D1FFA" w:rsidP="000E27CD">
            <w:pPr>
              <w:adjustRightInd w:val="0"/>
              <w:snapToGrid w:val="0"/>
              <w:spacing w:line="360" w:lineRule="auto"/>
              <w:jc w:val="both"/>
              <w:rPr>
                <w:rFonts w:ascii="Book Antiqua" w:hAnsi="Book Antiqua"/>
              </w:rPr>
            </w:pPr>
            <w:r w:rsidRPr="00D35475">
              <w:rPr>
                <w:rFonts w:ascii="Book Antiqua" w:hAnsi="Book Antiqua"/>
              </w:rPr>
              <w:t>Covered</w:t>
            </w:r>
          </w:p>
        </w:tc>
        <w:tc>
          <w:tcPr>
            <w:tcW w:w="1772" w:type="dxa"/>
            <w:vAlign w:val="center"/>
          </w:tcPr>
          <w:p w14:paraId="584AB2BE" w14:textId="3E37629F"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21/23</w:t>
            </w:r>
          </w:p>
        </w:tc>
        <w:tc>
          <w:tcPr>
            <w:tcW w:w="1588" w:type="dxa"/>
            <w:vAlign w:val="center"/>
          </w:tcPr>
          <w:p w14:paraId="44B8082D" w14:textId="5FAB9AD4"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27/27</w:t>
            </w:r>
          </w:p>
        </w:tc>
      </w:tr>
      <w:tr w:rsidR="00CD48BE" w:rsidRPr="00D35475" w14:paraId="5DD1FDCB" w14:textId="77777777" w:rsidTr="000E229B">
        <w:trPr>
          <w:trHeight w:val="450"/>
        </w:trPr>
        <w:tc>
          <w:tcPr>
            <w:tcW w:w="2071" w:type="dxa"/>
            <w:vAlign w:val="center"/>
          </w:tcPr>
          <w:p w14:paraId="2564B4E3" w14:textId="5585A8C5"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Kim </w:t>
            </w:r>
            <w:r w:rsidR="005D1FFA" w:rsidRPr="00D35475">
              <w:rPr>
                <w:rFonts w:ascii="Book Antiqua" w:hAnsi="Book Antiqua"/>
                <w:i/>
                <w:iCs/>
              </w:rPr>
              <w:t>et al</w:t>
            </w:r>
            <w:r w:rsidRPr="00D35475">
              <w:rPr>
                <w:rFonts w:ascii="Book Antiqua" w:hAnsi="Book Antiqua"/>
                <w:vertAlign w:val="superscript"/>
              </w:rPr>
              <w:t>[42]</w:t>
            </w:r>
          </w:p>
        </w:tc>
        <w:tc>
          <w:tcPr>
            <w:tcW w:w="2578" w:type="dxa"/>
            <w:vAlign w:val="center"/>
          </w:tcPr>
          <w:p w14:paraId="237C2289"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EO, STS</w:t>
            </w:r>
          </w:p>
        </w:tc>
        <w:tc>
          <w:tcPr>
            <w:tcW w:w="1772" w:type="dxa"/>
            <w:vAlign w:val="center"/>
          </w:tcPr>
          <w:p w14:paraId="6C45B2D7" w14:textId="215A6804" w:rsidR="00CD48BE" w:rsidRPr="00D35475" w:rsidRDefault="005D1FFA" w:rsidP="000E27CD">
            <w:pPr>
              <w:adjustRightInd w:val="0"/>
              <w:snapToGrid w:val="0"/>
              <w:spacing w:line="360" w:lineRule="auto"/>
              <w:jc w:val="both"/>
              <w:rPr>
                <w:rFonts w:ascii="Book Antiqua" w:hAnsi="Book Antiqua"/>
              </w:rPr>
            </w:pPr>
            <w:r w:rsidRPr="00D35475">
              <w:rPr>
                <w:rFonts w:ascii="Book Antiqua" w:hAnsi="Book Antiqua"/>
              </w:rPr>
              <w:t>Covered</w:t>
            </w:r>
          </w:p>
        </w:tc>
        <w:tc>
          <w:tcPr>
            <w:tcW w:w="1772" w:type="dxa"/>
            <w:vAlign w:val="center"/>
          </w:tcPr>
          <w:p w14:paraId="48EAD07A" w14:textId="423764EC"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22/25</w:t>
            </w:r>
          </w:p>
        </w:tc>
        <w:tc>
          <w:tcPr>
            <w:tcW w:w="1588" w:type="dxa"/>
            <w:vAlign w:val="center"/>
          </w:tcPr>
          <w:p w14:paraId="734CA139" w14:textId="7D0FD1E8"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27/27</w:t>
            </w:r>
          </w:p>
        </w:tc>
      </w:tr>
      <w:tr w:rsidR="00CD48BE" w:rsidRPr="00D35475" w14:paraId="5BDEC925" w14:textId="77777777" w:rsidTr="000E229B">
        <w:trPr>
          <w:trHeight w:val="533"/>
        </w:trPr>
        <w:tc>
          <w:tcPr>
            <w:tcW w:w="2071" w:type="dxa"/>
            <w:vAlign w:val="center"/>
          </w:tcPr>
          <w:p w14:paraId="5C0238C6" w14:textId="1CA25DFF"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Lee </w:t>
            </w:r>
            <w:r w:rsidR="005D1FFA" w:rsidRPr="00D35475">
              <w:rPr>
                <w:rFonts w:ascii="Book Antiqua" w:hAnsi="Book Antiqua"/>
                <w:i/>
                <w:iCs/>
              </w:rPr>
              <w:t>et al</w:t>
            </w:r>
            <w:r w:rsidRPr="00D35475">
              <w:rPr>
                <w:rFonts w:ascii="Book Antiqua" w:hAnsi="Book Antiqua"/>
                <w:vertAlign w:val="superscript"/>
              </w:rPr>
              <w:t>[43]</w:t>
            </w:r>
          </w:p>
        </w:tc>
        <w:tc>
          <w:tcPr>
            <w:tcW w:w="2578" w:type="dxa"/>
            <w:vAlign w:val="center"/>
          </w:tcPr>
          <w:p w14:paraId="5C48F093"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EO, STS, polidocanol</w:t>
            </w:r>
          </w:p>
        </w:tc>
        <w:tc>
          <w:tcPr>
            <w:tcW w:w="1772" w:type="dxa"/>
            <w:vAlign w:val="center"/>
          </w:tcPr>
          <w:p w14:paraId="75421FC6" w14:textId="72975786" w:rsidR="00CD48BE" w:rsidRPr="00D35475" w:rsidRDefault="005D1FFA" w:rsidP="000E27CD">
            <w:pPr>
              <w:adjustRightInd w:val="0"/>
              <w:snapToGrid w:val="0"/>
              <w:spacing w:line="360" w:lineRule="auto"/>
              <w:jc w:val="both"/>
              <w:rPr>
                <w:rFonts w:ascii="Book Antiqua" w:hAnsi="Book Antiqua"/>
              </w:rPr>
            </w:pPr>
            <w:r w:rsidRPr="00D35475">
              <w:rPr>
                <w:rFonts w:ascii="Book Antiqua" w:hAnsi="Book Antiqua"/>
              </w:rPr>
              <w:t>Covered</w:t>
            </w:r>
          </w:p>
        </w:tc>
        <w:tc>
          <w:tcPr>
            <w:tcW w:w="1772" w:type="dxa"/>
            <w:vAlign w:val="center"/>
          </w:tcPr>
          <w:p w14:paraId="04C9F01C" w14:textId="6D4C0AF3"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106/123</w:t>
            </w:r>
          </w:p>
        </w:tc>
        <w:tc>
          <w:tcPr>
            <w:tcW w:w="1588" w:type="dxa"/>
            <w:vAlign w:val="center"/>
          </w:tcPr>
          <w:p w14:paraId="520D1B57" w14:textId="37752F71"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49/60</w:t>
            </w:r>
          </w:p>
        </w:tc>
      </w:tr>
      <w:tr w:rsidR="00CD48BE" w:rsidRPr="00D35475" w14:paraId="505E43EB" w14:textId="77777777" w:rsidTr="000E229B">
        <w:trPr>
          <w:trHeight w:val="70"/>
        </w:trPr>
        <w:tc>
          <w:tcPr>
            <w:tcW w:w="2071" w:type="dxa"/>
            <w:vAlign w:val="center"/>
          </w:tcPr>
          <w:p w14:paraId="0CD789E7" w14:textId="4DA0AED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Gimm </w:t>
            </w:r>
            <w:r w:rsidR="005D1FFA" w:rsidRPr="00D35475">
              <w:rPr>
                <w:rFonts w:ascii="Book Antiqua" w:hAnsi="Book Antiqua"/>
                <w:i/>
                <w:iCs/>
              </w:rPr>
              <w:t>et al</w:t>
            </w:r>
            <w:r w:rsidRPr="00D35475">
              <w:rPr>
                <w:rFonts w:ascii="Book Antiqua" w:hAnsi="Book Antiqua"/>
                <w:vertAlign w:val="superscript"/>
              </w:rPr>
              <w:t>[44]</w:t>
            </w:r>
          </w:p>
        </w:tc>
        <w:tc>
          <w:tcPr>
            <w:tcW w:w="2578" w:type="dxa"/>
            <w:vAlign w:val="center"/>
          </w:tcPr>
          <w:p w14:paraId="43D22741" w14:textId="7777777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EO, STS</w:t>
            </w:r>
          </w:p>
        </w:tc>
        <w:tc>
          <w:tcPr>
            <w:tcW w:w="1772" w:type="dxa"/>
            <w:vAlign w:val="center"/>
          </w:tcPr>
          <w:p w14:paraId="7038B543" w14:textId="77F4F3FD" w:rsidR="00CD48BE" w:rsidRPr="00D35475" w:rsidRDefault="005D1FFA" w:rsidP="000E27CD">
            <w:pPr>
              <w:adjustRightInd w:val="0"/>
              <w:snapToGrid w:val="0"/>
              <w:spacing w:line="360" w:lineRule="auto"/>
              <w:jc w:val="both"/>
              <w:rPr>
                <w:rFonts w:ascii="Book Antiqua" w:hAnsi="Book Antiqua"/>
              </w:rPr>
            </w:pPr>
            <w:r w:rsidRPr="00D35475">
              <w:rPr>
                <w:rFonts w:ascii="Book Antiqua" w:hAnsi="Book Antiqua"/>
              </w:rPr>
              <w:t>Bare, covered</w:t>
            </w:r>
          </w:p>
        </w:tc>
        <w:tc>
          <w:tcPr>
            <w:tcW w:w="1772" w:type="dxa"/>
            <w:vAlign w:val="center"/>
          </w:tcPr>
          <w:p w14:paraId="4A8EC493" w14:textId="3C68689B"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159/166</w:t>
            </w:r>
          </w:p>
        </w:tc>
        <w:tc>
          <w:tcPr>
            <w:tcW w:w="1588" w:type="dxa"/>
            <w:vAlign w:val="center"/>
          </w:tcPr>
          <w:p w14:paraId="62181158" w14:textId="7801044B"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19/22</w:t>
            </w:r>
          </w:p>
        </w:tc>
      </w:tr>
      <w:tr w:rsidR="00CE4818" w:rsidRPr="00D35475" w14:paraId="2248ED7E" w14:textId="77777777" w:rsidTr="000E229B">
        <w:trPr>
          <w:trHeight w:val="450"/>
        </w:trPr>
        <w:tc>
          <w:tcPr>
            <w:tcW w:w="2071" w:type="dxa"/>
            <w:vMerge w:val="restart"/>
            <w:vAlign w:val="center"/>
          </w:tcPr>
          <w:p w14:paraId="4B607E3D" w14:textId="10FA1635" w:rsidR="00CE4818" w:rsidRPr="00D35475" w:rsidRDefault="00CE4818" w:rsidP="000E27CD">
            <w:pPr>
              <w:adjustRightInd w:val="0"/>
              <w:snapToGrid w:val="0"/>
              <w:spacing w:line="360" w:lineRule="auto"/>
              <w:jc w:val="both"/>
              <w:rPr>
                <w:rFonts w:ascii="Book Antiqua" w:hAnsi="Book Antiqua"/>
              </w:rPr>
            </w:pPr>
            <w:r w:rsidRPr="00D35475">
              <w:rPr>
                <w:rFonts w:ascii="Book Antiqua" w:hAnsi="Book Antiqua"/>
              </w:rPr>
              <w:t>Total</w:t>
            </w:r>
          </w:p>
        </w:tc>
        <w:tc>
          <w:tcPr>
            <w:tcW w:w="2578" w:type="dxa"/>
            <w:vMerge w:val="restart"/>
            <w:vAlign w:val="center"/>
          </w:tcPr>
          <w:p w14:paraId="4FD7CB44" w14:textId="77777777" w:rsidR="00CE4818" w:rsidRPr="00D35475" w:rsidRDefault="00CE4818" w:rsidP="000E27CD">
            <w:pPr>
              <w:adjustRightInd w:val="0"/>
              <w:snapToGrid w:val="0"/>
              <w:spacing w:line="360" w:lineRule="auto"/>
              <w:jc w:val="both"/>
              <w:rPr>
                <w:rFonts w:ascii="Book Antiqua" w:hAnsi="Book Antiqua"/>
              </w:rPr>
            </w:pPr>
          </w:p>
        </w:tc>
        <w:tc>
          <w:tcPr>
            <w:tcW w:w="1772" w:type="dxa"/>
            <w:vMerge w:val="restart"/>
            <w:vAlign w:val="center"/>
          </w:tcPr>
          <w:p w14:paraId="249DD921" w14:textId="77777777" w:rsidR="00CE4818" w:rsidRPr="00D35475" w:rsidRDefault="00CE4818" w:rsidP="000E27CD">
            <w:pPr>
              <w:adjustRightInd w:val="0"/>
              <w:snapToGrid w:val="0"/>
              <w:spacing w:line="360" w:lineRule="auto"/>
              <w:jc w:val="both"/>
              <w:rPr>
                <w:rFonts w:ascii="Book Antiqua" w:hAnsi="Book Antiqua"/>
              </w:rPr>
            </w:pPr>
          </w:p>
        </w:tc>
        <w:tc>
          <w:tcPr>
            <w:tcW w:w="1772" w:type="dxa"/>
            <w:vAlign w:val="center"/>
          </w:tcPr>
          <w:p w14:paraId="569F9044" w14:textId="636B882A" w:rsidR="00CE4818" w:rsidRPr="00D35475" w:rsidRDefault="00CE4818" w:rsidP="000E27CD">
            <w:pPr>
              <w:adjustRightInd w:val="0"/>
              <w:snapToGrid w:val="0"/>
              <w:spacing w:line="360" w:lineRule="auto"/>
              <w:jc w:val="both"/>
              <w:rPr>
                <w:rFonts w:ascii="Book Antiqua" w:hAnsi="Book Antiqua"/>
              </w:rPr>
            </w:pPr>
            <w:r w:rsidRPr="00D35475">
              <w:rPr>
                <w:rFonts w:ascii="Book Antiqua" w:hAnsi="Book Antiqua"/>
              </w:rPr>
              <w:t>365/403</w:t>
            </w:r>
          </w:p>
        </w:tc>
        <w:tc>
          <w:tcPr>
            <w:tcW w:w="1588" w:type="dxa"/>
            <w:vAlign w:val="center"/>
          </w:tcPr>
          <w:p w14:paraId="426E7345" w14:textId="3430600E" w:rsidR="00CE4818" w:rsidRPr="00D35475" w:rsidRDefault="00CE4818" w:rsidP="000E27CD">
            <w:pPr>
              <w:adjustRightInd w:val="0"/>
              <w:snapToGrid w:val="0"/>
              <w:spacing w:line="360" w:lineRule="auto"/>
              <w:jc w:val="both"/>
              <w:rPr>
                <w:rFonts w:ascii="Book Antiqua" w:hAnsi="Book Antiqua"/>
              </w:rPr>
            </w:pPr>
            <w:r w:rsidRPr="00D35475">
              <w:rPr>
                <w:rFonts w:ascii="Book Antiqua" w:hAnsi="Book Antiqua"/>
              </w:rPr>
              <w:t>162/176</w:t>
            </w:r>
          </w:p>
        </w:tc>
      </w:tr>
      <w:tr w:rsidR="00CE4818" w:rsidRPr="00D35475" w14:paraId="25A3686F" w14:textId="77777777" w:rsidTr="000E229B">
        <w:trPr>
          <w:trHeight w:val="475"/>
        </w:trPr>
        <w:tc>
          <w:tcPr>
            <w:tcW w:w="2071" w:type="dxa"/>
            <w:vMerge/>
            <w:tcBorders>
              <w:bottom w:val="single" w:sz="8" w:space="0" w:color="auto"/>
            </w:tcBorders>
            <w:vAlign w:val="center"/>
          </w:tcPr>
          <w:p w14:paraId="62CBC2ED" w14:textId="77777777" w:rsidR="00CE4818" w:rsidRPr="00D35475" w:rsidRDefault="00CE4818" w:rsidP="000E27CD">
            <w:pPr>
              <w:adjustRightInd w:val="0"/>
              <w:snapToGrid w:val="0"/>
              <w:spacing w:line="360" w:lineRule="auto"/>
              <w:jc w:val="both"/>
              <w:rPr>
                <w:rFonts w:ascii="Book Antiqua" w:hAnsi="Book Antiqua"/>
              </w:rPr>
            </w:pPr>
          </w:p>
        </w:tc>
        <w:tc>
          <w:tcPr>
            <w:tcW w:w="2578" w:type="dxa"/>
            <w:vMerge/>
            <w:tcBorders>
              <w:bottom w:val="single" w:sz="8" w:space="0" w:color="auto"/>
            </w:tcBorders>
            <w:vAlign w:val="center"/>
          </w:tcPr>
          <w:p w14:paraId="3E01FB3A" w14:textId="77777777" w:rsidR="00CE4818" w:rsidRPr="00D35475" w:rsidRDefault="00CE4818" w:rsidP="000E27CD">
            <w:pPr>
              <w:adjustRightInd w:val="0"/>
              <w:snapToGrid w:val="0"/>
              <w:spacing w:line="360" w:lineRule="auto"/>
              <w:jc w:val="both"/>
              <w:rPr>
                <w:rFonts w:ascii="Book Antiqua" w:hAnsi="Book Antiqua"/>
              </w:rPr>
            </w:pPr>
          </w:p>
        </w:tc>
        <w:tc>
          <w:tcPr>
            <w:tcW w:w="1772" w:type="dxa"/>
            <w:vMerge/>
            <w:tcBorders>
              <w:bottom w:val="single" w:sz="8" w:space="0" w:color="auto"/>
            </w:tcBorders>
            <w:vAlign w:val="center"/>
          </w:tcPr>
          <w:p w14:paraId="6D0FC6F2" w14:textId="77777777" w:rsidR="00CE4818" w:rsidRPr="00D35475" w:rsidRDefault="00CE4818" w:rsidP="000E27CD">
            <w:pPr>
              <w:adjustRightInd w:val="0"/>
              <w:snapToGrid w:val="0"/>
              <w:spacing w:line="360" w:lineRule="auto"/>
              <w:jc w:val="both"/>
              <w:rPr>
                <w:rFonts w:ascii="Book Antiqua" w:hAnsi="Book Antiqua"/>
              </w:rPr>
            </w:pPr>
          </w:p>
        </w:tc>
        <w:tc>
          <w:tcPr>
            <w:tcW w:w="1772" w:type="dxa"/>
            <w:tcBorders>
              <w:bottom w:val="single" w:sz="8" w:space="0" w:color="auto"/>
            </w:tcBorders>
            <w:vAlign w:val="center"/>
          </w:tcPr>
          <w:p w14:paraId="11501AD1" w14:textId="21D6DCFF" w:rsidR="00CE4818" w:rsidRPr="00D35475" w:rsidRDefault="00CE4818" w:rsidP="000E27CD">
            <w:pPr>
              <w:adjustRightInd w:val="0"/>
              <w:snapToGrid w:val="0"/>
              <w:spacing w:line="360" w:lineRule="auto"/>
              <w:jc w:val="both"/>
              <w:rPr>
                <w:rFonts w:ascii="Book Antiqua" w:hAnsi="Book Antiqua"/>
              </w:rPr>
            </w:pPr>
            <w:r w:rsidRPr="00D35475">
              <w:rPr>
                <w:rFonts w:ascii="Book Antiqua" w:hAnsi="Book Antiqua"/>
              </w:rPr>
              <w:t>90.6%</w:t>
            </w:r>
            <w:r w:rsidRPr="00D35475">
              <w:rPr>
                <w:rFonts w:ascii="Book Antiqua" w:hAnsi="Book Antiqua"/>
                <w:vertAlign w:val="superscript"/>
              </w:rPr>
              <w:t>1</w:t>
            </w:r>
          </w:p>
        </w:tc>
        <w:tc>
          <w:tcPr>
            <w:tcW w:w="1588" w:type="dxa"/>
            <w:tcBorders>
              <w:bottom w:val="single" w:sz="8" w:space="0" w:color="auto"/>
            </w:tcBorders>
            <w:vAlign w:val="center"/>
          </w:tcPr>
          <w:p w14:paraId="492182CA" w14:textId="1022CB1D" w:rsidR="00CE4818" w:rsidRPr="00D35475" w:rsidRDefault="00CE4818" w:rsidP="000E27CD">
            <w:pPr>
              <w:adjustRightInd w:val="0"/>
              <w:snapToGrid w:val="0"/>
              <w:spacing w:line="360" w:lineRule="auto"/>
              <w:jc w:val="both"/>
              <w:rPr>
                <w:rFonts w:ascii="Book Antiqua" w:hAnsi="Book Antiqua"/>
              </w:rPr>
            </w:pPr>
            <w:r w:rsidRPr="00D35475">
              <w:rPr>
                <w:rFonts w:ascii="Book Antiqua" w:hAnsi="Book Antiqua"/>
              </w:rPr>
              <w:t>92.0%</w:t>
            </w:r>
            <w:r w:rsidRPr="00D35475">
              <w:rPr>
                <w:rFonts w:ascii="Book Antiqua" w:hAnsi="Book Antiqua"/>
                <w:vertAlign w:val="superscript"/>
              </w:rPr>
              <w:t>1</w:t>
            </w:r>
          </w:p>
        </w:tc>
      </w:tr>
    </w:tbl>
    <w:p w14:paraId="70C0DD23" w14:textId="7FBB3191" w:rsidR="00CD48BE" w:rsidRPr="00D35475" w:rsidRDefault="008E1FC7" w:rsidP="000E27CD">
      <w:pPr>
        <w:adjustRightInd w:val="0"/>
        <w:snapToGrid w:val="0"/>
        <w:spacing w:line="360" w:lineRule="auto"/>
        <w:jc w:val="both"/>
        <w:rPr>
          <w:rFonts w:ascii="Book Antiqua" w:hAnsi="Book Antiqua"/>
        </w:rPr>
      </w:pPr>
      <w:r w:rsidRPr="00D35475">
        <w:rPr>
          <w:rFonts w:ascii="Book Antiqua" w:hAnsi="Book Antiqua"/>
          <w:vertAlign w:val="superscript"/>
        </w:rPr>
        <w:t>1</w:t>
      </w:r>
      <w:r w:rsidRPr="00D35475">
        <w:rPr>
          <w:rFonts w:ascii="Book Antiqua" w:hAnsi="Book Antiqua"/>
        </w:rPr>
        <w:t xml:space="preserve">Not significant. </w:t>
      </w:r>
      <w:r w:rsidR="00CD48BE" w:rsidRPr="00D35475">
        <w:rPr>
          <w:rFonts w:ascii="Book Antiqua" w:hAnsi="Book Antiqua"/>
        </w:rPr>
        <w:t xml:space="preserve">BRTO: </w:t>
      </w:r>
      <w:r w:rsidR="005D1FFA" w:rsidRPr="00D35475">
        <w:rPr>
          <w:rFonts w:ascii="Book Antiqua" w:hAnsi="Book Antiqua"/>
        </w:rPr>
        <w:t>B</w:t>
      </w:r>
      <w:r w:rsidR="00CD48BE" w:rsidRPr="00D35475">
        <w:rPr>
          <w:rFonts w:ascii="Book Antiqua" w:hAnsi="Book Antiqua"/>
        </w:rPr>
        <w:t>alloon-occluded retrograde transvenous obliteration</w:t>
      </w:r>
      <w:r w:rsidR="005D1FFA" w:rsidRPr="00D35475">
        <w:rPr>
          <w:rFonts w:ascii="Book Antiqua" w:hAnsi="Book Antiqua"/>
        </w:rPr>
        <w:t xml:space="preserve">; </w:t>
      </w:r>
      <w:r w:rsidR="00CD48BE" w:rsidRPr="00D35475">
        <w:rPr>
          <w:rFonts w:ascii="Book Antiqua" w:hAnsi="Book Antiqua"/>
        </w:rPr>
        <w:t xml:space="preserve">TIPS: </w:t>
      </w:r>
      <w:r w:rsidR="005D1FFA" w:rsidRPr="00D35475">
        <w:rPr>
          <w:rFonts w:ascii="Book Antiqua" w:hAnsi="Book Antiqua"/>
        </w:rPr>
        <w:t>T</w:t>
      </w:r>
      <w:r w:rsidR="00CD48BE" w:rsidRPr="00D35475">
        <w:rPr>
          <w:rFonts w:ascii="Book Antiqua" w:hAnsi="Book Antiqua"/>
        </w:rPr>
        <w:t>ransjugular intrahepatic portosystemic shunt</w:t>
      </w:r>
      <w:r w:rsidR="005D1FFA" w:rsidRPr="00D35475">
        <w:rPr>
          <w:rFonts w:ascii="Book Antiqua" w:hAnsi="Book Antiqua"/>
        </w:rPr>
        <w:t xml:space="preserve">; </w:t>
      </w:r>
      <w:r w:rsidR="00CD48BE" w:rsidRPr="00D35475">
        <w:rPr>
          <w:rFonts w:ascii="Book Antiqua" w:hAnsi="Book Antiqua"/>
        </w:rPr>
        <w:t xml:space="preserve">EO: </w:t>
      </w:r>
      <w:r w:rsidR="005D1FFA" w:rsidRPr="00D35475">
        <w:rPr>
          <w:rFonts w:ascii="Book Antiqua" w:hAnsi="Book Antiqua"/>
        </w:rPr>
        <w:t>E</w:t>
      </w:r>
      <w:r w:rsidR="00CD48BE" w:rsidRPr="00D35475">
        <w:rPr>
          <w:rFonts w:ascii="Book Antiqua" w:hAnsi="Book Antiqua"/>
        </w:rPr>
        <w:t xml:space="preserve">thanolamine oleate, STS: </w:t>
      </w:r>
      <w:r w:rsidR="005D1FFA" w:rsidRPr="00D35475">
        <w:rPr>
          <w:rFonts w:ascii="Book Antiqua" w:hAnsi="Book Antiqua"/>
        </w:rPr>
        <w:t>S</w:t>
      </w:r>
      <w:r w:rsidR="00CD48BE" w:rsidRPr="00D35475">
        <w:rPr>
          <w:rFonts w:ascii="Book Antiqua" w:hAnsi="Book Antiqua"/>
        </w:rPr>
        <w:t>odium tetradecyl sulfate</w:t>
      </w:r>
      <w:r w:rsidRPr="00D35475">
        <w:rPr>
          <w:rFonts w:ascii="Book Antiqua" w:hAnsi="Book Antiqua"/>
        </w:rPr>
        <w:t xml:space="preserve">. </w:t>
      </w:r>
    </w:p>
    <w:p w14:paraId="31F078C8" w14:textId="68822F04"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rPr>
        <w:br w:type="page"/>
      </w:r>
      <w:r w:rsidR="00EF4460" w:rsidRPr="00D35475">
        <w:rPr>
          <w:rFonts w:ascii="Book Antiqua" w:hAnsi="Book Antiqua"/>
          <w:b/>
          <w:bCs/>
        </w:rPr>
        <w:lastRenderedPageBreak/>
        <w:t>Table 3 Rebleeding rate from gastric varices and esophageal varices</w:t>
      </w:r>
    </w:p>
    <w:tbl>
      <w:tblPr>
        <w:tblStyle w:val="a3"/>
        <w:tblW w:w="9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2"/>
        <w:gridCol w:w="1995"/>
        <w:gridCol w:w="1771"/>
        <w:gridCol w:w="1759"/>
        <w:gridCol w:w="1842"/>
      </w:tblGrid>
      <w:tr w:rsidR="00CD48BE" w:rsidRPr="00D35475" w14:paraId="05DCE1FB" w14:textId="77777777" w:rsidTr="006A5B7A">
        <w:trPr>
          <w:trHeight w:val="435"/>
        </w:trPr>
        <w:tc>
          <w:tcPr>
            <w:tcW w:w="2112" w:type="dxa"/>
            <w:vMerge w:val="restart"/>
            <w:tcBorders>
              <w:top w:val="single" w:sz="8" w:space="0" w:color="auto"/>
            </w:tcBorders>
            <w:vAlign w:val="center"/>
          </w:tcPr>
          <w:p w14:paraId="18CF9C20" w14:textId="2CBE7F35" w:rsidR="00CD48BE" w:rsidRPr="00D35475" w:rsidRDefault="00EF4460" w:rsidP="000E27CD">
            <w:pPr>
              <w:adjustRightInd w:val="0"/>
              <w:snapToGrid w:val="0"/>
              <w:spacing w:line="360" w:lineRule="auto"/>
              <w:jc w:val="both"/>
              <w:rPr>
                <w:rFonts w:ascii="Book Antiqua" w:hAnsi="Book Antiqua"/>
                <w:b/>
                <w:bCs/>
              </w:rPr>
            </w:pPr>
            <w:r w:rsidRPr="00D35475">
              <w:rPr>
                <w:rFonts w:ascii="Book Antiqua" w:hAnsi="Book Antiqua"/>
                <w:b/>
                <w:bCs/>
              </w:rPr>
              <w:t>Ref.</w:t>
            </w:r>
          </w:p>
        </w:tc>
        <w:tc>
          <w:tcPr>
            <w:tcW w:w="3766" w:type="dxa"/>
            <w:gridSpan w:val="2"/>
            <w:tcBorders>
              <w:top w:val="single" w:sz="8" w:space="0" w:color="auto"/>
              <w:bottom w:val="single" w:sz="4" w:space="0" w:color="auto"/>
            </w:tcBorders>
            <w:vAlign w:val="center"/>
          </w:tcPr>
          <w:p w14:paraId="6FA53237"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Rebleeding rate from GVs</w:t>
            </w:r>
          </w:p>
        </w:tc>
        <w:tc>
          <w:tcPr>
            <w:tcW w:w="3601" w:type="dxa"/>
            <w:gridSpan w:val="2"/>
            <w:tcBorders>
              <w:top w:val="single" w:sz="8" w:space="0" w:color="auto"/>
              <w:bottom w:val="single" w:sz="4" w:space="0" w:color="auto"/>
            </w:tcBorders>
            <w:vAlign w:val="center"/>
          </w:tcPr>
          <w:p w14:paraId="2F8469D5"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Rebleeding rate from EVs</w:t>
            </w:r>
          </w:p>
        </w:tc>
      </w:tr>
      <w:tr w:rsidR="00CD48BE" w:rsidRPr="00D35475" w14:paraId="056DAA82" w14:textId="77777777" w:rsidTr="006A5B7A">
        <w:trPr>
          <w:trHeight w:val="448"/>
        </w:trPr>
        <w:tc>
          <w:tcPr>
            <w:tcW w:w="2112" w:type="dxa"/>
            <w:vMerge/>
            <w:tcBorders>
              <w:bottom w:val="single" w:sz="8" w:space="0" w:color="auto"/>
            </w:tcBorders>
            <w:vAlign w:val="center"/>
          </w:tcPr>
          <w:p w14:paraId="05D6063F" w14:textId="77777777" w:rsidR="00CD48BE" w:rsidRPr="00D35475" w:rsidRDefault="00CD48BE" w:rsidP="000E27CD">
            <w:pPr>
              <w:adjustRightInd w:val="0"/>
              <w:snapToGrid w:val="0"/>
              <w:spacing w:line="360" w:lineRule="auto"/>
              <w:jc w:val="both"/>
              <w:rPr>
                <w:rFonts w:ascii="Book Antiqua" w:hAnsi="Book Antiqua"/>
                <w:b/>
                <w:bCs/>
              </w:rPr>
            </w:pPr>
          </w:p>
        </w:tc>
        <w:tc>
          <w:tcPr>
            <w:tcW w:w="1995" w:type="dxa"/>
            <w:tcBorders>
              <w:top w:val="single" w:sz="4" w:space="0" w:color="auto"/>
              <w:bottom w:val="single" w:sz="8" w:space="0" w:color="auto"/>
            </w:tcBorders>
            <w:vAlign w:val="center"/>
          </w:tcPr>
          <w:p w14:paraId="7EBA4ADE"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BRTO</w:t>
            </w:r>
          </w:p>
        </w:tc>
        <w:tc>
          <w:tcPr>
            <w:tcW w:w="1770" w:type="dxa"/>
            <w:tcBorders>
              <w:top w:val="single" w:sz="4" w:space="0" w:color="auto"/>
              <w:bottom w:val="single" w:sz="8" w:space="0" w:color="auto"/>
            </w:tcBorders>
            <w:vAlign w:val="center"/>
          </w:tcPr>
          <w:p w14:paraId="4BD71864"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TIPS</w:t>
            </w:r>
          </w:p>
        </w:tc>
        <w:tc>
          <w:tcPr>
            <w:tcW w:w="1759" w:type="dxa"/>
            <w:tcBorders>
              <w:top w:val="single" w:sz="4" w:space="0" w:color="auto"/>
              <w:bottom w:val="single" w:sz="8" w:space="0" w:color="auto"/>
            </w:tcBorders>
            <w:vAlign w:val="center"/>
          </w:tcPr>
          <w:p w14:paraId="15CF83FB"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BRTO</w:t>
            </w:r>
          </w:p>
        </w:tc>
        <w:tc>
          <w:tcPr>
            <w:tcW w:w="1842" w:type="dxa"/>
            <w:tcBorders>
              <w:top w:val="single" w:sz="4" w:space="0" w:color="auto"/>
              <w:bottom w:val="single" w:sz="8" w:space="0" w:color="auto"/>
            </w:tcBorders>
            <w:vAlign w:val="center"/>
          </w:tcPr>
          <w:p w14:paraId="5506EAE1"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TIPS</w:t>
            </w:r>
          </w:p>
        </w:tc>
      </w:tr>
      <w:tr w:rsidR="00CD48BE" w:rsidRPr="00D35475" w14:paraId="762060F6" w14:textId="77777777" w:rsidTr="006A5B7A">
        <w:trPr>
          <w:trHeight w:val="72"/>
        </w:trPr>
        <w:tc>
          <w:tcPr>
            <w:tcW w:w="2112" w:type="dxa"/>
            <w:tcBorders>
              <w:top w:val="single" w:sz="8" w:space="0" w:color="auto"/>
            </w:tcBorders>
            <w:vAlign w:val="center"/>
          </w:tcPr>
          <w:p w14:paraId="5B32FEDD" w14:textId="5236FCC6"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Choi </w:t>
            </w:r>
            <w:r w:rsidR="00EF4460" w:rsidRPr="00D35475">
              <w:rPr>
                <w:rFonts w:ascii="Book Antiqua" w:hAnsi="Book Antiqua"/>
                <w:i/>
                <w:iCs/>
              </w:rPr>
              <w:t>et al</w:t>
            </w:r>
            <w:r w:rsidRPr="00D35475">
              <w:rPr>
                <w:rFonts w:ascii="Book Antiqua" w:hAnsi="Book Antiqua"/>
                <w:vertAlign w:val="superscript"/>
              </w:rPr>
              <w:t>[39]</w:t>
            </w:r>
          </w:p>
        </w:tc>
        <w:tc>
          <w:tcPr>
            <w:tcW w:w="1995" w:type="dxa"/>
            <w:tcBorders>
              <w:top w:val="single" w:sz="8" w:space="0" w:color="auto"/>
            </w:tcBorders>
            <w:vAlign w:val="center"/>
          </w:tcPr>
          <w:p w14:paraId="4E68429F" w14:textId="3FD7F2D1"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8</w:t>
            </w:r>
          </w:p>
        </w:tc>
        <w:tc>
          <w:tcPr>
            <w:tcW w:w="1770" w:type="dxa"/>
            <w:tcBorders>
              <w:top w:val="single" w:sz="8" w:space="0" w:color="auto"/>
            </w:tcBorders>
            <w:vAlign w:val="center"/>
          </w:tcPr>
          <w:p w14:paraId="10D09B8A" w14:textId="22F76716"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w:t>
            </w:r>
            <w:r w:rsidR="00EF4460" w:rsidRPr="00D35475">
              <w:rPr>
                <w:rFonts w:ascii="Book Antiqua" w:hAnsi="Book Antiqua"/>
              </w:rPr>
              <w:t>/</w:t>
            </w:r>
            <w:r w:rsidRPr="00D35475">
              <w:rPr>
                <w:rFonts w:ascii="Book Antiqua" w:hAnsi="Book Antiqua"/>
              </w:rPr>
              <w:t>13</w:t>
            </w:r>
          </w:p>
        </w:tc>
        <w:tc>
          <w:tcPr>
            <w:tcW w:w="1759" w:type="dxa"/>
            <w:tcBorders>
              <w:top w:val="single" w:sz="8" w:space="0" w:color="auto"/>
            </w:tcBorders>
            <w:vAlign w:val="center"/>
          </w:tcPr>
          <w:p w14:paraId="2DEBC571" w14:textId="478E672D"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8</w:t>
            </w:r>
          </w:p>
        </w:tc>
        <w:tc>
          <w:tcPr>
            <w:tcW w:w="1842" w:type="dxa"/>
            <w:tcBorders>
              <w:top w:val="single" w:sz="8" w:space="0" w:color="auto"/>
            </w:tcBorders>
            <w:vAlign w:val="center"/>
          </w:tcPr>
          <w:p w14:paraId="49023E64" w14:textId="01D02ECE"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13</w:t>
            </w:r>
          </w:p>
        </w:tc>
      </w:tr>
      <w:tr w:rsidR="00CD48BE" w:rsidRPr="00D35475" w14:paraId="78A7B111" w14:textId="77777777" w:rsidTr="006A5B7A">
        <w:trPr>
          <w:trHeight w:val="72"/>
        </w:trPr>
        <w:tc>
          <w:tcPr>
            <w:tcW w:w="2112" w:type="dxa"/>
            <w:vAlign w:val="center"/>
          </w:tcPr>
          <w:p w14:paraId="5334A704" w14:textId="1CBF8C3C"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Ninoi </w:t>
            </w:r>
            <w:r w:rsidR="00EF4460" w:rsidRPr="00D35475">
              <w:rPr>
                <w:rFonts w:ascii="Book Antiqua" w:hAnsi="Book Antiqua"/>
                <w:i/>
                <w:iCs/>
              </w:rPr>
              <w:t>et al</w:t>
            </w:r>
            <w:r w:rsidRPr="00D35475">
              <w:rPr>
                <w:rFonts w:ascii="Book Antiqua" w:hAnsi="Book Antiqua"/>
                <w:vertAlign w:val="superscript"/>
              </w:rPr>
              <w:t>[40]</w:t>
            </w:r>
          </w:p>
        </w:tc>
        <w:tc>
          <w:tcPr>
            <w:tcW w:w="1995" w:type="dxa"/>
            <w:vAlign w:val="center"/>
          </w:tcPr>
          <w:p w14:paraId="25F822CA" w14:textId="6305AB18"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w:t>
            </w:r>
            <w:r w:rsidR="00EF4460" w:rsidRPr="00D35475">
              <w:rPr>
                <w:rFonts w:ascii="Book Antiqua" w:hAnsi="Book Antiqua"/>
              </w:rPr>
              <w:t>/</w:t>
            </w:r>
            <w:r w:rsidRPr="00D35475">
              <w:rPr>
                <w:rFonts w:ascii="Book Antiqua" w:hAnsi="Book Antiqua"/>
              </w:rPr>
              <w:t>77</w:t>
            </w:r>
          </w:p>
        </w:tc>
        <w:tc>
          <w:tcPr>
            <w:tcW w:w="1770" w:type="dxa"/>
            <w:vAlign w:val="center"/>
          </w:tcPr>
          <w:p w14:paraId="3B5B6D29" w14:textId="6A03CFB5"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6</w:t>
            </w:r>
            <w:r w:rsidR="00EF4460" w:rsidRPr="00D35475">
              <w:rPr>
                <w:rFonts w:ascii="Book Antiqua" w:hAnsi="Book Antiqua"/>
              </w:rPr>
              <w:t>/</w:t>
            </w:r>
            <w:r w:rsidRPr="00D35475">
              <w:rPr>
                <w:rFonts w:ascii="Book Antiqua" w:hAnsi="Book Antiqua"/>
              </w:rPr>
              <w:t>27</w:t>
            </w:r>
          </w:p>
        </w:tc>
        <w:tc>
          <w:tcPr>
            <w:tcW w:w="1759" w:type="dxa"/>
            <w:vAlign w:val="center"/>
          </w:tcPr>
          <w:p w14:paraId="3D778633" w14:textId="67B43AC4"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3</w:t>
            </w:r>
            <w:r w:rsidR="00EF4460" w:rsidRPr="00D35475">
              <w:rPr>
                <w:rFonts w:ascii="Book Antiqua" w:hAnsi="Book Antiqua"/>
              </w:rPr>
              <w:t>/</w:t>
            </w:r>
            <w:r w:rsidRPr="00D35475">
              <w:rPr>
                <w:rFonts w:ascii="Book Antiqua" w:hAnsi="Book Antiqua"/>
              </w:rPr>
              <w:t>77</w:t>
            </w:r>
          </w:p>
        </w:tc>
        <w:tc>
          <w:tcPr>
            <w:tcW w:w="1842" w:type="dxa"/>
            <w:vAlign w:val="center"/>
          </w:tcPr>
          <w:p w14:paraId="2D64373C" w14:textId="00D82388"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2</w:t>
            </w:r>
            <w:r w:rsidR="00EF4460" w:rsidRPr="00D35475">
              <w:rPr>
                <w:rFonts w:ascii="Book Antiqua" w:hAnsi="Book Antiqua"/>
              </w:rPr>
              <w:t>/</w:t>
            </w:r>
            <w:r w:rsidRPr="00D35475">
              <w:rPr>
                <w:rFonts w:ascii="Book Antiqua" w:hAnsi="Book Antiqua"/>
              </w:rPr>
              <w:t>27</w:t>
            </w:r>
          </w:p>
        </w:tc>
      </w:tr>
      <w:tr w:rsidR="00CD48BE" w:rsidRPr="00D35475" w14:paraId="4AFB73B4" w14:textId="77777777" w:rsidTr="006A5B7A">
        <w:trPr>
          <w:trHeight w:val="72"/>
        </w:trPr>
        <w:tc>
          <w:tcPr>
            <w:tcW w:w="2112" w:type="dxa"/>
            <w:vAlign w:val="center"/>
          </w:tcPr>
          <w:p w14:paraId="5440C2D3" w14:textId="28017F51"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Sabri </w:t>
            </w:r>
            <w:r w:rsidR="00EF4460" w:rsidRPr="00D35475">
              <w:rPr>
                <w:rFonts w:ascii="Book Antiqua" w:hAnsi="Book Antiqua"/>
                <w:i/>
                <w:iCs/>
              </w:rPr>
              <w:t>et al</w:t>
            </w:r>
            <w:r w:rsidRPr="00D35475">
              <w:rPr>
                <w:rFonts w:ascii="Book Antiqua" w:hAnsi="Book Antiqua"/>
                <w:vertAlign w:val="superscript"/>
              </w:rPr>
              <w:t>[41]</w:t>
            </w:r>
          </w:p>
        </w:tc>
        <w:tc>
          <w:tcPr>
            <w:tcW w:w="1995" w:type="dxa"/>
            <w:vAlign w:val="center"/>
          </w:tcPr>
          <w:p w14:paraId="537EF6FC" w14:textId="3839A8D4"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23</w:t>
            </w:r>
          </w:p>
        </w:tc>
        <w:tc>
          <w:tcPr>
            <w:tcW w:w="1770" w:type="dxa"/>
            <w:vAlign w:val="center"/>
          </w:tcPr>
          <w:p w14:paraId="48D615AF" w14:textId="2463DC6D"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3</w:t>
            </w:r>
            <w:r w:rsidR="00EF4460" w:rsidRPr="00D35475">
              <w:rPr>
                <w:rFonts w:ascii="Book Antiqua" w:hAnsi="Book Antiqua"/>
              </w:rPr>
              <w:t>/</w:t>
            </w:r>
            <w:r w:rsidRPr="00D35475">
              <w:rPr>
                <w:rFonts w:ascii="Book Antiqua" w:hAnsi="Book Antiqua"/>
              </w:rPr>
              <w:t>27</w:t>
            </w:r>
          </w:p>
        </w:tc>
        <w:tc>
          <w:tcPr>
            <w:tcW w:w="1759" w:type="dxa"/>
            <w:vAlign w:val="center"/>
          </w:tcPr>
          <w:p w14:paraId="580AC93E" w14:textId="38C1F22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23</w:t>
            </w:r>
          </w:p>
        </w:tc>
        <w:tc>
          <w:tcPr>
            <w:tcW w:w="1842" w:type="dxa"/>
            <w:vAlign w:val="center"/>
          </w:tcPr>
          <w:p w14:paraId="30D7343A" w14:textId="06E3F701"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27</w:t>
            </w:r>
          </w:p>
        </w:tc>
      </w:tr>
      <w:tr w:rsidR="00CD48BE" w:rsidRPr="00D35475" w14:paraId="58BB36E2" w14:textId="77777777" w:rsidTr="006A5B7A">
        <w:trPr>
          <w:trHeight w:val="448"/>
        </w:trPr>
        <w:tc>
          <w:tcPr>
            <w:tcW w:w="2112" w:type="dxa"/>
            <w:vAlign w:val="center"/>
          </w:tcPr>
          <w:p w14:paraId="2B92AA0B" w14:textId="236BBA6D"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Kim </w:t>
            </w:r>
            <w:r w:rsidR="00EF4460" w:rsidRPr="00D35475">
              <w:rPr>
                <w:rFonts w:ascii="Book Antiqua" w:hAnsi="Book Antiqua"/>
                <w:i/>
                <w:iCs/>
              </w:rPr>
              <w:t>et al</w:t>
            </w:r>
            <w:r w:rsidRPr="00D35475">
              <w:rPr>
                <w:rFonts w:ascii="Book Antiqua" w:hAnsi="Book Antiqua"/>
                <w:vertAlign w:val="superscript"/>
              </w:rPr>
              <w:t>[42]</w:t>
            </w:r>
          </w:p>
        </w:tc>
        <w:tc>
          <w:tcPr>
            <w:tcW w:w="1995" w:type="dxa"/>
            <w:vAlign w:val="center"/>
          </w:tcPr>
          <w:p w14:paraId="34921FD2" w14:textId="55ADD60E"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2</w:t>
            </w:r>
            <w:r w:rsidR="00EF4460" w:rsidRPr="00D35475">
              <w:rPr>
                <w:rFonts w:ascii="Book Antiqua" w:hAnsi="Book Antiqua"/>
              </w:rPr>
              <w:t>/</w:t>
            </w:r>
            <w:r w:rsidRPr="00D35475">
              <w:rPr>
                <w:rFonts w:ascii="Book Antiqua" w:hAnsi="Book Antiqua"/>
              </w:rPr>
              <w:t>25</w:t>
            </w:r>
          </w:p>
        </w:tc>
        <w:tc>
          <w:tcPr>
            <w:tcW w:w="1770" w:type="dxa"/>
            <w:vAlign w:val="center"/>
          </w:tcPr>
          <w:p w14:paraId="64DB7B20" w14:textId="6D41CE90"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2</w:t>
            </w:r>
            <w:r w:rsidR="00EF4460" w:rsidRPr="00D35475">
              <w:rPr>
                <w:rFonts w:ascii="Book Antiqua" w:hAnsi="Book Antiqua"/>
              </w:rPr>
              <w:t>/</w:t>
            </w:r>
            <w:r w:rsidRPr="00D35475">
              <w:rPr>
                <w:rFonts w:ascii="Book Antiqua" w:hAnsi="Book Antiqua"/>
              </w:rPr>
              <w:t>27</w:t>
            </w:r>
          </w:p>
        </w:tc>
        <w:tc>
          <w:tcPr>
            <w:tcW w:w="1759" w:type="dxa"/>
            <w:vAlign w:val="center"/>
          </w:tcPr>
          <w:p w14:paraId="530F7189" w14:textId="24588A85"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w:t>
            </w:r>
            <w:r w:rsidR="00EF4460" w:rsidRPr="00D35475">
              <w:rPr>
                <w:rFonts w:ascii="Book Antiqua" w:hAnsi="Book Antiqua"/>
              </w:rPr>
              <w:t>/</w:t>
            </w:r>
            <w:r w:rsidRPr="00D35475">
              <w:rPr>
                <w:rFonts w:ascii="Book Antiqua" w:hAnsi="Book Antiqua"/>
              </w:rPr>
              <w:t>25</w:t>
            </w:r>
          </w:p>
        </w:tc>
        <w:tc>
          <w:tcPr>
            <w:tcW w:w="1842" w:type="dxa"/>
            <w:vAlign w:val="center"/>
          </w:tcPr>
          <w:p w14:paraId="128378BA" w14:textId="2BA570AB"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27</w:t>
            </w:r>
          </w:p>
        </w:tc>
      </w:tr>
      <w:tr w:rsidR="00CD48BE" w:rsidRPr="00D35475" w14:paraId="4D1E94D2" w14:textId="77777777" w:rsidTr="006A5B7A">
        <w:trPr>
          <w:trHeight w:val="461"/>
        </w:trPr>
        <w:tc>
          <w:tcPr>
            <w:tcW w:w="2112" w:type="dxa"/>
            <w:vAlign w:val="center"/>
          </w:tcPr>
          <w:p w14:paraId="2135689A" w14:textId="1CA08DC3"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Lee </w:t>
            </w:r>
            <w:r w:rsidR="00EF4460" w:rsidRPr="00D35475">
              <w:rPr>
                <w:rFonts w:ascii="Book Antiqua" w:hAnsi="Book Antiqua"/>
                <w:i/>
                <w:iCs/>
              </w:rPr>
              <w:t>et al</w:t>
            </w:r>
            <w:r w:rsidRPr="00D35475">
              <w:rPr>
                <w:rFonts w:ascii="Book Antiqua" w:hAnsi="Book Antiqua"/>
                <w:vertAlign w:val="superscript"/>
              </w:rPr>
              <w:t>[43]</w:t>
            </w:r>
          </w:p>
        </w:tc>
        <w:tc>
          <w:tcPr>
            <w:tcW w:w="1995" w:type="dxa"/>
            <w:vAlign w:val="center"/>
          </w:tcPr>
          <w:p w14:paraId="18FA9006" w14:textId="25FE9C51"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7</w:t>
            </w:r>
            <w:r w:rsidR="00EF4460" w:rsidRPr="00D35475">
              <w:rPr>
                <w:rFonts w:ascii="Book Antiqua" w:hAnsi="Book Antiqua"/>
              </w:rPr>
              <w:t>/</w:t>
            </w:r>
            <w:r w:rsidRPr="00D35475">
              <w:rPr>
                <w:rFonts w:ascii="Book Antiqua" w:hAnsi="Book Antiqua"/>
              </w:rPr>
              <w:t>95</w:t>
            </w:r>
          </w:p>
        </w:tc>
        <w:tc>
          <w:tcPr>
            <w:tcW w:w="1770" w:type="dxa"/>
            <w:vAlign w:val="center"/>
          </w:tcPr>
          <w:p w14:paraId="5F73F2DF" w14:textId="5A04306D"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6</w:t>
            </w:r>
            <w:r w:rsidR="00EF4460" w:rsidRPr="00D35475">
              <w:rPr>
                <w:rFonts w:ascii="Book Antiqua" w:hAnsi="Book Antiqua"/>
              </w:rPr>
              <w:t>/</w:t>
            </w:r>
            <w:r w:rsidRPr="00D35475">
              <w:rPr>
                <w:rFonts w:ascii="Book Antiqua" w:hAnsi="Book Antiqua"/>
              </w:rPr>
              <w:t>47</w:t>
            </w:r>
          </w:p>
        </w:tc>
        <w:tc>
          <w:tcPr>
            <w:tcW w:w="1759" w:type="dxa"/>
            <w:vAlign w:val="center"/>
          </w:tcPr>
          <w:p w14:paraId="7E3933CB" w14:textId="6156BBBC"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4</w:t>
            </w:r>
            <w:r w:rsidR="00EF4460" w:rsidRPr="00D35475">
              <w:rPr>
                <w:rFonts w:ascii="Book Antiqua" w:hAnsi="Book Antiqua"/>
              </w:rPr>
              <w:t>/</w:t>
            </w:r>
            <w:r w:rsidRPr="00D35475">
              <w:rPr>
                <w:rFonts w:ascii="Book Antiqua" w:hAnsi="Book Antiqua"/>
              </w:rPr>
              <w:t>95</w:t>
            </w:r>
          </w:p>
        </w:tc>
        <w:tc>
          <w:tcPr>
            <w:tcW w:w="1842" w:type="dxa"/>
            <w:vAlign w:val="center"/>
          </w:tcPr>
          <w:p w14:paraId="7384EA54" w14:textId="0A610D40"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7</w:t>
            </w:r>
            <w:r w:rsidR="00EF4460" w:rsidRPr="00D35475">
              <w:rPr>
                <w:rFonts w:ascii="Book Antiqua" w:hAnsi="Book Antiqua"/>
              </w:rPr>
              <w:t>/</w:t>
            </w:r>
            <w:r w:rsidRPr="00D35475">
              <w:rPr>
                <w:rFonts w:ascii="Book Antiqua" w:hAnsi="Book Antiqua"/>
              </w:rPr>
              <w:t>47</w:t>
            </w:r>
          </w:p>
        </w:tc>
      </w:tr>
      <w:tr w:rsidR="00CD48BE" w:rsidRPr="00D35475" w14:paraId="4FACB88D" w14:textId="77777777" w:rsidTr="006A5B7A">
        <w:trPr>
          <w:trHeight w:val="72"/>
        </w:trPr>
        <w:tc>
          <w:tcPr>
            <w:tcW w:w="2112" w:type="dxa"/>
            <w:vAlign w:val="center"/>
          </w:tcPr>
          <w:p w14:paraId="29402351" w14:textId="482DC82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Gimm </w:t>
            </w:r>
            <w:r w:rsidR="00EF4460" w:rsidRPr="00D35475">
              <w:rPr>
                <w:rFonts w:ascii="Book Antiqua" w:hAnsi="Book Antiqua"/>
                <w:i/>
                <w:iCs/>
              </w:rPr>
              <w:t>et al</w:t>
            </w:r>
            <w:r w:rsidRPr="00D35475">
              <w:rPr>
                <w:rFonts w:ascii="Book Antiqua" w:hAnsi="Book Antiqua"/>
                <w:vertAlign w:val="superscript"/>
              </w:rPr>
              <w:t>[44]</w:t>
            </w:r>
          </w:p>
        </w:tc>
        <w:tc>
          <w:tcPr>
            <w:tcW w:w="1995" w:type="dxa"/>
            <w:vAlign w:val="center"/>
          </w:tcPr>
          <w:p w14:paraId="1C97AAE7" w14:textId="443463C6"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8</w:t>
            </w:r>
            <w:r w:rsidR="00EF4460" w:rsidRPr="00D35475">
              <w:rPr>
                <w:rFonts w:ascii="Book Antiqua" w:hAnsi="Book Antiqua"/>
              </w:rPr>
              <w:t>/</w:t>
            </w:r>
            <w:r w:rsidRPr="00D35475">
              <w:rPr>
                <w:rFonts w:ascii="Book Antiqua" w:hAnsi="Book Antiqua"/>
              </w:rPr>
              <w:t>157</w:t>
            </w:r>
          </w:p>
        </w:tc>
        <w:tc>
          <w:tcPr>
            <w:tcW w:w="1770" w:type="dxa"/>
            <w:vAlign w:val="center"/>
          </w:tcPr>
          <w:p w14:paraId="0184168B" w14:textId="5ED2F769"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3</w:t>
            </w:r>
            <w:r w:rsidR="00EF4460" w:rsidRPr="00D35475">
              <w:rPr>
                <w:rFonts w:ascii="Book Antiqua" w:hAnsi="Book Antiqua"/>
              </w:rPr>
              <w:t>/</w:t>
            </w:r>
            <w:r w:rsidRPr="00D35475">
              <w:rPr>
                <w:rFonts w:ascii="Book Antiqua" w:hAnsi="Book Antiqua"/>
              </w:rPr>
              <w:t>19</w:t>
            </w:r>
          </w:p>
        </w:tc>
        <w:tc>
          <w:tcPr>
            <w:tcW w:w="1759" w:type="dxa"/>
            <w:vAlign w:val="center"/>
          </w:tcPr>
          <w:p w14:paraId="436195EF" w14:textId="77777777" w:rsidR="00CD48BE" w:rsidRPr="00D35475" w:rsidRDefault="00CD48BE" w:rsidP="000E27CD">
            <w:pPr>
              <w:adjustRightInd w:val="0"/>
              <w:snapToGrid w:val="0"/>
              <w:spacing w:line="360" w:lineRule="auto"/>
              <w:jc w:val="both"/>
              <w:rPr>
                <w:rFonts w:ascii="Book Antiqua" w:hAnsi="Book Antiqua"/>
              </w:rPr>
            </w:pPr>
          </w:p>
        </w:tc>
        <w:tc>
          <w:tcPr>
            <w:tcW w:w="1842" w:type="dxa"/>
            <w:vAlign w:val="center"/>
          </w:tcPr>
          <w:p w14:paraId="11C1B796" w14:textId="77777777" w:rsidR="00CD48BE" w:rsidRPr="00D35475" w:rsidRDefault="00CD48BE" w:rsidP="000E27CD">
            <w:pPr>
              <w:adjustRightInd w:val="0"/>
              <w:snapToGrid w:val="0"/>
              <w:spacing w:line="360" w:lineRule="auto"/>
              <w:jc w:val="both"/>
              <w:rPr>
                <w:rFonts w:ascii="Book Antiqua" w:hAnsi="Book Antiqua"/>
              </w:rPr>
            </w:pPr>
          </w:p>
        </w:tc>
      </w:tr>
      <w:tr w:rsidR="00CD48BE" w:rsidRPr="00D35475" w14:paraId="26AD2898" w14:textId="77777777" w:rsidTr="006A5B7A">
        <w:trPr>
          <w:trHeight w:val="461"/>
        </w:trPr>
        <w:tc>
          <w:tcPr>
            <w:tcW w:w="2112" w:type="dxa"/>
            <w:vMerge w:val="restart"/>
            <w:vAlign w:val="center"/>
          </w:tcPr>
          <w:p w14:paraId="3030E8DE" w14:textId="692B4165" w:rsidR="00CD48BE" w:rsidRPr="00D35475" w:rsidRDefault="00EF4460" w:rsidP="000E27CD">
            <w:pPr>
              <w:adjustRightInd w:val="0"/>
              <w:snapToGrid w:val="0"/>
              <w:spacing w:line="360" w:lineRule="auto"/>
              <w:jc w:val="both"/>
              <w:rPr>
                <w:rFonts w:ascii="Book Antiqua" w:hAnsi="Book Antiqua"/>
              </w:rPr>
            </w:pPr>
            <w:r w:rsidRPr="00D35475">
              <w:rPr>
                <w:rFonts w:ascii="Book Antiqua" w:hAnsi="Book Antiqua"/>
              </w:rPr>
              <w:t>T</w:t>
            </w:r>
            <w:r w:rsidR="00CD48BE" w:rsidRPr="00D35475">
              <w:rPr>
                <w:rFonts w:ascii="Book Antiqua" w:hAnsi="Book Antiqua"/>
              </w:rPr>
              <w:t>otal</w:t>
            </w:r>
          </w:p>
        </w:tc>
        <w:tc>
          <w:tcPr>
            <w:tcW w:w="1995" w:type="dxa"/>
            <w:vAlign w:val="center"/>
          </w:tcPr>
          <w:p w14:paraId="5F6258D9" w14:textId="33FBB3D1"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18</w:t>
            </w:r>
            <w:r w:rsidR="00EF4460" w:rsidRPr="00D35475">
              <w:rPr>
                <w:rFonts w:ascii="Book Antiqua" w:hAnsi="Book Antiqua"/>
              </w:rPr>
              <w:t>/</w:t>
            </w:r>
            <w:r w:rsidRPr="00D35475">
              <w:rPr>
                <w:rFonts w:ascii="Book Antiqua" w:hAnsi="Book Antiqua"/>
              </w:rPr>
              <w:t>385</w:t>
            </w:r>
          </w:p>
        </w:tc>
        <w:tc>
          <w:tcPr>
            <w:tcW w:w="1770" w:type="dxa"/>
            <w:vAlign w:val="center"/>
          </w:tcPr>
          <w:p w14:paraId="5AF7729E" w14:textId="39195DFB"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21</w:t>
            </w:r>
            <w:r w:rsidR="00EF4460" w:rsidRPr="00D35475">
              <w:rPr>
                <w:rFonts w:ascii="Book Antiqua" w:hAnsi="Book Antiqua"/>
              </w:rPr>
              <w:t>/</w:t>
            </w:r>
            <w:r w:rsidRPr="00D35475">
              <w:rPr>
                <w:rFonts w:ascii="Book Antiqua" w:hAnsi="Book Antiqua"/>
              </w:rPr>
              <w:t>160</w:t>
            </w:r>
          </w:p>
        </w:tc>
        <w:tc>
          <w:tcPr>
            <w:tcW w:w="1759" w:type="dxa"/>
            <w:vAlign w:val="center"/>
          </w:tcPr>
          <w:p w14:paraId="61F505EA" w14:textId="6921D48F"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8</w:t>
            </w:r>
            <w:r w:rsidR="00EF4460" w:rsidRPr="00D35475">
              <w:rPr>
                <w:rFonts w:ascii="Book Antiqua" w:hAnsi="Book Antiqua"/>
              </w:rPr>
              <w:t>/</w:t>
            </w:r>
            <w:r w:rsidRPr="00D35475">
              <w:rPr>
                <w:rFonts w:ascii="Book Antiqua" w:hAnsi="Book Antiqua"/>
              </w:rPr>
              <w:t>228</w:t>
            </w:r>
          </w:p>
        </w:tc>
        <w:tc>
          <w:tcPr>
            <w:tcW w:w="1842" w:type="dxa"/>
            <w:vAlign w:val="center"/>
          </w:tcPr>
          <w:p w14:paraId="0FF0DF24" w14:textId="430A9EB4"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9</w:t>
            </w:r>
            <w:r w:rsidR="00EF4460" w:rsidRPr="00D35475">
              <w:rPr>
                <w:rFonts w:ascii="Book Antiqua" w:hAnsi="Book Antiqua"/>
              </w:rPr>
              <w:t>/</w:t>
            </w:r>
            <w:r w:rsidRPr="00D35475">
              <w:rPr>
                <w:rFonts w:ascii="Book Antiqua" w:hAnsi="Book Antiqua"/>
              </w:rPr>
              <w:t>141</w:t>
            </w:r>
          </w:p>
        </w:tc>
      </w:tr>
      <w:tr w:rsidR="00CD48BE" w:rsidRPr="00D35475" w14:paraId="3A0193DC" w14:textId="77777777" w:rsidTr="006A5B7A">
        <w:trPr>
          <w:trHeight w:val="461"/>
        </w:trPr>
        <w:tc>
          <w:tcPr>
            <w:tcW w:w="2112" w:type="dxa"/>
            <w:vMerge/>
            <w:tcBorders>
              <w:bottom w:val="single" w:sz="8" w:space="0" w:color="auto"/>
            </w:tcBorders>
            <w:vAlign w:val="center"/>
          </w:tcPr>
          <w:p w14:paraId="5BFB11C1" w14:textId="77777777" w:rsidR="00CD48BE" w:rsidRPr="00D35475" w:rsidRDefault="00CD48BE" w:rsidP="000E27CD">
            <w:pPr>
              <w:adjustRightInd w:val="0"/>
              <w:snapToGrid w:val="0"/>
              <w:spacing w:line="360" w:lineRule="auto"/>
              <w:jc w:val="both"/>
              <w:rPr>
                <w:rFonts w:ascii="Book Antiqua" w:hAnsi="Book Antiqua"/>
              </w:rPr>
            </w:pPr>
          </w:p>
        </w:tc>
        <w:tc>
          <w:tcPr>
            <w:tcW w:w="1995" w:type="dxa"/>
            <w:tcBorders>
              <w:bottom w:val="single" w:sz="8" w:space="0" w:color="auto"/>
            </w:tcBorders>
            <w:vAlign w:val="center"/>
          </w:tcPr>
          <w:p w14:paraId="49E4FE57" w14:textId="150BF02E"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4.7%</w:t>
            </w:r>
            <w:r w:rsidR="00EF4460" w:rsidRPr="00D35475">
              <w:rPr>
                <w:rFonts w:ascii="Book Antiqua" w:hAnsi="Book Antiqua"/>
                <w:vertAlign w:val="superscript"/>
              </w:rPr>
              <w:t>1</w:t>
            </w:r>
          </w:p>
        </w:tc>
        <w:tc>
          <w:tcPr>
            <w:tcW w:w="1770" w:type="dxa"/>
            <w:tcBorders>
              <w:bottom w:val="single" w:sz="8" w:space="0" w:color="auto"/>
            </w:tcBorders>
            <w:vAlign w:val="center"/>
          </w:tcPr>
          <w:p w14:paraId="70FE38A7" w14:textId="0609C2CC"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13.1%</w:t>
            </w:r>
            <w:r w:rsidR="00EF4460" w:rsidRPr="00D35475">
              <w:rPr>
                <w:rFonts w:ascii="Book Antiqua" w:hAnsi="Book Antiqua"/>
                <w:vertAlign w:val="superscript"/>
              </w:rPr>
              <w:t>1</w:t>
            </w:r>
          </w:p>
        </w:tc>
        <w:tc>
          <w:tcPr>
            <w:tcW w:w="1759" w:type="dxa"/>
            <w:tcBorders>
              <w:bottom w:val="single" w:sz="8" w:space="0" w:color="auto"/>
            </w:tcBorders>
            <w:vAlign w:val="center"/>
          </w:tcPr>
          <w:p w14:paraId="63D051D5" w14:textId="14506270"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3.5%</w:t>
            </w:r>
            <w:r w:rsidR="00EF4460" w:rsidRPr="00D35475">
              <w:rPr>
                <w:rFonts w:ascii="Book Antiqua" w:hAnsi="Book Antiqua"/>
                <w:vertAlign w:val="superscript"/>
              </w:rPr>
              <w:t>2</w:t>
            </w:r>
          </w:p>
        </w:tc>
        <w:tc>
          <w:tcPr>
            <w:tcW w:w="1842" w:type="dxa"/>
            <w:tcBorders>
              <w:bottom w:val="single" w:sz="8" w:space="0" w:color="auto"/>
            </w:tcBorders>
            <w:vAlign w:val="center"/>
          </w:tcPr>
          <w:p w14:paraId="49E03943" w14:textId="6ADD15F0"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6.4%</w:t>
            </w:r>
            <w:r w:rsidR="00EF4460" w:rsidRPr="00D35475">
              <w:rPr>
                <w:rFonts w:ascii="Book Antiqua" w:hAnsi="Book Antiqua"/>
                <w:vertAlign w:val="superscript"/>
              </w:rPr>
              <w:t>2</w:t>
            </w:r>
          </w:p>
        </w:tc>
      </w:tr>
    </w:tbl>
    <w:p w14:paraId="36A0EB1A" w14:textId="44DBF5C4" w:rsidR="00CD48BE" w:rsidRPr="00D35475" w:rsidRDefault="00EF4460" w:rsidP="000E27CD">
      <w:pPr>
        <w:adjustRightInd w:val="0"/>
        <w:snapToGrid w:val="0"/>
        <w:spacing w:line="360" w:lineRule="auto"/>
        <w:jc w:val="both"/>
        <w:rPr>
          <w:rFonts w:ascii="Book Antiqua" w:hAnsi="Book Antiqua"/>
        </w:rPr>
      </w:pPr>
      <w:r w:rsidRPr="00D35475">
        <w:rPr>
          <w:rFonts w:ascii="Book Antiqua" w:hAnsi="Book Antiqua"/>
          <w:vertAlign w:val="superscript"/>
        </w:rPr>
        <w:t>1</w:t>
      </w:r>
      <w:r w:rsidRPr="00D35475">
        <w:rPr>
          <w:rFonts w:ascii="Book Antiqua" w:hAnsi="Book Antiqua"/>
          <w:i/>
          <w:iCs/>
        </w:rPr>
        <w:t>P</w:t>
      </w:r>
      <w:r w:rsidRPr="00D35475">
        <w:rPr>
          <w:rFonts w:ascii="Book Antiqua" w:hAnsi="Book Antiqua"/>
        </w:rPr>
        <w:t xml:space="preserve"> = 0.0005; </w:t>
      </w:r>
      <w:r w:rsidRPr="00D35475">
        <w:rPr>
          <w:rFonts w:ascii="Book Antiqua" w:hAnsi="Book Antiqua"/>
          <w:vertAlign w:val="superscript"/>
        </w:rPr>
        <w:t>2</w:t>
      </w:r>
      <w:r w:rsidRPr="00D35475">
        <w:rPr>
          <w:rFonts w:ascii="Book Antiqua" w:hAnsi="Book Antiqua"/>
        </w:rPr>
        <w:t xml:space="preserve">Not significant. </w:t>
      </w:r>
      <w:r w:rsidR="00CD48BE" w:rsidRPr="00D35475">
        <w:rPr>
          <w:rFonts w:ascii="Book Antiqua" w:hAnsi="Book Antiqua"/>
        </w:rPr>
        <w:t xml:space="preserve">GVs: </w:t>
      </w:r>
      <w:r w:rsidRPr="00D35475">
        <w:rPr>
          <w:rFonts w:ascii="Book Antiqua" w:hAnsi="Book Antiqua"/>
        </w:rPr>
        <w:t>G</w:t>
      </w:r>
      <w:r w:rsidR="00CD48BE" w:rsidRPr="00D35475">
        <w:rPr>
          <w:rFonts w:ascii="Book Antiqua" w:hAnsi="Book Antiqua"/>
        </w:rPr>
        <w:t>astric varices</w:t>
      </w:r>
      <w:r w:rsidRPr="00D35475">
        <w:rPr>
          <w:rFonts w:ascii="Book Antiqua" w:hAnsi="Book Antiqua"/>
        </w:rPr>
        <w:t>;</w:t>
      </w:r>
      <w:r w:rsidR="00CD48BE" w:rsidRPr="00D35475">
        <w:rPr>
          <w:rFonts w:ascii="Book Antiqua" w:hAnsi="Book Antiqua"/>
        </w:rPr>
        <w:t xml:space="preserve"> EVs: </w:t>
      </w:r>
      <w:r w:rsidRPr="00D35475">
        <w:rPr>
          <w:rFonts w:ascii="Book Antiqua" w:hAnsi="Book Antiqua"/>
        </w:rPr>
        <w:t>E</w:t>
      </w:r>
      <w:r w:rsidR="00CD48BE" w:rsidRPr="00D35475">
        <w:rPr>
          <w:rFonts w:ascii="Book Antiqua" w:hAnsi="Book Antiqua"/>
        </w:rPr>
        <w:t>sophageal varices</w:t>
      </w:r>
      <w:r w:rsidRPr="00D35475">
        <w:rPr>
          <w:rFonts w:ascii="Book Antiqua" w:hAnsi="Book Antiqua"/>
        </w:rPr>
        <w:t xml:space="preserve">; </w:t>
      </w:r>
      <w:r w:rsidR="00CD48BE" w:rsidRPr="00D35475">
        <w:rPr>
          <w:rFonts w:ascii="Book Antiqua" w:hAnsi="Book Antiqua"/>
        </w:rPr>
        <w:t xml:space="preserve">BRTO: </w:t>
      </w:r>
      <w:r w:rsidRPr="00D35475">
        <w:rPr>
          <w:rFonts w:ascii="Book Antiqua" w:hAnsi="Book Antiqua"/>
        </w:rPr>
        <w:t>B</w:t>
      </w:r>
      <w:r w:rsidR="00CD48BE" w:rsidRPr="00D35475">
        <w:rPr>
          <w:rFonts w:ascii="Book Antiqua" w:hAnsi="Book Antiqua"/>
        </w:rPr>
        <w:t>alloon-occluded retrograde transvenous obliteration</w:t>
      </w:r>
      <w:r w:rsidRPr="00D35475">
        <w:rPr>
          <w:rFonts w:ascii="Book Antiqua" w:hAnsi="Book Antiqua"/>
        </w:rPr>
        <w:t xml:space="preserve">; </w:t>
      </w:r>
      <w:r w:rsidR="00CD48BE" w:rsidRPr="00D35475">
        <w:rPr>
          <w:rFonts w:ascii="Book Antiqua" w:hAnsi="Book Antiqua"/>
        </w:rPr>
        <w:t>TIPS:</w:t>
      </w:r>
      <w:r w:rsidRPr="00D35475">
        <w:rPr>
          <w:rFonts w:ascii="Book Antiqua" w:hAnsi="Book Antiqua"/>
        </w:rPr>
        <w:t xml:space="preserve"> T</w:t>
      </w:r>
      <w:r w:rsidR="00CD48BE" w:rsidRPr="00D35475">
        <w:rPr>
          <w:rFonts w:ascii="Book Antiqua" w:hAnsi="Book Antiqua"/>
        </w:rPr>
        <w:t>ransjugular intrahepatic portosystemic shunt</w:t>
      </w:r>
      <w:r w:rsidRPr="00D35475">
        <w:rPr>
          <w:rFonts w:ascii="Book Antiqua" w:hAnsi="Book Antiqua"/>
        </w:rPr>
        <w:t>.</w:t>
      </w:r>
    </w:p>
    <w:p w14:paraId="743BFE3B" w14:textId="21C7182D"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rPr>
        <w:br w:type="page"/>
      </w:r>
      <w:r w:rsidR="00EF4460" w:rsidRPr="00D35475">
        <w:rPr>
          <w:rFonts w:ascii="Book Antiqua" w:hAnsi="Book Antiqua"/>
          <w:b/>
          <w:bCs/>
        </w:rPr>
        <w:lastRenderedPageBreak/>
        <w:t xml:space="preserve">Table 4 Complications after </w:t>
      </w:r>
      <w:r w:rsidR="00474EF7" w:rsidRPr="00D35475">
        <w:rPr>
          <w:rFonts w:ascii="Book Antiqua" w:hAnsi="Book Antiqua"/>
          <w:b/>
          <w:bCs/>
        </w:rPr>
        <w:t>balloon-occluded retrograde transvenous obliteration</w:t>
      </w:r>
      <w:r w:rsidR="00EF4460" w:rsidRPr="00D35475">
        <w:rPr>
          <w:rFonts w:ascii="Book Antiqua" w:hAnsi="Book Antiqua"/>
          <w:b/>
          <w:bCs/>
        </w:rPr>
        <w:t xml:space="preserve"> or </w:t>
      </w:r>
      <w:r w:rsidR="00474EF7" w:rsidRPr="00D35475">
        <w:rPr>
          <w:rFonts w:ascii="Book Antiqua" w:hAnsi="Book Antiqua"/>
          <w:b/>
          <w:bCs/>
        </w:rPr>
        <w:t>transjugular intrahepatic portosystemic shunt</w:t>
      </w:r>
    </w:p>
    <w:tbl>
      <w:tblPr>
        <w:tblStyle w:val="a3"/>
        <w:tblW w:w="10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9"/>
        <w:gridCol w:w="1049"/>
        <w:gridCol w:w="1048"/>
        <w:gridCol w:w="1048"/>
        <w:gridCol w:w="1048"/>
        <w:gridCol w:w="1198"/>
        <w:gridCol w:w="899"/>
        <w:gridCol w:w="1198"/>
        <w:gridCol w:w="898"/>
      </w:tblGrid>
      <w:tr w:rsidR="00CD48BE" w:rsidRPr="00D35475" w14:paraId="3519773D" w14:textId="77777777" w:rsidTr="003C23EF">
        <w:trPr>
          <w:trHeight w:val="106"/>
        </w:trPr>
        <w:tc>
          <w:tcPr>
            <w:tcW w:w="1799" w:type="dxa"/>
            <w:vMerge w:val="restart"/>
            <w:tcBorders>
              <w:top w:val="single" w:sz="8" w:space="0" w:color="auto"/>
            </w:tcBorders>
            <w:vAlign w:val="center"/>
          </w:tcPr>
          <w:p w14:paraId="538AEE73" w14:textId="1BD9FF45" w:rsidR="00CD48BE" w:rsidRPr="00D35475" w:rsidRDefault="00474EF7" w:rsidP="000E27CD">
            <w:pPr>
              <w:adjustRightInd w:val="0"/>
              <w:snapToGrid w:val="0"/>
              <w:spacing w:line="360" w:lineRule="auto"/>
              <w:jc w:val="both"/>
              <w:rPr>
                <w:rFonts w:ascii="Book Antiqua" w:hAnsi="Book Antiqua"/>
                <w:b/>
                <w:bCs/>
              </w:rPr>
            </w:pPr>
            <w:r w:rsidRPr="00D35475">
              <w:rPr>
                <w:rFonts w:ascii="Book Antiqua" w:hAnsi="Book Antiqua"/>
                <w:b/>
                <w:bCs/>
              </w:rPr>
              <w:t>Ref.</w:t>
            </w:r>
          </w:p>
        </w:tc>
        <w:tc>
          <w:tcPr>
            <w:tcW w:w="2097" w:type="dxa"/>
            <w:gridSpan w:val="2"/>
            <w:tcBorders>
              <w:top w:val="single" w:sz="8" w:space="0" w:color="auto"/>
              <w:bottom w:val="single" w:sz="4" w:space="0" w:color="auto"/>
            </w:tcBorders>
            <w:vAlign w:val="center"/>
          </w:tcPr>
          <w:p w14:paraId="13EA8E2B"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LF</w:t>
            </w:r>
          </w:p>
        </w:tc>
        <w:tc>
          <w:tcPr>
            <w:tcW w:w="2096" w:type="dxa"/>
            <w:gridSpan w:val="2"/>
            <w:tcBorders>
              <w:top w:val="single" w:sz="8" w:space="0" w:color="auto"/>
              <w:bottom w:val="single" w:sz="4" w:space="0" w:color="auto"/>
            </w:tcBorders>
            <w:vAlign w:val="center"/>
          </w:tcPr>
          <w:p w14:paraId="285CB9AD"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HE</w:t>
            </w:r>
          </w:p>
        </w:tc>
        <w:tc>
          <w:tcPr>
            <w:tcW w:w="2097" w:type="dxa"/>
            <w:gridSpan w:val="2"/>
            <w:tcBorders>
              <w:top w:val="single" w:sz="8" w:space="0" w:color="auto"/>
              <w:bottom w:val="single" w:sz="4" w:space="0" w:color="auto"/>
            </w:tcBorders>
            <w:vAlign w:val="center"/>
          </w:tcPr>
          <w:p w14:paraId="084BE237" w14:textId="4081F79A" w:rsidR="00CD48BE" w:rsidRPr="00D35475" w:rsidRDefault="00474EF7" w:rsidP="000E27CD">
            <w:pPr>
              <w:adjustRightInd w:val="0"/>
              <w:snapToGrid w:val="0"/>
              <w:spacing w:line="360" w:lineRule="auto"/>
              <w:jc w:val="both"/>
              <w:rPr>
                <w:rFonts w:ascii="Book Antiqua" w:hAnsi="Book Antiqua"/>
                <w:b/>
                <w:bCs/>
              </w:rPr>
            </w:pPr>
            <w:r w:rsidRPr="00D35475">
              <w:rPr>
                <w:rFonts w:ascii="Book Antiqua" w:hAnsi="Book Antiqua"/>
                <w:b/>
                <w:bCs/>
              </w:rPr>
              <w:t>A</w:t>
            </w:r>
            <w:r w:rsidR="00CD48BE" w:rsidRPr="00D35475">
              <w:rPr>
                <w:rFonts w:ascii="Book Antiqua" w:hAnsi="Book Antiqua"/>
                <w:b/>
                <w:bCs/>
              </w:rPr>
              <w:t>scites</w:t>
            </w:r>
          </w:p>
        </w:tc>
        <w:tc>
          <w:tcPr>
            <w:tcW w:w="2096" w:type="dxa"/>
            <w:gridSpan w:val="2"/>
            <w:tcBorders>
              <w:top w:val="single" w:sz="8" w:space="0" w:color="auto"/>
              <w:bottom w:val="single" w:sz="4" w:space="0" w:color="auto"/>
            </w:tcBorders>
            <w:vAlign w:val="center"/>
          </w:tcPr>
          <w:p w14:paraId="62320C94"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EVs aggravation</w:t>
            </w:r>
          </w:p>
        </w:tc>
      </w:tr>
      <w:tr w:rsidR="00CD48BE" w:rsidRPr="00D35475" w14:paraId="0BBE213D" w14:textId="77777777" w:rsidTr="003C23EF">
        <w:trPr>
          <w:trHeight w:val="451"/>
        </w:trPr>
        <w:tc>
          <w:tcPr>
            <w:tcW w:w="1799" w:type="dxa"/>
            <w:vMerge/>
            <w:tcBorders>
              <w:bottom w:val="single" w:sz="8" w:space="0" w:color="auto"/>
            </w:tcBorders>
            <w:vAlign w:val="center"/>
          </w:tcPr>
          <w:p w14:paraId="2D002119" w14:textId="77777777" w:rsidR="00CD48BE" w:rsidRPr="00D35475" w:rsidRDefault="00CD48BE" w:rsidP="000E27CD">
            <w:pPr>
              <w:adjustRightInd w:val="0"/>
              <w:snapToGrid w:val="0"/>
              <w:spacing w:line="360" w:lineRule="auto"/>
              <w:jc w:val="both"/>
              <w:rPr>
                <w:rFonts w:ascii="Book Antiqua" w:hAnsi="Book Antiqua"/>
                <w:b/>
                <w:bCs/>
              </w:rPr>
            </w:pPr>
          </w:p>
        </w:tc>
        <w:tc>
          <w:tcPr>
            <w:tcW w:w="1049" w:type="dxa"/>
            <w:tcBorders>
              <w:top w:val="single" w:sz="4" w:space="0" w:color="auto"/>
              <w:bottom w:val="single" w:sz="8" w:space="0" w:color="auto"/>
            </w:tcBorders>
            <w:vAlign w:val="center"/>
          </w:tcPr>
          <w:p w14:paraId="79028FEC"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BRTO</w:t>
            </w:r>
          </w:p>
        </w:tc>
        <w:tc>
          <w:tcPr>
            <w:tcW w:w="1048" w:type="dxa"/>
            <w:tcBorders>
              <w:top w:val="single" w:sz="4" w:space="0" w:color="auto"/>
              <w:bottom w:val="single" w:sz="8" w:space="0" w:color="auto"/>
            </w:tcBorders>
            <w:vAlign w:val="center"/>
          </w:tcPr>
          <w:p w14:paraId="72585AC0"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TIPS</w:t>
            </w:r>
          </w:p>
        </w:tc>
        <w:tc>
          <w:tcPr>
            <w:tcW w:w="1048" w:type="dxa"/>
            <w:tcBorders>
              <w:top w:val="single" w:sz="4" w:space="0" w:color="auto"/>
              <w:bottom w:val="single" w:sz="8" w:space="0" w:color="auto"/>
            </w:tcBorders>
            <w:vAlign w:val="center"/>
          </w:tcPr>
          <w:p w14:paraId="429E6811"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BRTO</w:t>
            </w:r>
          </w:p>
        </w:tc>
        <w:tc>
          <w:tcPr>
            <w:tcW w:w="1048" w:type="dxa"/>
            <w:tcBorders>
              <w:top w:val="single" w:sz="4" w:space="0" w:color="auto"/>
              <w:bottom w:val="single" w:sz="8" w:space="0" w:color="auto"/>
            </w:tcBorders>
            <w:vAlign w:val="center"/>
          </w:tcPr>
          <w:p w14:paraId="520B38CE"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TIPS</w:t>
            </w:r>
          </w:p>
        </w:tc>
        <w:tc>
          <w:tcPr>
            <w:tcW w:w="1198" w:type="dxa"/>
            <w:tcBorders>
              <w:top w:val="single" w:sz="4" w:space="0" w:color="auto"/>
              <w:bottom w:val="single" w:sz="8" w:space="0" w:color="auto"/>
            </w:tcBorders>
          </w:tcPr>
          <w:p w14:paraId="138F0E81"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BRTO</w:t>
            </w:r>
          </w:p>
        </w:tc>
        <w:tc>
          <w:tcPr>
            <w:tcW w:w="899" w:type="dxa"/>
            <w:tcBorders>
              <w:top w:val="single" w:sz="4" w:space="0" w:color="auto"/>
              <w:bottom w:val="single" w:sz="8" w:space="0" w:color="auto"/>
            </w:tcBorders>
          </w:tcPr>
          <w:p w14:paraId="722C3244"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TIPS</w:t>
            </w:r>
          </w:p>
        </w:tc>
        <w:tc>
          <w:tcPr>
            <w:tcW w:w="1198" w:type="dxa"/>
            <w:tcBorders>
              <w:top w:val="single" w:sz="4" w:space="0" w:color="auto"/>
              <w:bottom w:val="single" w:sz="8" w:space="0" w:color="auto"/>
            </w:tcBorders>
          </w:tcPr>
          <w:p w14:paraId="24915EE1"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BRTO</w:t>
            </w:r>
          </w:p>
        </w:tc>
        <w:tc>
          <w:tcPr>
            <w:tcW w:w="898" w:type="dxa"/>
            <w:tcBorders>
              <w:top w:val="single" w:sz="4" w:space="0" w:color="auto"/>
              <w:bottom w:val="single" w:sz="8" w:space="0" w:color="auto"/>
            </w:tcBorders>
          </w:tcPr>
          <w:p w14:paraId="77F1A119" w14:textId="77777777" w:rsidR="00CD48BE" w:rsidRPr="00D35475" w:rsidRDefault="00CD48BE" w:rsidP="000E27CD">
            <w:pPr>
              <w:adjustRightInd w:val="0"/>
              <w:snapToGrid w:val="0"/>
              <w:spacing w:line="360" w:lineRule="auto"/>
              <w:jc w:val="both"/>
              <w:rPr>
                <w:rFonts w:ascii="Book Antiqua" w:hAnsi="Book Antiqua"/>
                <w:b/>
                <w:bCs/>
              </w:rPr>
            </w:pPr>
            <w:r w:rsidRPr="00D35475">
              <w:rPr>
                <w:rFonts w:ascii="Book Antiqua" w:hAnsi="Book Antiqua"/>
                <w:b/>
                <w:bCs/>
              </w:rPr>
              <w:t>TIPS</w:t>
            </w:r>
          </w:p>
        </w:tc>
      </w:tr>
      <w:tr w:rsidR="00CD48BE" w:rsidRPr="00D35475" w14:paraId="2E6F8BAA" w14:textId="77777777" w:rsidTr="003C23EF">
        <w:trPr>
          <w:trHeight w:val="309"/>
        </w:trPr>
        <w:tc>
          <w:tcPr>
            <w:tcW w:w="1799" w:type="dxa"/>
            <w:tcBorders>
              <w:top w:val="single" w:sz="8" w:space="0" w:color="auto"/>
            </w:tcBorders>
            <w:vAlign w:val="center"/>
          </w:tcPr>
          <w:p w14:paraId="180DDD08" w14:textId="139A2F23"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Choi </w:t>
            </w:r>
            <w:r w:rsidR="00EF4460" w:rsidRPr="00D35475">
              <w:rPr>
                <w:rFonts w:ascii="Book Antiqua" w:hAnsi="Book Antiqua"/>
                <w:i/>
                <w:iCs/>
              </w:rPr>
              <w:t>et al</w:t>
            </w:r>
            <w:r w:rsidRPr="00D35475">
              <w:rPr>
                <w:rFonts w:ascii="Book Antiqua" w:hAnsi="Book Antiqua"/>
                <w:vertAlign w:val="superscript"/>
              </w:rPr>
              <w:t>[39]</w:t>
            </w:r>
          </w:p>
        </w:tc>
        <w:tc>
          <w:tcPr>
            <w:tcW w:w="1049" w:type="dxa"/>
            <w:tcBorders>
              <w:top w:val="single" w:sz="8" w:space="0" w:color="auto"/>
            </w:tcBorders>
            <w:vAlign w:val="center"/>
          </w:tcPr>
          <w:p w14:paraId="66E53466" w14:textId="3DEC9D54"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8</w:t>
            </w:r>
          </w:p>
        </w:tc>
        <w:tc>
          <w:tcPr>
            <w:tcW w:w="1048" w:type="dxa"/>
            <w:tcBorders>
              <w:top w:val="single" w:sz="8" w:space="0" w:color="auto"/>
            </w:tcBorders>
            <w:vAlign w:val="center"/>
          </w:tcPr>
          <w:p w14:paraId="02182B9D" w14:textId="2DA252F8"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w:t>
            </w:r>
            <w:r w:rsidR="00EF4460" w:rsidRPr="00D35475">
              <w:rPr>
                <w:rFonts w:ascii="Book Antiqua" w:hAnsi="Book Antiqua"/>
              </w:rPr>
              <w:t>/</w:t>
            </w:r>
            <w:r w:rsidRPr="00D35475">
              <w:rPr>
                <w:rFonts w:ascii="Book Antiqua" w:hAnsi="Book Antiqua"/>
              </w:rPr>
              <w:t>13</w:t>
            </w:r>
          </w:p>
        </w:tc>
        <w:tc>
          <w:tcPr>
            <w:tcW w:w="1048" w:type="dxa"/>
            <w:tcBorders>
              <w:top w:val="single" w:sz="8" w:space="0" w:color="auto"/>
            </w:tcBorders>
            <w:vAlign w:val="center"/>
          </w:tcPr>
          <w:p w14:paraId="744DD17E" w14:textId="4242D611"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8</w:t>
            </w:r>
          </w:p>
        </w:tc>
        <w:tc>
          <w:tcPr>
            <w:tcW w:w="1048" w:type="dxa"/>
            <w:tcBorders>
              <w:top w:val="single" w:sz="8" w:space="0" w:color="auto"/>
            </w:tcBorders>
            <w:vAlign w:val="center"/>
          </w:tcPr>
          <w:p w14:paraId="686AB61A" w14:textId="3E3F21C9"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w:t>
            </w:r>
            <w:r w:rsidR="00EF4460" w:rsidRPr="00D35475">
              <w:rPr>
                <w:rFonts w:ascii="Book Antiqua" w:hAnsi="Book Antiqua"/>
              </w:rPr>
              <w:t>/</w:t>
            </w:r>
            <w:r w:rsidRPr="00D35475">
              <w:rPr>
                <w:rFonts w:ascii="Book Antiqua" w:hAnsi="Book Antiqua"/>
              </w:rPr>
              <w:t>13</w:t>
            </w:r>
          </w:p>
        </w:tc>
        <w:tc>
          <w:tcPr>
            <w:tcW w:w="1198" w:type="dxa"/>
            <w:tcBorders>
              <w:top w:val="single" w:sz="8" w:space="0" w:color="auto"/>
            </w:tcBorders>
            <w:vAlign w:val="center"/>
          </w:tcPr>
          <w:p w14:paraId="60D8E06E" w14:textId="73401956"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8</w:t>
            </w:r>
          </w:p>
        </w:tc>
        <w:tc>
          <w:tcPr>
            <w:tcW w:w="899" w:type="dxa"/>
            <w:tcBorders>
              <w:top w:val="single" w:sz="8" w:space="0" w:color="auto"/>
            </w:tcBorders>
            <w:vAlign w:val="center"/>
          </w:tcPr>
          <w:p w14:paraId="7B26C5C2" w14:textId="3D9931DB"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13</w:t>
            </w:r>
          </w:p>
        </w:tc>
        <w:tc>
          <w:tcPr>
            <w:tcW w:w="1198" w:type="dxa"/>
            <w:tcBorders>
              <w:top w:val="single" w:sz="8" w:space="0" w:color="auto"/>
            </w:tcBorders>
            <w:vAlign w:val="center"/>
          </w:tcPr>
          <w:p w14:paraId="197D8F9A" w14:textId="4927A01A"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w:t>
            </w:r>
            <w:r w:rsidR="00EF4460" w:rsidRPr="00D35475">
              <w:rPr>
                <w:rFonts w:ascii="Book Antiqua" w:hAnsi="Book Antiqua"/>
              </w:rPr>
              <w:t>/</w:t>
            </w:r>
            <w:r w:rsidRPr="00D35475">
              <w:rPr>
                <w:rFonts w:ascii="Book Antiqua" w:hAnsi="Book Antiqua"/>
              </w:rPr>
              <w:t>8</w:t>
            </w:r>
          </w:p>
        </w:tc>
        <w:tc>
          <w:tcPr>
            <w:tcW w:w="898" w:type="dxa"/>
            <w:tcBorders>
              <w:top w:val="single" w:sz="8" w:space="0" w:color="auto"/>
            </w:tcBorders>
            <w:vAlign w:val="center"/>
          </w:tcPr>
          <w:p w14:paraId="00FABE9F" w14:textId="00C062CB"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13</w:t>
            </w:r>
          </w:p>
        </w:tc>
      </w:tr>
      <w:tr w:rsidR="00CD48BE" w:rsidRPr="00D35475" w14:paraId="02F7923F" w14:textId="77777777" w:rsidTr="003C23EF">
        <w:trPr>
          <w:trHeight w:val="426"/>
        </w:trPr>
        <w:tc>
          <w:tcPr>
            <w:tcW w:w="1799" w:type="dxa"/>
            <w:vAlign w:val="center"/>
          </w:tcPr>
          <w:p w14:paraId="084DD18E" w14:textId="3B0C88A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Ninoi </w:t>
            </w:r>
            <w:r w:rsidR="00EF4460" w:rsidRPr="00D35475">
              <w:rPr>
                <w:rFonts w:ascii="Book Antiqua" w:hAnsi="Book Antiqua"/>
                <w:i/>
                <w:iCs/>
              </w:rPr>
              <w:t>et al</w:t>
            </w:r>
            <w:r w:rsidRPr="00D35475">
              <w:rPr>
                <w:rFonts w:ascii="Book Antiqua" w:hAnsi="Book Antiqua"/>
                <w:vertAlign w:val="superscript"/>
              </w:rPr>
              <w:t>[40]</w:t>
            </w:r>
          </w:p>
        </w:tc>
        <w:tc>
          <w:tcPr>
            <w:tcW w:w="1049" w:type="dxa"/>
            <w:vAlign w:val="center"/>
          </w:tcPr>
          <w:p w14:paraId="2C6CD691" w14:textId="6F8F297E"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3</w:t>
            </w:r>
            <w:r w:rsidR="00EF4460" w:rsidRPr="00D35475">
              <w:rPr>
                <w:rFonts w:ascii="Book Antiqua" w:hAnsi="Book Antiqua"/>
              </w:rPr>
              <w:t>/</w:t>
            </w:r>
            <w:r w:rsidRPr="00D35475">
              <w:rPr>
                <w:rFonts w:ascii="Book Antiqua" w:hAnsi="Book Antiqua"/>
              </w:rPr>
              <w:t>77</w:t>
            </w:r>
            <w:r w:rsidR="00474EF7" w:rsidRPr="00D35475">
              <w:rPr>
                <w:rFonts w:ascii="Book Antiqua" w:hAnsi="Book Antiqua"/>
                <w:vertAlign w:val="superscript"/>
              </w:rPr>
              <w:t>1</w:t>
            </w:r>
          </w:p>
        </w:tc>
        <w:tc>
          <w:tcPr>
            <w:tcW w:w="1048" w:type="dxa"/>
            <w:vAlign w:val="center"/>
          </w:tcPr>
          <w:p w14:paraId="66704DAE" w14:textId="0FA5A455"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10</w:t>
            </w:r>
            <w:r w:rsidR="00EF4460" w:rsidRPr="00D35475">
              <w:rPr>
                <w:rFonts w:ascii="Book Antiqua" w:hAnsi="Book Antiqua"/>
              </w:rPr>
              <w:t>/</w:t>
            </w:r>
            <w:r w:rsidRPr="00D35475">
              <w:rPr>
                <w:rFonts w:ascii="Book Antiqua" w:hAnsi="Book Antiqua"/>
              </w:rPr>
              <w:t>27</w:t>
            </w:r>
            <w:r w:rsidR="00474EF7" w:rsidRPr="00D35475">
              <w:rPr>
                <w:rFonts w:ascii="Book Antiqua" w:hAnsi="Book Antiqua"/>
                <w:vertAlign w:val="superscript"/>
              </w:rPr>
              <w:t>1</w:t>
            </w:r>
          </w:p>
        </w:tc>
        <w:tc>
          <w:tcPr>
            <w:tcW w:w="1048" w:type="dxa"/>
            <w:vAlign w:val="center"/>
          </w:tcPr>
          <w:p w14:paraId="7D60FBF7" w14:textId="1DF4F23E"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77</w:t>
            </w:r>
          </w:p>
        </w:tc>
        <w:tc>
          <w:tcPr>
            <w:tcW w:w="1048" w:type="dxa"/>
            <w:vAlign w:val="center"/>
          </w:tcPr>
          <w:p w14:paraId="0CAF1C88" w14:textId="2312B323"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5</w:t>
            </w:r>
            <w:r w:rsidR="00EF4460" w:rsidRPr="00D35475">
              <w:rPr>
                <w:rFonts w:ascii="Book Antiqua" w:hAnsi="Book Antiqua"/>
              </w:rPr>
              <w:t>/</w:t>
            </w:r>
            <w:r w:rsidRPr="00D35475">
              <w:rPr>
                <w:rFonts w:ascii="Book Antiqua" w:hAnsi="Book Antiqua"/>
              </w:rPr>
              <w:t>27</w:t>
            </w:r>
          </w:p>
        </w:tc>
        <w:tc>
          <w:tcPr>
            <w:tcW w:w="1198" w:type="dxa"/>
            <w:vAlign w:val="center"/>
          </w:tcPr>
          <w:p w14:paraId="34E6532A" w14:textId="7F382005"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6</w:t>
            </w:r>
            <w:r w:rsidR="00EF4460" w:rsidRPr="00D35475">
              <w:rPr>
                <w:rFonts w:ascii="Book Antiqua" w:hAnsi="Book Antiqua"/>
              </w:rPr>
              <w:t>/</w:t>
            </w:r>
            <w:r w:rsidRPr="00D35475">
              <w:rPr>
                <w:rFonts w:ascii="Book Antiqua" w:hAnsi="Book Antiqua"/>
              </w:rPr>
              <w:t>77</w:t>
            </w:r>
          </w:p>
        </w:tc>
        <w:tc>
          <w:tcPr>
            <w:tcW w:w="899" w:type="dxa"/>
            <w:vAlign w:val="center"/>
          </w:tcPr>
          <w:p w14:paraId="03115039" w14:textId="77777777" w:rsidR="00CD48BE" w:rsidRPr="00D35475" w:rsidRDefault="00CD48BE" w:rsidP="000E27CD">
            <w:pPr>
              <w:adjustRightInd w:val="0"/>
              <w:snapToGrid w:val="0"/>
              <w:spacing w:line="360" w:lineRule="auto"/>
              <w:jc w:val="both"/>
              <w:rPr>
                <w:rFonts w:ascii="Book Antiqua" w:hAnsi="Book Antiqua"/>
              </w:rPr>
            </w:pPr>
          </w:p>
        </w:tc>
        <w:tc>
          <w:tcPr>
            <w:tcW w:w="1198" w:type="dxa"/>
            <w:vAlign w:val="center"/>
          </w:tcPr>
          <w:p w14:paraId="4A3F45A4" w14:textId="2DD59F33"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14</w:t>
            </w:r>
            <w:r w:rsidR="00EF4460" w:rsidRPr="00D35475">
              <w:rPr>
                <w:rFonts w:ascii="Book Antiqua" w:hAnsi="Book Antiqua"/>
              </w:rPr>
              <w:t>/</w:t>
            </w:r>
            <w:r w:rsidRPr="00D35475">
              <w:rPr>
                <w:rFonts w:ascii="Book Antiqua" w:hAnsi="Book Antiqua"/>
              </w:rPr>
              <w:t>77</w:t>
            </w:r>
          </w:p>
        </w:tc>
        <w:tc>
          <w:tcPr>
            <w:tcW w:w="898" w:type="dxa"/>
            <w:vAlign w:val="center"/>
          </w:tcPr>
          <w:p w14:paraId="785F817D" w14:textId="77777777" w:rsidR="00CD48BE" w:rsidRPr="00D35475" w:rsidRDefault="00CD48BE" w:rsidP="000E27CD">
            <w:pPr>
              <w:adjustRightInd w:val="0"/>
              <w:snapToGrid w:val="0"/>
              <w:spacing w:line="360" w:lineRule="auto"/>
              <w:jc w:val="both"/>
              <w:rPr>
                <w:rFonts w:ascii="Book Antiqua" w:hAnsi="Book Antiqua"/>
              </w:rPr>
            </w:pPr>
          </w:p>
        </w:tc>
      </w:tr>
      <w:tr w:rsidR="00CD48BE" w:rsidRPr="00D35475" w14:paraId="04CD01FB" w14:textId="77777777" w:rsidTr="003C23EF">
        <w:trPr>
          <w:trHeight w:val="383"/>
        </w:trPr>
        <w:tc>
          <w:tcPr>
            <w:tcW w:w="1799" w:type="dxa"/>
            <w:vAlign w:val="center"/>
          </w:tcPr>
          <w:p w14:paraId="6EB23BD9" w14:textId="20B07085"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Sabri</w:t>
            </w:r>
            <w:r w:rsidR="00EF4460" w:rsidRPr="00D35475">
              <w:rPr>
                <w:rFonts w:ascii="Book Antiqua" w:hAnsi="Book Antiqua"/>
              </w:rPr>
              <w:t xml:space="preserve"> </w:t>
            </w:r>
            <w:r w:rsidR="00EF4460" w:rsidRPr="00D35475">
              <w:rPr>
                <w:rFonts w:ascii="Book Antiqua" w:hAnsi="Book Antiqua"/>
                <w:i/>
                <w:iCs/>
              </w:rPr>
              <w:t>et al</w:t>
            </w:r>
            <w:r w:rsidRPr="00D35475">
              <w:rPr>
                <w:rFonts w:ascii="Book Antiqua" w:hAnsi="Book Antiqua"/>
                <w:vertAlign w:val="superscript"/>
              </w:rPr>
              <w:t>[41]</w:t>
            </w:r>
          </w:p>
        </w:tc>
        <w:tc>
          <w:tcPr>
            <w:tcW w:w="1049" w:type="dxa"/>
            <w:vAlign w:val="center"/>
          </w:tcPr>
          <w:p w14:paraId="46AEE02E" w14:textId="4FE1EA61"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23</w:t>
            </w:r>
          </w:p>
        </w:tc>
        <w:tc>
          <w:tcPr>
            <w:tcW w:w="1048" w:type="dxa"/>
            <w:vAlign w:val="center"/>
          </w:tcPr>
          <w:p w14:paraId="3DDB284B" w14:textId="20585997"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27</w:t>
            </w:r>
          </w:p>
        </w:tc>
        <w:tc>
          <w:tcPr>
            <w:tcW w:w="1048" w:type="dxa"/>
            <w:vAlign w:val="center"/>
          </w:tcPr>
          <w:p w14:paraId="1BA58816" w14:textId="3E319441"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23</w:t>
            </w:r>
          </w:p>
        </w:tc>
        <w:tc>
          <w:tcPr>
            <w:tcW w:w="1048" w:type="dxa"/>
            <w:vAlign w:val="center"/>
          </w:tcPr>
          <w:p w14:paraId="3862685E" w14:textId="27E2C355"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6</w:t>
            </w:r>
            <w:r w:rsidR="00EF4460" w:rsidRPr="00D35475">
              <w:rPr>
                <w:rFonts w:ascii="Book Antiqua" w:hAnsi="Book Antiqua"/>
              </w:rPr>
              <w:t>/</w:t>
            </w:r>
            <w:r w:rsidRPr="00D35475">
              <w:rPr>
                <w:rFonts w:ascii="Book Antiqua" w:hAnsi="Book Antiqua"/>
              </w:rPr>
              <w:t>27</w:t>
            </w:r>
          </w:p>
        </w:tc>
        <w:tc>
          <w:tcPr>
            <w:tcW w:w="1198" w:type="dxa"/>
            <w:vAlign w:val="center"/>
          </w:tcPr>
          <w:p w14:paraId="324AB6B7" w14:textId="77777777" w:rsidR="00CD48BE" w:rsidRPr="00D35475" w:rsidRDefault="00CD48BE" w:rsidP="000E27CD">
            <w:pPr>
              <w:adjustRightInd w:val="0"/>
              <w:snapToGrid w:val="0"/>
              <w:spacing w:line="360" w:lineRule="auto"/>
              <w:jc w:val="both"/>
              <w:rPr>
                <w:rFonts w:ascii="Book Antiqua" w:hAnsi="Book Antiqua"/>
              </w:rPr>
            </w:pPr>
          </w:p>
        </w:tc>
        <w:tc>
          <w:tcPr>
            <w:tcW w:w="899" w:type="dxa"/>
            <w:vAlign w:val="center"/>
          </w:tcPr>
          <w:p w14:paraId="775058C7" w14:textId="77777777" w:rsidR="00CD48BE" w:rsidRPr="00D35475" w:rsidRDefault="00CD48BE" w:rsidP="000E27CD">
            <w:pPr>
              <w:adjustRightInd w:val="0"/>
              <w:snapToGrid w:val="0"/>
              <w:spacing w:line="360" w:lineRule="auto"/>
              <w:jc w:val="both"/>
              <w:rPr>
                <w:rFonts w:ascii="Book Antiqua" w:hAnsi="Book Antiqua"/>
              </w:rPr>
            </w:pPr>
          </w:p>
        </w:tc>
        <w:tc>
          <w:tcPr>
            <w:tcW w:w="1198" w:type="dxa"/>
            <w:vAlign w:val="center"/>
          </w:tcPr>
          <w:p w14:paraId="606AC360" w14:textId="77777777" w:rsidR="00CD48BE" w:rsidRPr="00D35475" w:rsidRDefault="00CD48BE" w:rsidP="000E27CD">
            <w:pPr>
              <w:adjustRightInd w:val="0"/>
              <w:snapToGrid w:val="0"/>
              <w:spacing w:line="360" w:lineRule="auto"/>
              <w:jc w:val="both"/>
              <w:rPr>
                <w:rFonts w:ascii="Book Antiqua" w:hAnsi="Book Antiqua"/>
              </w:rPr>
            </w:pPr>
          </w:p>
        </w:tc>
        <w:tc>
          <w:tcPr>
            <w:tcW w:w="898" w:type="dxa"/>
            <w:vAlign w:val="center"/>
          </w:tcPr>
          <w:p w14:paraId="7AD62817" w14:textId="77777777" w:rsidR="00CD48BE" w:rsidRPr="00D35475" w:rsidRDefault="00CD48BE" w:rsidP="000E27CD">
            <w:pPr>
              <w:adjustRightInd w:val="0"/>
              <w:snapToGrid w:val="0"/>
              <w:spacing w:line="360" w:lineRule="auto"/>
              <w:jc w:val="both"/>
              <w:rPr>
                <w:rFonts w:ascii="Book Antiqua" w:hAnsi="Book Antiqua"/>
              </w:rPr>
            </w:pPr>
          </w:p>
        </w:tc>
      </w:tr>
      <w:tr w:rsidR="00CD48BE" w:rsidRPr="00D35475" w14:paraId="781CA5F1" w14:textId="77777777" w:rsidTr="003C23EF">
        <w:trPr>
          <w:trHeight w:val="70"/>
        </w:trPr>
        <w:tc>
          <w:tcPr>
            <w:tcW w:w="1799" w:type="dxa"/>
            <w:vAlign w:val="center"/>
          </w:tcPr>
          <w:p w14:paraId="47D1A4F8" w14:textId="6A8D8013"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Kim </w:t>
            </w:r>
            <w:r w:rsidR="00EF4460" w:rsidRPr="00D35475">
              <w:rPr>
                <w:rFonts w:ascii="Book Antiqua" w:hAnsi="Book Antiqua"/>
                <w:i/>
                <w:iCs/>
              </w:rPr>
              <w:t>et al</w:t>
            </w:r>
            <w:r w:rsidRPr="00D35475">
              <w:rPr>
                <w:rFonts w:ascii="Book Antiqua" w:hAnsi="Book Antiqua"/>
                <w:vertAlign w:val="superscript"/>
              </w:rPr>
              <w:t>[42]</w:t>
            </w:r>
          </w:p>
        </w:tc>
        <w:tc>
          <w:tcPr>
            <w:tcW w:w="1049" w:type="dxa"/>
            <w:vAlign w:val="center"/>
          </w:tcPr>
          <w:p w14:paraId="50B28D11" w14:textId="7461640D"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25</w:t>
            </w:r>
          </w:p>
        </w:tc>
        <w:tc>
          <w:tcPr>
            <w:tcW w:w="1048" w:type="dxa"/>
            <w:vAlign w:val="center"/>
          </w:tcPr>
          <w:p w14:paraId="6CDAB03F" w14:textId="0AD5C3D9"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27</w:t>
            </w:r>
          </w:p>
        </w:tc>
        <w:tc>
          <w:tcPr>
            <w:tcW w:w="1048" w:type="dxa"/>
            <w:vAlign w:val="center"/>
          </w:tcPr>
          <w:p w14:paraId="1CA85062" w14:textId="019D3020"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25</w:t>
            </w:r>
          </w:p>
        </w:tc>
        <w:tc>
          <w:tcPr>
            <w:tcW w:w="1048" w:type="dxa"/>
            <w:vAlign w:val="center"/>
          </w:tcPr>
          <w:p w14:paraId="00207DDF" w14:textId="281281C9"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6</w:t>
            </w:r>
            <w:r w:rsidR="00EF4460" w:rsidRPr="00D35475">
              <w:rPr>
                <w:rFonts w:ascii="Book Antiqua" w:hAnsi="Book Antiqua"/>
              </w:rPr>
              <w:t>/</w:t>
            </w:r>
            <w:r w:rsidRPr="00D35475">
              <w:rPr>
                <w:rFonts w:ascii="Book Antiqua" w:hAnsi="Book Antiqua"/>
              </w:rPr>
              <w:t>27</w:t>
            </w:r>
          </w:p>
        </w:tc>
        <w:tc>
          <w:tcPr>
            <w:tcW w:w="1198" w:type="dxa"/>
            <w:vAlign w:val="center"/>
          </w:tcPr>
          <w:p w14:paraId="79898550" w14:textId="390EF025"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w:t>
            </w:r>
            <w:r w:rsidR="00EF4460" w:rsidRPr="00D35475">
              <w:rPr>
                <w:rFonts w:ascii="Book Antiqua" w:hAnsi="Book Antiqua"/>
              </w:rPr>
              <w:t>/</w:t>
            </w:r>
            <w:r w:rsidRPr="00D35475">
              <w:rPr>
                <w:rFonts w:ascii="Book Antiqua" w:hAnsi="Book Antiqua"/>
              </w:rPr>
              <w:t>25</w:t>
            </w:r>
          </w:p>
        </w:tc>
        <w:tc>
          <w:tcPr>
            <w:tcW w:w="899" w:type="dxa"/>
            <w:vAlign w:val="center"/>
          </w:tcPr>
          <w:p w14:paraId="2BCC3BD6" w14:textId="0F332264"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w:t>
            </w:r>
            <w:r w:rsidR="00EF4460" w:rsidRPr="00D35475">
              <w:rPr>
                <w:rFonts w:ascii="Book Antiqua" w:hAnsi="Book Antiqua"/>
              </w:rPr>
              <w:t>/</w:t>
            </w:r>
            <w:r w:rsidRPr="00D35475">
              <w:rPr>
                <w:rFonts w:ascii="Book Antiqua" w:hAnsi="Book Antiqua"/>
              </w:rPr>
              <w:t>27</w:t>
            </w:r>
          </w:p>
        </w:tc>
        <w:tc>
          <w:tcPr>
            <w:tcW w:w="1198" w:type="dxa"/>
            <w:vAlign w:val="center"/>
          </w:tcPr>
          <w:p w14:paraId="552046A6" w14:textId="20F1ED4A"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w:t>
            </w:r>
            <w:r w:rsidR="00EF4460" w:rsidRPr="00D35475">
              <w:rPr>
                <w:rFonts w:ascii="Book Antiqua" w:hAnsi="Book Antiqua"/>
              </w:rPr>
              <w:t>/</w:t>
            </w:r>
            <w:r w:rsidRPr="00D35475">
              <w:rPr>
                <w:rFonts w:ascii="Book Antiqua" w:hAnsi="Book Antiqua"/>
              </w:rPr>
              <w:t>25</w:t>
            </w:r>
          </w:p>
        </w:tc>
        <w:tc>
          <w:tcPr>
            <w:tcW w:w="898" w:type="dxa"/>
            <w:vAlign w:val="center"/>
          </w:tcPr>
          <w:p w14:paraId="52433A33" w14:textId="4AFCCBAF"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27</w:t>
            </w:r>
          </w:p>
        </w:tc>
      </w:tr>
      <w:tr w:rsidR="00CD48BE" w:rsidRPr="00D35475" w14:paraId="3CC155AE" w14:textId="77777777" w:rsidTr="003C23EF">
        <w:trPr>
          <w:trHeight w:val="70"/>
        </w:trPr>
        <w:tc>
          <w:tcPr>
            <w:tcW w:w="1799" w:type="dxa"/>
            <w:vAlign w:val="center"/>
          </w:tcPr>
          <w:p w14:paraId="7E171292" w14:textId="7FF1B7FE"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Lee </w:t>
            </w:r>
            <w:r w:rsidR="00EF4460" w:rsidRPr="00D35475">
              <w:rPr>
                <w:rFonts w:ascii="Book Antiqua" w:hAnsi="Book Antiqua"/>
                <w:i/>
                <w:iCs/>
              </w:rPr>
              <w:t>et al</w:t>
            </w:r>
            <w:r w:rsidRPr="00D35475">
              <w:rPr>
                <w:rFonts w:ascii="Book Antiqua" w:hAnsi="Book Antiqua"/>
                <w:vertAlign w:val="superscript"/>
              </w:rPr>
              <w:t>[43]</w:t>
            </w:r>
          </w:p>
        </w:tc>
        <w:tc>
          <w:tcPr>
            <w:tcW w:w="1049" w:type="dxa"/>
            <w:vAlign w:val="center"/>
          </w:tcPr>
          <w:p w14:paraId="56306D57" w14:textId="3CF9787D"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95</w:t>
            </w:r>
          </w:p>
        </w:tc>
        <w:tc>
          <w:tcPr>
            <w:tcW w:w="1048" w:type="dxa"/>
            <w:vAlign w:val="center"/>
          </w:tcPr>
          <w:p w14:paraId="1ADF77A7" w14:textId="3CA5F098"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w:t>
            </w:r>
            <w:r w:rsidR="00EF4460" w:rsidRPr="00D35475">
              <w:rPr>
                <w:rFonts w:ascii="Book Antiqua" w:hAnsi="Book Antiqua"/>
              </w:rPr>
              <w:t>/</w:t>
            </w:r>
            <w:r w:rsidRPr="00D35475">
              <w:rPr>
                <w:rFonts w:ascii="Book Antiqua" w:hAnsi="Book Antiqua"/>
              </w:rPr>
              <w:t>47</w:t>
            </w:r>
          </w:p>
        </w:tc>
        <w:tc>
          <w:tcPr>
            <w:tcW w:w="1048" w:type="dxa"/>
            <w:vAlign w:val="center"/>
          </w:tcPr>
          <w:p w14:paraId="09FDFB5E" w14:textId="6F0A1905"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95</w:t>
            </w:r>
          </w:p>
        </w:tc>
        <w:tc>
          <w:tcPr>
            <w:tcW w:w="1048" w:type="dxa"/>
            <w:vAlign w:val="center"/>
          </w:tcPr>
          <w:p w14:paraId="6FA0F360" w14:textId="4017DECB"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14</w:t>
            </w:r>
            <w:r w:rsidR="00EF4460" w:rsidRPr="00D35475">
              <w:rPr>
                <w:rFonts w:ascii="Book Antiqua" w:hAnsi="Book Antiqua"/>
              </w:rPr>
              <w:t>/</w:t>
            </w:r>
            <w:r w:rsidRPr="00D35475">
              <w:rPr>
                <w:rFonts w:ascii="Book Antiqua" w:hAnsi="Book Antiqua"/>
              </w:rPr>
              <w:t>47</w:t>
            </w:r>
          </w:p>
        </w:tc>
        <w:tc>
          <w:tcPr>
            <w:tcW w:w="1198" w:type="dxa"/>
            <w:vAlign w:val="center"/>
          </w:tcPr>
          <w:p w14:paraId="0CA5ACDA" w14:textId="7938711C"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13</w:t>
            </w:r>
            <w:r w:rsidR="00EF4460" w:rsidRPr="00D35475">
              <w:rPr>
                <w:rFonts w:ascii="Book Antiqua" w:hAnsi="Book Antiqua"/>
              </w:rPr>
              <w:t>/</w:t>
            </w:r>
            <w:r w:rsidRPr="00D35475">
              <w:rPr>
                <w:rFonts w:ascii="Book Antiqua" w:hAnsi="Book Antiqua"/>
              </w:rPr>
              <w:t>95</w:t>
            </w:r>
          </w:p>
        </w:tc>
        <w:tc>
          <w:tcPr>
            <w:tcW w:w="899" w:type="dxa"/>
            <w:vAlign w:val="center"/>
          </w:tcPr>
          <w:p w14:paraId="4AE4EE27" w14:textId="251C9C48"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2</w:t>
            </w:r>
            <w:r w:rsidR="00EF4460" w:rsidRPr="00D35475">
              <w:rPr>
                <w:rFonts w:ascii="Book Antiqua" w:hAnsi="Book Antiqua"/>
              </w:rPr>
              <w:t>/</w:t>
            </w:r>
            <w:r w:rsidRPr="00D35475">
              <w:rPr>
                <w:rFonts w:ascii="Book Antiqua" w:hAnsi="Book Antiqua"/>
              </w:rPr>
              <w:t>47</w:t>
            </w:r>
          </w:p>
        </w:tc>
        <w:tc>
          <w:tcPr>
            <w:tcW w:w="1198" w:type="dxa"/>
            <w:vAlign w:val="center"/>
          </w:tcPr>
          <w:p w14:paraId="4B912888" w14:textId="77777777" w:rsidR="00CD48BE" w:rsidRPr="00D35475" w:rsidRDefault="00CD48BE" w:rsidP="000E27CD">
            <w:pPr>
              <w:adjustRightInd w:val="0"/>
              <w:snapToGrid w:val="0"/>
              <w:spacing w:line="360" w:lineRule="auto"/>
              <w:jc w:val="both"/>
              <w:rPr>
                <w:rFonts w:ascii="Book Antiqua" w:hAnsi="Book Antiqua"/>
              </w:rPr>
            </w:pPr>
          </w:p>
        </w:tc>
        <w:tc>
          <w:tcPr>
            <w:tcW w:w="898" w:type="dxa"/>
            <w:vAlign w:val="center"/>
          </w:tcPr>
          <w:p w14:paraId="1ACCC57F" w14:textId="77777777" w:rsidR="00CD48BE" w:rsidRPr="00D35475" w:rsidRDefault="00CD48BE" w:rsidP="000E27CD">
            <w:pPr>
              <w:adjustRightInd w:val="0"/>
              <w:snapToGrid w:val="0"/>
              <w:spacing w:line="360" w:lineRule="auto"/>
              <w:jc w:val="both"/>
              <w:rPr>
                <w:rFonts w:ascii="Book Antiqua" w:hAnsi="Book Antiqua"/>
              </w:rPr>
            </w:pPr>
          </w:p>
        </w:tc>
      </w:tr>
      <w:tr w:rsidR="00CD48BE" w:rsidRPr="00D35475" w14:paraId="0321CFFA" w14:textId="77777777" w:rsidTr="003C23EF">
        <w:trPr>
          <w:trHeight w:val="70"/>
        </w:trPr>
        <w:tc>
          <w:tcPr>
            <w:tcW w:w="1799" w:type="dxa"/>
            <w:tcBorders>
              <w:bottom w:val="single" w:sz="8" w:space="0" w:color="auto"/>
            </w:tcBorders>
            <w:vAlign w:val="center"/>
          </w:tcPr>
          <w:p w14:paraId="6000C50F" w14:textId="11DD8260"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 xml:space="preserve">Gimm </w:t>
            </w:r>
            <w:r w:rsidR="00EF4460" w:rsidRPr="00D35475">
              <w:rPr>
                <w:rFonts w:ascii="Book Antiqua" w:hAnsi="Book Antiqua"/>
                <w:i/>
                <w:iCs/>
              </w:rPr>
              <w:t>et al</w:t>
            </w:r>
            <w:r w:rsidRPr="00D35475">
              <w:rPr>
                <w:rFonts w:ascii="Book Antiqua" w:hAnsi="Book Antiqua"/>
                <w:vertAlign w:val="superscript"/>
              </w:rPr>
              <w:t>[44]</w:t>
            </w:r>
          </w:p>
        </w:tc>
        <w:tc>
          <w:tcPr>
            <w:tcW w:w="1049" w:type="dxa"/>
            <w:tcBorders>
              <w:bottom w:val="single" w:sz="8" w:space="0" w:color="auto"/>
            </w:tcBorders>
            <w:vAlign w:val="center"/>
          </w:tcPr>
          <w:p w14:paraId="1894A9EB" w14:textId="16149B12"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157</w:t>
            </w:r>
          </w:p>
        </w:tc>
        <w:tc>
          <w:tcPr>
            <w:tcW w:w="1048" w:type="dxa"/>
            <w:tcBorders>
              <w:bottom w:val="single" w:sz="8" w:space="0" w:color="auto"/>
            </w:tcBorders>
            <w:vAlign w:val="center"/>
          </w:tcPr>
          <w:p w14:paraId="1A474B34" w14:textId="6A188F9D"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19</w:t>
            </w:r>
          </w:p>
        </w:tc>
        <w:tc>
          <w:tcPr>
            <w:tcW w:w="1048" w:type="dxa"/>
            <w:tcBorders>
              <w:bottom w:val="single" w:sz="8" w:space="0" w:color="auto"/>
            </w:tcBorders>
            <w:vAlign w:val="center"/>
          </w:tcPr>
          <w:p w14:paraId="3C1CD186" w14:textId="029C6F35"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4</w:t>
            </w:r>
            <w:r w:rsidR="00EF4460" w:rsidRPr="00D35475">
              <w:rPr>
                <w:rFonts w:ascii="Book Antiqua" w:hAnsi="Book Antiqua"/>
              </w:rPr>
              <w:t>/</w:t>
            </w:r>
            <w:r w:rsidRPr="00D35475">
              <w:rPr>
                <w:rFonts w:ascii="Book Antiqua" w:hAnsi="Book Antiqua"/>
              </w:rPr>
              <w:t>157</w:t>
            </w:r>
          </w:p>
        </w:tc>
        <w:tc>
          <w:tcPr>
            <w:tcW w:w="1048" w:type="dxa"/>
            <w:tcBorders>
              <w:bottom w:val="single" w:sz="8" w:space="0" w:color="auto"/>
            </w:tcBorders>
            <w:vAlign w:val="center"/>
          </w:tcPr>
          <w:p w14:paraId="389ECE08" w14:textId="5E6A6B3C"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0</w:t>
            </w:r>
            <w:r w:rsidR="00EF4460" w:rsidRPr="00D35475">
              <w:rPr>
                <w:rFonts w:ascii="Book Antiqua" w:hAnsi="Book Antiqua"/>
              </w:rPr>
              <w:t>/</w:t>
            </w:r>
            <w:r w:rsidRPr="00D35475">
              <w:rPr>
                <w:rFonts w:ascii="Book Antiqua" w:hAnsi="Book Antiqua"/>
              </w:rPr>
              <w:t>19</w:t>
            </w:r>
          </w:p>
        </w:tc>
        <w:tc>
          <w:tcPr>
            <w:tcW w:w="1198" w:type="dxa"/>
            <w:tcBorders>
              <w:bottom w:val="single" w:sz="8" w:space="0" w:color="auto"/>
            </w:tcBorders>
            <w:vAlign w:val="center"/>
          </w:tcPr>
          <w:p w14:paraId="3F52E644" w14:textId="3A377E1C"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48</w:t>
            </w:r>
            <w:r w:rsidR="00EF4460" w:rsidRPr="00D35475">
              <w:rPr>
                <w:rFonts w:ascii="Book Antiqua" w:hAnsi="Book Antiqua"/>
              </w:rPr>
              <w:t>/</w:t>
            </w:r>
            <w:r w:rsidRPr="00D35475">
              <w:rPr>
                <w:rFonts w:ascii="Book Antiqua" w:hAnsi="Book Antiqua"/>
              </w:rPr>
              <w:t>157</w:t>
            </w:r>
          </w:p>
        </w:tc>
        <w:tc>
          <w:tcPr>
            <w:tcW w:w="899" w:type="dxa"/>
            <w:tcBorders>
              <w:bottom w:val="single" w:sz="8" w:space="0" w:color="auto"/>
            </w:tcBorders>
            <w:vAlign w:val="center"/>
          </w:tcPr>
          <w:p w14:paraId="6A58A4FA" w14:textId="244BB50B"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w:t>
            </w:r>
            <w:r w:rsidR="00EF4460" w:rsidRPr="00D35475">
              <w:rPr>
                <w:rFonts w:ascii="Book Antiqua" w:hAnsi="Book Antiqua"/>
              </w:rPr>
              <w:t>/</w:t>
            </w:r>
            <w:r w:rsidRPr="00D35475">
              <w:rPr>
                <w:rFonts w:ascii="Book Antiqua" w:hAnsi="Book Antiqua"/>
              </w:rPr>
              <w:t>19</w:t>
            </w:r>
          </w:p>
        </w:tc>
        <w:tc>
          <w:tcPr>
            <w:tcW w:w="1198" w:type="dxa"/>
            <w:tcBorders>
              <w:bottom w:val="single" w:sz="8" w:space="0" w:color="auto"/>
            </w:tcBorders>
            <w:vAlign w:val="center"/>
          </w:tcPr>
          <w:p w14:paraId="65BE08B3" w14:textId="0426B163"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22</w:t>
            </w:r>
            <w:r w:rsidR="00EF4460" w:rsidRPr="00D35475">
              <w:rPr>
                <w:rFonts w:ascii="Book Antiqua" w:hAnsi="Book Antiqua"/>
              </w:rPr>
              <w:t>/</w:t>
            </w:r>
            <w:r w:rsidRPr="00D35475">
              <w:rPr>
                <w:rFonts w:ascii="Book Antiqua" w:hAnsi="Book Antiqua"/>
              </w:rPr>
              <w:t>157</w:t>
            </w:r>
          </w:p>
        </w:tc>
        <w:tc>
          <w:tcPr>
            <w:tcW w:w="898" w:type="dxa"/>
            <w:tcBorders>
              <w:bottom w:val="single" w:sz="8" w:space="0" w:color="auto"/>
            </w:tcBorders>
            <w:vAlign w:val="center"/>
          </w:tcPr>
          <w:p w14:paraId="46609ADC" w14:textId="6A26D9E1" w:rsidR="00CD48BE" w:rsidRPr="00D35475" w:rsidRDefault="00CD48BE" w:rsidP="000E27CD">
            <w:pPr>
              <w:adjustRightInd w:val="0"/>
              <w:snapToGrid w:val="0"/>
              <w:spacing w:line="360" w:lineRule="auto"/>
              <w:jc w:val="both"/>
              <w:rPr>
                <w:rFonts w:ascii="Book Antiqua" w:hAnsi="Book Antiqua"/>
              </w:rPr>
            </w:pPr>
            <w:r w:rsidRPr="00D35475">
              <w:rPr>
                <w:rFonts w:ascii="Book Antiqua" w:hAnsi="Book Antiqua"/>
              </w:rPr>
              <w:t>1</w:t>
            </w:r>
            <w:r w:rsidR="00EF4460" w:rsidRPr="00D35475">
              <w:rPr>
                <w:rFonts w:ascii="Book Antiqua" w:hAnsi="Book Antiqua"/>
              </w:rPr>
              <w:t>/</w:t>
            </w:r>
            <w:r w:rsidRPr="00D35475">
              <w:rPr>
                <w:rFonts w:ascii="Book Antiqua" w:hAnsi="Book Antiqua"/>
              </w:rPr>
              <w:t>19</w:t>
            </w:r>
          </w:p>
        </w:tc>
      </w:tr>
    </w:tbl>
    <w:p w14:paraId="13DECBFA" w14:textId="7AD6FA67" w:rsidR="00A77B3E" w:rsidRPr="00D35475" w:rsidRDefault="00474EF7" w:rsidP="000E27CD">
      <w:pPr>
        <w:adjustRightInd w:val="0"/>
        <w:snapToGrid w:val="0"/>
        <w:spacing w:line="360" w:lineRule="auto"/>
        <w:jc w:val="both"/>
        <w:rPr>
          <w:rFonts w:ascii="Book Antiqua" w:hAnsi="Book Antiqua"/>
        </w:rPr>
      </w:pPr>
      <w:r w:rsidRPr="00D35475">
        <w:rPr>
          <w:rFonts w:ascii="Book Antiqua" w:hAnsi="Book Antiqua"/>
          <w:vertAlign w:val="superscript"/>
        </w:rPr>
        <w:t>1</w:t>
      </w:r>
      <w:r w:rsidRPr="00166C17">
        <w:rPr>
          <w:rFonts w:ascii="Book Antiqua" w:hAnsi="Book Antiqua"/>
          <w:caps/>
        </w:rPr>
        <w:t>i</w:t>
      </w:r>
      <w:r w:rsidRPr="00D35475">
        <w:rPr>
          <w:rFonts w:ascii="Book Antiqua" w:hAnsi="Book Antiqua"/>
        </w:rPr>
        <w:t xml:space="preserve">ncluding long-term events. </w:t>
      </w:r>
      <w:r w:rsidR="00CD48BE" w:rsidRPr="00D35475">
        <w:rPr>
          <w:rFonts w:ascii="Book Antiqua" w:hAnsi="Book Antiqua"/>
        </w:rPr>
        <w:t xml:space="preserve">BRTO: </w:t>
      </w:r>
      <w:r w:rsidRPr="00D35475">
        <w:rPr>
          <w:rFonts w:ascii="Book Antiqua" w:hAnsi="Book Antiqua"/>
        </w:rPr>
        <w:t>B</w:t>
      </w:r>
      <w:r w:rsidR="00CD48BE" w:rsidRPr="00D35475">
        <w:rPr>
          <w:rFonts w:ascii="Book Antiqua" w:hAnsi="Book Antiqua"/>
        </w:rPr>
        <w:t>alloon-occluded retrograde transvenous obliteration</w:t>
      </w:r>
      <w:r w:rsidRPr="00D35475">
        <w:rPr>
          <w:rFonts w:ascii="Book Antiqua" w:hAnsi="Book Antiqua"/>
        </w:rPr>
        <w:t xml:space="preserve">; </w:t>
      </w:r>
      <w:r w:rsidR="00CD48BE" w:rsidRPr="00D35475">
        <w:rPr>
          <w:rFonts w:ascii="Book Antiqua" w:hAnsi="Book Antiqua"/>
        </w:rPr>
        <w:t xml:space="preserve">TIPS: </w:t>
      </w:r>
      <w:r w:rsidRPr="00D35475">
        <w:rPr>
          <w:rFonts w:ascii="Book Antiqua" w:hAnsi="Book Antiqua"/>
        </w:rPr>
        <w:t>T</w:t>
      </w:r>
      <w:r w:rsidR="00CD48BE" w:rsidRPr="00D35475">
        <w:rPr>
          <w:rFonts w:ascii="Book Antiqua" w:hAnsi="Book Antiqua"/>
        </w:rPr>
        <w:t>ransjugular intrahepatic portosystemic shunt</w:t>
      </w:r>
      <w:r w:rsidRPr="00D35475">
        <w:rPr>
          <w:rFonts w:ascii="Book Antiqua" w:hAnsi="Book Antiqua"/>
        </w:rPr>
        <w:t xml:space="preserve">; </w:t>
      </w:r>
      <w:r w:rsidR="00CD48BE" w:rsidRPr="00D35475">
        <w:rPr>
          <w:rFonts w:ascii="Book Antiqua" w:hAnsi="Book Antiqua"/>
        </w:rPr>
        <w:t xml:space="preserve">LF: </w:t>
      </w:r>
      <w:r w:rsidRPr="00D35475">
        <w:rPr>
          <w:rFonts w:ascii="Book Antiqua" w:hAnsi="Book Antiqua"/>
        </w:rPr>
        <w:t>L</w:t>
      </w:r>
      <w:r w:rsidR="00CD48BE" w:rsidRPr="00D35475">
        <w:rPr>
          <w:rFonts w:ascii="Book Antiqua" w:hAnsi="Book Antiqua"/>
        </w:rPr>
        <w:t>iver failure</w:t>
      </w:r>
      <w:r w:rsidRPr="00D35475">
        <w:rPr>
          <w:rFonts w:ascii="Book Antiqua" w:hAnsi="Book Antiqua"/>
        </w:rPr>
        <w:t>;</w:t>
      </w:r>
      <w:r w:rsidR="00CD48BE" w:rsidRPr="00D35475">
        <w:rPr>
          <w:rFonts w:ascii="Book Antiqua" w:hAnsi="Book Antiqua"/>
        </w:rPr>
        <w:t xml:space="preserve"> HE: </w:t>
      </w:r>
      <w:r w:rsidRPr="00D35475">
        <w:rPr>
          <w:rFonts w:ascii="Book Antiqua" w:hAnsi="Book Antiqua"/>
        </w:rPr>
        <w:t>H</w:t>
      </w:r>
      <w:r w:rsidR="00CD48BE" w:rsidRPr="00D35475">
        <w:rPr>
          <w:rFonts w:ascii="Book Antiqua" w:hAnsi="Book Antiqua"/>
        </w:rPr>
        <w:t>epatic encephalopathy</w:t>
      </w:r>
      <w:r w:rsidRPr="00D35475">
        <w:rPr>
          <w:rFonts w:ascii="Book Antiqua" w:hAnsi="Book Antiqua"/>
        </w:rPr>
        <w:t>;</w:t>
      </w:r>
      <w:r w:rsidR="00CD48BE" w:rsidRPr="00D35475">
        <w:rPr>
          <w:rFonts w:ascii="Book Antiqua" w:hAnsi="Book Antiqua"/>
        </w:rPr>
        <w:t xml:space="preserve"> EVs: </w:t>
      </w:r>
      <w:r w:rsidRPr="00D35475">
        <w:rPr>
          <w:rFonts w:ascii="Book Antiqua" w:hAnsi="Book Antiqua"/>
        </w:rPr>
        <w:t>E</w:t>
      </w:r>
      <w:r w:rsidR="00CD48BE" w:rsidRPr="00D35475">
        <w:rPr>
          <w:rFonts w:ascii="Book Antiqua" w:hAnsi="Book Antiqua"/>
        </w:rPr>
        <w:t>sophageal varices</w:t>
      </w:r>
      <w:r w:rsidRPr="00D35475">
        <w:rPr>
          <w:rFonts w:ascii="Book Antiqua" w:hAnsi="Book Antiqua"/>
        </w:rPr>
        <w:t>.</w:t>
      </w:r>
    </w:p>
    <w:sectPr w:rsidR="00A77B3E" w:rsidRPr="00D354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AC1426" w14:textId="77777777" w:rsidR="007867B0" w:rsidRDefault="007867B0" w:rsidP="00C26E01">
      <w:r>
        <w:separator/>
      </w:r>
    </w:p>
  </w:endnote>
  <w:endnote w:type="continuationSeparator" w:id="0">
    <w:p w14:paraId="340A202B" w14:textId="77777777" w:rsidR="007867B0" w:rsidRDefault="007867B0" w:rsidP="00C26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PMincho">
    <w:altName w:val="MS Gothic"/>
    <w:charset w:val="80"/>
    <w:family w:val="roman"/>
    <w:pitch w:val="variable"/>
    <w:sig w:usb0="00000000"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3289291"/>
      <w:docPartObj>
        <w:docPartGallery w:val="Page Numbers (Bottom of Page)"/>
        <w:docPartUnique/>
      </w:docPartObj>
    </w:sdtPr>
    <w:sdtEndPr/>
    <w:sdtContent>
      <w:sdt>
        <w:sdtPr>
          <w:id w:val="-1705238520"/>
          <w:docPartObj>
            <w:docPartGallery w:val="Page Numbers (Top of Page)"/>
            <w:docPartUnique/>
          </w:docPartObj>
        </w:sdtPr>
        <w:sdtEndPr/>
        <w:sdtContent>
          <w:p w14:paraId="78FBE62E" w14:textId="74841C03" w:rsidR="00C26E01" w:rsidRDefault="00C26E01" w:rsidP="00C26E01">
            <w:pPr>
              <w:pStyle w:val="a5"/>
              <w:jc w:val="right"/>
            </w:pPr>
            <w:r w:rsidRPr="00C26E01">
              <w:rPr>
                <w:rFonts w:ascii="Book Antiqua" w:hAnsi="Book Antiqua"/>
                <w:sz w:val="24"/>
                <w:szCs w:val="24"/>
                <w:lang w:val="zh-CN" w:eastAsia="zh-CN"/>
              </w:rPr>
              <w:t xml:space="preserve"> </w:t>
            </w:r>
            <w:r w:rsidRPr="00C26E01">
              <w:rPr>
                <w:rFonts w:ascii="Book Antiqua" w:hAnsi="Book Antiqua"/>
                <w:b/>
                <w:bCs/>
                <w:sz w:val="24"/>
                <w:szCs w:val="24"/>
              </w:rPr>
              <w:fldChar w:fldCharType="begin"/>
            </w:r>
            <w:r w:rsidRPr="00C26E01">
              <w:rPr>
                <w:rFonts w:ascii="Book Antiqua" w:hAnsi="Book Antiqua"/>
                <w:b/>
                <w:bCs/>
                <w:sz w:val="24"/>
                <w:szCs w:val="24"/>
              </w:rPr>
              <w:instrText>PAGE</w:instrText>
            </w:r>
            <w:r w:rsidRPr="00C26E01">
              <w:rPr>
                <w:rFonts w:ascii="Book Antiqua" w:hAnsi="Book Antiqua"/>
                <w:b/>
                <w:bCs/>
                <w:sz w:val="24"/>
                <w:szCs w:val="24"/>
              </w:rPr>
              <w:fldChar w:fldCharType="separate"/>
            </w:r>
            <w:r w:rsidR="000E27CD">
              <w:rPr>
                <w:rFonts w:ascii="Book Antiqua" w:hAnsi="Book Antiqua"/>
                <w:b/>
                <w:bCs/>
                <w:noProof/>
                <w:sz w:val="24"/>
                <w:szCs w:val="24"/>
              </w:rPr>
              <w:t>7</w:t>
            </w:r>
            <w:r w:rsidRPr="00C26E01">
              <w:rPr>
                <w:rFonts w:ascii="Book Antiqua" w:hAnsi="Book Antiqua"/>
                <w:b/>
                <w:bCs/>
                <w:sz w:val="24"/>
                <w:szCs w:val="24"/>
              </w:rPr>
              <w:fldChar w:fldCharType="end"/>
            </w:r>
            <w:r w:rsidRPr="00C26E01">
              <w:rPr>
                <w:rFonts w:ascii="Book Antiqua" w:hAnsi="Book Antiqua"/>
                <w:sz w:val="24"/>
                <w:szCs w:val="24"/>
                <w:lang w:val="zh-CN" w:eastAsia="zh-CN"/>
              </w:rPr>
              <w:t xml:space="preserve"> / </w:t>
            </w:r>
            <w:r w:rsidRPr="00C26E01">
              <w:rPr>
                <w:rFonts w:ascii="Book Antiqua" w:hAnsi="Book Antiqua"/>
                <w:b/>
                <w:bCs/>
                <w:sz w:val="24"/>
                <w:szCs w:val="24"/>
              </w:rPr>
              <w:fldChar w:fldCharType="begin"/>
            </w:r>
            <w:r w:rsidRPr="00C26E01">
              <w:rPr>
                <w:rFonts w:ascii="Book Antiqua" w:hAnsi="Book Antiqua"/>
                <w:b/>
                <w:bCs/>
                <w:sz w:val="24"/>
                <w:szCs w:val="24"/>
              </w:rPr>
              <w:instrText>NUMPAGES</w:instrText>
            </w:r>
            <w:r w:rsidRPr="00C26E01">
              <w:rPr>
                <w:rFonts w:ascii="Book Antiqua" w:hAnsi="Book Antiqua"/>
                <w:b/>
                <w:bCs/>
                <w:sz w:val="24"/>
                <w:szCs w:val="24"/>
              </w:rPr>
              <w:fldChar w:fldCharType="separate"/>
            </w:r>
            <w:r w:rsidR="000E27CD">
              <w:rPr>
                <w:rFonts w:ascii="Book Antiqua" w:hAnsi="Book Antiqua"/>
                <w:b/>
                <w:bCs/>
                <w:noProof/>
                <w:sz w:val="24"/>
                <w:szCs w:val="24"/>
              </w:rPr>
              <w:t>30</w:t>
            </w:r>
            <w:r w:rsidRPr="00C26E01">
              <w:rPr>
                <w:rFonts w:ascii="Book Antiqua" w:hAnsi="Book Antiqua"/>
                <w:b/>
                <w:bCs/>
                <w:sz w:val="24"/>
                <w:szCs w:val="24"/>
              </w:rPr>
              <w:fldChar w:fldCharType="end"/>
            </w:r>
          </w:p>
        </w:sdtContent>
      </w:sdt>
    </w:sdtContent>
  </w:sdt>
  <w:p w14:paraId="6CC39AD7" w14:textId="77777777" w:rsidR="00C26E01" w:rsidRDefault="00C26E0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EAACF" w14:textId="77777777" w:rsidR="007867B0" w:rsidRDefault="007867B0" w:rsidP="00C26E01">
      <w:r>
        <w:separator/>
      </w:r>
    </w:p>
  </w:footnote>
  <w:footnote w:type="continuationSeparator" w:id="0">
    <w:p w14:paraId="7E2F0946" w14:textId="77777777" w:rsidR="007867B0" w:rsidRDefault="007867B0" w:rsidP="00C26E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2539B"/>
    <w:rsid w:val="00041400"/>
    <w:rsid w:val="00062B03"/>
    <w:rsid w:val="00064409"/>
    <w:rsid w:val="000D5353"/>
    <w:rsid w:val="000E229B"/>
    <w:rsid w:val="000E27CD"/>
    <w:rsid w:val="000F707F"/>
    <w:rsid w:val="001053A9"/>
    <w:rsid w:val="00111ABE"/>
    <w:rsid w:val="001543BB"/>
    <w:rsid w:val="00166C17"/>
    <w:rsid w:val="001A6005"/>
    <w:rsid w:val="001C3419"/>
    <w:rsid w:val="001D1509"/>
    <w:rsid w:val="00210902"/>
    <w:rsid w:val="00222CBE"/>
    <w:rsid w:val="00247A06"/>
    <w:rsid w:val="00266AE6"/>
    <w:rsid w:val="002D258B"/>
    <w:rsid w:val="003258B6"/>
    <w:rsid w:val="0037320A"/>
    <w:rsid w:val="003C23EF"/>
    <w:rsid w:val="00463552"/>
    <w:rsid w:val="00474EF7"/>
    <w:rsid w:val="00497083"/>
    <w:rsid w:val="004F0FBA"/>
    <w:rsid w:val="00506D93"/>
    <w:rsid w:val="005178B4"/>
    <w:rsid w:val="00566C67"/>
    <w:rsid w:val="005A3556"/>
    <w:rsid w:val="005C27CB"/>
    <w:rsid w:val="005C6FC1"/>
    <w:rsid w:val="005D1FFA"/>
    <w:rsid w:val="00642B1A"/>
    <w:rsid w:val="00643A5D"/>
    <w:rsid w:val="006A5B7A"/>
    <w:rsid w:val="006D436F"/>
    <w:rsid w:val="00712229"/>
    <w:rsid w:val="00783051"/>
    <w:rsid w:val="007867B0"/>
    <w:rsid w:val="007F565C"/>
    <w:rsid w:val="00834262"/>
    <w:rsid w:val="0085365E"/>
    <w:rsid w:val="00875E44"/>
    <w:rsid w:val="008D1763"/>
    <w:rsid w:val="008E1FC7"/>
    <w:rsid w:val="009F787A"/>
    <w:rsid w:val="00A231E4"/>
    <w:rsid w:val="00A77B3E"/>
    <w:rsid w:val="00BB1988"/>
    <w:rsid w:val="00C26E01"/>
    <w:rsid w:val="00C3376B"/>
    <w:rsid w:val="00C34BFD"/>
    <w:rsid w:val="00C674A2"/>
    <w:rsid w:val="00C8005C"/>
    <w:rsid w:val="00CA2A55"/>
    <w:rsid w:val="00CB6F9A"/>
    <w:rsid w:val="00CD48BE"/>
    <w:rsid w:val="00CE4818"/>
    <w:rsid w:val="00CF5B2B"/>
    <w:rsid w:val="00D35475"/>
    <w:rsid w:val="00D40096"/>
    <w:rsid w:val="00D446C3"/>
    <w:rsid w:val="00E53992"/>
    <w:rsid w:val="00EB461F"/>
    <w:rsid w:val="00EF4460"/>
    <w:rsid w:val="00FB46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8D26462"/>
  <w15:docId w15:val="{5495D1EA-1736-4EB8-A339-6FA84831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D48BE"/>
    <w:rPr>
      <w:rFonts w:eastAsia="MS PMincho"/>
      <w:kern w:val="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C26E0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C26E01"/>
    <w:rPr>
      <w:sz w:val="18"/>
      <w:szCs w:val="18"/>
    </w:rPr>
  </w:style>
  <w:style w:type="paragraph" w:styleId="a5">
    <w:name w:val="footer"/>
    <w:basedOn w:val="a"/>
    <w:link w:val="Char0"/>
    <w:uiPriority w:val="99"/>
    <w:unhideWhenUsed/>
    <w:rsid w:val="00C26E01"/>
    <w:pPr>
      <w:tabs>
        <w:tab w:val="center" w:pos="4153"/>
        <w:tab w:val="right" w:pos="8306"/>
      </w:tabs>
      <w:snapToGrid w:val="0"/>
    </w:pPr>
    <w:rPr>
      <w:sz w:val="18"/>
      <w:szCs w:val="18"/>
    </w:rPr>
  </w:style>
  <w:style w:type="character" w:customStyle="1" w:styleId="Char0">
    <w:name w:val="页脚 Char"/>
    <w:basedOn w:val="a0"/>
    <w:link w:val="a5"/>
    <w:uiPriority w:val="99"/>
    <w:rsid w:val="00C26E0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TotalTime>
  <Pages>30</Pages>
  <Words>6951</Words>
  <Characters>39624</Characters>
  <Application>Microsoft Office Word</Application>
  <DocSecurity>0</DocSecurity>
  <Lines>330</Lines>
  <Paragraphs>92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55</cp:revision>
  <dcterms:created xsi:type="dcterms:W3CDTF">2021-04-27T13:13:00Z</dcterms:created>
  <dcterms:modified xsi:type="dcterms:W3CDTF">2021-05-22T09:59:00Z</dcterms:modified>
</cp:coreProperties>
</file>