
<file path=[Content_Types].xml><?xml version="1.0" encoding="utf-8"?>
<Types xmlns="http://schemas.openxmlformats.org/package/2006/content-types">
  <Default Extension="xml" ContentType="application/xml"/>
  <Default Extension="png" ContentType="image/png"/>
  <Default Extension="tiff" ContentType="image/tiff"/>
  <Default Extension="wdp" ContentType="image/vnd.ms-photo"/>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Book Antiqua" w:hAnsi="Book Antiqua"/>
        </w:rPr>
      </w:pPr>
      <w:r>
        <w:rPr>
          <w:rFonts w:ascii="Book Antiqua" w:hAnsi="Book Antiqua" w:eastAsia="Book Antiqua" w:cs="Book Antiqua"/>
          <w:b/>
          <w:color w:val="000000"/>
        </w:rPr>
        <w:t xml:space="preserve">Name of Journal: </w:t>
      </w:r>
      <w:r>
        <w:rPr>
          <w:rFonts w:ascii="Book Antiqua" w:hAnsi="Book Antiqua" w:eastAsia="Book Antiqua" w:cs="Book Antiqua"/>
          <w:i/>
          <w:color w:val="000000"/>
        </w:rPr>
        <w:t>World Journal of Hepatology</w:t>
      </w:r>
    </w:p>
    <w:p>
      <w:pPr>
        <w:spacing w:line="360" w:lineRule="auto"/>
        <w:jc w:val="both"/>
        <w:rPr>
          <w:rFonts w:ascii="Book Antiqua" w:hAnsi="Book Antiqua"/>
        </w:rPr>
      </w:pPr>
      <w:r>
        <w:rPr>
          <w:rFonts w:ascii="Book Antiqua" w:hAnsi="Book Antiqua" w:eastAsia="Book Antiqua" w:cs="Book Antiqua"/>
          <w:b/>
          <w:color w:val="000000"/>
        </w:rPr>
        <w:t xml:space="preserve">Manuscript NO: </w:t>
      </w:r>
      <w:r>
        <w:rPr>
          <w:rFonts w:ascii="Book Antiqua" w:hAnsi="Book Antiqua" w:eastAsia="Book Antiqua" w:cs="Book Antiqua"/>
          <w:color w:val="000000"/>
        </w:rPr>
        <w:t>64884</w:t>
      </w:r>
    </w:p>
    <w:p>
      <w:pPr>
        <w:spacing w:line="360" w:lineRule="auto"/>
        <w:jc w:val="both"/>
        <w:rPr>
          <w:rFonts w:ascii="Book Antiqua" w:hAnsi="Book Antiqua"/>
        </w:rPr>
      </w:pPr>
      <w:r>
        <w:rPr>
          <w:rFonts w:ascii="Book Antiqua" w:hAnsi="Book Antiqua" w:eastAsia="Book Antiqua" w:cs="Book Antiqua"/>
          <w:b/>
          <w:color w:val="000000"/>
        </w:rPr>
        <w:t xml:space="preserve">Manuscript Type: </w:t>
      </w:r>
      <w:r>
        <w:rPr>
          <w:rFonts w:ascii="Book Antiqua" w:hAnsi="Book Antiqua" w:eastAsia="Book Antiqua" w:cs="Book Antiqua"/>
          <w:color w:val="000000"/>
        </w:rPr>
        <w:t>MINIREVIEWS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Pediatric vascular tumors of the liver: </w:t>
      </w:r>
      <w:r>
        <w:rPr>
          <w:rFonts w:ascii="Book Antiqua" w:hAnsi="Book Antiqua" w:eastAsia="Book Antiqua" w:cs="Book Antiqua"/>
          <w:b/>
          <w:bCs/>
          <w:caps/>
          <w:color w:val="000000"/>
        </w:rPr>
        <w:t>r</w:t>
      </w:r>
      <w:r>
        <w:rPr>
          <w:rFonts w:ascii="Book Antiqua" w:hAnsi="Book Antiqua" w:eastAsia="Book Antiqua" w:cs="Book Antiqua"/>
          <w:b/>
          <w:bCs/>
          <w:color w:val="000000"/>
        </w:rPr>
        <w:t>eview from the pathologist’s point of view</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 xml:space="preserve">Cordier </w:t>
      </w:r>
      <w:r>
        <w:rPr>
          <w:rFonts w:ascii="Book Antiqua" w:hAnsi="Book Antiqua" w:cs="Book Antiqua"/>
          <w:color w:val="000000"/>
          <w:lang w:eastAsia="zh-CN"/>
        </w:rPr>
        <w:t xml:space="preserve">F </w:t>
      </w:r>
      <w:r>
        <w:rPr>
          <w:rFonts w:ascii="Book Antiqua" w:hAnsi="Book Antiqua" w:cs="Book Antiqua"/>
          <w:i/>
          <w:color w:val="000000"/>
          <w:lang w:eastAsia="zh-CN"/>
        </w:rPr>
        <w:t>et al</w:t>
      </w:r>
      <w:r>
        <w:rPr>
          <w:rFonts w:ascii="Book Antiqua" w:hAnsi="Book Antiqua" w:cs="Book Antiqua"/>
          <w:color w:val="000000"/>
          <w:lang w:eastAsia="zh-CN"/>
        </w:rPr>
        <w:t xml:space="preserve">. </w:t>
      </w:r>
      <w:bookmarkStart w:id="0" w:name="OLE_LINK586"/>
      <w:bookmarkStart w:id="1" w:name="OLE_LINK587"/>
      <w:r>
        <w:rPr>
          <w:rFonts w:ascii="Book Antiqua" w:hAnsi="Book Antiqua" w:eastAsia="Book Antiqua" w:cs="Book Antiqua"/>
          <w:color w:val="000000"/>
        </w:rPr>
        <w:t>Pediatric vascular tumors of the liver</w:t>
      </w:r>
      <w:bookmarkEnd w:id="0"/>
      <w:bookmarkEnd w:id="1"/>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Fleur Cordier, Anne Hoorens, Jo Van Dorpe, David Creytens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Fleur Cordier, Anne Hoorens, Jo Van Dorpe, David Creytens, </w:t>
      </w:r>
      <w:r>
        <w:rPr>
          <w:rFonts w:ascii="Book Antiqua" w:hAnsi="Book Antiqua" w:eastAsia="Book Antiqua" w:cs="Book Antiqua"/>
          <w:color w:val="000000"/>
        </w:rPr>
        <w:t>Department of Pathology, Ghent University Hospital, Ghent University, Ghent 9000, Belgium</w:t>
      </w:r>
    </w:p>
    <w:p>
      <w:pPr>
        <w:spacing w:line="360" w:lineRule="auto"/>
        <w:jc w:val="both"/>
        <w:rPr>
          <w:rFonts w:ascii="Book Antiqua" w:hAnsi="Book Antiqua"/>
        </w:rPr>
      </w:pPr>
    </w:p>
    <w:p>
      <w:pPr>
        <w:spacing w:line="360" w:lineRule="auto"/>
        <w:jc w:val="both"/>
        <w:rPr>
          <w:rFonts w:ascii="Book Antiqua" w:hAnsi="Book Antiqua"/>
          <w:lang w:eastAsia="zh-CN"/>
        </w:rPr>
      </w:pPr>
      <w:r>
        <w:rPr>
          <w:rFonts w:ascii="Book Antiqua" w:hAnsi="Book Antiqua" w:eastAsia="Book Antiqua" w:cs="Book Antiqua"/>
          <w:b/>
          <w:bCs/>
          <w:color w:val="000000"/>
        </w:rPr>
        <w:t xml:space="preserve">Author contributions: </w:t>
      </w:r>
      <w:r>
        <w:rPr>
          <w:rFonts w:ascii="Book Antiqua" w:hAnsi="Book Antiqua" w:eastAsia="Book Antiqua" w:cs="Book Antiqua"/>
          <w:color w:val="000000"/>
        </w:rPr>
        <w:t>Cordier F performed the writing of the paper; Creytens D, Hoorens A, and Van Dorpe J performed the study concept, design and review of the paper; All authors read and approved the final paper.</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Corresponding author: David Creytens, PhD, Academic Research, Chief Doctor, Professor, </w:t>
      </w:r>
      <w:r>
        <w:rPr>
          <w:rFonts w:ascii="Book Antiqua" w:hAnsi="Book Antiqua" w:eastAsia="Book Antiqua" w:cs="Book Antiqua"/>
          <w:color w:val="000000"/>
        </w:rPr>
        <w:t>Department of Pathology, Ghent University Hospital, Ghent University, Corneel Heymanslaan 10, Ghent 9000, Belgium. david.creytens@uzgent.be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Received: </w:t>
      </w:r>
      <w:r>
        <w:rPr>
          <w:rFonts w:ascii="Book Antiqua" w:hAnsi="Book Antiqua" w:eastAsia="Book Antiqua" w:cs="Book Antiqua"/>
          <w:color w:val="000000"/>
        </w:rPr>
        <w:t>February 26, 2021</w:t>
      </w:r>
    </w:p>
    <w:p>
      <w:pPr>
        <w:spacing w:line="360" w:lineRule="auto"/>
        <w:jc w:val="both"/>
        <w:rPr>
          <w:rFonts w:ascii="Book Antiqua" w:hAnsi="Book Antiqua"/>
        </w:rPr>
      </w:pPr>
      <w:r>
        <w:rPr>
          <w:rFonts w:ascii="Book Antiqua" w:hAnsi="Book Antiqua" w:eastAsia="Book Antiqua" w:cs="Book Antiqua"/>
          <w:b/>
          <w:bCs/>
          <w:color w:val="000000"/>
        </w:rPr>
        <w:t xml:space="preserve">Revised: </w:t>
      </w:r>
      <w:r>
        <w:rPr>
          <w:rFonts w:ascii="Book Antiqua" w:hAnsi="Book Antiqua" w:eastAsia="Book Antiqua" w:cs="Book Antiqua"/>
          <w:color w:val="000000"/>
        </w:rPr>
        <w:t>May 10, 2021</w:t>
      </w:r>
    </w:p>
    <w:p>
      <w:pPr>
        <w:spacing w:line="360" w:lineRule="auto"/>
        <w:jc w:val="both"/>
        <w:rPr>
          <w:rFonts w:ascii="Book Antiqua" w:hAnsi="Book Antiqua"/>
        </w:rPr>
      </w:pPr>
      <w:r>
        <w:rPr>
          <w:rFonts w:ascii="Book Antiqua" w:hAnsi="Book Antiqua" w:eastAsia="Book Antiqua" w:cs="Book Antiqua"/>
          <w:b/>
          <w:bCs/>
          <w:color w:val="000000"/>
        </w:rPr>
        <w:t xml:space="preserve">Accepted: </w:t>
      </w:r>
      <w:r>
        <w:rPr>
          <w:rFonts w:ascii="Book Antiqua" w:hAnsi="Book Antiqua" w:eastAsia="Book Antiqua" w:cs="Book Antiqua"/>
          <w:color w:val="000000"/>
        </w:rPr>
        <w:t>August 27, 2021</w:t>
      </w:r>
    </w:p>
    <w:p>
      <w:pPr>
        <w:spacing w:line="360" w:lineRule="auto"/>
        <w:jc w:val="both"/>
        <w:rPr>
          <w:rFonts w:ascii="Book Antiqua" w:hAnsi="Book Antiqua"/>
        </w:rPr>
      </w:pPr>
      <w:r>
        <w:rPr>
          <w:rFonts w:ascii="Book Antiqua" w:hAnsi="Book Antiqua" w:eastAsia="Book Antiqua" w:cs="Book Antiqua"/>
          <w:b/>
          <w:bCs/>
          <w:color w:val="000000"/>
        </w:rPr>
        <w:t xml:space="preserve">Published online: </w:t>
      </w:r>
      <w:bookmarkStart w:id="2" w:name="_Hlk85617686"/>
      <w:r>
        <w:rPr>
          <w:rFonts w:hint="eastAsia" w:ascii="Book Antiqua" w:hAnsi="Book Antiqua" w:eastAsia="Book Antiqua" w:cs="Book Antiqua"/>
          <w:color w:val="000000"/>
        </w:rPr>
        <w:t>October</w:t>
      </w:r>
      <w:r>
        <w:rPr>
          <w:rFonts w:ascii="Book Antiqua" w:hAnsi="Book Antiqua" w:eastAsia="Book Antiqua" w:cs="Book Antiqua"/>
          <w:color w:val="000000"/>
        </w:rPr>
        <w:t xml:space="preserve"> 27, 2021</w:t>
      </w:r>
      <w:bookmarkEnd w:id="2"/>
    </w:p>
    <w:p>
      <w:pPr>
        <w:spacing w:line="360" w:lineRule="auto"/>
        <w:jc w:val="both"/>
        <w:rPr>
          <w:rFonts w:ascii="Book Antiqua" w:hAnsi="Book Antiqua"/>
        </w:rPr>
        <w:sectPr>
          <w:footerReference r:id="rId3" w:type="default"/>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rPr>
      </w:pPr>
      <w:r>
        <w:rPr>
          <w:rFonts w:ascii="Book Antiqua" w:hAnsi="Book Antiqua" w:eastAsia="Book Antiqua" w:cs="Book Antiqua"/>
          <w:b/>
          <w:color w:val="000000"/>
        </w:rPr>
        <w:t>Abstract</w:t>
      </w:r>
    </w:p>
    <w:p>
      <w:pPr>
        <w:spacing w:line="360" w:lineRule="auto"/>
        <w:jc w:val="both"/>
        <w:rPr>
          <w:rFonts w:ascii="Book Antiqua" w:hAnsi="Book Antiqua"/>
        </w:rPr>
      </w:pPr>
      <w:r>
        <w:rPr>
          <w:rFonts w:ascii="Book Antiqua" w:hAnsi="Book Antiqua" w:eastAsia="Book Antiqua" w:cs="Book Antiqua"/>
          <w:color w:val="000000"/>
          <w:shd w:val="clear" w:color="auto" w:fill="FFFFFF"/>
        </w:rPr>
        <w:t xml:space="preserve">Differential diagnosis of pediatric vascular liver tumors can be challenging due to inconsistent nomenclature, histologic overlap and the rarity of some entities. Here we give an up-to-date overview of the most important entities. We discuss the clinic, histology and pathophysiology of hepatic congenital and infantile hemangioma, hepatic epithelioid hemangioendothelioma and hepatic angiosarcoma. </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Key Words: </w:t>
      </w:r>
      <w:r>
        <w:rPr>
          <w:rFonts w:ascii="Book Antiqua" w:hAnsi="Book Antiqua" w:eastAsia="Book Antiqua" w:cs="Book Antiqua"/>
          <w:color w:val="000000"/>
        </w:rPr>
        <w:t>Hepatic congenital hemangioma; Hepatic infantile hemangioma; Hepatic epithelioid hemangioendothelioma; Hepatic angiosarcoma; Hepatic vascular tumors of infancy; Hepatic hemangiomas</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rPr>
      </w:pPr>
      <w:r>
        <w:rPr>
          <w:rFonts w:hint="eastAsia" w:ascii="Book Antiqua" w:hAnsi="Book Antiqua" w:eastAsia="Book Antiqua" w:cs="Book Antiqua"/>
          <w:b/>
          <w:color w:val="000000"/>
        </w:rPr>
        <w:t>©</w:t>
      </w:r>
      <w:r>
        <w:rPr>
          <w:rFonts w:ascii="Book Antiqua" w:hAnsi="Book Antiqua" w:eastAsia="Book Antiqua" w:cs="Book Antiqua"/>
          <w:b/>
          <w:color w:val="000000"/>
        </w:rPr>
        <w:t>The</w:t>
      </w:r>
      <w:r>
        <w:rPr>
          <w:rFonts w:ascii="Book Antiqua" w:hAnsi="Book Antiqua" w:eastAsia="Book Antiqua" w:cs="Book Antiqua"/>
          <w:color w:val="000000"/>
        </w:rPr>
        <w:t xml:space="preserve"> </w:t>
      </w:r>
      <w:r>
        <w:rPr>
          <w:rFonts w:ascii="Book Antiqua" w:hAnsi="Book Antiqua" w:eastAsia="Book Antiqua" w:cs="Book Antiqua"/>
          <w:b/>
          <w:color w:val="000000"/>
        </w:rPr>
        <w:t xml:space="preserve">Author(s) 2021. </w:t>
      </w:r>
      <w:r>
        <w:rPr>
          <w:rFonts w:ascii="Book Antiqua" w:hAnsi="Book Antiqua" w:eastAsia="Book Antiqua" w:cs="Book Antiqua"/>
          <w:color w:val="000000"/>
        </w:rPr>
        <w:t>Published by Baishideng Publishing Group Inc. All rights reserved.</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rPr>
      </w:pPr>
      <w:r>
        <w:rPr>
          <w:rFonts w:hint="eastAsia" w:ascii="Book Antiqua" w:hAnsi="Book Antiqua" w:eastAsia="宋体" w:cs="Book Antiqua"/>
          <w:b/>
          <w:bCs/>
          <w:color w:val="000000"/>
          <w:lang w:val="en-US" w:eastAsia="zh-CN"/>
        </w:rPr>
        <w:t xml:space="preserve">Citation: </w:t>
      </w:r>
      <w:r>
        <w:rPr>
          <w:rFonts w:ascii="Book Antiqua" w:hAnsi="Book Antiqua" w:eastAsia="Book Antiqua" w:cs="Book Antiqua"/>
          <w:color w:val="000000"/>
        </w:rPr>
        <w:t xml:space="preserve">Cordier F, Hoorens A, Van Dorpe J, Creytens D. Pediatric vascular tumors of the liver: Review from the pathologist’s point of view. </w:t>
      </w:r>
      <w:r>
        <w:rPr>
          <w:rFonts w:ascii="Book Antiqua" w:hAnsi="Book Antiqua" w:eastAsia="Book Antiqua" w:cs="Book Antiqua"/>
          <w:i/>
          <w:iCs/>
          <w:color w:val="000000"/>
        </w:rPr>
        <w:t>World J Hepatol</w:t>
      </w:r>
      <w:r>
        <w:rPr>
          <w:rFonts w:ascii="Book Antiqua" w:hAnsi="Book Antiqua" w:eastAsia="Book Antiqua" w:cs="Book Antiqua"/>
          <w:color w:val="000000"/>
        </w:rPr>
        <w:t xml:space="preserve"> 2021; 13(10): </w:t>
      </w:r>
      <w:r>
        <w:rPr>
          <w:rFonts w:hint="default" w:ascii="Book Antiqua" w:hAnsi="Book Antiqua" w:eastAsia="Book Antiqua" w:cs="Book Antiqua"/>
          <w:i w:val="0"/>
          <w:iCs w:val="0"/>
          <w:color w:val="000000"/>
          <w:kern w:val="0"/>
          <w:sz w:val="24"/>
          <w:szCs w:val="24"/>
          <w:u w:val="none"/>
          <w:lang w:val="en-US" w:eastAsia="zh-CN" w:bidi="ar"/>
        </w:rPr>
        <w:t>131</w:t>
      </w:r>
      <w:r>
        <w:rPr>
          <w:rFonts w:hint="eastAsia" w:ascii="Book Antiqua" w:hAnsi="Book Antiqua" w:eastAsia="Book Antiqua" w:cs="Book Antiqua"/>
          <w:i w:val="0"/>
          <w:iCs w:val="0"/>
          <w:color w:val="000000"/>
          <w:kern w:val="0"/>
          <w:sz w:val="24"/>
          <w:szCs w:val="24"/>
          <w:u w:val="none"/>
          <w:lang w:val="en-US" w:eastAsia="zh-CN" w:bidi="ar"/>
        </w:rPr>
        <w:t>6</w:t>
      </w:r>
      <w:bookmarkStart w:id="11" w:name="_GoBack"/>
      <w:bookmarkEnd w:id="11"/>
      <w:r>
        <w:rPr>
          <w:rFonts w:hint="default" w:ascii="Book Antiqua" w:hAnsi="Book Antiqua" w:eastAsia="Book Antiqua" w:cs="Book Antiqua"/>
          <w:i w:val="0"/>
          <w:iCs w:val="0"/>
          <w:color w:val="000000"/>
          <w:kern w:val="0"/>
          <w:sz w:val="24"/>
          <w:szCs w:val="24"/>
          <w:u w:val="none"/>
          <w:lang w:val="en-US" w:eastAsia="zh-CN" w:bidi="ar"/>
        </w:rPr>
        <w:t>-1327</w:t>
      </w:r>
    </w:p>
    <w:p>
      <w:pPr>
        <w:spacing w:line="360" w:lineRule="auto"/>
        <w:jc w:val="both"/>
        <w:rPr>
          <w:rFonts w:ascii="Book Antiqua" w:hAnsi="Book Antiqua" w:eastAsia="Book Antiqua" w:cs="Book Antiqua"/>
          <w:color w:val="000000"/>
        </w:rPr>
      </w:pPr>
      <w:r>
        <w:rPr>
          <w:rFonts w:ascii="Book Antiqua" w:hAnsi="Book Antiqua" w:eastAsia="Book Antiqua" w:cs="Book Antiqua"/>
          <w:b/>
          <w:bCs/>
          <w:color w:val="000000"/>
        </w:rPr>
        <w:t>URL:</w:t>
      </w:r>
      <w:r>
        <w:rPr>
          <w:rFonts w:ascii="Book Antiqua" w:hAnsi="Book Antiqua" w:eastAsia="Book Antiqua" w:cs="Book Antiqua"/>
          <w:color w:val="000000"/>
        </w:rPr>
        <w:t xml:space="preserve"> https://www.wjgnet.com/1948-5182/full/v13/i10/</w:t>
      </w:r>
      <w:r>
        <w:rPr>
          <w:rFonts w:hint="eastAsia" w:ascii="Book Antiqua" w:hAnsi="Book Antiqua" w:eastAsia="宋体" w:cs="Book Antiqua"/>
          <w:color w:val="000000"/>
          <w:lang w:val="en-US" w:eastAsia="zh-CN"/>
        </w:rPr>
        <w:t>1316</w:t>
      </w:r>
      <w:r>
        <w:rPr>
          <w:rFonts w:ascii="Book Antiqua" w:hAnsi="Book Antiqua" w:eastAsia="Book Antiqua" w:cs="Book Antiqua"/>
          <w:color w:val="000000"/>
        </w:rPr>
        <w:t xml:space="preserve">.htm </w:t>
      </w:r>
    </w:p>
    <w:p>
      <w:pPr>
        <w:spacing w:line="360" w:lineRule="auto"/>
        <w:jc w:val="both"/>
        <w:rPr>
          <w:rFonts w:hint="default" w:ascii="Book Antiqua" w:hAnsi="Book Antiqua" w:eastAsia="宋体"/>
          <w:lang w:val="en-US" w:eastAsia="zh-CN"/>
        </w:rPr>
      </w:pPr>
      <w:r>
        <w:rPr>
          <w:rFonts w:ascii="Book Antiqua" w:hAnsi="Book Antiqua" w:eastAsia="Book Antiqua" w:cs="Book Antiqua"/>
          <w:b/>
          <w:bCs/>
          <w:color w:val="000000"/>
        </w:rPr>
        <w:t>DOI:</w:t>
      </w:r>
      <w:r>
        <w:rPr>
          <w:rFonts w:ascii="Book Antiqua" w:hAnsi="Book Antiqua" w:eastAsia="Book Antiqua" w:cs="Book Antiqua"/>
          <w:color w:val="000000"/>
        </w:rPr>
        <w:t xml:space="preserve"> https://dx.doi.org/10.4254/wjh.v13.i10.</w:t>
      </w:r>
      <w:r>
        <w:rPr>
          <w:rFonts w:hint="eastAsia" w:ascii="Book Antiqua" w:hAnsi="Book Antiqua" w:eastAsia="宋体" w:cs="Book Antiqua"/>
          <w:color w:val="000000"/>
          <w:lang w:val="en-US" w:eastAsia="zh-CN"/>
        </w:rPr>
        <w:t>1316</w:t>
      </w:r>
    </w:p>
    <w:p>
      <w:pPr>
        <w:spacing w:line="360" w:lineRule="auto"/>
        <w:jc w:val="both"/>
        <w:rPr>
          <w:rFonts w:ascii="Book Antiqua" w:hAnsi="Book Antiqua"/>
        </w:rPr>
      </w:pP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Core Tip: </w:t>
      </w:r>
      <w:r>
        <w:rPr>
          <w:rFonts w:ascii="Book Antiqua" w:hAnsi="Book Antiqua" w:eastAsia="Book Antiqua" w:cs="Book Antiqua"/>
          <w:color w:val="000000"/>
        </w:rPr>
        <w:t>Overview of the most important pediatric hepatic vascular tumors from the point of view of the pathologist, including hepatic hemangiomas, hepatic epithelioid hemangioendothelioma and hepatic angiosarcoma.</w:t>
      </w:r>
    </w:p>
    <w:p>
      <w:pPr>
        <w:spacing w:line="360" w:lineRule="auto"/>
        <w:jc w:val="both"/>
        <w:rPr>
          <w:rFonts w:ascii="Book Antiqua" w:hAnsi="Book Antiqua"/>
        </w:rPr>
      </w:pPr>
      <w:r>
        <w:rPr>
          <w:rFonts w:ascii="Book Antiqua" w:hAnsi="Book Antiqua"/>
        </w:rPr>
        <w:br w:type="page"/>
      </w:r>
      <w:r>
        <w:rPr>
          <w:rFonts w:ascii="Book Antiqua" w:hAnsi="Book Antiqua" w:eastAsia="Book Antiqua" w:cs="Book Antiqua"/>
          <w:b/>
          <w:caps/>
          <w:color w:val="000000"/>
          <w:u w:val="single"/>
        </w:rPr>
        <w:t>INTRODUCTION</w:t>
      </w:r>
    </w:p>
    <w:p>
      <w:pPr>
        <w:spacing w:line="360" w:lineRule="auto"/>
        <w:jc w:val="both"/>
        <w:rPr>
          <w:rFonts w:ascii="Book Antiqua" w:hAnsi="Book Antiqua"/>
        </w:rPr>
      </w:pPr>
      <w:r>
        <w:rPr>
          <w:rFonts w:ascii="Book Antiqua" w:hAnsi="Book Antiqua" w:eastAsia="Book Antiqua" w:cs="Book Antiqua"/>
          <w:color w:val="000000"/>
        </w:rPr>
        <w:t>Through the years the classification of vascular anomalies in the liver has evolved due to better biological understanding with substantial contribution of molecular genetics and immunohistochemical correlates. However, terminology can be difficult due to the existence of multiple (general and organ specific) classifications and inconsistent nomenclature through the years. In 1997, vascular tumors were differentiated from vascular malformations for the first time</w:t>
      </w:r>
      <w:r>
        <w:rPr>
          <w:rFonts w:ascii="Book Antiqua" w:hAnsi="Book Antiqua" w:eastAsia="Book Antiqua" w:cs="Book Antiqua"/>
          <w:color w:val="000000"/>
          <w:vertAlign w:val="superscript"/>
        </w:rPr>
        <w:t>[1]</w:t>
      </w:r>
      <w:r>
        <w:rPr>
          <w:rFonts w:ascii="Book Antiqua" w:hAnsi="Book Antiqua" w:eastAsia="Book Antiqua" w:cs="Book Antiqua"/>
          <w:color w:val="000000"/>
        </w:rPr>
        <w:t>. In brief, the main difference between the above entities is that vascular tumors are considered as cellular vascular neoplastic proliferations and vascular malformations as errors in the morphogenesis lined by mature endothelium</w:t>
      </w:r>
      <w:r>
        <w:rPr>
          <w:rFonts w:ascii="Book Antiqua" w:hAnsi="Book Antiqua" w:eastAsia="Book Antiqua" w:cs="Book Antiqua"/>
          <w:color w:val="000000"/>
          <w:vertAlign w:val="superscript"/>
        </w:rPr>
        <w:t>[2,3]</w:t>
      </w:r>
      <w:r>
        <w:rPr>
          <w:rFonts w:ascii="Book Antiqua" w:hAnsi="Book Antiqua" w:eastAsia="Book Antiqua" w:cs="Book Antiqua"/>
          <w:color w:val="000000"/>
        </w:rPr>
        <w:t>.</w:t>
      </w:r>
      <w:r>
        <w:rPr>
          <w:rFonts w:ascii="Book Antiqua" w:hAnsi="Book Antiqua" w:eastAsia="Book Antiqua" w:cs="Book Antiqua"/>
          <w:color w:val="000000"/>
          <w:vertAlign w:val="subscript"/>
        </w:rPr>
        <w:t xml:space="preserve"> </w:t>
      </w:r>
      <w:r>
        <w:rPr>
          <w:rFonts w:ascii="Book Antiqua" w:hAnsi="Book Antiqua" w:eastAsia="Book Antiqua" w:cs="Book Antiqua"/>
          <w:color w:val="000000"/>
        </w:rPr>
        <w:t xml:space="preserve">In 2014, The </w:t>
      </w:r>
      <w:r>
        <w:rPr>
          <w:rFonts w:ascii="Book Antiqua" w:hAnsi="Book Antiqua" w:eastAsia="Book Antiqua" w:cs="Book Antiqua"/>
          <w:i/>
          <w:iCs/>
          <w:color w:val="000000"/>
        </w:rPr>
        <w:t xml:space="preserve">International Society for the Study of Vascular Anomalies </w:t>
      </w:r>
      <w:r>
        <w:rPr>
          <w:rFonts w:ascii="Book Antiqua" w:hAnsi="Book Antiqua" w:eastAsia="Book Antiqua" w:cs="Book Antiqua"/>
          <w:color w:val="000000"/>
        </w:rPr>
        <w:t>(ISSVA) divided vascular tumors further in benign, locally aggressive or borderline and malignant entities</w:t>
      </w:r>
      <w:r>
        <w:rPr>
          <w:rFonts w:ascii="Book Antiqua" w:hAnsi="Book Antiqua" w:eastAsia="Book Antiqua" w:cs="Book Antiqua"/>
          <w:color w:val="000000"/>
          <w:vertAlign w:val="superscript"/>
        </w:rPr>
        <w:t>[4]</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Here, we give an overview of the most important pediatric hepatic vascular tumors, including hepatic hemangiomas, hepatic epithelioid hemangioendothelioma and hepatic angiosarcoma.</w:t>
      </w:r>
    </w:p>
    <w:p>
      <w:pPr>
        <w:spacing w:line="360" w:lineRule="auto"/>
        <w:jc w:val="both"/>
        <w:rPr>
          <w:rFonts w:ascii="Book Antiqua" w:hAnsi="Book Antiqua"/>
        </w:rPr>
      </w:pPr>
    </w:p>
    <w:p>
      <w:pPr>
        <w:spacing w:line="360" w:lineRule="auto"/>
        <w:jc w:val="both"/>
        <w:rPr>
          <w:rFonts w:ascii="Book Antiqua" w:hAnsi="Book Antiqua"/>
        </w:rPr>
      </w:pPr>
      <w:bookmarkStart w:id="3" w:name="OLE_LINK589"/>
      <w:bookmarkStart w:id="4" w:name="OLE_LINK588"/>
      <w:r>
        <w:rPr>
          <w:rFonts w:ascii="Book Antiqua" w:hAnsi="Book Antiqua" w:eastAsia="Book Antiqua" w:cs="Book Antiqua"/>
          <w:b/>
          <w:bCs/>
          <w:caps/>
          <w:color w:val="000000"/>
          <w:u w:val="single"/>
        </w:rPr>
        <w:t>Hepatic hemangioma</w:t>
      </w:r>
    </w:p>
    <w:bookmarkEnd w:id="3"/>
    <w:bookmarkEnd w:id="4"/>
    <w:p>
      <w:pPr>
        <w:spacing w:line="360" w:lineRule="auto"/>
        <w:jc w:val="both"/>
        <w:rPr>
          <w:rFonts w:ascii="Book Antiqua" w:hAnsi="Book Antiqua"/>
        </w:rPr>
      </w:pPr>
      <w:r>
        <w:rPr>
          <w:rFonts w:ascii="Book Antiqua" w:hAnsi="Book Antiqua" w:eastAsia="Book Antiqua" w:cs="Book Antiqua"/>
          <w:color w:val="000000"/>
        </w:rPr>
        <w:t>Hepatic hemangiomas belong to the group of benign vascular tumors</w:t>
      </w:r>
      <w:r>
        <w:rPr>
          <w:rFonts w:ascii="Book Antiqua" w:hAnsi="Book Antiqua" w:eastAsia="Book Antiqua" w:cs="Book Antiqua"/>
          <w:color w:val="000000"/>
          <w:vertAlign w:val="superscript"/>
        </w:rPr>
        <w:t>[4]</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The term “</w:t>
      </w:r>
      <w:r>
        <w:rPr>
          <w:rFonts w:ascii="Book Antiqua" w:hAnsi="Book Antiqua" w:eastAsia="Book Antiqua" w:cs="Book Antiqua"/>
          <w:i/>
          <w:iCs/>
          <w:color w:val="000000"/>
        </w:rPr>
        <w:t>hemangioma</w:t>
      </w:r>
      <w:r>
        <w:rPr>
          <w:rFonts w:ascii="Book Antiqua" w:hAnsi="Book Antiqua" w:eastAsia="Book Antiqua" w:cs="Book Antiqua"/>
          <w:color w:val="000000"/>
        </w:rPr>
        <w:t>” has been used through the years for a variety of vascular malformations of the liver. In 2018, the ISSVA reserved this term for vascular lesions that match the definition of congenital or infantile hemangiomas</w:t>
      </w:r>
      <w:r>
        <w:rPr>
          <w:rFonts w:ascii="Book Antiqua" w:hAnsi="Book Antiqua" w:eastAsia="Book Antiqua" w:cs="Book Antiqua"/>
          <w:color w:val="000000"/>
          <w:vertAlign w:val="superscript"/>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These benign endothelial neoplasms can occur in the liver and belong to the histologic group of “</w:t>
      </w:r>
      <w:r>
        <w:rPr>
          <w:rFonts w:ascii="Book Antiqua" w:hAnsi="Book Antiqua" w:eastAsia="Book Antiqua" w:cs="Book Antiqua"/>
          <w:i/>
          <w:iCs/>
          <w:color w:val="000000"/>
        </w:rPr>
        <w:t>hepatic hemangioendothelioma, type 1</w:t>
      </w:r>
      <w:r>
        <w:rPr>
          <w:rFonts w:ascii="Book Antiqua" w:hAnsi="Book Antiqua" w:eastAsia="Book Antiqua" w:cs="Book Antiqua"/>
          <w:color w:val="000000"/>
        </w:rPr>
        <w:t>” (</w:t>
      </w:r>
      <w:r>
        <w:rPr>
          <w:rFonts w:ascii="Book Antiqua" w:hAnsi="Book Antiqua" w:cs="Book Antiqua"/>
          <w:color w:val="000000"/>
          <w:lang w:eastAsia="zh-CN"/>
        </w:rPr>
        <w:t>Figure</w:t>
      </w:r>
      <w:r>
        <w:rPr>
          <w:rFonts w:ascii="Book Antiqua" w:hAnsi="Book Antiqua" w:eastAsia="Book Antiqua" w:cs="Book Antiqua"/>
          <w:color w:val="000000"/>
        </w:rPr>
        <w:t xml:space="preserve"> 1). However, the term ‘</w:t>
      </w:r>
      <w:r>
        <w:rPr>
          <w:rFonts w:ascii="Book Antiqua" w:hAnsi="Book Antiqua" w:eastAsia="Book Antiqua" w:cs="Book Antiqua"/>
          <w:i/>
          <w:iCs/>
          <w:color w:val="000000"/>
        </w:rPr>
        <w:t>hemangioendothelioma</w:t>
      </w:r>
      <w:r>
        <w:rPr>
          <w:rFonts w:ascii="Book Antiqua" w:hAnsi="Book Antiqua" w:eastAsia="Book Antiqua" w:cs="Book Antiqua"/>
          <w:color w:val="000000"/>
        </w:rPr>
        <w:t>’ has to be used with caution, due to the terminology overlap with epithelioid hemangioendothelioma (which is considered as a malignant vascular entity) and should be avoided in absence of histologic evaluation</w:t>
      </w:r>
      <w:r>
        <w:rPr>
          <w:rFonts w:ascii="Book Antiqua" w:hAnsi="Book Antiqua" w:eastAsia="Book Antiqua" w:cs="Book Antiqua"/>
          <w:color w:val="000000"/>
          <w:vertAlign w:val="superscript"/>
        </w:rPr>
        <w:t>[5,6]</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Further, histologic confirmation of hemangiomas is often not required, since the diagnosis can easily be made with physical examination, imaging and review of patient’s history. Still, a biopsy can be performed when the history or clinical/radiological features are atypical</w:t>
      </w:r>
      <w:r>
        <w:rPr>
          <w:rFonts w:ascii="Book Antiqua" w:hAnsi="Book Antiqua" w:eastAsia="Book Antiqua" w:cs="Book Antiqua"/>
          <w:color w:val="000000"/>
          <w:vertAlign w:val="superscript"/>
        </w:rPr>
        <w:t>[5]</w:t>
      </w:r>
      <w:r>
        <w:rPr>
          <w:rFonts w:ascii="Book Antiqua" w:hAnsi="Book Antiqua" w:eastAsia="Book Antiqua" w:cs="Book Antiqua"/>
          <w:color w:val="000000"/>
        </w:rPr>
        <w:t>. Hemangiomas are characterized by a proliferation, plateau and involution phase. They occur due to an imbalance in angiogenesis, resulting in an uncontrolled proliferation of vascular elements. Involution of the lesions is characterized by a decrease in angiogenic factors, endothelial cell apoptosis and high levels of angiogenic inhibitors, replacing the endothelial cells by loose stromal tissue</w:t>
      </w:r>
      <w:r>
        <w:rPr>
          <w:rFonts w:ascii="Book Antiqua" w:hAnsi="Book Antiqua" w:eastAsia="Book Antiqua" w:cs="Book Antiqua"/>
          <w:color w:val="000000"/>
          <w:vertAlign w:val="superscript"/>
        </w:rPr>
        <w:t xml:space="preserve"> [2,6]</w:t>
      </w:r>
      <w:r>
        <w:rPr>
          <w:rFonts w:ascii="Book Antiqua" w:hAnsi="Book Antiqua" w:eastAsia="Book Antiqua" w:cs="Book Antiqua"/>
          <w:color w:val="000000"/>
        </w:rPr>
        <w: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i/>
          <w:iCs/>
          <w:color w:val="000000"/>
        </w:rPr>
        <w:t>Hepatic congenital hemangioma</w:t>
      </w:r>
    </w:p>
    <w:p>
      <w:pPr>
        <w:spacing w:line="360" w:lineRule="auto"/>
        <w:jc w:val="both"/>
        <w:rPr>
          <w:rFonts w:ascii="Book Antiqua" w:hAnsi="Book Antiqua"/>
        </w:rPr>
      </w:pPr>
      <w:r>
        <w:rPr>
          <w:rFonts w:ascii="Book Antiqua" w:hAnsi="Book Antiqua" w:eastAsia="Book Antiqua" w:cs="Book Antiqua"/>
          <w:color w:val="000000"/>
        </w:rPr>
        <w:t>Hepatic congenital hemangiomas (HCH) are benign high-flow vascular tumors that proliferate in utero and are fully grown at birth with no postnatal increase in size. They are less common than hepatic infantile hemangioma (HIH) and present mostly as a solitary lesion</w:t>
      </w:r>
      <w:r>
        <w:rPr>
          <w:rFonts w:ascii="Book Antiqua" w:hAnsi="Book Antiqua" w:eastAsia="Book Antiqua" w:cs="Book Antiqua"/>
          <w:color w:val="000000"/>
          <w:vertAlign w:val="superscript"/>
        </w:rPr>
        <w:t>[5,7,8]</w:t>
      </w:r>
      <w:r>
        <w:rPr>
          <w:rFonts w:ascii="Book Antiqua" w:hAnsi="Book Antiqua" w:eastAsia="Book Antiqua" w:cs="Book Antiqua"/>
          <w:color w:val="000000"/>
        </w:rPr>
        <w:t>. Diagnosis can be made on prenatal imaging showing a large mass with extensive central infarction, hemorrhage, calcifications and sometimes large abnormal vessels, suggestive for arteriovenous malformation</w:t>
      </w:r>
      <w:r>
        <w:rPr>
          <w:rFonts w:ascii="Book Antiqua" w:hAnsi="Book Antiqua" w:eastAsia="Book Antiqua" w:cs="Book Antiqua"/>
          <w:color w:val="000000"/>
          <w:vertAlign w:val="superscript"/>
        </w:rPr>
        <w:t>[5,9]</w:t>
      </w:r>
      <w:r>
        <w:rPr>
          <w:rFonts w:ascii="Book Antiqua" w:hAnsi="Book Antiqua" w:eastAsia="Book Antiqua" w:cs="Book Antiqua"/>
          <w:color w:val="000000"/>
        </w:rPr>
        <w:t>. They can be asymptomatic or can cause intratumoral bleeding, thrombocytopenia, hypofibrinogenemia (Kasabach-Merritt syndrome, occasionally associated with large hepatic hemangiomas) and high-output cardiac failure</w:t>
      </w:r>
      <w:r>
        <w:rPr>
          <w:rFonts w:ascii="Book Antiqua" w:hAnsi="Book Antiqua" w:eastAsia="Book Antiqua" w:cs="Book Antiqua"/>
          <w:color w:val="000000"/>
          <w:vertAlign w:val="superscript"/>
        </w:rPr>
        <w:t>[5,10]</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The most important clinical differential diagnoses of a liver mass in infants include hepatic infantile hemangioma (HIH), epithelioid hemangioendothelioma, hepatoblastoma, germ cell tumors, (metastatic) neuroblastoma, mesenchymal hamartoma, cysts and abscesses</w:t>
      </w:r>
      <w:r>
        <w:rPr>
          <w:rFonts w:ascii="Book Antiqua" w:hAnsi="Book Antiqua" w:eastAsia="Book Antiqua" w:cs="Book Antiqua"/>
          <w:color w:val="000000"/>
          <w:vertAlign w:val="superscript"/>
        </w:rPr>
        <w:t>[10,11]</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 xml:space="preserve">There are 3 clinical subtypes depending on the pattern of evolution: </w:t>
      </w:r>
      <w:r>
        <w:rPr>
          <w:rFonts w:ascii="Book Antiqua" w:hAnsi="Book Antiqua" w:eastAsia="Book Antiqua" w:cs="Book Antiqua"/>
          <w:i/>
          <w:iCs/>
          <w:color w:val="000000"/>
        </w:rPr>
        <w:t xml:space="preserve">rapidly involuting congenital hemangioma </w:t>
      </w:r>
      <w:r>
        <w:rPr>
          <w:rFonts w:ascii="Book Antiqua" w:hAnsi="Book Antiqua" w:eastAsia="Book Antiqua" w:cs="Book Antiqua"/>
          <w:color w:val="000000"/>
        </w:rPr>
        <w:t xml:space="preserve">(RICH), </w:t>
      </w:r>
      <w:r>
        <w:rPr>
          <w:rFonts w:ascii="Book Antiqua" w:hAnsi="Book Antiqua" w:eastAsia="Book Antiqua" w:cs="Book Antiqua"/>
          <w:i/>
          <w:iCs/>
          <w:color w:val="000000"/>
        </w:rPr>
        <w:t xml:space="preserve">partially involuting congenital hemangioma </w:t>
      </w:r>
      <w:r>
        <w:rPr>
          <w:rFonts w:ascii="Book Antiqua" w:hAnsi="Book Antiqua" w:eastAsia="Book Antiqua" w:cs="Book Antiqua"/>
          <w:color w:val="000000"/>
        </w:rPr>
        <w:t>(PICH)</w:t>
      </w:r>
      <w:r>
        <w:rPr>
          <w:rFonts w:ascii="Book Antiqua" w:hAnsi="Book Antiqua" w:eastAsia="Book Antiqua" w:cs="Book Antiqua"/>
          <w:i/>
          <w:iCs/>
          <w:color w:val="000000"/>
        </w:rPr>
        <w:t xml:space="preserve"> </w:t>
      </w:r>
      <w:r>
        <w:rPr>
          <w:rFonts w:ascii="Book Antiqua" w:hAnsi="Book Antiqua" w:eastAsia="Book Antiqua" w:cs="Book Antiqua"/>
          <w:color w:val="000000"/>
        </w:rPr>
        <w:t>and</w:t>
      </w:r>
      <w:r>
        <w:rPr>
          <w:rFonts w:ascii="Book Antiqua" w:hAnsi="Book Antiqua" w:eastAsia="Book Antiqua" w:cs="Book Antiqua"/>
          <w:i/>
          <w:iCs/>
          <w:color w:val="000000"/>
        </w:rPr>
        <w:t xml:space="preserve"> noninvoluting congenital hemangioma </w:t>
      </w:r>
      <w:r>
        <w:rPr>
          <w:rFonts w:ascii="Book Antiqua" w:hAnsi="Book Antiqua" w:eastAsia="Book Antiqua" w:cs="Book Antiqua"/>
          <w:color w:val="000000"/>
        </w:rPr>
        <w:t>(NICH)</w:t>
      </w:r>
      <w:r>
        <w:rPr>
          <w:rFonts w:ascii="Book Antiqua" w:hAnsi="Book Antiqua" w:eastAsia="Book Antiqua" w:cs="Book Antiqua"/>
          <w:color w:val="000000"/>
          <w:vertAlign w:val="superscript"/>
        </w:rPr>
        <w:t>[4,5,10]</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These subtypes share common histopathologic features and have to be seen as part of a single entity</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with differences in their clinical behavior</w:t>
      </w:r>
      <w:r>
        <w:rPr>
          <w:rFonts w:ascii="Book Antiqua" w:hAnsi="Book Antiqua" w:eastAsia="Book Antiqua" w:cs="Book Antiqua"/>
          <w:color w:val="000000"/>
          <w:vertAlign w:val="superscript"/>
        </w:rPr>
        <w:t>[12,13]</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 xml:space="preserve">Histologically (Figure </w:t>
      </w:r>
      <w:r>
        <w:rPr>
          <w:rFonts w:ascii="Book Antiqua" w:hAnsi="Book Antiqua" w:cs="Book Antiqua"/>
          <w:color w:val="000000"/>
          <w:lang w:eastAsia="zh-CN"/>
        </w:rPr>
        <w:t>2</w:t>
      </w:r>
      <w:r>
        <w:rPr>
          <w:rFonts w:ascii="Book Antiqua" w:hAnsi="Book Antiqua" w:eastAsia="Book Antiqua" w:cs="Book Antiqua"/>
          <w:color w:val="000000"/>
        </w:rPr>
        <w:t>), HCHs are usually well-demarcated vascular lesions which can show entrapment of hepatocytes and bile ducts in interface areas</w:t>
      </w:r>
      <w:r>
        <w:rPr>
          <w:rFonts w:ascii="Book Antiqua" w:hAnsi="Book Antiqua" w:eastAsia="Book Antiqua" w:cs="Book Antiqua"/>
          <w:color w:val="000000"/>
          <w:vertAlign w:val="superscript"/>
        </w:rPr>
        <w:t>[9]</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RICH is composed of lobules of variable sized, mostly small thin-walled vessels lined by plump endothelium without cytonuclear atypia</w:t>
      </w:r>
      <w:r>
        <w:rPr>
          <w:rFonts w:ascii="Book Antiqua" w:hAnsi="Book Antiqua" w:eastAsia="Book Antiqua" w:cs="Book Antiqua"/>
          <w:color w:val="000000"/>
          <w:vertAlign w:val="superscript"/>
        </w:rPr>
        <w:t>[7,10]</w:t>
      </w:r>
      <w:r>
        <w:rPr>
          <w:rFonts w:ascii="Book Antiqua" w:hAnsi="Book Antiqua" w:eastAsia="Book Antiqua" w:cs="Book Antiqua"/>
          <w:color w:val="000000"/>
        </w:rPr>
        <w:t>. There may be evidence of thrombosis and the central part (</w:t>
      </w:r>
      <w:r>
        <w:rPr>
          <w:rFonts w:ascii="Book Antiqua" w:hAnsi="Book Antiqua" w:eastAsia="Book Antiqua" w:cs="Book Antiqua"/>
          <w:i/>
          <w:iCs/>
          <w:color w:val="000000"/>
        </w:rPr>
        <w:t>i.e.</w:t>
      </w:r>
      <w:r>
        <w:rPr>
          <w:rFonts w:ascii="Book Antiqua" w:hAnsi="Book Antiqua" w:eastAsia="Book Antiqua" w:cs="Book Antiqua"/>
          <w:color w:val="000000"/>
        </w:rPr>
        <w:t>, the first area of involution) may contain necrotic and hemorrhagic areas, fibrosis and focal dystrophic calcifications. Extramedullary hematopoiesis can also be observed. At the periphery of the lesion abundant larger vessels occur, sometimes associated with aneurysmal changes</w:t>
      </w:r>
      <w:r>
        <w:rPr>
          <w:rFonts w:ascii="Book Antiqua" w:hAnsi="Book Antiqua" w:eastAsia="Book Antiqua" w:cs="Book Antiqua"/>
          <w:color w:val="000000"/>
          <w:vertAlign w:val="superscript"/>
        </w:rPr>
        <w:t>[7]</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In contrast to RICH, NICH shows lobules of small vessels with interlobular fibrosis but without signs of involution. Arteriovenous microfistulae with large irregular vessels in the center can occur</w:t>
      </w:r>
      <w:r>
        <w:rPr>
          <w:rFonts w:ascii="Book Antiqua" w:hAnsi="Book Antiqua" w:eastAsia="Book Antiqua" w:cs="Book Antiqua"/>
          <w:color w:val="000000"/>
          <w:vertAlign w:val="superscript"/>
        </w:rPr>
        <w:t>[10]</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PICH shows histologic overlap between RICH and NICH and cannot be distinguished histologically</w:t>
      </w:r>
      <w:r>
        <w:rPr>
          <w:rFonts w:ascii="Book Antiqua" w:hAnsi="Book Antiqua" w:eastAsia="Book Antiqua" w:cs="Book Antiqua"/>
          <w:color w:val="000000"/>
          <w:vertAlign w:val="superscript"/>
        </w:rPr>
        <w:t>[12,13]</w:t>
      </w:r>
      <w:r>
        <w:rPr>
          <w:rFonts w:ascii="Book Antiqua" w:hAnsi="Book Antiqua" w:eastAsia="Book Antiqua" w:cs="Book Antiqua"/>
          <w:color w:val="000000"/>
        </w:rPr>
        <w:t>. Endothelial cells show immunoreactivity for Wilms’ Tumor 1 (WT-1), CD34, CD31, factor VIII and Erythroblast transformation-specific [ETS]-related gene (ERG)</w:t>
      </w:r>
      <w:r>
        <w:rPr>
          <w:rFonts w:ascii="Book Antiqua" w:hAnsi="Book Antiqua" w:eastAsia="Book Antiqua" w:cs="Book Antiqua"/>
          <w:color w:val="000000"/>
          <w:vertAlign w:val="superscript"/>
        </w:rPr>
        <w:t>[13-15]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Triana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[16]</w:t>
      </w:r>
      <w:r>
        <w:rPr>
          <w:rFonts w:ascii="Book Antiqua" w:hAnsi="Book Antiqua" w:eastAsia="Book Antiqua" w:cs="Book Antiqua"/>
          <w:color w:val="000000"/>
        </w:rPr>
        <w:t xml:space="preserve"> showed there was no expression of podoplanin (D2-40) in HCH. However, El Zein </w:t>
      </w:r>
      <w:r>
        <w:rPr>
          <w:rFonts w:ascii="Book Antiqua" w:hAnsi="Book Antiqua" w:eastAsia="Book Antiqua" w:cs="Book Antiqua"/>
          <w:i/>
          <w:iCs/>
          <w:color w:val="000000"/>
        </w:rPr>
        <w:t>et al</w:t>
      </w:r>
      <w:r>
        <w:rPr>
          <w:rFonts w:ascii="Book Antiqua" w:hAnsi="Book Antiqua" w:eastAsia="Book Antiqua" w:cs="Book Antiqua"/>
          <w:color w:val="000000"/>
        </w:rPr>
        <w:t xml:space="preserve"> showed focal positivity for podoplanin in congenital hemangiomas of the skin, mainly in abnormal extralobular lymphatic vessels or in patients with concomitant thrombocytopenia (with decrease of intensity when platelet count normalized)</w:t>
      </w:r>
      <w:r>
        <w:rPr>
          <w:rFonts w:ascii="Book Antiqua" w:hAnsi="Book Antiqua" w:eastAsia="Book Antiqua" w:cs="Book Antiqua"/>
          <w:color w:val="000000"/>
          <w:vertAlign w:val="superscript"/>
        </w:rPr>
        <w:t>[13]</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The endothelial cells of HCH do not stain for glucose transporter-1 (GLUT-1), which is an important hallmark in the differentiation of HCH with HIH (Figure </w:t>
      </w:r>
      <w:r>
        <w:rPr>
          <w:rFonts w:ascii="Book Antiqua" w:hAnsi="Book Antiqua" w:cs="Book Antiqua"/>
          <w:color w:val="000000"/>
          <w:lang w:eastAsia="zh-CN"/>
        </w:rPr>
        <w:t>3</w:t>
      </w:r>
      <w:r>
        <w:rPr>
          <w:rFonts w:ascii="Book Antiqua" w:hAnsi="Book Antiqua" w:eastAsia="Book Antiqua" w:cs="Book Antiqua"/>
          <w:color w:val="000000"/>
        </w:rPr>
        <w:t>)</w:t>
      </w:r>
      <w:r>
        <w:rPr>
          <w:rFonts w:ascii="Book Antiqua" w:hAnsi="Book Antiqua" w:eastAsia="Book Antiqua" w:cs="Book Antiqua"/>
          <w:color w:val="000000"/>
          <w:vertAlign w:val="superscript"/>
        </w:rPr>
        <w:t>[5,10]</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Genetic studies revealed that almost all HCHs have mutually exclusive, missense mutations that alter glutamine at amino acid 209 (Gln209) in the alleles which code for guanine nucleotide-binding protein G(q)alpha (</w:t>
      </w:r>
      <w:r>
        <w:rPr>
          <w:rFonts w:ascii="Book Antiqua" w:hAnsi="Book Antiqua" w:eastAsia="Book Antiqua" w:cs="Book Antiqua"/>
          <w:i/>
          <w:iCs/>
          <w:color w:val="000000"/>
        </w:rPr>
        <w:t>GNAQ</w:t>
      </w:r>
      <w:r>
        <w:rPr>
          <w:rFonts w:ascii="Book Antiqua" w:hAnsi="Book Antiqua" w:eastAsia="Book Antiqua" w:cs="Book Antiqua"/>
          <w:color w:val="000000"/>
        </w:rPr>
        <w:t>) and guanine nucleotide-binding protein subunit alpha-11 (</w:t>
      </w:r>
      <w:r>
        <w:rPr>
          <w:rFonts w:ascii="Book Antiqua" w:hAnsi="Book Antiqua" w:eastAsia="Book Antiqua" w:cs="Book Antiqua"/>
          <w:i/>
          <w:iCs/>
          <w:color w:val="000000"/>
        </w:rPr>
        <w:t>GNA11</w:t>
      </w:r>
      <w:r>
        <w:rPr>
          <w:rFonts w:ascii="Book Antiqua" w:hAnsi="Book Antiqua" w:eastAsia="Book Antiqua" w:cs="Book Antiqua"/>
          <w:color w:val="000000"/>
        </w:rPr>
        <w:t>), regardless of subtype. This implies that also other genetic, epigenetic and/or environmental factors may influence the behaviour of these lesions</w:t>
      </w:r>
      <w:r>
        <w:rPr>
          <w:rFonts w:ascii="Book Antiqua" w:hAnsi="Book Antiqua" w:eastAsia="Book Antiqua" w:cs="Book Antiqua"/>
          <w:color w:val="000000"/>
          <w:vertAlign w:val="superscript"/>
        </w:rPr>
        <w:t>[10,17]</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A subset shows missense mutations in </w:t>
      </w:r>
      <w:r>
        <w:rPr>
          <w:rFonts w:ascii="Book Antiqua" w:hAnsi="Book Antiqua" w:eastAsia="Book Antiqua" w:cs="Book Antiqua"/>
          <w:i/>
          <w:iCs/>
          <w:color w:val="000000"/>
        </w:rPr>
        <w:t>phosphatidylinositol-4,5-bisphosphate 3-kinase catalytic subunit alpha</w:t>
      </w:r>
      <w:r>
        <w:rPr>
          <w:rFonts w:ascii="Book Antiqua" w:hAnsi="Book Antiqua" w:eastAsia="Book Antiqua" w:cs="Book Antiqua"/>
          <w:color w:val="000000"/>
        </w:rPr>
        <w:t xml:space="preserve"> (</w:t>
      </w:r>
      <w:r>
        <w:rPr>
          <w:rFonts w:ascii="Book Antiqua" w:hAnsi="Book Antiqua" w:eastAsia="Book Antiqua" w:cs="Book Antiqua"/>
          <w:i/>
          <w:iCs/>
          <w:color w:val="000000"/>
        </w:rPr>
        <w:t>PIK3CA)</w:t>
      </w:r>
      <w:r>
        <w:rPr>
          <w:rFonts w:ascii="Book Antiqua" w:hAnsi="Book Antiqua" w:eastAsia="Book Antiqua" w:cs="Book Antiqua"/>
          <w:color w:val="000000"/>
        </w:rPr>
        <w:t xml:space="preserve"> (c.3140A</w:t>
      </w:r>
      <w:r>
        <w:rPr>
          <w:rFonts w:eastAsia="Book Antiqua"/>
          <w:color w:val="000000"/>
        </w:rPr>
        <w:t> </w:t>
      </w:r>
      <w:r>
        <w:rPr>
          <w:rFonts w:ascii="Book Antiqua" w:hAnsi="Book Antiqua" w:eastAsia="Book Antiqua" w:cs="Book Antiqua"/>
          <w:color w:val="000000"/>
        </w:rPr>
        <w:t>&gt;</w:t>
      </w:r>
      <w:r>
        <w:rPr>
          <w:rFonts w:eastAsia="Book Antiqua"/>
          <w:color w:val="000000"/>
        </w:rPr>
        <w:t> </w:t>
      </w:r>
      <w:r>
        <w:rPr>
          <w:rFonts w:ascii="Book Antiqua" w:hAnsi="Book Antiqua" w:eastAsia="Book Antiqua" w:cs="Book Antiqua"/>
          <w:color w:val="000000"/>
        </w:rPr>
        <w:t>T; p.His1047Leu)</w:t>
      </w:r>
      <w:r>
        <w:rPr>
          <w:rFonts w:ascii="Book Antiqua" w:hAnsi="Book Antiqua" w:eastAsia="Book Antiqua" w:cs="Book Antiqua"/>
          <w:color w:val="000000"/>
          <w:vertAlign w:val="superscript"/>
        </w:rPr>
        <w:t>[16]</w:t>
      </w:r>
      <w:r>
        <w:rPr>
          <w:rFonts w:ascii="Book Antiqua" w:hAnsi="Book Antiqua" w:eastAsia="Book Antiqua" w:cs="Book Antiqua"/>
          <w:color w:val="000000"/>
        </w:rPr>
        <w:t>.</w:t>
      </w:r>
    </w:p>
    <w:p>
      <w:pPr>
        <w:spacing w:line="360" w:lineRule="auto"/>
        <w:ind w:firstLine="48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i/>
          <w:iCs/>
          <w:color w:val="000000"/>
        </w:rPr>
        <w:t>Hepatic infantile hemangioma</w:t>
      </w:r>
    </w:p>
    <w:p>
      <w:pPr>
        <w:spacing w:line="360" w:lineRule="auto"/>
        <w:jc w:val="both"/>
        <w:rPr>
          <w:rFonts w:ascii="Book Antiqua" w:hAnsi="Book Antiqua"/>
        </w:rPr>
      </w:pPr>
      <w:r>
        <w:rPr>
          <w:rFonts w:ascii="Book Antiqua" w:hAnsi="Book Antiqua" w:eastAsia="Book Antiqua" w:cs="Book Antiqua"/>
          <w:color w:val="000000"/>
        </w:rPr>
        <w:t>HIH is the most common benign hepatic tumor in infancy, with female predominance</w:t>
      </w:r>
      <w:r>
        <w:rPr>
          <w:rFonts w:ascii="Book Antiqua" w:hAnsi="Book Antiqua" w:eastAsia="Book Antiqua" w:cs="Book Antiqua"/>
          <w:color w:val="000000"/>
          <w:vertAlign w:val="superscript"/>
        </w:rPr>
        <w:t>[7]</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It proliferates rapid after birth, reaching a maximal size at 6 to 12 mo, and then it gradually involutes until 3 to 9 years</w:t>
      </w:r>
      <w:r>
        <w:rPr>
          <w:rFonts w:ascii="Book Antiqua" w:hAnsi="Book Antiqua" w:eastAsia="Book Antiqua" w:cs="Book Antiqua"/>
          <w:color w:val="000000"/>
          <w:vertAlign w:val="superscript"/>
        </w:rPr>
        <w:t>[5,6]</w:t>
      </w:r>
      <w:r>
        <w:rPr>
          <w:rFonts w:ascii="Book Antiqua" w:hAnsi="Book Antiqua" w:eastAsia="Book Antiqua" w:cs="Book Antiqua"/>
          <w:color w:val="000000"/>
        </w:rPr>
        <w:t>. Most hemangiomas are asymptomatic and remain undetected or are incidental findings on postnatal imaging. Still, a subset can be symptomatic due to their size, location or hemodynamic effects</w:t>
      </w:r>
      <w:r>
        <w:rPr>
          <w:rFonts w:ascii="Book Antiqua" w:hAnsi="Book Antiqua" w:eastAsia="Book Antiqua" w:cs="Book Antiqua"/>
          <w:color w:val="000000"/>
          <w:vertAlign w:val="superscript"/>
        </w:rPr>
        <w:t>[8]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The high flow within the tumor or presence of shunts can cause cardiac failure. Also, thrombocytopenia and anemia can be observed when intralesional thrombosis occurs</w:t>
      </w:r>
      <w:r>
        <w:rPr>
          <w:rFonts w:ascii="Book Antiqua" w:hAnsi="Book Antiqua" w:eastAsia="Book Antiqua" w:cs="Book Antiqua"/>
          <w:color w:val="000000"/>
          <w:vertAlign w:val="superscript"/>
        </w:rPr>
        <w:t>[5,8,18,19]</w:t>
      </w:r>
      <w:r>
        <w:rPr>
          <w:rFonts w:ascii="Book Antiqua" w:hAnsi="Book Antiqua" w:eastAsia="Book Antiqua" w:cs="Book Antiqua"/>
          <w:color w:val="000000"/>
        </w:rPr>
        <w:t>. Due to high expression of type 3 iodothyronine deiodinase in these vascular lesions, which inactivates thyroid hormone, acquired consumptive hypothyroidism occurs. All of these complications are detected after birth during the proliferation phase and can be missed initially</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on newborn screening</w:t>
      </w:r>
      <w:r>
        <w:rPr>
          <w:rFonts w:ascii="Book Antiqua" w:hAnsi="Book Antiqua" w:eastAsia="Book Antiqua" w:cs="Book Antiqua"/>
          <w:color w:val="000000"/>
          <w:vertAlign w:val="superscript"/>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Further,</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HIH can occur in association with Beckwith-Wiedemann syndrome</w:t>
      </w:r>
      <w:r>
        <w:rPr>
          <w:rFonts w:ascii="Book Antiqua" w:hAnsi="Book Antiqua" w:eastAsia="Book Antiqua" w:cs="Book Antiqua"/>
          <w:color w:val="000000"/>
          <w:vertAlign w:val="superscript"/>
        </w:rPr>
        <w:t>[6]</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The clinical differential diagnosis of HIH is broad and includes arteriovenous malformations, arterioportal fistula, mesenchymal hamartoma, hepatoblastoma, angiosarcoma and (metastatic) neuroblastoma</w:t>
      </w:r>
      <w:r>
        <w:rPr>
          <w:rFonts w:ascii="Book Antiqua" w:hAnsi="Book Antiqua" w:eastAsia="Book Antiqua" w:cs="Book Antiqua"/>
          <w:color w:val="000000"/>
          <w:vertAlign w:val="superscript"/>
        </w:rPr>
        <w:t>[8]</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HIH presents clinically/macroscopically as white-tan nodules with occasionally degenerative changes in the centre</w:t>
      </w:r>
      <w:r>
        <w:rPr>
          <w:rFonts w:ascii="Book Antiqua" w:hAnsi="Book Antiqua" w:eastAsia="Book Antiqua" w:cs="Book Antiqua"/>
          <w:color w:val="000000"/>
          <w:vertAlign w:val="superscript"/>
        </w:rPr>
        <w:t>[9]</w:t>
      </w:r>
      <w:r>
        <w:rPr>
          <w:rFonts w:ascii="Book Antiqua" w:hAnsi="Book Antiqua" w:eastAsia="Book Antiqua" w:cs="Book Antiqua"/>
          <w:color w:val="000000"/>
        </w:rPr>
        <w:t>. They can be divided into 3 categories based on degree of unaffected liver parenchyma: focal, multifocal or diffuse disease.</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Focal HIH shows overlap with RICH, as it does not express GLUT-1 and can be found on prenatal imaging</w:t>
      </w:r>
      <w:r>
        <w:rPr>
          <w:rFonts w:ascii="Book Antiqua" w:hAnsi="Book Antiqua" w:eastAsia="Book Antiqua" w:cs="Book Antiqua"/>
          <w:color w:val="000000"/>
          <w:vertAlign w:val="superscript"/>
        </w:rPr>
        <w:t>[8,18,19]</w:t>
      </w:r>
      <w:r>
        <w:rPr>
          <w:rFonts w:ascii="Book Antiqua" w:hAnsi="Book Antiqua" w:eastAsia="Book Antiqua" w:cs="Book Antiqua"/>
          <w:color w:val="000000"/>
        </w:rPr>
        <w:t>. Therefore, focal HIH is not considered as a true HIH</w:t>
      </w:r>
      <w:r>
        <w:rPr>
          <w:rFonts w:ascii="Book Antiqua" w:hAnsi="Book Antiqua" w:eastAsia="Book Antiqua" w:cs="Book Antiqua"/>
          <w:color w:val="000000"/>
          <w:vertAlign w:val="superscript"/>
        </w:rPr>
        <w:t>[8]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Multifocal HIH presents as areas of hemangioma with intervening segments of normal hepatic parenchyma, whereas a diffuse pattern is defined as innumerable tumors with nearly complete hepatic parenchymal replacement</w:t>
      </w:r>
      <w:r>
        <w:rPr>
          <w:rFonts w:ascii="Book Antiqua" w:hAnsi="Book Antiqua" w:eastAsia="Book Antiqua" w:cs="Book Antiqua"/>
          <w:color w:val="000000"/>
          <w:vertAlign w:val="superscript"/>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Diffuse HIH shows a higher risk of complications, </w:t>
      </w:r>
      <w:r>
        <w:rPr>
          <w:rFonts w:ascii="Book Antiqua" w:hAnsi="Book Antiqua" w:eastAsia="Book Antiqua" w:cs="Book Antiqua"/>
          <w:i/>
          <w:iCs/>
          <w:color w:val="000000"/>
        </w:rPr>
        <w:t>e.g.,</w:t>
      </w:r>
      <w:r>
        <w:rPr>
          <w:rFonts w:ascii="Book Antiqua" w:hAnsi="Book Antiqua" w:eastAsia="Book Antiqua" w:cs="Book Antiqua"/>
          <w:color w:val="000000"/>
        </w:rPr>
        <w:t xml:space="preserve"> abdominal compartment syndrome, heart failure, profound hypothyroidism, and even mortality</w:t>
      </w:r>
      <w:r>
        <w:rPr>
          <w:rFonts w:ascii="Book Antiqua" w:hAnsi="Book Antiqua" w:eastAsia="Book Antiqua" w:cs="Book Antiqua"/>
          <w:color w:val="000000"/>
          <w:vertAlign w:val="superscript"/>
        </w:rPr>
        <w:t>[5,8]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Associated cutaneous infantile hemangioma is often present in patients with multifocal or diffuse HIH and increases with prematurity. Screening for HIH is therefore advised when multiple cutaneous infantile hemangiomas occur (mostly 5 or more), as the liver is the most common visceral site</w:t>
      </w:r>
      <w:r>
        <w:rPr>
          <w:rFonts w:ascii="Book Antiqua" w:hAnsi="Book Antiqua" w:eastAsia="Book Antiqua" w:cs="Book Antiqua"/>
          <w:color w:val="000000"/>
          <w:vertAlign w:val="superscript"/>
        </w:rPr>
        <w:t>[8,18]</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 xml:space="preserve">Histologically (Figure </w:t>
      </w:r>
      <w:r>
        <w:rPr>
          <w:rFonts w:ascii="Book Antiqua" w:hAnsi="Book Antiqua" w:cs="Book Antiqua"/>
          <w:color w:val="000000"/>
          <w:lang w:eastAsia="zh-CN"/>
        </w:rPr>
        <w:t>4</w:t>
      </w:r>
      <w:r>
        <w:rPr>
          <w:rFonts w:ascii="Book Antiqua" w:hAnsi="Book Antiqua" w:eastAsia="Book Antiqua" w:cs="Book Antiqua"/>
          <w:color w:val="000000"/>
        </w:rPr>
        <w:t>), HIH are well-demarcated, non-encapsulated vascular lesions composed of lobular, mostly small-sized vessels (capillary-like) with a pericytic cuff, highlighted by the immunohistochemical staining smooth muscle actin (SMA) (Figure 4)</w:t>
      </w:r>
      <w:r>
        <w:rPr>
          <w:rFonts w:ascii="Book Antiqua" w:hAnsi="Book Antiqua" w:eastAsia="Book Antiqua" w:cs="Book Antiqua"/>
          <w:color w:val="000000"/>
          <w:vertAlign w:val="superscript"/>
        </w:rPr>
        <w:t>[6,9,11,20]</w:t>
      </w:r>
      <w:r>
        <w:rPr>
          <w:rFonts w:ascii="Book Antiqua" w:hAnsi="Book Antiqua" w:eastAsia="Book Antiqua" w:cs="Book Antiqua"/>
          <w:color w:val="000000"/>
        </w:rPr>
        <w:t>. The periphery of these vascular lesions is cellular and mitotic active, with plump endothelial cells (suggesting active growth). Involution is particularly prominent in the center of the lesion and is characterized by reduced cellularity and enlarged vascular spaces lined by flat, mitotically inactive endothelium. The interstitium is fibrotic or fibromyxoid</w:t>
      </w:r>
      <w:r>
        <w:rPr>
          <w:rFonts w:ascii="Book Antiqua" w:hAnsi="Book Antiqua" w:eastAsia="Book Antiqua" w:cs="Book Antiqua"/>
          <w:color w:val="000000"/>
          <w:vertAlign w:val="superscript"/>
        </w:rPr>
        <w:t>[9]</w:t>
      </w:r>
      <w:r>
        <w:rPr>
          <w:rFonts w:ascii="Book Antiqua" w:hAnsi="Book Antiqua" w:eastAsia="Book Antiqua" w:cs="Book Antiqua"/>
          <w:color w:val="000000"/>
        </w:rPr>
        <w:t>. Bile ducts and hepatocytes are often entrapped within the advancing edge of the tumor. Areas of extramedullary hematopoiesis may be present</w:t>
      </w:r>
      <w:r>
        <w:rPr>
          <w:rFonts w:ascii="Book Antiqua" w:hAnsi="Book Antiqua" w:eastAsia="Book Antiqua" w:cs="Book Antiqua"/>
          <w:color w:val="000000"/>
          <w:vertAlign w:val="superscript"/>
        </w:rPr>
        <w:t>[11]</w:t>
      </w:r>
      <w:r>
        <w:rPr>
          <w:rFonts w:ascii="Book Antiqua" w:hAnsi="Book Antiqua" w:eastAsia="Book Antiqua" w:cs="Book Antiqua"/>
          <w:color w:val="000000"/>
        </w:rPr>
        <w:t>.</w:t>
      </w:r>
      <w:r>
        <w:rPr>
          <w:rFonts w:ascii="Book Antiqua" w:hAnsi="Book Antiqua" w:eastAsia="Book Antiqua" w:cs="Book Antiqua"/>
          <w:i/>
          <w:iCs/>
          <w:color w:val="000000"/>
        </w:rPr>
        <w:t xml:space="preserve"> </w:t>
      </w:r>
      <w:r>
        <w:rPr>
          <w:rFonts w:ascii="Book Antiqua" w:hAnsi="Book Antiqua" w:eastAsia="Book Antiqua" w:cs="Book Antiqua"/>
          <w:color w:val="000000"/>
        </w:rPr>
        <w:t>Central infarction, hemorrhage, calcification and abnormally enlarged vessels or arteriovenous malformation (AVM) can be observed</w:t>
      </w:r>
      <w:r>
        <w:rPr>
          <w:rFonts w:ascii="Book Antiqua" w:hAnsi="Book Antiqua" w:eastAsia="Book Antiqua" w:cs="Book Antiqua"/>
          <w:color w:val="000000"/>
          <w:vertAlign w:val="superscript"/>
        </w:rPr>
        <w:t>[9]</w:t>
      </w:r>
      <w:r>
        <w:rPr>
          <w:rFonts w:ascii="Book Antiqua" w:hAnsi="Book Antiqua" w:eastAsia="Book Antiqua" w:cs="Book Antiqua"/>
          <w:color w:val="000000"/>
        </w:rPr>
        <w:t xml:space="preserve">. Rarely, these vascular lesions show irregular anastomosing vascular spaces with prominent papillary formation lined by plump, pleomorphic endothelial cells with hyperchromatic nuclei [also known as </w:t>
      </w:r>
      <w:r>
        <w:rPr>
          <w:rFonts w:ascii="Book Antiqua" w:hAnsi="Book Antiqua" w:eastAsia="Book Antiqua" w:cs="Book Antiqua"/>
          <w:i/>
          <w:iCs/>
          <w:color w:val="000000"/>
        </w:rPr>
        <w:t>hepatic hemangioendothelioma type 2</w:t>
      </w:r>
      <w:r>
        <w:rPr>
          <w:rFonts w:ascii="Book Antiqua" w:hAnsi="Book Antiqua" w:eastAsia="Book Antiqua" w:cs="Book Antiqua"/>
          <w:color w:val="000000"/>
        </w:rPr>
        <w:t xml:space="preserve"> with intermediate histologic characteristics, by some reports considered as a low-grade angiosarcoma (</w:t>
      </w:r>
      <w:r>
        <w:rPr>
          <w:rFonts w:ascii="Book Antiqua" w:hAnsi="Book Antiqua" w:cs="Book Antiqua"/>
          <w:color w:val="000000"/>
          <w:lang w:eastAsia="zh-CN"/>
        </w:rPr>
        <w:t>Figure</w:t>
      </w:r>
      <w:r>
        <w:rPr>
          <w:rFonts w:ascii="Book Antiqua" w:hAnsi="Book Antiqua" w:eastAsia="Book Antiqua" w:cs="Book Antiqua"/>
          <w:color w:val="000000"/>
        </w:rPr>
        <w:t xml:space="preserve"> 1)]</w:t>
      </w:r>
      <w:r>
        <w:rPr>
          <w:rFonts w:ascii="Book Antiqua" w:hAnsi="Book Antiqua" w:eastAsia="Book Antiqua" w:cs="Book Antiqua"/>
          <w:color w:val="000000"/>
          <w:vertAlign w:val="superscript"/>
        </w:rPr>
        <w:t>[5,9,11,21]</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The interstitium of these lesions can contain nests of epithelioid endothelial cells, entrapped nests of liver cells, and bile duct epithelium</w:t>
      </w:r>
      <w:r>
        <w:rPr>
          <w:rFonts w:ascii="Book Antiqua" w:hAnsi="Book Antiqua" w:eastAsia="Book Antiqua" w:cs="Book Antiqua"/>
          <w:color w:val="000000"/>
          <w:vertAlign w:val="superscript"/>
        </w:rPr>
        <w:t>[9]</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When these atypical features are seen or when a lesion is persistent or present in an older child, follow-up is indicated, because of the potential of malignant transformation</w:t>
      </w:r>
      <w:r>
        <w:rPr>
          <w:rFonts w:ascii="Book Antiqua" w:hAnsi="Book Antiqua" w:eastAsia="Book Antiqua" w:cs="Book Antiqua"/>
          <w:color w:val="000000"/>
          <w:vertAlign w:val="superscript"/>
        </w:rPr>
        <w:t>[6,9]</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 xml:space="preserve">Multifocal and diffuse HIH show positive staining for GLUT-1, which correlates with a high cell-proliferation and distinguish them from other types of vascular liver tumors (Figure </w:t>
      </w:r>
      <w:r>
        <w:rPr>
          <w:rFonts w:ascii="Book Antiqua" w:hAnsi="Book Antiqua" w:cs="Book Antiqua"/>
          <w:color w:val="000000"/>
          <w:lang w:eastAsia="zh-CN"/>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[5,10,22]</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The endothelial cells are also positive for ERG, CD31, CD34 and factor VIII but do not express the lymphatic marker podoplanin [D2-40 (Figure </w:t>
      </w:r>
      <w:r>
        <w:rPr>
          <w:rFonts w:ascii="Book Antiqua" w:hAnsi="Book Antiqua" w:cs="Book Antiqua"/>
          <w:color w:val="000000"/>
          <w:lang w:eastAsia="zh-CN"/>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[5,15,21]</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There are several hypotheses for the pathophysiology of HIH and its cutaneous counterpart. Clinical observations suggested hypoxia as a trigger for infantile hemangioma (IH). Hypoxia may be due to maternal events as well as the infant’s own hypoxia-induced factors and is associated with GLUT-1, as GLUT-1 is a downstream target of hypoxia-inducible factor-1-alpha (HIF-1α), along with vascular endothelial growth factor A (VEGF</w:t>
      </w:r>
      <w:r>
        <w:rPr>
          <w:rFonts w:hint="eastAsia" w:ascii="宋体" w:hAnsi="宋体" w:eastAsia="宋体" w:cs="宋体"/>
          <w:color w:val="000000"/>
        </w:rPr>
        <w:t>‐</w:t>
      </w:r>
      <w:r>
        <w:rPr>
          <w:rFonts w:ascii="Book Antiqua" w:hAnsi="Book Antiqua" w:eastAsia="Book Antiqua" w:cs="Book Antiqua"/>
          <w:color w:val="000000"/>
        </w:rPr>
        <w:t>A) and insulin</w:t>
      </w:r>
      <w:r>
        <w:rPr>
          <w:rFonts w:hint="eastAsia" w:ascii="宋体" w:hAnsi="宋体" w:eastAsia="宋体" w:cs="宋体"/>
          <w:color w:val="000000"/>
        </w:rPr>
        <w:t>‐</w:t>
      </w:r>
      <w:r>
        <w:rPr>
          <w:rFonts w:ascii="Book Antiqua" w:hAnsi="Book Antiqua" w:eastAsia="Book Antiqua" w:cs="Book Antiqua"/>
          <w:color w:val="000000"/>
        </w:rPr>
        <w:t>like growth factor 2 (IGF</w:t>
      </w:r>
      <w:r>
        <w:rPr>
          <w:rFonts w:hint="eastAsia" w:ascii="宋体" w:hAnsi="宋体" w:eastAsia="宋体" w:cs="宋体"/>
          <w:color w:val="000000"/>
        </w:rPr>
        <w:t>‐</w:t>
      </w:r>
      <w:r>
        <w:rPr>
          <w:rFonts w:ascii="Book Antiqua" w:hAnsi="Book Antiqua" w:eastAsia="Book Antiqua" w:cs="Book Antiqua"/>
          <w:color w:val="000000"/>
        </w:rPr>
        <w:t>2). Also, the renin-angiotensin system (RAS) may play a role because high concentrations of angiotensin II (ATII), due to local expression of angiotensin-converting enzyme (ACE) in IH, stimulate cell proliferation. Further, IH expresses GLUT-1 and vascular antigens like Fc</w:t>
      </w:r>
      <w:r>
        <w:rPr>
          <w:rFonts w:hint="eastAsia" w:ascii="宋体" w:hAnsi="宋体" w:eastAsia="宋体" w:cs="宋体"/>
          <w:color w:val="000000"/>
        </w:rPr>
        <w:t>‐</w:t>
      </w:r>
      <w:r>
        <w:rPr>
          <w:rFonts w:ascii="Book Antiqua" w:hAnsi="Book Antiqua" w:eastAsia="Book Antiqua" w:cs="Book Antiqua"/>
          <w:color w:val="000000"/>
        </w:rPr>
        <w:t>gamma</w:t>
      </w:r>
      <w:r>
        <w:rPr>
          <w:rFonts w:hint="eastAsia" w:ascii="宋体" w:hAnsi="宋体" w:eastAsia="宋体" w:cs="宋体"/>
          <w:color w:val="000000"/>
        </w:rPr>
        <w:t>‐</w:t>
      </w:r>
      <w:r>
        <w:rPr>
          <w:rFonts w:ascii="Book Antiqua" w:hAnsi="Book Antiqua" w:eastAsia="Book Antiqua" w:cs="Book Antiqua"/>
          <w:color w:val="000000"/>
        </w:rPr>
        <w:t>receptor II, merosin, and Lewis Y antigen, which are also expressed in placental tissue. Another study found that IH endothelial cells share a similar immunophenotype (CD34 and CD133 positive) with embryonic veins, suggesting IH endothelial cells are arrested in an early stage of vascular differentiation</w:t>
      </w:r>
      <w:r>
        <w:rPr>
          <w:rFonts w:ascii="Book Antiqua" w:hAnsi="Book Antiqua" w:eastAsia="Book Antiqua" w:cs="Book Antiqua"/>
          <w:color w:val="000000"/>
          <w:vertAlign w:val="superscript"/>
        </w:rPr>
        <w:t>[23]</w:t>
      </w:r>
      <w:r>
        <w:rPr>
          <w:rFonts w:ascii="Book Antiqua" w:hAnsi="Book Antiqua" w:eastAsia="Book Antiqua" w:cs="Book Antiqua"/>
          <w:color w:val="000000"/>
        </w:rPr>
        <w:t xml:space="preserve">. Further, Takahashi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[24]</w:t>
      </w:r>
      <w:r>
        <w:rPr>
          <w:rFonts w:ascii="Book Antiqua" w:hAnsi="Book Antiqua" w:eastAsia="Book Antiqua" w:cs="Book Antiqua"/>
          <w:color w:val="000000"/>
        </w:rPr>
        <w:t xml:space="preserve"> observed an imbalance of vasculogenic factors in IH. During the proliferating phase, IH shows a high expression off type IV collagenase and vascular endothelial growth factor (VEGF) and when involuting there is an increase in tissue metalloproteinases, inhibiting new vessel formation.</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Moreover, Walter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[25]</w:t>
      </w:r>
      <w:r>
        <w:rPr>
          <w:rFonts w:ascii="Book Antiqua" w:hAnsi="Book Antiqua" w:eastAsia="Book Antiqua" w:cs="Book Antiqua"/>
          <w:color w:val="000000"/>
        </w:rPr>
        <w:t xml:space="preserve"> showed allelic loss after methylation</w:t>
      </w:r>
      <w:r>
        <w:rPr>
          <w:rFonts w:hint="eastAsia" w:ascii="宋体" w:hAnsi="宋体" w:eastAsia="宋体" w:cs="宋体"/>
          <w:color w:val="000000"/>
        </w:rPr>
        <w:t>‐</w:t>
      </w:r>
      <w:r>
        <w:rPr>
          <w:rFonts w:ascii="Book Antiqua" w:hAnsi="Book Antiqua" w:eastAsia="Book Antiqua" w:cs="Book Antiqua"/>
          <w:color w:val="000000"/>
        </w:rPr>
        <w:t>based and transcription</w:t>
      </w:r>
      <w:r>
        <w:rPr>
          <w:rFonts w:hint="eastAsia" w:ascii="宋体" w:hAnsi="宋体" w:eastAsia="宋体" w:cs="宋体"/>
          <w:color w:val="000000"/>
        </w:rPr>
        <w:t>‐</w:t>
      </w:r>
      <w:r>
        <w:rPr>
          <w:rFonts w:ascii="Book Antiqua" w:hAnsi="Book Antiqua" w:eastAsia="Book Antiqua" w:cs="Book Antiqua"/>
          <w:color w:val="000000"/>
        </w:rPr>
        <w:t>based polymerase chain reaction clonality assays, suggesting a nonrandom X</w:t>
      </w:r>
      <w:r>
        <w:rPr>
          <w:rFonts w:hint="eastAsia" w:ascii="宋体" w:hAnsi="宋体" w:eastAsia="宋体" w:cs="宋体"/>
          <w:color w:val="000000"/>
        </w:rPr>
        <w:t>‐</w:t>
      </w:r>
      <w:r>
        <w:rPr>
          <w:rFonts w:ascii="Book Antiqua" w:hAnsi="Book Antiqua" w:eastAsia="Book Antiqua" w:cs="Book Antiqua"/>
          <w:color w:val="000000"/>
        </w:rPr>
        <w:t xml:space="preserve">inactivation pattern and, thus, a monoclonal origin of IH. In addition, they found 2 cases of IH with a missense mutation, one in the kinase domain of the </w:t>
      </w:r>
      <w:r>
        <w:rPr>
          <w:rFonts w:ascii="Book Antiqua" w:hAnsi="Book Antiqua" w:eastAsia="Book Antiqua" w:cs="Book Antiqua"/>
          <w:i/>
          <w:iCs/>
          <w:color w:val="000000"/>
        </w:rPr>
        <w:t>vascular endothelial growth factor receptor</w:t>
      </w:r>
      <w:r>
        <w:rPr>
          <w:rFonts w:ascii="Book Antiqua" w:hAnsi="Book Antiqua" w:eastAsia="Book Antiqua" w:cs="Book Antiqua"/>
          <w:color w:val="000000"/>
        </w:rPr>
        <w:t xml:space="preserve"> (</w:t>
      </w:r>
      <w:r>
        <w:rPr>
          <w:rFonts w:ascii="Book Antiqua" w:hAnsi="Book Antiqua" w:eastAsia="Book Antiqua" w:cs="Book Antiqua"/>
          <w:i/>
          <w:iCs/>
          <w:color w:val="000000"/>
        </w:rPr>
        <w:t>VEGFR2</w:t>
      </w:r>
      <w:r>
        <w:rPr>
          <w:rFonts w:ascii="Book Antiqua" w:hAnsi="Book Antiqua" w:eastAsia="Book Antiqua" w:cs="Book Antiqua"/>
          <w:color w:val="000000"/>
        </w:rPr>
        <w:t xml:space="preserve">) gene and one in the kinase insert of the </w:t>
      </w:r>
      <w:r>
        <w:rPr>
          <w:rFonts w:ascii="Book Antiqua" w:hAnsi="Book Antiqua" w:eastAsia="Book Antiqua" w:cs="Book Antiqua"/>
          <w:i/>
          <w:iCs/>
          <w:color w:val="000000"/>
        </w:rPr>
        <w:t>VEGFR3</w:t>
      </w:r>
      <w:r>
        <w:rPr>
          <w:rFonts w:ascii="Book Antiqua" w:hAnsi="Book Antiqua" w:eastAsia="Book Antiqua" w:cs="Book Antiqua"/>
          <w:color w:val="000000"/>
        </w:rPr>
        <w:t xml:space="preserve"> gene. These observations all suggest an alteration in the VEGF signaling pathway in IH.</w:t>
      </w:r>
    </w:p>
    <w:p>
      <w:pPr>
        <w:spacing w:line="360" w:lineRule="auto"/>
        <w:ind w:firstLine="480"/>
        <w:jc w:val="both"/>
        <w:rPr>
          <w:rFonts w:ascii="Book Antiqua" w:hAnsi="Book Antiqua"/>
        </w:rPr>
      </w:pPr>
    </w:p>
    <w:p>
      <w:pPr>
        <w:spacing w:line="360" w:lineRule="auto"/>
        <w:jc w:val="both"/>
        <w:rPr>
          <w:rFonts w:ascii="Book Antiqua" w:hAnsi="Book Antiqua"/>
        </w:rPr>
      </w:pPr>
      <w:bookmarkStart w:id="5" w:name="OLE_LINK591"/>
      <w:bookmarkStart w:id="6" w:name="OLE_LINK590"/>
      <w:r>
        <w:rPr>
          <w:rFonts w:ascii="Book Antiqua" w:hAnsi="Book Antiqua" w:eastAsia="Book Antiqua" w:cs="Book Antiqua"/>
          <w:b/>
          <w:bCs/>
          <w:caps/>
          <w:color w:val="000000"/>
          <w:u w:val="single"/>
        </w:rPr>
        <w:t>Epithelioid hemangioendothelioma</w:t>
      </w:r>
    </w:p>
    <w:bookmarkEnd w:id="5"/>
    <w:bookmarkEnd w:id="6"/>
    <w:p>
      <w:pPr>
        <w:spacing w:line="360" w:lineRule="auto"/>
        <w:jc w:val="both"/>
        <w:rPr>
          <w:rFonts w:ascii="Book Antiqua" w:hAnsi="Book Antiqua"/>
        </w:rPr>
      </w:pPr>
      <w:r>
        <w:rPr>
          <w:rFonts w:ascii="Book Antiqua" w:hAnsi="Book Antiqua" w:eastAsia="Book Antiqua" w:cs="Book Antiqua"/>
          <w:color w:val="000000"/>
        </w:rPr>
        <w:t>Epithelioid hemangioendothelioma (EHE) is a rare malignant vascular tumor, which can occur anywhere in the body but typically arises in liver and lung</w:t>
      </w:r>
      <w:r>
        <w:rPr>
          <w:rFonts w:ascii="Book Antiqua" w:hAnsi="Book Antiqua" w:eastAsia="Book Antiqua" w:cs="Book Antiqua"/>
          <w:color w:val="000000"/>
          <w:vertAlign w:val="superscript"/>
        </w:rPr>
        <w:t>[4,26]</w:t>
      </w:r>
      <w:r>
        <w:rPr>
          <w:rFonts w:ascii="Book Antiqua" w:hAnsi="Book Antiqua" w:eastAsia="Book Antiqua" w:cs="Book Antiqua"/>
          <w:color w:val="000000"/>
        </w:rPr>
        <w:t>. It is mostly seen in adults, but can be diagnosed in children (estimated prevalence of 1/1000000, mean age 13,8 years)</w:t>
      </w:r>
      <w:r>
        <w:rPr>
          <w:rFonts w:ascii="Book Antiqua" w:hAnsi="Book Antiqua" w:eastAsia="Book Antiqua" w:cs="Book Antiqua"/>
          <w:color w:val="000000"/>
          <w:vertAlign w:val="superscript"/>
        </w:rPr>
        <w:t>[27]</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Hepatic EHEs show a more aggressive course than when arising in bone/soft tissue and are mostly multifocal. Hepatic EHE presents in most cases as a tumoral mass and has an unpredictable clinical course. It may be indolent, stable or aggressive</w:t>
      </w:r>
      <w:r>
        <w:rPr>
          <w:rFonts w:ascii="Book Antiqua" w:hAnsi="Book Antiqua" w:eastAsia="Book Antiqua" w:cs="Book Antiqua"/>
          <w:color w:val="000000"/>
          <w:vertAlign w:val="superscript"/>
        </w:rPr>
        <w:t>[26,27]</w:t>
      </w:r>
      <w:r>
        <w:rPr>
          <w:rFonts w:ascii="Book Antiqua" w:hAnsi="Book Antiqua" w:eastAsia="Book Antiqua" w:cs="Book Antiqua"/>
          <w:color w:val="000000"/>
        </w:rPr>
        <w:t>. Size &gt; 3 cm and high mitotic index (&gt; 3 mitoses/50 HPF) are poor prognostic factors in elderly</w:t>
      </w:r>
      <w:r>
        <w:rPr>
          <w:rFonts w:ascii="Book Antiqua" w:hAnsi="Book Antiqua" w:eastAsia="Book Antiqua" w:cs="Book Antiqua"/>
          <w:color w:val="000000"/>
          <w:vertAlign w:val="superscript"/>
        </w:rPr>
        <w:t>[26]</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EHEs appear macroscopically as solid, white lesions with some hemorrhagic changes</w:t>
      </w:r>
      <w:r>
        <w:rPr>
          <w:rFonts w:ascii="Book Antiqua" w:hAnsi="Book Antiqua" w:eastAsia="Book Antiqua" w:cs="Book Antiqua"/>
          <w:color w:val="000000"/>
          <w:vertAlign w:val="superscript"/>
        </w:rPr>
        <w:t>[20]</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Histologically (Figure </w:t>
      </w:r>
      <w:r>
        <w:rPr>
          <w:rFonts w:ascii="Book Antiqua" w:hAnsi="Book Antiqua" w:cs="Book Antiqua"/>
          <w:color w:val="000000"/>
          <w:lang w:eastAsia="zh-CN"/>
        </w:rPr>
        <w:t>6</w:t>
      </w:r>
      <w:r>
        <w:rPr>
          <w:rFonts w:ascii="Book Antiqua" w:hAnsi="Book Antiqua" w:eastAsia="Book Antiqua" w:cs="Book Antiqua"/>
          <w:color w:val="000000"/>
        </w:rPr>
        <w:t>), EHEs are relatively distinctive from the normal liver parenchyma and are composed of nests, cords, strands or single infiltrative epithelioid cells set in a myxohyaline stroma. The cells in HEH are epithelioid with eosinophilic cytoplasm and frequently show intracytoplasmic vacuoles (so-called “blister cells”)</w:t>
      </w:r>
      <w:r>
        <w:rPr>
          <w:rFonts w:ascii="Book Antiqua" w:hAnsi="Book Antiqua" w:eastAsia="Book Antiqua" w:cs="Book Antiqua"/>
          <w:color w:val="000000"/>
          <w:vertAlign w:val="superscript"/>
        </w:rPr>
        <w:t>[20,28]</w:t>
      </w:r>
      <w:r>
        <w:rPr>
          <w:rFonts w:ascii="Book Antiqua" w:hAnsi="Book Antiqua" w:eastAsia="Book Antiqua" w:cs="Book Antiqua"/>
          <w:color w:val="000000"/>
        </w:rPr>
        <w:t xml:space="preserve">. Occasionally, there are tufts or papillary projections into the vessels. A subset of EHE shows histologic overlap with hepatic angiosarcoma (HA) containing necrosis or moderate to severe cytonuclear atypia (with large hyperchromatic cells), without the typical myxoid stromal component. In this setting, the distinction between EHE and HA can be difficult for a pathologist, especially in small liver biopsies. Usually EHE shows nuclear calmodulin-binding transcription activator1 (CAMTA1) expression, which can be very helpful in the differential diagnosis with HA since this is a highly specific and sensitive marker for EHE with a CAMTA1 rearrangement (Figure </w:t>
      </w:r>
      <w:r>
        <w:rPr>
          <w:rFonts w:ascii="Book Antiqua" w:hAnsi="Book Antiqua" w:cs="Book Antiqua"/>
          <w:color w:val="000000"/>
          <w:lang w:eastAsia="zh-CN"/>
        </w:rPr>
        <w:t>6</w:t>
      </w:r>
      <w:r>
        <w:rPr>
          <w:rFonts w:ascii="Book Antiqua" w:hAnsi="Book Antiqua" w:eastAsia="Book Antiqua" w:cs="Book Antiqua"/>
          <w:color w:val="000000"/>
        </w:rPr>
        <w:t>)</w:t>
      </w:r>
      <w:r>
        <w:rPr>
          <w:rFonts w:ascii="Book Antiqua" w:hAnsi="Book Antiqua" w:eastAsia="Book Antiqua" w:cs="Book Antiqua"/>
          <w:color w:val="000000"/>
          <w:vertAlign w:val="superscript"/>
        </w:rPr>
        <w:t>[28]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EHE also stains for ERG, CD31, CD34, factor VIII and podoplanin (D2-40)</w:t>
      </w:r>
      <w:r>
        <w:rPr>
          <w:rFonts w:ascii="Book Antiqua" w:hAnsi="Book Antiqua" w:eastAsia="Book Antiqua" w:cs="Book Antiqua"/>
          <w:color w:val="000000"/>
          <w:vertAlign w:val="superscript"/>
        </w:rPr>
        <w:t>[15,20,28]</w:t>
      </w:r>
      <w:r>
        <w:rPr>
          <w:rFonts w:ascii="Book Antiqua" w:hAnsi="Book Antiqua" w:eastAsia="Book Antiqua" w:cs="Book Antiqua"/>
          <w:color w:val="000000"/>
        </w:rPr>
        <w:t xml:space="preserve">. Nuclear positivity for transcription factor E3 (TFE3) is seen in most cases of EHE, irrespective of an underlying </w:t>
      </w:r>
      <w:r>
        <w:rPr>
          <w:rFonts w:ascii="Book Antiqua" w:hAnsi="Book Antiqua" w:eastAsia="Book Antiqua" w:cs="Book Antiqua"/>
          <w:i/>
          <w:iCs/>
          <w:color w:val="000000"/>
        </w:rPr>
        <w:t>TFE3</w:t>
      </w:r>
      <w:r>
        <w:rPr>
          <w:rFonts w:ascii="Book Antiqua" w:hAnsi="Book Antiqua" w:eastAsia="Book Antiqua" w:cs="Book Antiqua"/>
          <w:color w:val="000000"/>
        </w:rPr>
        <w:t xml:space="preserve"> rearrangement</w:t>
      </w:r>
      <w:r>
        <w:rPr>
          <w:rFonts w:ascii="Book Antiqua" w:hAnsi="Book Antiqua" w:eastAsia="Book Antiqua" w:cs="Book Antiqua"/>
          <w:color w:val="000000"/>
          <w:vertAlign w:val="superscript"/>
        </w:rPr>
        <w:t>[20,28]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A small subset of EHE expresses pan-cytokeratin or cytokeratin 8/18 (CK8/18)</w:t>
      </w:r>
      <w:r>
        <w:rPr>
          <w:rFonts w:ascii="Book Antiqua" w:hAnsi="Book Antiqua" w:eastAsia="Book Antiqua" w:cs="Book Antiqua"/>
          <w:color w:val="000000"/>
          <w:vertAlign w:val="superscript"/>
        </w:rPr>
        <w:t>[20]</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Most of the EHEs are characterized by chromosomal translocations involving 1p36.3 and 3q25 resulting in WW domain-containing transcription regulator1 (</w:t>
      </w:r>
      <w:r>
        <w:rPr>
          <w:rFonts w:ascii="Book Antiqua" w:hAnsi="Book Antiqua" w:eastAsia="Book Antiqua" w:cs="Book Antiqua"/>
          <w:i/>
          <w:iCs/>
          <w:color w:val="000000"/>
        </w:rPr>
        <w:t>WWTR1</w:t>
      </w:r>
      <w:r>
        <w:rPr>
          <w:rFonts w:ascii="Book Antiqua" w:hAnsi="Book Antiqua" w:eastAsia="Book Antiqua" w:cs="Book Antiqua"/>
          <w:color w:val="000000"/>
        </w:rPr>
        <w:t xml:space="preserve">, also known as </w:t>
      </w:r>
      <w:r>
        <w:rPr>
          <w:rFonts w:ascii="Book Antiqua" w:hAnsi="Book Antiqua" w:eastAsia="Book Antiqua" w:cs="Book Antiqua"/>
          <w:i/>
          <w:iCs/>
          <w:color w:val="000000"/>
        </w:rPr>
        <w:t>TAZ</w:t>
      </w:r>
      <w:r>
        <w:rPr>
          <w:rFonts w:ascii="Book Antiqua" w:hAnsi="Book Antiqua" w:eastAsia="Book Antiqua" w:cs="Book Antiqua"/>
          <w:color w:val="000000"/>
        </w:rPr>
        <w:t xml:space="preserve">) – </w:t>
      </w:r>
      <w:r>
        <w:rPr>
          <w:rFonts w:ascii="Book Antiqua" w:hAnsi="Book Antiqua" w:eastAsia="Book Antiqua" w:cs="Book Antiqua"/>
          <w:i/>
          <w:iCs/>
          <w:color w:val="000000"/>
        </w:rPr>
        <w:t>CAMTA1</w:t>
      </w:r>
      <w:r>
        <w:rPr>
          <w:rFonts w:ascii="Book Antiqua" w:hAnsi="Book Antiqua" w:eastAsia="Book Antiqua" w:cs="Book Antiqua"/>
          <w:color w:val="000000"/>
        </w:rPr>
        <w:t xml:space="preserve"> fusion genes. A small subset shows Yes-associated protein 1(</w:t>
      </w:r>
      <w:r>
        <w:rPr>
          <w:rFonts w:ascii="Book Antiqua" w:hAnsi="Book Antiqua" w:eastAsia="Book Antiqua" w:cs="Book Antiqua"/>
          <w:i/>
          <w:iCs/>
          <w:color w:val="000000"/>
        </w:rPr>
        <w:t>YAP1</w:t>
      </w:r>
      <w:r>
        <w:rPr>
          <w:rFonts w:ascii="Book Antiqua" w:hAnsi="Book Antiqua" w:eastAsia="Book Antiqua" w:cs="Book Antiqua"/>
          <w:color w:val="000000"/>
        </w:rPr>
        <w:t>)-</w:t>
      </w:r>
      <w:r>
        <w:rPr>
          <w:rFonts w:ascii="Book Antiqua" w:hAnsi="Book Antiqua" w:eastAsia="Book Antiqua" w:cs="Book Antiqua"/>
          <w:i/>
          <w:iCs/>
          <w:color w:val="000000"/>
        </w:rPr>
        <w:t>TFE3</w:t>
      </w:r>
      <w:r>
        <w:rPr>
          <w:rFonts w:ascii="Book Antiqua" w:hAnsi="Book Antiqua" w:eastAsia="Book Antiqua" w:cs="Book Antiqua"/>
          <w:color w:val="000000"/>
        </w:rPr>
        <w:t xml:space="preserve"> gene fusions</w:t>
      </w:r>
      <w:r>
        <w:rPr>
          <w:rFonts w:ascii="Book Antiqua" w:hAnsi="Book Antiqua" w:eastAsia="Book Antiqua" w:cs="Book Antiqua"/>
          <w:color w:val="000000"/>
          <w:vertAlign w:val="superscript"/>
        </w:rPr>
        <w:t>[26,28]</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i/>
          <w:iCs/>
          <w:color w:val="000000"/>
        </w:rPr>
        <w:t>TAZ</w:t>
      </w:r>
      <w:r>
        <w:rPr>
          <w:rFonts w:ascii="Book Antiqua" w:hAnsi="Book Antiqua" w:eastAsia="Book Antiqua" w:cs="Book Antiqua"/>
          <w:color w:val="000000"/>
        </w:rPr>
        <w:t xml:space="preserve"> and </w:t>
      </w:r>
      <w:r>
        <w:rPr>
          <w:rFonts w:ascii="Book Antiqua" w:hAnsi="Book Antiqua" w:eastAsia="Book Antiqua" w:cs="Book Antiqua"/>
          <w:i/>
          <w:iCs/>
          <w:color w:val="000000"/>
        </w:rPr>
        <w:t>YAP</w:t>
      </w:r>
      <w:r>
        <w:rPr>
          <w:rFonts w:ascii="Book Antiqua" w:hAnsi="Book Antiqua" w:eastAsia="Book Antiqua" w:cs="Book Antiqua"/>
          <w:color w:val="000000"/>
        </w:rPr>
        <w:t xml:space="preserve"> are transcriptional coactivators and effectors, which are downregulated by the Hippo tumor suppressor pathway. </w:t>
      </w:r>
      <w:r>
        <w:rPr>
          <w:rFonts w:ascii="Book Antiqua" w:hAnsi="Book Antiqua" w:eastAsia="Book Antiqua" w:cs="Book Antiqua"/>
          <w:i/>
          <w:iCs/>
          <w:color w:val="000000"/>
        </w:rPr>
        <w:t>WWTR1</w:t>
      </w:r>
      <w:r>
        <w:rPr>
          <w:rFonts w:ascii="Book Antiqua" w:hAnsi="Book Antiqua" w:eastAsia="Book Antiqua" w:cs="Book Antiqua"/>
          <w:color w:val="000000"/>
        </w:rPr>
        <w:t>-</w:t>
      </w:r>
      <w:r>
        <w:rPr>
          <w:rFonts w:ascii="Book Antiqua" w:hAnsi="Book Antiqua" w:eastAsia="Book Antiqua" w:cs="Book Antiqua"/>
          <w:i/>
          <w:iCs/>
          <w:color w:val="000000"/>
        </w:rPr>
        <w:t>CAMTA1</w:t>
      </w:r>
      <w:r>
        <w:rPr>
          <w:rFonts w:ascii="Book Antiqua" w:hAnsi="Book Antiqua" w:eastAsia="Book Antiqua" w:cs="Book Antiqua"/>
          <w:color w:val="000000"/>
        </w:rPr>
        <w:t xml:space="preserve"> fusion genes therefore induce oncogenic transformation due to constitutive nuclear localization and activation of </w:t>
      </w:r>
      <w:r>
        <w:rPr>
          <w:rFonts w:ascii="Book Antiqua" w:hAnsi="Book Antiqua" w:eastAsia="Book Antiqua" w:cs="Book Antiqua"/>
          <w:i/>
          <w:iCs/>
          <w:color w:val="000000"/>
        </w:rPr>
        <w:t>TAZ</w:t>
      </w:r>
      <w:r>
        <w:rPr>
          <w:rFonts w:ascii="Book Antiqua" w:hAnsi="Book Antiqua" w:eastAsia="Book Antiqua" w:cs="Book Antiqua"/>
          <w:color w:val="000000"/>
        </w:rPr>
        <w:t xml:space="preserve"> independent of the Hippo pathway</w:t>
      </w:r>
      <w:r>
        <w:rPr>
          <w:rFonts w:ascii="Book Antiqua" w:hAnsi="Book Antiqua" w:eastAsia="Book Antiqua" w:cs="Book Antiqua"/>
          <w:color w:val="000000"/>
          <w:vertAlign w:val="superscript"/>
        </w:rPr>
        <w:t>[26]</w:t>
      </w:r>
      <w:r>
        <w:rPr>
          <w:rFonts w:ascii="Book Antiqua" w:hAnsi="Book Antiqua" w:eastAsia="Book Antiqua" w:cs="Book Antiqua"/>
          <w:color w:val="000000"/>
        </w:rPr>
        <w:t xml:space="preserve">. </w:t>
      </w:r>
    </w:p>
    <w:p>
      <w:pPr>
        <w:spacing w:line="360" w:lineRule="auto"/>
        <w:ind w:firstLine="480"/>
        <w:jc w:val="both"/>
        <w:rPr>
          <w:rFonts w:ascii="Book Antiqua" w:hAnsi="Book Antiqua"/>
        </w:rPr>
      </w:pPr>
    </w:p>
    <w:p>
      <w:pPr>
        <w:spacing w:line="360" w:lineRule="auto"/>
        <w:jc w:val="both"/>
        <w:rPr>
          <w:rFonts w:ascii="Book Antiqua" w:hAnsi="Book Antiqua"/>
        </w:rPr>
      </w:pPr>
      <w:bookmarkStart w:id="7" w:name="OLE_LINK593"/>
      <w:bookmarkStart w:id="8" w:name="OLE_LINK592"/>
      <w:r>
        <w:rPr>
          <w:rFonts w:ascii="Book Antiqua" w:hAnsi="Book Antiqua" w:eastAsia="Book Antiqua" w:cs="Book Antiqua"/>
          <w:b/>
          <w:bCs/>
          <w:caps/>
          <w:color w:val="000000"/>
          <w:u w:val="single"/>
        </w:rPr>
        <w:t>Hepatic angiosarcoma</w:t>
      </w:r>
    </w:p>
    <w:bookmarkEnd w:id="7"/>
    <w:bookmarkEnd w:id="8"/>
    <w:p>
      <w:pPr>
        <w:spacing w:line="360" w:lineRule="auto"/>
        <w:jc w:val="both"/>
        <w:rPr>
          <w:rFonts w:ascii="Book Antiqua" w:hAnsi="Book Antiqua"/>
        </w:rPr>
      </w:pPr>
      <w:r>
        <w:rPr>
          <w:rFonts w:ascii="Book Antiqua" w:hAnsi="Book Antiqua" w:eastAsia="Book Antiqua" w:cs="Book Antiqua"/>
          <w:color w:val="000000"/>
        </w:rPr>
        <w:t>Hepatic angiosarcoma (HA) is a rare high-grade malignant vascular tumor that occurs mostly in elderly</w:t>
      </w:r>
      <w:r>
        <w:rPr>
          <w:rFonts w:ascii="Book Antiqua" w:hAnsi="Book Antiqua" w:eastAsia="Book Antiqua" w:cs="Book Antiqua"/>
          <w:color w:val="000000"/>
          <w:vertAlign w:val="superscript"/>
        </w:rPr>
        <w:t>[5,29,30]</w:t>
      </w:r>
      <w:r>
        <w:rPr>
          <w:rFonts w:ascii="Book Antiqua" w:hAnsi="Book Antiqua" w:eastAsia="Book Antiqua" w:cs="Book Antiqua"/>
          <w:color w:val="000000"/>
        </w:rPr>
        <w:t>. Seldom they occur in children and the majority of pediatric angiosarcoma cases arises in the heart/pericardium and mediastinum</w:t>
      </w:r>
      <w:r>
        <w:rPr>
          <w:rFonts w:ascii="Book Antiqua" w:hAnsi="Book Antiqua" w:eastAsia="Book Antiqua" w:cs="Book Antiqua"/>
          <w:color w:val="000000"/>
          <w:vertAlign w:val="superscript"/>
        </w:rPr>
        <w:t>[29]</w:t>
      </w:r>
      <w:r>
        <w:rPr>
          <w:rFonts w:ascii="Book Antiqua" w:hAnsi="Book Antiqua" w:eastAsia="Book Antiqua" w:cs="Book Antiqua"/>
          <w:color w:val="000000"/>
        </w:rPr>
        <w:t>. When occurring in the liver angiosarcoma presents as a rapid enlargement of the liver associated with jaundice, abdominal pain, vomiting, fever, tachypnea, dyspnea and anemia</w:t>
      </w:r>
      <w:r>
        <w:rPr>
          <w:rFonts w:ascii="Book Antiqua" w:hAnsi="Book Antiqua" w:eastAsia="Book Antiqua" w:cs="Book Antiqua"/>
          <w:color w:val="000000"/>
          <w:vertAlign w:val="superscript"/>
        </w:rPr>
        <w:t>[30]</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Consumptive coagulopathy, disseminated intravascular coagulation and congestive heart failure are known complications</w:t>
      </w:r>
      <w:r>
        <w:rPr>
          <w:rFonts w:ascii="Book Antiqua" w:hAnsi="Book Antiqua" w:eastAsia="Book Antiqua" w:cs="Book Antiqua"/>
          <w:color w:val="000000"/>
          <w:vertAlign w:val="superscript"/>
        </w:rPr>
        <w:t>[31]</w:t>
      </w:r>
      <w:r>
        <w:rPr>
          <w:rFonts w:ascii="Book Antiqua" w:hAnsi="Book Antiqua" w:eastAsia="Book Antiqua" w:cs="Book Antiqua"/>
          <w:color w:val="000000"/>
        </w:rPr>
        <w:t>. In children HA has a female predominance and occurs mostly around 40 mo. It represents 1%-2% of all pediatric liver tumors and has the potential to metastasize, even at the onset of the disease. Metastasis is commonly found in the lungs</w:t>
      </w:r>
      <w:r>
        <w:rPr>
          <w:rFonts w:ascii="Book Antiqua" w:hAnsi="Book Antiqua" w:eastAsia="Book Antiqua" w:cs="Book Antiqua"/>
          <w:color w:val="000000"/>
          <w:vertAlign w:val="superscript"/>
        </w:rPr>
        <w:t>[30,32]</w:t>
      </w:r>
      <w:r>
        <w:rPr>
          <w:rFonts w:ascii="Book Antiqua" w:hAnsi="Book Antiqua" w:eastAsia="Book Antiqua" w:cs="Book Antiqua"/>
          <w:color w:val="000000"/>
        </w:rPr>
        <w:t>. HA can occur in the background of a HIH or can develop 4 to 5 years after primary diagnosis of HIH. Therefore, HIH in patients older than 1 year, should be followed carefully</w:t>
      </w:r>
      <w:r>
        <w:rPr>
          <w:rFonts w:ascii="Book Antiqua" w:hAnsi="Book Antiqua" w:eastAsia="Book Antiqua" w:cs="Book Antiqua"/>
          <w:color w:val="000000"/>
          <w:vertAlign w:val="superscript"/>
        </w:rPr>
        <w:t>[30]</w:t>
      </w:r>
      <w:r>
        <w:rPr>
          <w:rFonts w:ascii="Book Antiqua" w:hAnsi="Book Antiqua" w:eastAsia="Book Antiqua" w:cs="Book Antiqua"/>
          <w:color w:val="000000"/>
        </w:rPr>
        <w:t>. Also, in the past, several chemical carcinogens, including vinyl chloride monomer (VCM), thorotrast, radium and arsenic, have been associated with HA formation</w:t>
      </w:r>
      <w:r>
        <w:rPr>
          <w:rFonts w:ascii="Book Antiqua" w:hAnsi="Book Antiqua" w:eastAsia="Book Antiqua" w:cs="Book Antiqua"/>
          <w:color w:val="000000"/>
          <w:vertAlign w:val="superscript"/>
        </w:rPr>
        <w:t>[33,34]</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Pediatric HA has a poor prognosis with an average survival of 16 mo and a 5-year overall survival of 20%-35%</w:t>
      </w:r>
      <w:r>
        <w:rPr>
          <w:rFonts w:ascii="Book Antiqua" w:hAnsi="Book Antiqua" w:eastAsia="Book Antiqua" w:cs="Book Antiqua"/>
          <w:color w:val="000000"/>
          <w:vertAlign w:val="superscript"/>
        </w:rPr>
        <w:t>[30,32]</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Diagnosis of a HA can be really challenging, as it is an extremely rare tumor and there are no specific radiographic characteristics that differentiate malignant vascular hepatic tumors from benign ones</w:t>
      </w:r>
      <w:r>
        <w:rPr>
          <w:rFonts w:ascii="Book Antiqua" w:hAnsi="Book Antiqua" w:eastAsia="Book Antiqua" w:cs="Book Antiqua"/>
          <w:color w:val="000000"/>
          <w:vertAlign w:val="superscript"/>
        </w:rPr>
        <w:t>[33,35]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Histologic diagnosis can only be obtained by adequate and representative tissue biopsies, received by laparotomy</w:t>
      </w:r>
      <w:r>
        <w:rPr>
          <w:rFonts w:ascii="Book Antiqua" w:hAnsi="Book Antiqua" w:eastAsia="Book Antiqua" w:cs="Book Antiqua"/>
          <w:color w:val="000000"/>
          <w:vertAlign w:val="superscript"/>
        </w:rPr>
        <w:t>[35]</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 xml:space="preserve">Macroscopically, HA presents as a large solitary mass, or as multiple or diffuse nodules in the centre and periphery of the liver. Often sponge-like hemorrhagic areas alternate with solid gray-white nodules, surrounded by normal liver parenchyma (Figure </w:t>
      </w:r>
      <w:r>
        <w:rPr>
          <w:rFonts w:ascii="Book Antiqua" w:hAnsi="Book Antiqua" w:cs="Book Antiqua"/>
          <w:color w:val="000000"/>
          <w:lang w:eastAsia="zh-CN"/>
        </w:rPr>
        <w:t>7</w:t>
      </w:r>
      <w:r>
        <w:rPr>
          <w:rFonts w:ascii="Book Antiqua" w:hAnsi="Book Antiqua" w:eastAsia="Book Antiqua" w:cs="Book Antiqua"/>
          <w:color w:val="000000"/>
        </w:rPr>
        <w:t>)</w:t>
      </w:r>
      <w:r>
        <w:rPr>
          <w:rFonts w:ascii="Book Antiqua" w:hAnsi="Book Antiqua" w:eastAsia="Book Antiqua" w:cs="Book Antiqua"/>
          <w:color w:val="000000"/>
          <w:vertAlign w:val="superscript"/>
        </w:rPr>
        <w:t>[31,36]</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Commonly, both liver lobes are affected</w:t>
      </w:r>
      <w:r>
        <w:rPr>
          <w:rFonts w:ascii="Book Antiqua" w:hAnsi="Book Antiqua" w:eastAsia="Book Antiqua" w:cs="Book Antiqua"/>
          <w:color w:val="000000"/>
          <w:vertAlign w:val="superscript"/>
        </w:rPr>
        <w:t>[35,36]</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Histologically (Figure</w:t>
      </w:r>
      <w:r>
        <w:rPr>
          <w:rFonts w:hint="eastAsia" w:ascii="Book Antiqua" w:hAnsi="Book Antiqua" w:cs="Book Antiqua"/>
          <w:color w:val="000000"/>
          <w:lang w:eastAsia="zh-CN"/>
        </w:rPr>
        <w:t>s</w:t>
      </w:r>
      <w:r>
        <w:rPr>
          <w:rFonts w:ascii="Book Antiqua" w:hAnsi="Book Antiqua" w:eastAsia="Book Antiqua" w:cs="Book Antiqua"/>
          <w:color w:val="000000"/>
        </w:rPr>
        <w:t xml:space="preserve"> </w:t>
      </w:r>
      <w:r>
        <w:rPr>
          <w:rFonts w:ascii="Book Antiqua" w:hAnsi="Book Antiqua" w:cs="Book Antiqua"/>
          <w:color w:val="000000"/>
          <w:lang w:eastAsia="zh-CN"/>
        </w:rPr>
        <w:t>8</w:t>
      </w:r>
      <w:r>
        <w:rPr>
          <w:rFonts w:hint="eastAsia" w:ascii="Book Antiqua" w:hAnsi="Book Antiqua" w:cs="Book Antiqua"/>
          <w:color w:val="000000"/>
          <w:lang w:eastAsia="zh-CN"/>
        </w:rPr>
        <w:t xml:space="preserve"> and 9</w:t>
      </w:r>
      <w:r>
        <w:rPr>
          <w:rFonts w:ascii="Book Antiqua" w:hAnsi="Book Antiqua" w:eastAsia="Book Antiqua" w:cs="Book Antiqua"/>
          <w:color w:val="000000"/>
        </w:rPr>
        <w:t>), HA shows an unencapsulated vascular tumoral lesion composed of anastomosing vascular spaces and sinusoids lined by endothelial cells with marked cytological atypia and multilayering</w:t>
      </w:r>
      <w:r>
        <w:rPr>
          <w:rFonts w:ascii="Book Antiqua" w:hAnsi="Book Antiqua" w:eastAsia="Book Antiqua" w:cs="Book Antiqua"/>
          <w:color w:val="000000"/>
          <w:vertAlign w:val="superscript"/>
        </w:rPr>
        <w:t>[29,31,33,35]</w:t>
      </w:r>
      <w:r>
        <w:rPr>
          <w:rFonts w:ascii="Book Antiqua" w:hAnsi="Book Antiqua" w:eastAsia="Book Antiqua" w:cs="Book Antiqua"/>
          <w:color w:val="000000"/>
        </w:rPr>
        <w:t>. The cells are plump, pleomorphic with hyperchromatic nuclei and show brisk mitotic activity</w:t>
      </w:r>
      <w:r>
        <w:rPr>
          <w:rFonts w:ascii="Book Antiqua" w:hAnsi="Book Antiqua" w:eastAsia="Book Antiqua" w:cs="Book Antiqua"/>
          <w:color w:val="000000"/>
          <w:vertAlign w:val="superscript"/>
        </w:rPr>
        <w:t>[33]</w:t>
      </w:r>
      <w:r>
        <w:rPr>
          <w:rFonts w:ascii="Book Antiqua" w:hAnsi="Book Antiqua" w:eastAsia="Book Antiqua" w:cs="Book Antiqua"/>
          <w:color w:val="000000"/>
        </w:rPr>
        <w:t>. Focally infiltrative whorls or glomeruloid foci of sarcomatoid cells or kaposiform spindle cells with intracytoplasmic PAS positive eosinophilic globules can be seen</w:t>
      </w:r>
      <w:r>
        <w:rPr>
          <w:rFonts w:ascii="Book Antiqua" w:hAnsi="Book Antiqua" w:eastAsia="Book Antiqua" w:cs="Book Antiqua"/>
          <w:color w:val="000000"/>
          <w:vertAlign w:val="superscript"/>
        </w:rPr>
        <w:t>[30,32,33,35]</w:t>
      </w:r>
      <w:r>
        <w:rPr>
          <w:rFonts w:ascii="Book Antiqua" w:hAnsi="Book Antiqua" w:eastAsia="Book Antiqua" w:cs="Book Antiqua"/>
          <w:color w:val="000000"/>
        </w:rPr>
        <w:t>. Tumor necrosis can be observed</w:t>
      </w:r>
      <w:r>
        <w:rPr>
          <w:rFonts w:ascii="Book Antiqua" w:hAnsi="Book Antiqua" w:eastAsia="Book Antiqua" w:cs="Book Antiqua"/>
          <w:color w:val="000000"/>
          <w:vertAlign w:val="superscript"/>
        </w:rPr>
        <w:t>[29]</w:t>
      </w:r>
      <w:r>
        <w:rPr>
          <w:rFonts w:ascii="Book Antiqua" w:hAnsi="Book Antiqua" w:eastAsia="Book Antiqua" w:cs="Book Antiqua"/>
          <w:color w:val="000000"/>
        </w:rPr>
        <w:t xml:space="preserve">. Histologically, HA is classified as </w:t>
      </w:r>
      <w:r>
        <w:rPr>
          <w:rFonts w:ascii="Book Antiqua" w:hAnsi="Book Antiqua" w:eastAsia="Book Antiqua" w:cs="Book Antiqua"/>
          <w:i/>
          <w:iCs/>
          <w:color w:val="000000"/>
        </w:rPr>
        <w:t xml:space="preserve">hepatic hemangioendothelioma, type 3 </w:t>
      </w:r>
      <w:r>
        <w:rPr>
          <w:rFonts w:ascii="Book Antiqua" w:hAnsi="Book Antiqua" w:eastAsia="Book Antiqua" w:cs="Book Antiqua"/>
          <w:color w:val="000000"/>
        </w:rPr>
        <w:t>(</w:t>
      </w:r>
      <w:r>
        <w:rPr>
          <w:rFonts w:ascii="Book Antiqua" w:hAnsi="Book Antiqua" w:cs="Book Antiqua"/>
          <w:color w:val="000000"/>
          <w:lang w:eastAsia="zh-CN"/>
        </w:rPr>
        <w:t>Figure</w:t>
      </w:r>
      <w:r>
        <w:rPr>
          <w:rFonts w:ascii="Book Antiqua" w:hAnsi="Book Antiqua" w:eastAsia="Book Antiqua" w:cs="Book Antiqua"/>
          <w:color w:val="000000"/>
        </w:rPr>
        <w:t xml:space="preserve"> </w:t>
      </w:r>
      <w:r>
        <w:rPr>
          <w:rFonts w:hint="eastAsia" w:ascii="Book Antiqua" w:hAnsi="Book Antiqua" w:cs="Book Antiqua"/>
          <w:color w:val="000000"/>
          <w:lang w:eastAsia="zh-CN"/>
        </w:rPr>
        <w:t>10</w:t>
      </w:r>
      <w:r>
        <w:rPr>
          <w:rFonts w:ascii="Book Antiqua" w:hAnsi="Book Antiqua" w:eastAsia="Book Antiqua" w:cs="Book Antiqua"/>
          <w:color w:val="000000"/>
        </w:rPr>
        <w:t>)</w:t>
      </w:r>
      <w:r>
        <w:rPr>
          <w:rFonts w:ascii="Book Antiqua" w:hAnsi="Book Antiqua" w:eastAsia="Book Antiqua" w:cs="Book Antiqua"/>
          <w:color w:val="000000"/>
          <w:vertAlign w:val="superscript"/>
        </w:rPr>
        <w:t>[5]</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HA shows immunoreactivity for ERG, CD31, CD34 and factor VIII</w:t>
      </w:r>
      <w:r>
        <w:rPr>
          <w:rFonts w:ascii="Book Antiqua" w:hAnsi="Book Antiqua" w:eastAsia="Book Antiqua" w:cs="Book Antiqua"/>
          <w:color w:val="000000"/>
          <w:vertAlign w:val="superscript"/>
        </w:rPr>
        <w:t>[15,28,33]</w:t>
      </w:r>
      <w:r>
        <w:rPr>
          <w:rFonts w:ascii="Book Antiqua" w:hAnsi="Book Antiqua" w:eastAsia="Book Antiqua" w:cs="Book Antiqua"/>
          <w:color w:val="000000"/>
        </w:rPr>
        <w:t>. A small percentage expresses pan-cytokeratin</w:t>
      </w:r>
      <w:r>
        <w:rPr>
          <w:rFonts w:ascii="Book Antiqua" w:hAnsi="Book Antiqua" w:eastAsia="Book Antiqua" w:cs="Book Antiqua"/>
          <w:color w:val="000000"/>
          <w:vertAlign w:val="superscript"/>
        </w:rPr>
        <w:t>[33]</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Ki-67 shows a proliferation of more than 10%</w:t>
      </w:r>
      <w:r>
        <w:rPr>
          <w:rFonts w:ascii="Book Antiqua" w:hAnsi="Book Antiqua" w:eastAsia="Book Antiqua" w:cs="Book Antiqua"/>
          <w:color w:val="000000"/>
          <w:vertAlign w:val="superscript"/>
        </w:rPr>
        <w:t>[36]</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HAs are occasionally positive for GLUT-1 and podoplanin (D2-40)</w:t>
      </w:r>
      <w:r>
        <w:rPr>
          <w:rFonts w:ascii="Book Antiqua" w:hAnsi="Book Antiqua" w:eastAsia="Book Antiqua" w:cs="Book Antiqua"/>
          <w:color w:val="000000"/>
          <w:vertAlign w:val="superscript"/>
        </w:rPr>
        <w:t>[15,22,32]</w:t>
      </w:r>
      <w:r>
        <w:rPr>
          <w:rFonts w:ascii="Book Antiqua" w:hAnsi="Book Antiqua" w:eastAsia="Book Antiqua" w:cs="Book Antiqua"/>
          <w:color w:val="000000"/>
        </w:rPr>
        <w:t>. The spindle cell component may show cytoplasmic immunopositivity for alpha-1-antitrypsin</w:t>
      </w:r>
      <w:r>
        <w:rPr>
          <w:rFonts w:ascii="Book Antiqua" w:hAnsi="Book Antiqua" w:eastAsia="Book Antiqua" w:cs="Book Antiqua"/>
          <w:color w:val="000000"/>
          <w:vertAlign w:val="superscript"/>
        </w:rPr>
        <w:t>[30]</w:t>
      </w:r>
      <w:r>
        <w:rPr>
          <w:rFonts w:ascii="Book Antiqua" w:hAnsi="Book Antiqua" w:eastAsia="Book Antiqua" w:cs="Book Antiqua"/>
          <w:color w:val="000000"/>
        </w:rPr>
        <w:t>.</w:t>
      </w:r>
    </w:p>
    <w:p>
      <w:pPr>
        <w:spacing w:line="360" w:lineRule="auto"/>
        <w:ind w:firstLine="480"/>
        <w:jc w:val="both"/>
        <w:rPr>
          <w:rFonts w:ascii="Book Antiqua" w:hAnsi="Book Antiqua"/>
        </w:rPr>
      </w:pPr>
      <w:r>
        <w:rPr>
          <w:rFonts w:ascii="Book Antiqua" w:hAnsi="Book Antiqua" w:eastAsia="Book Antiqua" w:cs="Book Antiqua"/>
          <w:color w:val="000000"/>
        </w:rPr>
        <w:t>Uptil now, little is known about the genetics of HA, due to examination of small cohorts with a selected gene panel</w:t>
      </w:r>
      <w:r>
        <w:rPr>
          <w:rFonts w:ascii="Book Antiqua" w:hAnsi="Book Antiqua" w:eastAsia="Book Antiqua" w:cs="Book Antiqua"/>
          <w:color w:val="000000"/>
          <w:vertAlign w:val="superscript"/>
        </w:rPr>
        <w:t>[34]</w:t>
      </w:r>
      <w:r>
        <w:rPr>
          <w:rFonts w:ascii="Book Antiqua" w:hAnsi="Book Antiqua" w:eastAsia="Book Antiqua" w:cs="Book Antiqua"/>
          <w:color w:val="000000"/>
        </w:rPr>
        <w:t xml:space="preserve">. </w:t>
      </w:r>
      <w:r>
        <w:rPr>
          <w:rFonts w:ascii="Book Antiqua" w:hAnsi="Book Antiqua" w:eastAsia="Book Antiqua" w:cs="Book Antiqua"/>
          <w:i/>
          <w:iCs/>
          <w:color w:val="000000"/>
        </w:rPr>
        <w:t>KRAS</w:t>
      </w:r>
      <w:r>
        <w:rPr>
          <w:rFonts w:ascii="Book Antiqua" w:hAnsi="Book Antiqua" w:eastAsia="Book Antiqua" w:cs="Book Antiqua"/>
          <w:color w:val="000000"/>
        </w:rPr>
        <w:t xml:space="preserve"> mutations have been described in sporadic and thorotrast-induced HA, and </w:t>
      </w:r>
      <w:r>
        <w:rPr>
          <w:rFonts w:ascii="Book Antiqua" w:hAnsi="Book Antiqua" w:eastAsia="Book Antiqua" w:cs="Book Antiqua"/>
          <w:i/>
          <w:iCs/>
          <w:color w:val="000000"/>
        </w:rPr>
        <w:t>TP53</w:t>
      </w:r>
      <w:r>
        <w:rPr>
          <w:rFonts w:ascii="Book Antiqua" w:hAnsi="Book Antiqua" w:eastAsia="Book Antiqua" w:cs="Book Antiqua"/>
          <w:color w:val="000000"/>
        </w:rPr>
        <w:t xml:space="preserve"> mutations in VCM-related HA</w:t>
      </w:r>
      <w:r>
        <w:rPr>
          <w:rFonts w:ascii="Book Antiqua" w:hAnsi="Book Antiqua" w:eastAsia="Book Antiqua" w:cs="Book Antiqua"/>
          <w:color w:val="000000"/>
          <w:vertAlign w:val="superscript"/>
        </w:rPr>
        <w:t>[37,38]</w:t>
      </w:r>
      <w:r>
        <w:rPr>
          <w:rFonts w:ascii="Book Antiqua" w:hAnsi="Book Antiqua" w:eastAsia="Book Antiqua" w:cs="Book Antiqua"/>
          <w:color w:val="000000"/>
        </w:rPr>
        <w:t xml:space="preserve">. Also alterations in the </w:t>
      </w:r>
      <w:r>
        <w:rPr>
          <w:rFonts w:ascii="Book Antiqua" w:hAnsi="Book Antiqua" w:eastAsia="Book Antiqua" w:cs="Book Antiqua"/>
          <w:i/>
          <w:iCs/>
          <w:color w:val="000000"/>
        </w:rPr>
        <w:t>RAS</w:t>
      </w:r>
      <w:r>
        <w:rPr>
          <w:rFonts w:ascii="Book Antiqua" w:hAnsi="Book Antiqua" w:eastAsia="Book Antiqua" w:cs="Book Antiqua"/>
          <w:color w:val="000000"/>
        </w:rPr>
        <w:t>-</w:t>
      </w:r>
      <w:r>
        <w:rPr>
          <w:rFonts w:ascii="Book Antiqua" w:hAnsi="Book Antiqua" w:eastAsia="Book Antiqua" w:cs="Book Antiqua"/>
          <w:i/>
          <w:iCs/>
          <w:color w:val="000000"/>
        </w:rPr>
        <w:t>RAF</w:t>
      </w:r>
      <w:r>
        <w:rPr>
          <w:rFonts w:ascii="Book Antiqua" w:hAnsi="Book Antiqua" w:eastAsia="Book Antiqua" w:cs="Book Antiqua"/>
          <w:color w:val="000000"/>
        </w:rPr>
        <w:t>-</w:t>
      </w:r>
      <w:r>
        <w:rPr>
          <w:rFonts w:ascii="Book Antiqua" w:hAnsi="Book Antiqua" w:eastAsia="Book Antiqua" w:cs="Book Antiqua"/>
          <w:i/>
          <w:iCs/>
          <w:color w:val="000000"/>
        </w:rPr>
        <w:t>MAPK</w:t>
      </w:r>
      <w:r>
        <w:rPr>
          <w:rFonts w:ascii="Book Antiqua" w:hAnsi="Book Antiqua" w:eastAsia="Book Antiqua" w:cs="Book Antiqua"/>
          <w:color w:val="000000"/>
        </w:rPr>
        <w:t xml:space="preserve"> pathway, </w:t>
      </w:r>
      <w:r>
        <w:rPr>
          <w:rFonts w:ascii="Book Antiqua" w:hAnsi="Book Antiqua" w:eastAsia="Book Antiqua" w:cs="Book Antiqua"/>
          <w:i/>
          <w:iCs/>
          <w:color w:val="000000"/>
        </w:rPr>
        <w:t>CDKN2A</w:t>
      </w:r>
      <w:r>
        <w:rPr>
          <w:rFonts w:ascii="Book Antiqua" w:hAnsi="Book Antiqua" w:eastAsia="Book Antiqua" w:cs="Book Antiqua"/>
          <w:color w:val="000000"/>
        </w:rPr>
        <w:t>/</w:t>
      </w:r>
      <w:r>
        <w:rPr>
          <w:rFonts w:ascii="Book Antiqua" w:hAnsi="Book Antiqua" w:eastAsia="Book Antiqua" w:cs="Book Antiqua"/>
          <w:i/>
          <w:iCs/>
          <w:color w:val="000000"/>
        </w:rPr>
        <w:t>p16</w:t>
      </w:r>
      <w:r>
        <w:rPr>
          <w:rFonts w:ascii="Book Antiqua" w:hAnsi="Book Antiqua" w:eastAsia="Book Antiqua" w:cs="Book Antiqua"/>
          <w:color w:val="000000"/>
        </w:rPr>
        <w:t xml:space="preserve"> and </w:t>
      </w:r>
      <w:r>
        <w:rPr>
          <w:rFonts w:ascii="Book Antiqua" w:hAnsi="Book Antiqua" w:eastAsia="Book Antiqua" w:cs="Book Antiqua"/>
          <w:i/>
          <w:iCs/>
          <w:color w:val="000000"/>
        </w:rPr>
        <w:t>PTEN</w:t>
      </w:r>
      <w:r>
        <w:rPr>
          <w:rFonts w:ascii="Book Antiqua" w:hAnsi="Book Antiqua" w:eastAsia="Book Antiqua" w:cs="Book Antiqua"/>
          <w:color w:val="000000"/>
        </w:rPr>
        <w:t xml:space="preserve"> gene have been found</w:t>
      </w:r>
      <w:r>
        <w:rPr>
          <w:rFonts w:ascii="Book Antiqua" w:hAnsi="Book Antiqua" w:eastAsia="Book Antiqua" w:cs="Book Antiqua"/>
          <w:color w:val="000000"/>
          <w:vertAlign w:val="superscript"/>
        </w:rPr>
        <w:t>[34,39]</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 xml:space="preserve">Recently a </w:t>
      </w:r>
      <w:r>
        <w:rPr>
          <w:rFonts w:ascii="Book Antiqua" w:hAnsi="Book Antiqua" w:eastAsia="Book Antiqua" w:cs="Book Antiqua"/>
          <w:i/>
          <w:iCs/>
          <w:color w:val="000000"/>
        </w:rPr>
        <w:t>ROS1</w:t>
      </w:r>
      <w:r>
        <w:rPr>
          <w:rFonts w:ascii="Book Antiqua" w:hAnsi="Book Antiqua" w:eastAsia="Book Antiqua" w:cs="Book Antiqua"/>
          <w:color w:val="000000"/>
        </w:rPr>
        <w:t>-</w:t>
      </w:r>
      <w:r>
        <w:rPr>
          <w:rFonts w:ascii="Book Antiqua" w:hAnsi="Book Antiqua" w:eastAsia="Book Antiqua" w:cs="Book Antiqua"/>
          <w:i/>
          <w:iCs/>
          <w:color w:val="000000"/>
        </w:rPr>
        <w:t>GOPC</w:t>
      </w:r>
      <w:r>
        <w:rPr>
          <w:rFonts w:ascii="Book Antiqua" w:hAnsi="Book Antiqua" w:eastAsia="Book Antiqua" w:cs="Book Antiqua"/>
          <w:color w:val="000000"/>
        </w:rPr>
        <w:t>/</w:t>
      </w:r>
      <w:r>
        <w:rPr>
          <w:rFonts w:ascii="Book Antiqua" w:hAnsi="Book Antiqua" w:eastAsia="Book Antiqua" w:cs="Book Antiqua"/>
          <w:i/>
          <w:iCs/>
          <w:color w:val="000000"/>
        </w:rPr>
        <w:t xml:space="preserve">FIG </w:t>
      </w:r>
      <w:r>
        <w:rPr>
          <w:rFonts w:ascii="Book Antiqua" w:hAnsi="Book Antiqua" w:eastAsia="Book Antiqua" w:cs="Book Antiqua"/>
          <w:color w:val="000000"/>
        </w:rPr>
        <w:t>(Fused In Glioblastome) fusion has been found in 1 case</w:t>
      </w:r>
      <w:r>
        <w:rPr>
          <w:rFonts w:ascii="Book Antiqua" w:hAnsi="Book Antiqua" w:eastAsia="Book Antiqua" w:cs="Book Antiqua"/>
          <w:color w:val="000000"/>
          <w:vertAlign w:val="superscript"/>
        </w:rPr>
        <w:t>[34,37]</w:t>
      </w:r>
      <w:r>
        <w:rPr>
          <w:rFonts w:ascii="Book Antiqua" w:hAnsi="Book Antiqua" w:eastAsia="Book Antiqua" w:cs="Book Antiqua"/>
          <w:color w:val="000000"/>
        </w:rPr>
        <w:t>.</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This fusion gene can act as a potential target for therapy. Further, upregulation of VEGF-receptor and consistent increased expression of VEGF are commonly seen</w:t>
      </w:r>
      <w:r>
        <w:rPr>
          <w:rFonts w:ascii="Book Antiqua" w:hAnsi="Book Antiqua" w:eastAsia="Book Antiqua" w:cs="Book Antiqua"/>
          <w:color w:val="000000"/>
          <w:vertAlign w:val="superscript"/>
        </w:rPr>
        <w:t>[34]</w:t>
      </w:r>
      <w:r>
        <w:rPr>
          <w:rFonts w:ascii="Book Antiqua" w:hAnsi="Book Antiqua" w:eastAsia="Book Antiqua" w:cs="Book Antiqua"/>
          <w:color w:val="000000"/>
        </w:rPr>
        <w:t>.</w:t>
      </w:r>
    </w:p>
    <w:p>
      <w:pPr>
        <w:spacing w:line="360" w:lineRule="auto"/>
        <w:ind w:firstLine="48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CONCLUSION</w:t>
      </w:r>
    </w:p>
    <w:p>
      <w:pPr>
        <w:spacing w:line="360" w:lineRule="auto"/>
        <w:jc w:val="both"/>
        <w:rPr>
          <w:rFonts w:ascii="Book Antiqua" w:hAnsi="Book Antiqua"/>
        </w:rPr>
      </w:pPr>
      <w:r>
        <w:rPr>
          <w:rFonts w:ascii="Book Antiqua" w:hAnsi="Book Antiqua" w:eastAsia="Book Antiqua" w:cs="Book Antiqua"/>
          <w:color w:val="000000"/>
        </w:rPr>
        <w:t xml:space="preserve">Diagnosis of a pediatric hepatic vascular tumor can be challenging, not only for the clinici/radiologist, but for the pathologist as well. Throughout the years immunohistochemical markers (Figure </w:t>
      </w:r>
      <w:r>
        <w:rPr>
          <w:rFonts w:ascii="Book Antiqua" w:hAnsi="Book Antiqua" w:cs="Book Antiqua"/>
          <w:color w:val="000000"/>
          <w:lang w:eastAsia="zh-CN"/>
        </w:rPr>
        <w:t>6</w:t>
      </w:r>
      <w:r>
        <w:rPr>
          <w:rFonts w:ascii="Book Antiqua" w:hAnsi="Book Antiqua" w:eastAsia="Book Antiqua" w:cs="Book Antiqua"/>
          <w:color w:val="000000"/>
        </w:rPr>
        <w:t>) and molecular genetics have been proven very helpful in the differential diagnosis of vascular tumors. Here we gave an overview of the most important pediatric hepatic vascular tumors and their histology and pathophysiology. Still there is a lot to discover about these vascular lesions.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REFERENCES</w:t>
      </w:r>
    </w:p>
    <w:p>
      <w:pPr>
        <w:spacing w:line="360" w:lineRule="auto"/>
        <w:jc w:val="both"/>
        <w:rPr>
          <w:rFonts w:ascii="Book Antiqua" w:hAnsi="Book Antiqua"/>
        </w:rPr>
      </w:pPr>
      <w:bookmarkStart w:id="9" w:name="OLE_LINK595"/>
      <w:bookmarkStart w:id="10" w:name="OLE_LINK594"/>
      <w:r>
        <w:rPr>
          <w:rFonts w:ascii="Book Antiqua" w:hAnsi="Book Antiqua" w:eastAsia="Book Antiqua" w:cs="Book Antiqua"/>
          <w:color w:val="000000"/>
        </w:rPr>
        <w:t xml:space="preserve">1 </w:t>
      </w:r>
      <w:r>
        <w:rPr>
          <w:rFonts w:ascii="Book Antiqua" w:hAnsi="Book Antiqua" w:eastAsia="Book Antiqua" w:cs="Book Antiqua"/>
          <w:b/>
          <w:bCs/>
          <w:color w:val="000000"/>
        </w:rPr>
        <w:t>Enjolras O</w:t>
      </w:r>
      <w:r>
        <w:rPr>
          <w:rFonts w:ascii="Book Antiqua" w:hAnsi="Book Antiqua" w:eastAsia="Book Antiqua" w:cs="Book Antiqua"/>
          <w:color w:val="000000"/>
        </w:rPr>
        <w:t xml:space="preserve">. Classification and management of the various superficial vascular anomalies: hemangiomas and vascular malformations. </w:t>
      </w:r>
      <w:r>
        <w:rPr>
          <w:rFonts w:ascii="Book Antiqua" w:hAnsi="Book Antiqua" w:eastAsia="Book Antiqua" w:cs="Book Antiqua"/>
          <w:i/>
          <w:iCs/>
          <w:color w:val="000000"/>
        </w:rPr>
        <w:t>J Dermatol</w:t>
      </w:r>
      <w:r>
        <w:rPr>
          <w:rFonts w:ascii="Book Antiqua" w:hAnsi="Book Antiqua" w:eastAsia="Book Antiqua" w:cs="Book Antiqua"/>
          <w:color w:val="000000"/>
        </w:rPr>
        <w:t xml:space="preserve"> 1997; </w:t>
      </w:r>
      <w:r>
        <w:rPr>
          <w:rFonts w:ascii="Book Antiqua" w:hAnsi="Book Antiqua" w:eastAsia="Book Antiqua" w:cs="Book Antiqua"/>
          <w:b/>
          <w:bCs/>
          <w:color w:val="000000"/>
        </w:rPr>
        <w:t>24</w:t>
      </w:r>
      <w:r>
        <w:rPr>
          <w:rFonts w:ascii="Book Antiqua" w:hAnsi="Book Antiqua" w:eastAsia="Book Antiqua" w:cs="Book Antiqua"/>
          <w:color w:val="000000"/>
        </w:rPr>
        <w:t>: 701-710 [PMID: 9433027 DOI: 10.1111/j.1346-8138.1997.tb02522.x]</w:t>
      </w:r>
    </w:p>
    <w:p>
      <w:pPr>
        <w:spacing w:line="360" w:lineRule="auto"/>
        <w:jc w:val="both"/>
        <w:rPr>
          <w:rFonts w:ascii="Book Antiqua" w:hAnsi="Book Antiqua"/>
        </w:rPr>
      </w:pPr>
      <w:r>
        <w:rPr>
          <w:rFonts w:ascii="Book Antiqua" w:hAnsi="Book Antiqua" w:eastAsia="Book Antiqua" w:cs="Book Antiqua"/>
          <w:color w:val="000000"/>
        </w:rPr>
        <w:t xml:space="preserve">2 </w:t>
      </w:r>
      <w:r>
        <w:rPr>
          <w:rFonts w:ascii="Book Antiqua" w:hAnsi="Book Antiqua" w:eastAsia="Book Antiqua" w:cs="Book Antiqua"/>
          <w:b/>
          <w:bCs/>
          <w:color w:val="000000"/>
        </w:rPr>
        <w:t>Gampper TJ</w:t>
      </w:r>
      <w:r>
        <w:rPr>
          <w:rFonts w:ascii="Book Antiqua" w:hAnsi="Book Antiqua" w:eastAsia="Book Antiqua" w:cs="Book Antiqua"/>
          <w:color w:val="000000"/>
        </w:rPr>
        <w:t xml:space="preserve">, Morgan RF. Vascular anomalies: hemangiomas. </w:t>
      </w:r>
      <w:r>
        <w:rPr>
          <w:rFonts w:ascii="Book Antiqua" w:hAnsi="Book Antiqua" w:eastAsia="Book Antiqua" w:cs="Book Antiqua"/>
          <w:i/>
          <w:iCs/>
          <w:color w:val="000000"/>
        </w:rPr>
        <w:t>Plast Reconstr Surg</w:t>
      </w:r>
      <w:r>
        <w:rPr>
          <w:rFonts w:ascii="Book Antiqua" w:hAnsi="Book Antiqua" w:eastAsia="Book Antiqua" w:cs="Book Antiqua"/>
          <w:color w:val="000000"/>
        </w:rPr>
        <w:t xml:space="preserve"> 2002; </w:t>
      </w:r>
      <w:r>
        <w:rPr>
          <w:rFonts w:ascii="Book Antiqua" w:hAnsi="Book Antiqua" w:eastAsia="Book Antiqua" w:cs="Book Antiqua"/>
          <w:b/>
          <w:bCs/>
          <w:color w:val="000000"/>
        </w:rPr>
        <w:t>110</w:t>
      </w:r>
      <w:r>
        <w:rPr>
          <w:rFonts w:ascii="Book Antiqua" w:hAnsi="Book Antiqua" w:eastAsia="Book Antiqua" w:cs="Book Antiqua"/>
          <w:color w:val="000000"/>
        </w:rPr>
        <w:t>: 572-85; quiz 586; discussion 587-8 [PMID: 12142679 DOI: 10.1097/00006534-200208000-00032]</w:t>
      </w:r>
    </w:p>
    <w:p>
      <w:pPr>
        <w:spacing w:line="360" w:lineRule="auto"/>
        <w:jc w:val="both"/>
        <w:rPr>
          <w:rFonts w:ascii="Book Antiqua" w:hAnsi="Book Antiqua"/>
        </w:rPr>
      </w:pPr>
      <w:r>
        <w:rPr>
          <w:rFonts w:ascii="Book Antiqua" w:hAnsi="Book Antiqua" w:eastAsia="Book Antiqua" w:cs="Book Antiqua"/>
          <w:color w:val="000000"/>
        </w:rPr>
        <w:t xml:space="preserve">3 </w:t>
      </w:r>
      <w:r>
        <w:rPr>
          <w:rFonts w:ascii="Book Antiqua" w:hAnsi="Book Antiqua" w:eastAsia="Book Antiqua" w:cs="Book Antiqua"/>
          <w:b/>
          <w:bCs/>
          <w:color w:val="000000"/>
        </w:rPr>
        <w:t>Yang B</w:t>
      </w:r>
      <w:r>
        <w:rPr>
          <w:rFonts w:ascii="Book Antiqua" w:hAnsi="Book Antiqua" w:eastAsia="Book Antiqua" w:cs="Book Antiqua"/>
          <w:color w:val="000000"/>
        </w:rPr>
        <w:t xml:space="preserve">, Li L, Zhang LX, Sun YJ, Ma L. Clinical Characteristics and Treatment Options of Infantile Vascular Anomalies. </w:t>
      </w:r>
      <w:r>
        <w:rPr>
          <w:rFonts w:ascii="Book Antiqua" w:hAnsi="Book Antiqua" w:eastAsia="Book Antiqua" w:cs="Book Antiqua"/>
          <w:i/>
          <w:iCs/>
          <w:color w:val="000000"/>
        </w:rPr>
        <w:t>Medicine (Baltimore)</w:t>
      </w:r>
      <w:r>
        <w:rPr>
          <w:rFonts w:ascii="Book Antiqua" w:hAnsi="Book Antiqua" w:eastAsia="Book Antiqua" w:cs="Book Antiqua"/>
          <w:color w:val="000000"/>
        </w:rPr>
        <w:t xml:space="preserve"> 2015; </w:t>
      </w:r>
      <w:r>
        <w:rPr>
          <w:rFonts w:ascii="Book Antiqua" w:hAnsi="Book Antiqua" w:eastAsia="Book Antiqua" w:cs="Book Antiqua"/>
          <w:b/>
          <w:bCs/>
          <w:color w:val="000000"/>
        </w:rPr>
        <w:t>94</w:t>
      </w:r>
      <w:r>
        <w:rPr>
          <w:rFonts w:ascii="Book Antiqua" w:hAnsi="Book Antiqua" w:eastAsia="Book Antiqua" w:cs="Book Antiqua"/>
          <w:color w:val="000000"/>
        </w:rPr>
        <w:t>: e1717 [PMID: 26448027 DOI: 10.1097/MD.0000000000001717]</w:t>
      </w:r>
    </w:p>
    <w:p>
      <w:pPr>
        <w:spacing w:line="360" w:lineRule="auto"/>
        <w:jc w:val="both"/>
        <w:rPr>
          <w:rFonts w:ascii="Book Antiqua" w:hAnsi="Book Antiqua"/>
        </w:rPr>
      </w:pPr>
      <w:r>
        <w:rPr>
          <w:rFonts w:ascii="Book Antiqua" w:hAnsi="Book Antiqua" w:eastAsia="Book Antiqua" w:cs="Book Antiqua"/>
          <w:color w:val="000000"/>
        </w:rPr>
        <w:t xml:space="preserve">4 </w:t>
      </w:r>
      <w:r>
        <w:rPr>
          <w:rFonts w:ascii="Book Antiqua" w:hAnsi="Book Antiqua" w:eastAsia="Book Antiqua" w:cs="Book Antiqua"/>
          <w:b/>
          <w:bCs/>
          <w:color w:val="000000"/>
        </w:rPr>
        <w:t>Wassef M</w:t>
      </w:r>
      <w:r>
        <w:rPr>
          <w:rFonts w:ascii="Book Antiqua" w:hAnsi="Book Antiqua" w:eastAsia="Book Antiqua" w:cs="Book Antiqua"/>
          <w:color w:val="000000"/>
        </w:rPr>
        <w:t xml:space="preserve">, Blei F, Adams D, Alomari A, Baselga E, Berenstein A, Burrows P, Frieden IJ, Garzon MC, Lopez-Gutierrez JC, Lord DJ, Mitchel S, Powell J, Prendiville J, Vikkula M; ISSVA Board and Scientific Committee. Vascular Anomalies Classification: Recommendations From the International Society for the Study of Vascular Anomalies. </w:t>
      </w:r>
      <w:r>
        <w:rPr>
          <w:rFonts w:ascii="Book Antiqua" w:hAnsi="Book Antiqua" w:eastAsia="Book Antiqua" w:cs="Book Antiqua"/>
          <w:i/>
          <w:iCs/>
          <w:color w:val="000000"/>
        </w:rPr>
        <w:t>Pediatrics</w:t>
      </w:r>
      <w:r>
        <w:rPr>
          <w:rFonts w:ascii="Book Antiqua" w:hAnsi="Book Antiqua" w:eastAsia="Book Antiqua" w:cs="Book Antiqua"/>
          <w:color w:val="000000"/>
        </w:rPr>
        <w:t xml:space="preserve"> 2015; </w:t>
      </w:r>
      <w:r>
        <w:rPr>
          <w:rFonts w:ascii="Book Antiqua" w:hAnsi="Book Antiqua" w:eastAsia="Book Antiqua" w:cs="Book Antiqua"/>
          <w:b/>
          <w:bCs/>
          <w:color w:val="000000"/>
        </w:rPr>
        <w:t>136</w:t>
      </w:r>
      <w:r>
        <w:rPr>
          <w:rFonts w:ascii="Book Antiqua" w:hAnsi="Book Antiqua" w:eastAsia="Book Antiqua" w:cs="Book Antiqua"/>
          <w:color w:val="000000"/>
        </w:rPr>
        <w:t>: e203-e214 [PMID: 26055853 DOI: 10.1542/peds.2014-3673]</w:t>
      </w:r>
    </w:p>
    <w:p>
      <w:pPr>
        <w:spacing w:line="360" w:lineRule="auto"/>
        <w:jc w:val="both"/>
        <w:rPr>
          <w:rFonts w:ascii="Book Antiqua" w:hAnsi="Book Antiqua"/>
        </w:rPr>
      </w:pPr>
      <w:r>
        <w:rPr>
          <w:rFonts w:ascii="Book Antiqua" w:hAnsi="Book Antiqua" w:eastAsia="Book Antiqua" w:cs="Book Antiqua"/>
          <w:color w:val="000000"/>
        </w:rPr>
        <w:t xml:space="preserve">5 </w:t>
      </w:r>
      <w:r>
        <w:rPr>
          <w:rFonts w:ascii="Book Antiqua" w:hAnsi="Book Antiqua" w:eastAsia="Book Antiqua" w:cs="Book Antiqua"/>
          <w:b/>
          <w:bCs/>
          <w:color w:val="000000"/>
        </w:rPr>
        <w:t>Iacobas I</w:t>
      </w:r>
      <w:r>
        <w:rPr>
          <w:rFonts w:ascii="Book Antiqua" w:hAnsi="Book Antiqua" w:eastAsia="Book Antiqua" w:cs="Book Antiqua"/>
          <w:color w:val="000000"/>
        </w:rPr>
        <w:t xml:space="preserve">, Phung TL, Adams DM, Trenor CC 3rd, Blei F, Fishman DS, Hammill A, Masand PM, Fishman SJ. Guidance Document for Hepatic Hemangioma (Infantile and Congenital) Evaluation and Monitoring. </w:t>
      </w:r>
      <w:r>
        <w:rPr>
          <w:rFonts w:ascii="Book Antiqua" w:hAnsi="Book Antiqua" w:eastAsia="Book Antiqua" w:cs="Book Antiqua"/>
          <w:i/>
          <w:iCs/>
          <w:color w:val="000000"/>
        </w:rPr>
        <w:t>J Pediatr</w:t>
      </w:r>
      <w:r>
        <w:rPr>
          <w:rFonts w:ascii="Book Antiqua" w:hAnsi="Book Antiqua" w:eastAsia="Book Antiqua" w:cs="Book Antiqua"/>
          <w:color w:val="000000"/>
        </w:rPr>
        <w:t xml:space="preserve"> 2018; </w:t>
      </w:r>
      <w:r>
        <w:rPr>
          <w:rFonts w:ascii="Book Antiqua" w:hAnsi="Book Antiqua" w:eastAsia="Book Antiqua" w:cs="Book Antiqua"/>
          <w:b/>
          <w:bCs/>
          <w:color w:val="000000"/>
        </w:rPr>
        <w:t>203</w:t>
      </w:r>
      <w:r>
        <w:rPr>
          <w:rFonts w:ascii="Book Antiqua" w:hAnsi="Book Antiqua" w:eastAsia="Book Antiqua" w:cs="Book Antiqua"/>
          <w:color w:val="000000"/>
        </w:rPr>
        <w:t>: 294-300.e2 [PMID: 30244993 DOI: 10.1016/j.jpeds.2018.08.012]</w:t>
      </w:r>
    </w:p>
    <w:p>
      <w:pPr>
        <w:spacing w:line="360" w:lineRule="auto"/>
        <w:jc w:val="both"/>
        <w:rPr>
          <w:rFonts w:ascii="Book Antiqua" w:hAnsi="Book Antiqua"/>
        </w:rPr>
      </w:pPr>
      <w:r>
        <w:rPr>
          <w:rFonts w:ascii="Book Antiqua" w:hAnsi="Book Antiqua" w:eastAsia="Book Antiqua" w:cs="Book Antiqua"/>
          <w:color w:val="000000"/>
        </w:rPr>
        <w:t xml:space="preserve">6 </w:t>
      </w:r>
      <w:r>
        <w:rPr>
          <w:rFonts w:ascii="Book Antiqua" w:hAnsi="Book Antiqua" w:eastAsia="Book Antiqua" w:cs="Book Antiqua"/>
          <w:b/>
          <w:bCs/>
          <w:color w:val="000000"/>
        </w:rPr>
        <w:t>Zavras N</w:t>
      </w:r>
      <w:r>
        <w:rPr>
          <w:rFonts w:ascii="Book Antiqua" w:hAnsi="Book Antiqua" w:eastAsia="Book Antiqua" w:cs="Book Antiqua"/>
          <w:color w:val="000000"/>
        </w:rPr>
        <w:t xml:space="preserve">, Dimopoulou A, Machairas N, Paspala A, Vaos G. Infantile hepatic hemangioma: current state of the art, controversies, and perspectives. </w:t>
      </w:r>
      <w:r>
        <w:rPr>
          <w:rFonts w:ascii="Book Antiqua" w:hAnsi="Book Antiqua" w:eastAsia="Book Antiqua" w:cs="Book Antiqua"/>
          <w:i/>
          <w:iCs/>
          <w:color w:val="000000"/>
        </w:rPr>
        <w:t>Eur J Pediatr</w:t>
      </w:r>
      <w:r>
        <w:rPr>
          <w:rFonts w:ascii="Book Antiqua" w:hAnsi="Book Antiqua" w:eastAsia="Book Antiqua" w:cs="Book Antiqua"/>
          <w:color w:val="000000"/>
        </w:rPr>
        <w:t xml:space="preserve"> 2020; </w:t>
      </w:r>
      <w:r>
        <w:rPr>
          <w:rFonts w:ascii="Book Antiqua" w:hAnsi="Book Antiqua" w:eastAsia="Book Antiqua" w:cs="Book Antiqua"/>
          <w:b/>
          <w:bCs/>
          <w:color w:val="000000"/>
        </w:rPr>
        <w:t>179</w:t>
      </w:r>
      <w:r>
        <w:rPr>
          <w:rFonts w:ascii="Book Antiqua" w:hAnsi="Book Antiqua" w:eastAsia="Book Antiqua" w:cs="Book Antiqua"/>
          <w:color w:val="000000"/>
        </w:rPr>
        <w:t>: 1-8 [PMID: 31758313 DOI: 10.1007/s00431-019-03504-7]</w:t>
      </w:r>
    </w:p>
    <w:p>
      <w:pPr>
        <w:spacing w:line="360" w:lineRule="auto"/>
        <w:jc w:val="both"/>
        <w:rPr>
          <w:rFonts w:ascii="Book Antiqua" w:hAnsi="Book Antiqua"/>
        </w:rPr>
      </w:pPr>
      <w:r>
        <w:rPr>
          <w:rFonts w:ascii="Book Antiqua" w:hAnsi="Book Antiqua" w:eastAsia="Book Antiqua" w:cs="Book Antiqua"/>
          <w:color w:val="000000"/>
        </w:rPr>
        <w:t xml:space="preserve">7 </w:t>
      </w:r>
      <w:r>
        <w:rPr>
          <w:rFonts w:ascii="Book Antiqua" w:hAnsi="Book Antiqua" w:eastAsia="Book Antiqua" w:cs="Book Antiqua"/>
          <w:b/>
          <w:bCs/>
          <w:color w:val="000000"/>
        </w:rPr>
        <w:t>Roebuck D</w:t>
      </w:r>
      <w:r>
        <w:rPr>
          <w:rFonts w:ascii="Book Antiqua" w:hAnsi="Book Antiqua" w:eastAsia="Book Antiqua" w:cs="Book Antiqua"/>
          <w:color w:val="000000"/>
        </w:rPr>
        <w:t xml:space="preserve">, Sebire N, Lehmann E, Barnacle A. Rapidly involuting congenital haemangioma (RICH) of the liver. </w:t>
      </w:r>
      <w:r>
        <w:rPr>
          <w:rFonts w:ascii="Book Antiqua" w:hAnsi="Book Antiqua" w:eastAsia="Book Antiqua" w:cs="Book Antiqua"/>
          <w:i/>
          <w:iCs/>
          <w:color w:val="000000"/>
        </w:rPr>
        <w:t>Pediatr Radiol</w:t>
      </w:r>
      <w:r>
        <w:rPr>
          <w:rFonts w:ascii="Book Antiqua" w:hAnsi="Book Antiqua" w:eastAsia="Book Antiqua" w:cs="Book Antiqua"/>
          <w:color w:val="000000"/>
        </w:rPr>
        <w:t xml:space="preserve"> 2012; </w:t>
      </w:r>
      <w:r>
        <w:rPr>
          <w:rFonts w:ascii="Book Antiqua" w:hAnsi="Book Antiqua" w:eastAsia="Book Antiqua" w:cs="Book Antiqua"/>
          <w:b/>
          <w:bCs/>
          <w:color w:val="000000"/>
        </w:rPr>
        <w:t>42</w:t>
      </w:r>
      <w:r>
        <w:rPr>
          <w:rFonts w:ascii="Book Antiqua" w:hAnsi="Book Antiqua" w:eastAsia="Book Antiqua" w:cs="Book Antiqua"/>
          <w:color w:val="000000"/>
        </w:rPr>
        <w:t>: 308-314 [PMID: 22302317 DOI: 10.1007/s00247-011-2268-z]</w:t>
      </w:r>
    </w:p>
    <w:p>
      <w:pPr>
        <w:spacing w:line="360" w:lineRule="auto"/>
        <w:jc w:val="both"/>
        <w:rPr>
          <w:rFonts w:ascii="Book Antiqua" w:hAnsi="Book Antiqua"/>
        </w:rPr>
      </w:pPr>
      <w:r>
        <w:rPr>
          <w:rFonts w:ascii="Book Antiqua" w:hAnsi="Book Antiqua" w:eastAsia="Book Antiqua" w:cs="Book Antiqua"/>
          <w:color w:val="000000"/>
        </w:rPr>
        <w:t xml:space="preserve">8 </w:t>
      </w:r>
      <w:r>
        <w:rPr>
          <w:rFonts w:ascii="Book Antiqua" w:hAnsi="Book Antiqua" w:eastAsia="Book Antiqua" w:cs="Book Antiqua"/>
          <w:b/>
          <w:bCs/>
          <w:color w:val="000000"/>
        </w:rPr>
        <w:t>Kulungowski AM</w:t>
      </w:r>
      <w:r>
        <w:rPr>
          <w:rFonts w:ascii="Book Antiqua" w:hAnsi="Book Antiqua" w:eastAsia="Book Antiqua" w:cs="Book Antiqua"/>
          <w:color w:val="000000"/>
        </w:rPr>
        <w:t xml:space="preserve">, Alomari AI, Chawla A, Christison-Lagay ER, Fishman SJ. Lessons from a liver hemangioma registry: subtype classification. </w:t>
      </w:r>
      <w:r>
        <w:rPr>
          <w:rFonts w:ascii="Book Antiqua" w:hAnsi="Book Antiqua" w:eastAsia="Book Antiqua" w:cs="Book Antiqua"/>
          <w:i/>
          <w:iCs/>
          <w:color w:val="000000"/>
        </w:rPr>
        <w:t>J Pediatr Surg</w:t>
      </w:r>
      <w:r>
        <w:rPr>
          <w:rFonts w:ascii="Book Antiqua" w:hAnsi="Book Antiqua" w:eastAsia="Book Antiqua" w:cs="Book Antiqua"/>
          <w:color w:val="000000"/>
        </w:rPr>
        <w:t xml:space="preserve"> 2012; </w:t>
      </w:r>
      <w:r>
        <w:rPr>
          <w:rFonts w:ascii="Book Antiqua" w:hAnsi="Book Antiqua" w:eastAsia="Book Antiqua" w:cs="Book Antiqua"/>
          <w:b/>
          <w:bCs/>
          <w:color w:val="000000"/>
        </w:rPr>
        <w:t>47</w:t>
      </w:r>
      <w:r>
        <w:rPr>
          <w:rFonts w:ascii="Book Antiqua" w:hAnsi="Book Antiqua" w:eastAsia="Book Antiqua" w:cs="Book Antiqua"/>
          <w:color w:val="000000"/>
        </w:rPr>
        <w:t>: 165-170 [PMID: 22244411 DOI: 10.1016/j.jpedsurg.2011.10.037]</w:t>
      </w:r>
    </w:p>
    <w:p>
      <w:pPr>
        <w:spacing w:line="360" w:lineRule="auto"/>
        <w:jc w:val="both"/>
        <w:rPr>
          <w:rFonts w:ascii="Book Antiqua" w:hAnsi="Book Antiqua"/>
        </w:rPr>
      </w:pPr>
      <w:r>
        <w:rPr>
          <w:rFonts w:ascii="Book Antiqua" w:hAnsi="Book Antiqua" w:eastAsia="Book Antiqua" w:cs="Book Antiqua"/>
          <w:color w:val="000000"/>
        </w:rPr>
        <w:t xml:space="preserve">9 </w:t>
      </w:r>
      <w:r>
        <w:rPr>
          <w:rFonts w:ascii="Book Antiqua" w:hAnsi="Book Antiqua" w:eastAsia="Book Antiqua" w:cs="Book Antiqua"/>
          <w:b/>
          <w:bCs/>
          <w:color w:val="000000"/>
        </w:rPr>
        <w:t>Mo JQ</w:t>
      </w:r>
      <w:r>
        <w:rPr>
          <w:rFonts w:ascii="Book Antiqua" w:hAnsi="Book Antiqua" w:eastAsia="Book Antiqua" w:cs="Book Antiqua"/>
          <w:color w:val="000000"/>
        </w:rPr>
        <w:t xml:space="preserve">, Dimashkieh HH, Bove KE. GLUT1 endothelial reactivity distinguishes hepatic infantile hemangioma from congenital hepatic vascular malformation with associated capillary proliferation. </w:t>
      </w:r>
      <w:r>
        <w:rPr>
          <w:rFonts w:ascii="Book Antiqua" w:hAnsi="Book Antiqua" w:eastAsia="Book Antiqua" w:cs="Book Antiqua"/>
          <w:i/>
          <w:iCs/>
          <w:color w:val="000000"/>
        </w:rPr>
        <w:t>Hum Pathol</w:t>
      </w:r>
      <w:r>
        <w:rPr>
          <w:rFonts w:ascii="Book Antiqua" w:hAnsi="Book Antiqua" w:eastAsia="Book Antiqua" w:cs="Book Antiqua"/>
          <w:color w:val="000000"/>
        </w:rPr>
        <w:t xml:space="preserve"> 2004; </w:t>
      </w:r>
      <w:r>
        <w:rPr>
          <w:rFonts w:ascii="Book Antiqua" w:hAnsi="Book Antiqua" w:eastAsia="Book Antiqua" w:cs="Book Antiqua"/>
          <w:b/>
          <w:bCs/>
          <w:color w:val="000000"/>
        </w:rPr>
        <w:t>35</w:t>
      </w:r>
      <w:r>
        <w:rPr>
          <w:rFonts w:ascii="Book Antiqua" w:hAnsi="Book Antiqua" w:eastAsia="Book Antiqua" w:cs="Book Antiqua"/>
          <w:color w:val="000000"/>
        </w:rPr>
        <w:t>: 200-209 [PMID: 14991538 DOI: 10.1016/j.humpath.2003.09.017]</w:t>
      </w:r>
    </w:p>
    <w:p>
      <w:pPr>
        <w:spacing w:line="360" w:lineRule="auto"/>
        <w:jc w:val="both"/>
        <w:rPr>
          <w:rFonts w:ascii="Book Antiqua" w:hAnsi="Book Antiqua"/>
        </w:rPr>
      </w:pPr>
      <w:r>
        <w:rPr>
          <w:rFonts w:ascii="Book Antiqua" w:hAnsi="Book Antiqua" w:eastAsia="Book Antiqua" w:cs="Book Antiqua"/>
          <w:color w:val="000000"/>
        </w:rPr>
        <w:t xml:space="preserve">10 </w:t>
      </w:r>
      <w:r>
        <w:rPr>
          <w:rFonts w:ascii="Book Antiqua" w:hAnsi="Book Antiqua" w:eastAsia="Book Antiqua" w:cs="Book Antiqua"/>
          <w:b/>
          <w:bCs/>
          <w:color w:val="000000"/>
        </w:rPr>
        <w:t>Lewis D</w:t>
      </w:r>
      <w:r>
        <w:rPr>
          <w:rFonts w:ascii="Book Antiqua" w:hAnsi="Book Antiqua" w:eastAsia="Book Antiqua" w:cs="Book Antiqua"/>
          <w:color w:val="000000"/>
        </w:rPr>
        <w:t xml:space="preserve">, Hachey K, Fitzgerald S, Vaidya R. Rapidly involuting congenital haemangioma of the liver. </w:t>
      </w:r>
      <w:r>
        <w:rPr>
          <w:rFonts w:ascii="Book Antiqua" w:hAnsi="Book Antiqua" w:eastAsia="Book Antiqua" w:cs="Book Antiqua"/>
          <w:i/>
          <w:iCs/>
          <w:color w:val="000000"/>
        </w:rPr>
        <w:t>BMJ Case Rep</w:t>
      </w:r>
      <w:r>
        <w:rPr>
          <w:rFonts w:ascii="Book Antiqua" w:hAnsi="Book Antiqua" w:eastAsia="Book Antiqua" w:cs="Book Antiqua"/>
          <w:color w:val="000000"/>
        </w:rPr>
        <w:t xml:space="preserve"> 2018; </w:t>
      </w:r>
      <w:r>
        <w:rPr>
          <w:rFonts w:ascii="Book Antiqua" w:hAnsi="Book Antiqua" w:eastAsia="Book Antiqua" w:cs="Book Antiqua"/>
          <w:b/>
          <w:bCs/>
          <w:color w:val="000000"/>
        </w:rPr>
        <w:t>2018</w:t>
      </w:r>
      <w:r>
        <w:rPr>
          <w:rFonts w:ascii="Book Antiqua" w:hAnsi="Book Antiqua" w:eastAsia="Book Antiqua" w:cs="Book Antiqua"/>
          <w:color w:val="000000"/>
        </w:rPr>
        <w:t xml:space="preserve"> [PMID: 29871961 DOI: 10.1136/bcr-2018-224337]</w:t>
      </w:r>
    </w:p>
    <w:p>
      <w:pPr>
        <w:spacing w:line="360" w:lineRule="auto"/>
        <w:jc w:val="both"/>
        <w:rPr>
          <w:rFonts w:ascii="Book Antiqua" w:hAnsi="Book Antiqua"/>
        </w:rPr>
      </w:pPr>
      <w:r>
        <w:rPr>
          <w:rFonts w:ascii="Book Antiqua" w:hAnsi="Book Antiqua" w:eastAsia="Book Antiqua" w:cs="Book Antiqua"/>
          <w:color w:val="000000"/>
        </w:rPr>
        <w:t xml:space="preserve">11 </w:t>
      </w:r>
      <w:r>
        <w:rPr>
          <w:rFonts w:ascii="Book Antiqua" w:hAnsi="Book Antiqua" w:eastAsia="Book Antiqua" w:cs="Book Antiqua"/>
          <w:b/>
          <w:bCs/>
          <w:color w:val="000000"/>
        </w:rPr>
        <w:t>Regier TS</w:t>
      </w:r>
      <w:r>
        <w:rPr>
          <w:rFonts w:ascii="Book Antiqua" w:hAnsi="Book Antiqua" w:eastAsia="Book Antiqua" w:cs="Book Antiqua"/>
          <w:color w:val="000000"/>
        </w:rPr>
        <w:t xml:space="preserve">, Ramji FG. Pediatric hepatic hemangioma. </w:t>
      </w:r>
      <w:r>
        <w:rPr>
          <w:rFonts w:ascii="Book Antiqua" w:hAnsi="Book Antiqua" w:eastAsia="Book Antiqua" w:cs="Book Antiqua"/>
          <w:i/>
          <w:iCs/>
          <w:color w:val="000000"/>
        </w:rPr>
        <w:t>Radiographics</w:t>
      </w:r>
      <w:r>
        <w:rPr>
          <w:rFonts w:ascii="Book Antiqua" w:hAnsi="Book Antiqua" w:eastAsia="Book Antiqua" w:cs="Book Antiqua"/>
          <w:color w:val="000000"/>
        </w:rPr>
        <w:t xml:space="preserve"> 2004; </w:t>
      </w:r>
      <w:r>
        <w:rPr>
          <w:rFonts w:ascii="Book Antiqua" w:hAnsi="Book Antiqua" w:eastAsia="Book Antiqua" w:cs="Book Antiqua"/>
          <w:b/>
          <w:bCs/>
          <w:color w:val="000000"/>
        </w:rPr>
        <w:t>24</w:t>
      </w:r>
      <w:r>
        <w:rPr>
          <w:rFonts w:ascii="Book Antiqua" w:hAnsi="Book Antiqua" w:eastAsia="Book Antiqua" w:cs="Book Antiqua"/>
          <w:color w:val="000000"/>
        </w:rPr>
        <w:t>: 1719-1724 [PMID: 15537980 DOI: 10.1148/rg.246035188]</w:t>
      </w:r>
    </w:p>
    <w:p>
      <w:pPr>
        <w:spacing w:line="360" w:lineRule="auto"/>
        <w:jc w:val="both"/>
        <w:rPr>
          <w:rFonts w:ascii="Book Antiqua" w:hAnsi="Book Antiqua"/>
        </w:rPr>
      </w:pPr>
      <w:r>
        <w:rPr>
          <w:rFonts w:ascii="Book Antiqua" w:hAnsi="Book Antiqua" w:eastAsia="Book Antiqua" w:cs="Book Antiqua"/>
          <w:color w:val="000000"/>
        </w:rPr>
        <w:t xml:space="preserve">12 </w:t>
      </w:r>
      <w:r>
        <w:rPr>
          <w:rFonts w:ascii="Book Antiqua" w:hAnsi="Book Antiqua" w:eastAsia="Book Antiqua" w:cs="Book Antiqua"/>
          <w:b/>
          <w:bCs/>
          <w:color w:val="000000"/>
        </w:rPr>
        <w:t>Nasseri E</w:t>
      </w:r>
      <w:r>
        <w:rPr>
          <w:rFonts w:ascii="Book Antiqua" w:hAnsi="Book Antiqua" w:eastAsia="Book Antiqua" w:cs="Book Antiqua"/>
          <w:color w:val="000000"/>
        </w:rPr>
        <w:t xml:space="preserve">, Piram M, McCuaig CC, Kokta V, Dubois J, Powell J. Partially involuting congenital hemangiomas: a report of 8 cases and review of the literature. </w:t>
      </w:r>
      <w:r>
        <w:rPr>
          <w:rFonts w:ascii="Book Antiqua" w:hAnsi="Book Antiqua" w:eastAsia="Book Antiqua" w:cs="Book Antiqua"/>
          <w:i/>
          <w:iCs/>
          <w:color w:val="000000"/>
        </w:rPr>
        <w:t>J Am Acad Dermatol</w:t>
      </w:r>
      <w:r>
        <w:rPr>
          <w:rFonts w:ascii="Book Antiqua" w:hAnsi="Book Antiqua" w:eastAsia="Book Antiqua" w:cs="Book Antiqua"/>
          <w:color w:val="000000"/>
        </w:rPr>
        <w:t xml:space="preserve"> 2014; </w:t>
      </w:r>
      <w:r>
        <w:rPr>
          <w:rFonts w:ascii="Book Antiqua" w:hAnsi="Book Antiqua" w:eastAsia="Book Antiqua" w:cs="Book Antiqua"/>
          <w:b/>
          <w:bCs/>
          <w:color w:val="000000"/>
        </w:rPr>
        <w:t>70</w:t>
      </w:r>
      <w:r>
        <w:rPr>
          <w:rFonts w:ascii="Book Antiqua" w:hAnsi="Book Antiqua" w:eastAsia="Book Antiqua" w:cs="Book Antiqua"/>
          <w:color w:val="000000"/>
        </w:rPr>
        <w:t>: 75-79 [PMID: 24176519 DOI: 10.1016/j.jaad.2013.09.018]</w:t>
      </w:r>
    </w:p>
    <w:p>
      <w:pPr>
        <w:spacing w:line="360" w:lineRule="auto"/>
        <w:jc w:val="both"/>
        <w:rPr>
          <w:rFonts w:ascii="Book Antiqua" w:hAnsi="Book Antiqua"/>
        </w:rPr>
      </w:pPr>
      <w:r>
        <w:rPr>
          <w:rFonts w:ascii="Book Antiqua" w:hAnsi="Book Antiqua" w:eastAsia="Book Antiqua" w:cs="Book Antiqua"/>
          <w:color w:val="000000"/>
        </w:rPr>
        <w:t xml:space="preserve">13 </w:t>
      </w:r>
      <w:r>
        <w:rPr>
          <w:rFonts w:ascii="Book Antiqua" w:hAnsi="Book Antiqua" w:eastAsia="Book Antiqua" w:cs="Book Antiqua"/>
          <w:b/>
          <w:bCs/>
          <w:color w:val="000000"/>
        </w:rPr>
        <w:t>El Zein S</w:t>
      </w:r>
      <w:r>
        <w:rPr>
          <w:rFonts w:ascii="Book Antiqua" w:hAnsi="Book Antiqua" w:eastAsia="Book Antiqua" w:cs="Book Antiqua"/>
          <w:color w:val="000000"/>
        </w:rPr>
        <w:t xml:space="preserve">, Boccara O, Soupre V, Vieira AF, Bodemer C, Coulomb A, Wassef M, Fraitag S. The histopathology of congenital haemangioma and its clinical correlations: a long-term follow-up study of 55 cases. </w:t>
      </w:r>
      <w:r>
        <w:rPr>
          <w:rFonts w:ascii="Book Antiqua" w:hAnsi="Book Antiqua" w:eastAsia="Book Antiqua" w:cs="Book Antiqua"/>
          <w:i/>
          <w:iCs/>
          <w:color w:val="000000"/>
        </w:rPr>
        <w:t>Histopathology</w:t>
      </w:r>
      <w:r>
        <w:rPr>
          <w:rFonts w:ascii="Book Antiqua" w:hAnsi="Book Antiqua" w:eastAsia="Book Antiqua" w:cs="Book Antiqua"/>
          <w:color w:val="000000"/>
        </w:rPr>
        <w:t xml:space="preserve"> 2020; </w:t>
      </w:r>
      <w:r>
        <w:rPr>
          <w:rFonts w:ascii="Book Antiqua" w:hAnsi="Book Antiqua" w:eastAsia="Book Antiqua" w:cs="Book Antiqua"/>
          <w:b/>
          <w:bCs/>
          <w:color w:val="000000"/>
        </w:rPr>
        <w:t>77</w:t>
      </w:r>
      <w:r>
        <w:rPr>
          <w:rFonts w:ascii="Book Antiqua" w:hAnsi="Book Antiqua" w:eastAsia="Book Antiqua" w:cs="Book Antiqua"/>
          <w:color w:val="000000"/>
        </w:rPr>
        <w:t>: 275-283 [PMID: 32281140 DOI: 10.1111/his.14114]</w:t>
      </w:r>
    </w:p>
    <w:p>
      <w:pPr>
        <w:spacing w:line="360" w:lineRule="auto"/>
        <w:jc w:val="both"/>
        <w:rPr>
          <w:rFonts w:ascii="Book Antiqua" w:hAnsi="Book Antiqua"/>
        </w:rPr>
      </w:pPr>
      <w:r>
        <w:rPr>
          <w:rFonts w:ascii="Book Antiqua" w:hAnsi="Book Antiqua" w:eastAsia="Book Antiqua" w:cs="Book Antiqua"/>
          <w:color w:val="000000"/>
        </w:rPr>
        <w:t xml:space="preserve">14 </w:t>
      </w:r>
      <w:r>
        <w:rPr>
          <w:rFonts w:ascii="Book Antiqua" w:hAnsi="Book Antiqua" w:eastAsia="Book Antiqua" w:cs="Book Antiqua"/>
          <w:b/>
          <w:bCs/>
          <w:color w:val="000000"/>
        </w:rPr>
        <w:t>Trindade F</w:t>
      </w:r>
      <w:r>
        <w:rPr>
          <w:rFonts w:ascii="Book Antiqua" w:hAnsi="Book Antiqua" w:eastAsia="Book Antiqua" w:cs="Book Antiqua"/>
          <w:color w:val="000000"/>
        </w:rPr>
        <w:t xml:space="preserve">, Tellechea O, Torrelo A, Requena L, Colmenero I. Wilms tumor 1 expression in vascular neoplasms and vascular malformations. </w:t>
      </w:r>
      <w:r>
        <w:rPr>
          <w:rFonts w:ascii="Book Antiqua" w:hAnsi="Book Antiqua" w:eastAsia="Book Antiqua" w:cs="Book Antiqua"/>
          <w:i/>
          <w:iCs/>
          <w:color w:val="000000"/>
        </w:rPr>
        <w:t>Am J Dermatopathol</w:t>
      </w:r>
      <w:r>
        <w:rPr>
          <w:rFonts w:ascii="Book Antiqua" w:hAnsi="Book Antiqua" w:eastAsia="Book Antiqua" w:cs="Book Antiqua"/>
          <w:color w:val="000000"/>
        </w:rPr>
        <w:t xml:space="preserve"> 2011; </w:t>
      </w:r>
      <w:r>
        <w:rPr>
          <w:rFonts w:ascii="Book Antiqua" w:hAnsi="Book Antiqua" w:eastAsia="Book Antiqua" w:cs="Book Antiqua"/>
          <w:b/>
          <w:bCs/>
          <w:color w:val="000000"/>
        </w:rPr>
        <w:t>33</w:t>
      </w:r>
      <w:r>
        <w:rPr>
          <w:rFonts w:ascii="Book Antiqua" w:hAnsi="Book Antiqua" w:eastAsia="Book Antiqua" w:cs="Book Antiqua"/>
          <w:color w:val="000000"/>
        </w:rPr>
        <w:t>: 569-572 [PMID: 21697701 DOI: 10.1097/DAD.0b013e3182092527]</w:t>
      </w:r>
    </w:p>
    <w:p>
      <w:pPr>
        <w:spacing w:line="360" w:lineRule="auto"/>
        <w:jc w:val="both"/>
        <w:rPr>
          <w:rFonts w:ascii="Book Antiqua" w:hAnsi="Book Antiqua"/>
        </w:rPr>
      </w:pPr>
      <w:r>
        <w:rPr>
          <w:rFonts w:ascii="Book Antiqua" w:hAnsi="Book Antiqua" w:eastAsia="Book Antiqua" w:cs="Book Antiqua"/>
          <w:color w:val="000000"/>
        </w:rPr>
        <w:t xml:space="preserve">15 </w:t>
      </w:r>
      <w:r>
        <w:rPr>
          <w:rFonts w:ascii="Book Antiqua" w:hAnsi="Book Antiqua" w:eastAsia="Book Antiqua" w:cs="Book Antiqua"/>
          <w:b/>
          <w:bCs/>
          <w:color w:val="000000"/>
        </w:rPr>
        <w:t>Fujii T</w:t>
      </w:r>
      <w:r>
        <w:rPr>
          <w:rFonts w:ascii="Book Antiqua" w:hAnsi="Book Antiqua" w:eastAsia="Book Antiqua" w:cs="Book Antiqua"/>
          <w:color w:val="000000"/>
        </w:rPr>
        <w:t xml:space="preserve">, Zen Y, Sato Y, Sasaki M, Enomae M, Minato H, Masuda S, Uehara T, Katsuyama T, Nakanuma Y. Podoplanin is a useful diagnostic marker for epithelioid hemangioendothelioma of the liver. </w:t>
      </w:r>
      <w:r>
        <w:rPr>
          <w:rFonts w:ascii="Book Antiqua" w:hAnsi="Book Antiqua" w:eastAsia="Book Antiqua" w:cs="Book Antiqua"/>
          <w:i/>
          <w:iCs/>
          <w:color w:val="000000"/>
        </w:rPr>
        <w:t>Mod Pathol</w:t>
      </w:r>
      <w:r>
        <w:rPr>
          <w:rFonts w:ascii="Book Antiqua" w:hAnsi="Book Antiqua" w:eastAsia="Book Antiqua" w:cs="Book Antiqua"/>
          <w:color w:val="000000"/>
        </w:rPr>
        <w:t xml:space="preserve"> 2008; </w:t>
      </w:r>
      <w:r>
        <w:rPr>
          <w:rFonts w:ascii="Book Antiqua" w:hAnsi="Book Antiqua" w:eastAsia="Book Antiqua" w:cs="Book Antiqua"/>
          <w:b/>
          <w:bCs/>
          <w:color w:val="000000"/>
        </w:rPr>
        <w:t>21</w:t>
      </w:r>
      <w:r>
        <w:rPr>
          <w:rFonts w:ascii="Book Antiqua" w:hAnsi="Book Antiqua" w:eastAsia="Book Antiqua" w:cs="Book Antiqua"/>
          <w:color w:val="000000"/>
        </w:rPr>
        <w:t>: 125-130 [PMID: 18084256 DOI: 10.1038/modpathol.3800986]</w:t>
      </w:r>
    </w:p>
    <w:p>
      <w:pPr>
        <w:spacing w:line="360" w:lineRule="auto"/>
        <w:jc w:val="both"/>
        <w:rPr>
          <w:rFonts w:ascii="Book Antiqua" w:hAnsi="Book Antiqua"/>
        </w:rPr>
      </w:pPr>
      <w:r>
        <w:rPr>
          <w:rFonts w:ascii="Book Antiqua" w:hAnsi="Book Antiqua" w:eastAsia="Book Antiqua" w:cs="Book Antiqua"/>
          <w:color w:val="000000"/>
        </w:rPr>
        <w:t xml:space="preserve">16 </w:t>
      </w:r>
      <w:r>
        <w:rPr>
          <w:rFonts w:ascii="Book Antiqua" w:hAnsi="Book Antiqua" w:eastAsia="Book Antiqua" w:cs="Book Antiqua"/>
          <w:b/>
          <w:bCs/>
          <w:color w:val="000000"/>
        </w:rPr>
        <w:t>Triana P</w:t>
      </w:r>
      <w:r>
        <w:rPr>
          <w:rFonts w:ascii="Book Antiqua" w:hAnsi="Book Antiqua" w:eastAsia="Book Antiqua" w:cs="Book Antiqua"/>
          <w:color w:val="000000"/>
        </w:rPr>
        <w:t xml:space="preserve">, Rodríguez-Laguna L, Giacaman A, Salinas-Sanz JA, Martín-Santiago A, López-Santamaría M, Palacios E, Beato MJ, Martinez-González V, López-Gutierrez JC. Congenital hepatic hemangiomas: Clinical, histologic, and genetic correlation. </w:t>
      </w:r>
      <w:r>
        <w:rPr>
          <w:rFonts w:ascii="Book Antiqua" w:hAnsi="Book Antiqua" w:eastAsia="Book Antiqua" w:cs="Book Antiqua"/>
          <w:i/>
          <w:iCs/>
          <w:color w:val="000000"/>
        </w:rPr>
        <w:t>J Pediatr Surg</w:t>
      </w:r>
      <w:r>
        <w:rPr>
          <w:rFonts w:ascii="Book Antiqua" w:hAnsi="Book Antiqua" w:eastAsia="Book Antiqua" w:cs="Book Antiqua"/>
          <w:color w:val="000000"/>
        </w:rPr>
        <w:t xml:space="preserve"> 2020; </w:t>
      </w:r>
      <w:r>
        <w:rPr>
          <w:rFonts w:ascii="Book Antiqua" w:hAnsi="Book Antiqua" w:eastAsia="Book Antiqua" w:cs="Book Antiqua"/>
          <w:b/>
          <w:bCs/>
          <w:color w:val="000000"/>
        </w:rPr>
        <w:t>55</w:t>
      </w:r>
      <w:r>
        <w:rPr>
          <w:rFonts w:ascii="Book Antiqua" w:hAnsi="Book Antiqua" w:eastAsia="Book Antiqua" w:cs="Book Antiqua"/>
          <w:color w:val="000000"/>
        </w:rPr>
        <w:t>: 2170-2176 [PMID: 32115227 DOI: 10.1016/j.jpedsurg.2020.02.008]</w:t>
      </w:r>
    </w:p>
    <w:p>
      <w:pPr>
        <w:spacing w:line="360" w:lineRule="auto"/>
        <w:jc w:val="both"/>
        <w:rPr>
          <w:rFonts w:ascii="Book Antiqua" w:hAnsi="Book Antiqua"/>
        </w:rPr>
      </w:pPr>
      <w:r>
        <w:rPr>
          <w:rFonts w:ascii="Book Antiqua" w:hAnsi="Book Antiqua" w:eastAsia="Book Antiqua" w:cs="Book Antiqua"/>
          <w:color w:val="000000"/>
        </w:rPr>
        <w:t xml:space="preserve">17 </w:t>
      </w:r>
      <w:r>
        <w:rPr>
          <w:rFonts w:ascii="Book Antiqua" w:hAnsi="Book Antiqua" w:eastAsia="Book Antiqua" w:cs="Book Antiqua"/>
          <w:b/>
          <w:bCs/>
          <w:color w:val="000000"/>
        </w:rPr>
        <w:t>Ayturk UM</w:t>
      </w:r>
      <w:r>
        <w:rPr>
          <w:rFonts w:ascii="Book Antiqua" w:hAnsi="Book Antiqua" w:eastAsia="Book Antiqua" w:cs="Book Antiqua"/>
          <w:color w:val="000000"/>
        </w:rPr>
        <w:t xml:space="preserve">, Couto JA, Hann S, Mulliken JB, Williams KL, Huang AY, Fishman SJ, Boyd TK, Kozakewich HPW, Bischoff J, Greene AK, Warman ML. Somatic Activating Mutations in GNAQ and GNA11 Are Associated with Congenital Hemangioma. </w:t>
      </w:r>
      <w:r>
        <w:rPr>
          <w:rFonts w:ascii="Book Antiqua" w:hAnsi="Book Antiqua" w:eastAsia="Book Antiqua" w:cs="Book Antiqua"/>
          <w:i/>
          <w:iCs/>
          <w:color w:val="000000"/>
        </w:rPr>
        <w:t>Am J Hum Genet</w:t>
      </w:r>
      <w:r>
        <w:rPr>
          <w:rFonts w:ascii="Book Antiqua" w:hAnsi="Book Antiqua" w:eastAsia="Book Antiqua" w:cs="Book Antiqua"/>
          <w:color w:val="000000"/>
        </w:rPr>
        <w:t xml:space="preserve"> 2016; </w:t>
      </w:r>
      <w:r>
        <w:rPr>
          <w:rFonts w:ascii="Book Antiqua" w:hAnsi="Book Antiqua" w:eastAsia="Book Antiqua" w:cs="Book Antiqua"/>
          <w:b/>
          <w:bCs/>
          <w:color w:val="000000"/>
        </w:rPr>
        <w:t>98</w:t>
      </w:r>
      <w:r>
        <w:rPr>
          <w:rFonts w:ascii="Book Antiqua" w:hAnsi="Book Antiqua" w:eastAsia="Book Antiqua" w:cs="Book Antiqua"/>
          <w:color w:val="000000"/>
        </w:rPr>
        <w:t>: 1271 [PMID: 27259057 DOI: 10.1016/j.ajhg.2016.05.010]</w:t>
      </w:r>
    </w:p>
    <w:p>
      <w:pPr>
        <w:spacing w:line="360" w:lineRule="auto"/>
        <w:jc w:val="both"/>
        <w:rPr>
          <w:rFonts w:ascii="Book Antiqua" w:hAnsi="Book Antiqua"/>
        </w:rPr>
      </w:pPr>
      <w:r>
        <w:rPr>
          <w:rFonts w:ascii="Book Antiqua" w:hAnsi="Book Antiqua" w:eastAsia="Book Antiqua" w:cs="Book Antiqua"/>
          <w:color w:val="000000"/>
        </w:rPr>
        <w:t xml:space="preserve">18 </w:t>
      </w:r>
      <w:r>
        <w:rPr>
          <w:rFonts w:ascii="Book Antiqua" w:hAnsi="Book Antiqua" w:eastAsia="Book Antiqua" w:cs="Book Antiqua"/>
          <w:b/>
          <w:bCs/>
          <w:color w:val="000000"/>
        </w:rPr>
        <w:t>Gnarra M</w:t>
      </w:r>
      <w:r>
        <w:rPr>
          <w:rFonts w:ascii="Book Antiqua" w:hAnsi="Book Antiqua" w:eastAsia="Book Antiqua" w:cs="Book Antiqua"/>
          <w:color w:val="000000"/>
        </w:rPr>
        <w:t xml:space="preserve">, Behr G, Kitajewski A, Wu JK, Anupindi SA, Shawber CJ, Zavras N, Schizas D, Salakos C, Economopoulos KP. History of the infantile hepatic hemangioma: From imaging to generating a differential diagnosis. </w:t>
      </w:r>
      <w:r>
        <w:rPr>
          <w:rFonts w:ascii="Book Antiqua" w:hAnsi="Book Antiqua" w:eastAsia="Book Antiqua" w:cs="Book Antiqua"/>
          <w:i/>
          <w:iCs/>
          <w:color w:val="000000"/>
        </w:rPr>
        <w:t>World J Clin Pediatr</w:t>
      </w:r>
      <w:r>
        <w:rPr>
          <w:rFonts w:ascii="Book Antiqua" w:hAnsi="Book Antiqua" w:eastAsia="Book Antiqua" w:cs="Book Antiqua"/>
          <w:color w:val="000000"/>
        </w:rPr>
        <w:t xml:space="preserve"> 2016; </w:t>
      </w:r>
      <w:r>
        <w:rPr>
          <w:rFonts w:ascii="Book Antiqua" w:hAnsi="Book Antiqua" w:eastAsia="Book Antiqua" w:cs="Book Antiqua"/>
          <w:b/>
          <w:bCs/>
          <w:color w:val="000000"/>
        </w:rPr>
        <w:t>5</w:t>
      </w:r>
      <w:r>
        <w:rPr>
          <w:rFonts w:ascii="Book Antiqua" w:hAnsi="Book Antiqua" w:eastAsia="Book Antiqua" w:cs="Book Antiqua"/>
          <w:color w:val="000000"/>
        </w:rPr>
        <w:t>: 273-280 [PMID: 27610342 DOI: 10.5409/wjcp.v5.i3.273]</w:t>
      </w:r>
    </w:p>
    <w:p>
      <w:pPr>
        <w:spacing w:line="360" w:lineRule="auto"/>
        <w:jc w:val="both"/>
        <w:rPr>
          <w:rFonts w:ascii="Book Antiqua" w:hAnsi="Book Antiqua"/>
        </w:rPr>
      </w:pPr>
      <w:r>
        <w:rPr>
          <w:rFonts w:ascii="Book Antiqua" w:hAnsi="Book Antiqua" w:eastAsia="Book Antiqua" w:cs="Book Antiqua"/>
          <w:color w:val="000000"/>
        </w:rPr>
        <w:t xml:space="preserve">19 </w:t>
      </w:r>
      <w:r>
        <w:rPr>
          <w:rFonts w:ascii="Book Antiqua" w:hAnsi="Book Antiqua" w:eastAsia="Book Antiqua" w:cs="Book Antiqua"/>
          <w:b/>
          <w:bCs/>
          <w:color w:val="000000"/>
        </w:rPr>
        <w:t>Christison-Lagay ER</w:t>
      </w:r>
      <w:r>
        <w:rPr>
          <w:rFonts w:ascii="Book Antiqua" w:hAnsi="Book Antiqua" w:eastAsia="Book Antiqua" w:cs="Book Antiqua"/>
          <w:color w:val="000000"/>
        </w:rPr>
        <w:t xml:space="preserve">, Burrows PE, Alomari A, Dubois J, Kozakewich HP, Lane TS, Paltiel HJ, Klement G, Mulliken JB, Fishman SJ. Hepatic hemangiomas: subtype classification and development of a clinical practice algorithm and registry. </w:t>
      </w:r>
      <w:r>
        <w:rPr>
          <w:rFonts w:ascii="Book Antiqua" w:hAnsi="Book Antiqua" w:eastAsia="Book Antiqua" w:cs="Book Antiqua"/>
          <w:i/>
          <w:iCs/>
          <w:color w:val="000000"/>
        </w:rPr>
        <w:t>J Pediatr Surg</w:t>
      </w:r>
      <w:r>
        <w:rPr>
          <w:rFonts w:ascii="Book Antiqua" w:hAnsi="Book Antiqua" w:eastAsia="Book Antiqua" w:cs="Book Antiqua"/>
          <w:color w:val="000000"/>
        </w:rPr>
        <w:t xml:space="preserve"> 2007; </w:t>
      </w:r>
      <w:r>
        <w:rPr>
          <w:rFonts w:ascii="Book Antiqua" w:hAnsi="Book Antiqua" w:eastAsia="Book Antiqua" w:cs="Book Antiqua"/>
          <w:b/>
          <w:bCs/>
          <w:color w:val="000000"/>
        </w:rPr>
        <w:t>42</w:t>
      </w:r>
      <w:r>
        <w:rPr>
          <w:rFonts w:ascii="Book Antiqua" w:hAnsi="Book Antiqua" w:eastAsia="Book Antiqua" w:cs="Book Antiqua"/>
          <w:color w:val="000000"/>
        </w:rPr>
        <w:t>: 62-7; discussion 67-8 [PMID: 17208542 DOI: 10.1016/j.jpedsurg.2006.09.041]</w:t>
      </w:r>
    </w:p>
    <w:p>
      <w:pPr>
        <w:spacing w:line="360" w:lineRule="auto"/>
        <w:jc w:val="both"/>
        <w:rPr>
          <w:rFonts w:ascii="Book Antiqua" w:hAnsi="Book Antiqua"/>
        </w:rPr>
      </w:pPr>
      <w:r>
        <w:rPr>
          <w:rFonts w:ascii="Book Antiqua" w:hAnsi="Book Antiqua" w:eastAsia="Book Antiqua" w:cs="Book Antiqua"/>
          <w:color w:val="000000"/>
        </w:rPr>
        <w:t xml:space="preserve">20 </w:t>
      </w:r>
      <w:r>
        <w:rPr>
          <w:rFonts w:ascii="Book Antiqua" w:hAnsi="Book Antiqua" w:eastAsia="Book Antiqua" w:cs="Book Antiqua"/>
          <w:b/>
          <w:bCs/>
          <w:color w:val="000000"/>
        </w:rPr>
        <w:t>Flucke U</w:t>
      </w:r>
      <w:r>
        <w:rPr>
          <w:rFonts w:ascii="Book Antiqua" w:hAnsi="Book Antiqua" w:eastAsia="Book Antiqua" w:cs="Book Antiqua"/>
          <w:color w:val="000000"/>
        </w:rPr>
        <w:t xml:space="preserve">, Vogels RJ, de Saint Aubain Somerhausen N, Creytens DH, Riedl RG, van Gorp JM, Milne AN, Huysentruyt CJ, Verdijk MA, van Asseldonk MM, Suurmeijer AJ, Bras J, Palmedo G, Groenen PJ, Mentzel T. Epithelioid Hemangioendothelioma: clinicopathologic, immunhistochemical, and molecular genetic analysis of 39 cases. </w:t>
      </w:r>
      <w:r>
        <w:rPr>
          <w:rFonts w:ascii="Book Antiqua" w:hAnsi="Book Antiqua" w:eastAsia="Book Antiqua" w:cs="Book Antiqua"/>
          <w:i/>
          <w:iCs/>
          <w:color w:val="000000"/>
        </w:rPr>
        <w:t>Diagn Pathol</w:t>
      </w:r>
      <w:r>
        <w:rPr>
          <w:rFonts w:ascii="Book Antiqua" w:hAnsi="Book Antiqua" w:eastAsia="Book Antiqua" w:cs="Book Antiqua"/>
          <w:color w:val="000000"/>
        </w:rPr>
        <w:t xml:space="preserve"> 2014; </w:t>
      </w:r>
      <w:r>
        <w:rPr>
          <w:rFonts w:ascii="Book Antiqua" w:hAnsi="Book Antiqua" w:eastAsia="Book Antiqua" w:cs="Book Antiqua"/>
          <w:b/>
          <w:bCs/>
          <w:color w:val="000000"/>
        </w:rPr>
        <w:t>9</w:t>
      </w:r>
      <w:r>
        <w:rPr>
          <w:rFonts w:ascii="Book Antiqua" w:hAnsi="Book Antiqua" w:eastAsia="Book Antiqua" w:cs="Book Antiqua"/>
          <w:color w:val="000000"/>
        </w:rPr>
        <w:t>: 131 [PMID: 24986479 DOI: 10.1186/1746-1596-9-131]</w:t>
      </w:r>
    </w:p>
    <w:p>
      <w:pPr>
        <w:spacing w:line="360" w:lineRule="auto"/>
        <w:jc w:val="both"/>
        <w:rPr>
          <w:rFonts w:ascii="Book Antiqua" w:hAnsi="Book Antiqua"/>
        </w:rPr>
      </w:pPr>
      <w:r>
        <w:rPr>
          <w:rFonts w:ascii="Book Antiqua" w:hAnsi="Book Antiqua" w:eastAsia="Book Antiqua" w:cs="Book Antiqua"/>
          <w:color w:val="000000"/>
        </w:rPr>
        <w:t xml:space="preserve">21 </w:t>
      </w:r>
      <w:r>
        <w:rPr>
          <w:rFonts w:ascii="Book Antiqua" w:hAnsi="Book Antiqua" w:eastAsia="Book Antiqua" w:cs="Book Antiqua"/>
          <w:b/>
          <w:bCs/>
          <w:color w:val="000000"/>
        </w:rPr>
        <w:t>Zhang Z</w:t>
      </w:r>
      <w:r>
        <w:rPr>
          <w:rFonts w:ascii="Book Antiqua" w:hAnsi="Book Antiqua" w:eastAsia="Book Antiqua" w:cs="Book Antiqua"/>
          <w:color w:val="000000"/>
        </w:rPr>
        <w:t xml:space="preserve">, Chen HJ, Yang WJ, Bu H, Wei B, Long XY, Fu J, Zhang R, Ni YB, Zhang HY. Infantile hepatic hemangioendothelioma: a clinicopathologic study in a Chinese population. </w:t>
      </w:r>
      <w:r>
        <w:rPr>
          <w:rFonts w:ascii="Book Antiqua" w:hAnsi="Book Antiqua" w:eastAsia="Book Antiqua" w:cs="Book Antiqua"/>
          <w:i/>
          <w:iCs/>
          <w:color w:val="000000"/>
        </w:rPr>
        <w:t>World J Gastroenterol</w:t>
      </w:r>
      <w:r>
        <w:rPr>
          <w:rFonts w:ascii="Book Antiqua" w:hAnsi="Book Antiqua" w:eastAsia="Book Antiqua" w:cs="Book Antiqua"/>
          <w:color w:val="000000"/>
        </w:rPr>
        <w:t xml:space="preserve"> 2010; </w:t>
      </w:r>
      <w:r>
        <w:rPr>
          <w:rFonts w:ascii="Book Antiqua" w:hAnsi="Book Antiqua" w:eastAsia="Book Antiqua" w:cs="Book Antiqua"/>
          <w:b/>
          <w:bCs/>
          <w:color w:val="000000"/>
        </w:rPr>
        <w:t>16</w:t>
      </w:r>
      <w:r>
        <w:rPr>
          <w:rFonts w:ascii="Book Antiqua" w:hAnsi="Book Antiqua" w:eastAsia="Book Antiqua" w:cs="Book Antiqua"/>
          <w:color w:val="000000"/>
        </w:rPr>
        <w:t>: 4549-4557 [PMID: 20857525 DOI: 10.3748/wjg.v16.i36.4549]</w:t>
      </w:r>
    </w:p>
    <w:p>
      <w:pPr>
        <w:spacing w:line="360" w:lineRule="auto"/>
        <w:jc w:val="both"/>
        <w:rPr>
          <w:rFonts w:ascii="Book Antiqua" w:hAnsi="Book Antiqua"/>
        </w:rPr>
      </w:pPr>
      <w:r>
        <w:rPr>
          <w:rFonts w:ascii="Book Antiqua" w:hAnsi="Book Antiqua" w:eastAsia="Book Antiqua" w:cs="Book Antiqua"/>
          <w:color w:val="000000"/>
        </w:rPr>
        <w:t xml:space="preserve">22 </w:t>
      </w:r>
      <w:r>
        <w:rPr>
          <w:rFonts w:ascii="Book Antiqua" w:hAnsi="Book Antiqua" w:eastAsia="Book Antiqua" w:cs="Book Antiqua"/>
          <w:b/>
          <w:bCs/>
          <w:color w:val="000000"/>
        </w:rPr>
        <w:t>Hernández F</w:t>
      </w:r>
      <w:r>
        <w:rPr>
          <w:rFonts w:ascii="Book Antiqua" w:hAnsi="Book Antiqua" w:eastAsia="Book Antiqua" w:cs="Book Antiqua"/>
          <w:color w:val="000000"/>
        </w:rPr>
        <w:t xml:space="preserve">, Navarro M, Encinas JL, López Gutiérrez JC, López Santamaría M, Leal N, Martínez L, Patrón M, Tovar JA. The role of GLUT1 immunostaining in the diagnosis and classification of liver vascular tumors in children. </w:t>
      </w:r>
      <w:r>
        <w:rPr>
          <w:rFonts w:ascii="Book Antiqua" w:hAnsi="Book Antiqua" w:eastAsia="Book Antiqua" w:cs="Book Antiqua"/>
          <w:i/>
          <w:iCs/>
          <w:color w:val="000000"/>
        </w:rPr>
        <w:t>J Pediatr Surg</w:t>
      </w:r>
      <w:r>
        <w:rPr>
          <w:rFonts w:ascii="Book Antiqua" w:hAnsi="Book Antiqua" w:eastAsia="Book Antiqua" w:cs="Book Antiqua"/>
          <w:color w:val="000000"/>
        </w:rPr>
        <w:t xml:space="preserve"> 2005; </w:t>
      </w:r>
      <w:r>
        <w:rPr>
          <w:rFonts w:ascii="Book Antiqua" w:hAnsi="Book Antiqua" w:eastAsia="Book Antiqua" w:cs="Book Antiqua"/>
          <w:b/>
          <w:bCs/>
          <w:color w:val="000000"/>
        </w:rPr>
        <w:t>40</w:t>
      </w:r>
      <w:r>
        <w:rPr>
          <w:rFonts w:ascii="Book Antiqua" w:hAnsi="Book Antiqua" w:eastAsia="Book Antiqua" w:cs="Book Antiqua"/>
          <w:color w:val="000000"/>
        </w:rPr>
        <w:t>: 801-804 [PMID: 15937818 DOI: 10.1016/j.jpedsurg.2005.01.046]</w:t>
      </w:r>
    </w:p>
    <w:p>
      <w:pPr>
        <w:spacing w:line="360" w:lineRule="auto"/>
        <w:jc w:val="both"/>
        <w:rPr>
          <w:rFonts w:ascii="Book Antiqua" w:hAnsi="Book Antiqua"/>
        </w:rPr>
      </w:pPr>
      <w:r>
        <w:rPr>
          <w:rFonts w:ascii="Book Antiqua" w:hAnsi="Book Antiqua" w:eastAsia="Book Antiqua" w:cs="Book Antiqua"/>
          <w:color w:val="000000"/>
        </w:rPr>
        <w:t xml:space="preserve">23 </w:t>
      </w:r>
      <w:r>
        <w:rPr>
          <w:rFonts w:ascii="Book Antiqua" w:hAnsi="Book Antiqua" w:eastAsia="Book Antiqua" w:cs="Book Antiqua"/>
          <w:b/>
          <w:bCs/>
          <w:color w:val="000000"/>
        </w:rPr>
        <w:t>Smith CJF</w:t>
      </w:r>
      <w:r>
        <w:rPr>
          <w:rFonts w:ascii="Book Antiqua" w:hAnsi="Book Antiqua" w:eastAsia="Book Antiqua" w:cs="Book Antiqua"/>
          <w:color w:val="000000"/>
        </w:rPr>
        <w:t xml:space="preserve">, Friedlander SF, Guma M, Kavanaugh A, Chambers CD. Infantile Hemangiomas: An Updated Review on Risk Factors, Pathogenesis, and Treatment. </w:t>
      </w:r>
      <w:r>
        <w:rPr>
          <w:rFonts w:ascii="Book Antiqua" w:hAnsi="Book Antiqua" w:eastAsia="Book Antiqua" w:cs="Book Antiqua"/>
          <w:i/>
          <w:iCs/>
          <w:color w:val="000000"/>
        </w:rPr>
        <w:t>Birth Defects Res</w:t>
      </w:r>
      <w:r>
        <w:rPr>
          <w:rFonts w:ascii="Book Antiqua" w:hAnsi="Book Antiqua" w:eastAsia="Book Antiqua" w:cs="Book Antiqua"/>
          <w:color w:val="000000"/>
        </w:rPr>
        <w:t xml:space="preserve"> 2017; </w:t>
      </w:r>
      <w:r>
        <w:rPr>
          <w:rFonts w:ascii="Book Antiqua" w:hAnsi="Book Antiqua" w:eastAsia="Book Antiqua" w:cs="Book Antiqua"/>
          <w:b/>
          <w:bCs/>
          <w:color w:val="000000"/>
        </w:rPr>
        <w:t>109</w:t>
      </w:r>
      <w:r>
        <w:rPr>
          <w:rFonts w:ascii="Book Antiqua" w:hAnsi="Book Antiqua" w:eastAsia="Book Antiqua" w:cs="Book Antiqua"/>
          <w:color w:val="000000"/>
        </w:rPr>
        <w:t>: 809-815 [PMID: 28402073 DOI: 10.1002/bdr2.1023]</w:t>
      </w:r>
    </w:p>
    <w:p>
      <w:pPr>
        <w:spacing w:line="360" w:lineRule="auto"/>
        <w:jc w:val="both"/>
        <w:rPr>
          <w:rFonts w:ascii="Book Antiqua" w:hAnsi="Book Antiqua"/>
        </w:rPr>
      </w:pPr>
      <w:r>
        <w:rPr>
          <w:rFonts w:ascii="Book Antiqua" w:hAnsi="Book Antiqua" w:eastAsia="Book Antiqua" w:cs="Book Antiqua"/>
          <w:color w:val="000000"/>
        </w:rPr>
        <w:t xml:space="preserve">24 </w:t>
      </w:r>
      <w:r>
        <w:rPr>
          <w:rFonts w:ascii="Book Antiqua" w:hAnsi="Book Antiqua" w:eastAsia="Book Antiqua" w:cs="Book Antiqua"/>
          <w:b/>
          <w:bCs/>
          <w:color w:val="000000"/>
        </w:rPr>
        <w:t>Takahashi K</w:t>
      </w:r>
      <w:r>
        <w:rPr>
          <w:rFonts w:ascii="Book Antiqua" w:hAnsi="Book Antiqua" w:eastAsia="Book Antiqua" w:cs="Book Antiqua"/>
          <w:color w:val="000000"/>
        </w:rPr>
        <w:t xml:space="preserve">, Mulliken JB, Kozakewich HP, Rogers RA, Folkman J, Ezekowitz RA. Cellular markers that distinguish the phases of hemangioma during infancy and childhood. </w:t>
      </w:r>
      <w:r>
        <w:rPr>
          <w:rFonts w:ascii="Book Antiqua" w:hAnsi="Book Antiqua" w:eastAsia="Book Antiqua" w:cs="Book Antiqua"/>
          <w:i/>
          <w:iCs/>
          <w:color w:val="000000"/>
        </w:rPr>
        <w:t>J Clin Invest</w:t>
      </w:r>
      <w:r>
        <w:rPr>
          <w:rFonts w:ascii="Book Antiqua" w:hAnsi="Book Antiqua" w:eastAsia="Book Antiqua" w:cs="Book Antiqua"/>
          <w:color w:val="000000"/>
        </w:rPr>
        <w:t xml:space="preserve"> 1994; </w:t>
      </w:r>
      <w:r>
        <w:rPr>
          <w:rFonts w:ascii="Book Antiqua" w:hAnsi="Book Antiqua" w:eastAsia="Book Antiqua" w:cs="Book Antiqua"/>
          <w:b/>
          <w:bCs/>
          <w:color w:val="000000"/>
        </w:rPr>
        <w:t>93</w:t>
      </w:r>
      <w:r>
        <w:rPr>
          <w:rFonts w:ascii="Book Antiqua" w:hAnsi="Book Antiqua" w:eastAsia="Book Antiqua" w:cs="Book Antiqua"/>
          <w:color w:val="000000"/>
        </w:rPr>
        <w:t>: 2357-2364 [PMID: 7911127 DOI: 10.1172/JCI117241]</w:t>
      </w:r>
    </w:p>
    <w:p>
      <w:pPr>
        <w:spacing w:line="360" w:lineRule="auto"/>
        <w:jc w:val="both"/>
        <w:rPr>
          <w:rFonts w:ascii="Book Antiqua" w:hAnsi="Book Antiqua"/>
        </w:rPr>
      </w:pPr>
      <w:r>
        <w:rPr>
          <w:rFonts w:ascii="Book Antiqua" w:hAnsi="Book Antiqua" w:eastAsia="Book Antiqua" w:cs="Book Antiqua"/>
          <w:color w:val="000000"/>
        </w:rPr>
        <w:t xml:space="preserve">25 </w:t>
      </w:r>
      <w:r>
        <w:rPr>
          <w:rFonts w:ascii="Book Antiqua" w:hAnsi="Book Antiqua" w:eastAsia="Book Antiqua" w:cs="Book Antiqua"/>
          <w:b/>
          <w:bCs/>
          <w:color w:val="000000"/>
        </w:rPr>
        <w:t>Walter JW</w:t>
      </w:r>
      <w:r>
        <w:rPr>
          <w:rFonts w:ascii="Book Antiqua" w:hAnsi="Book Antiqua" w:eastAsia="Book Antiqua" w:cs="Book Antiqua"/>
          <w:color w:val="000000"/>
        </w:rPr>
        <w:t xml:space="preserve">, North PE, Waner M, Mizeracki A, Blei F, Walker JW, Reinisch JF, Marchuk DA. Somatic mutation of vascular endothelial growth factor receptors in juvenile hemangioma. </w:t>
      </w:r>
      <w:r>
        <w:rPr>
          <w:rFonts w:ascii="Book Antiqua" w:hAnsi="Book Antiqua" w:eastAsia="Book Antiqua" w:cs="Book Antiqua"/>
          <w:i/>
          <w:iCs/>
          <w:color w:val="000000"/>
        </w:rPr>
        <w:t>Genes Chromosomes Cancer</w:t>
      </w:r>
      <w:r>
        <w:rPr>
          <w:rFonts w:ascii="Book Antiqua" w:hAnsi="Book Antiqua" w:eastAsia="Book Antiqua" w:cs="Book Antiqua"/>
          <w:color w:val="000000"/>
        </w:rPr>
        <w:t xml:space="preserve"> 2002; </w:t>
      </w:r>
      <w:r>
        <w:rPr>
          <w:rFonts w:ascii="Book Antiqua" w:hAnsi="Book Antiqua" w:eastAsia="Book Antiqua" w:cs="Book Antiqua"/>
          <w:b/>
          <w:bCs/>
          <w:color w:val="000000"/>
        </w:rPr>
        <w:t>33</w:t>
      </w:r>
      <w:r>
        <w:rPr>
          <w:rFonts w:ascii="Book Antiqua" w:hAnsi="Book Antiqua" w:eastAsia="Book Antiqua" w:cs="Book Antiqua"/>
          <w:color w:val="000000"/>
        </w:rPr>
        <w:t>: 295-303 [PMID: 11807987 DOI: 10.1002/gcc.10028]</w:t>
      </w:r>
    </w:p>
    <w:p>
      <w:pPr>
        <w:spacing w:line="360" w:lineRule="auto"/>
        <w:jc w:val="both"/>
        <w:rPr>
          <w:rFonts w:ascii="Book Antiqua" w:hAnsi="Book Antiqua"/>
        </w:rPr>
      </w:pPr>
      <w:r>
        <w:rPr>
          <w:rFonts w:ascii="Book Antiqua" w:hAnsi="Book Antiqua" w:eastAsia="Book Antiqua" w:cs="Book Antiqua"/>
          <w:color w:val="000000"/>
        </w:rPr>
        <w:t xml:space="preserve">26 </w:t>
      </w:r>
      <w:r>
        <w:rPr>
          <w:rFonts w:ascii="Book Antiqua" w:hAnsi="Book Antiqua" w:eastAsia="Book Antiqua" w:cs="Book Antiqua"/>
          <w:b/>
          <w:bCs/>
          <w:color w:val="000000"/>
        </w:rPr>
        <w:t>Hettmer S</w:t>
      </w:r>
      <w:r>
        <w:rPr>
          <w:rFonts w:ascii="Book Antiqua" w:hAnsi="Book Antiqua" w:eastAsia="Book Antiqua" w:cs="Book Antiqua"/>
          <w:color w:val="000000"/>
        </w:rPr>
        <w:t xml:space="preserve">, Andrieux G, Hochrein J, Kurz P, Rössler J, Lassmann S, Werner M, von Bubnoff N, Peters C, Koscielniak E, Sparber-Sauer M, Niemeyer C, Mentzel T, Busch H, Boerries M. Epithelioid hemangioendotheliomas of the liver and lung in children and adolescents. </w:t>
      </w:r>
      <w:r>
        <w:rPr>
          <w:rFonts w:ascii="Book Antiqua" w:hAnsi="Book Antiqua" w:eastAsia="Book Antiqua" w:cs="Book Antiqua"/>
          <w:i/>
          <w:iCs/>
          <w:color w:val="000000"/>
        </w:rPr>
        <w:t>Pediatr Blood Cancer</w:t>
      </w:r>
      <w:r>
        <w:rPr>
          <w:rFonts w:ascii="Book Antiqua" w:hAnsi="Book Antiqua" w:eastAsia="Book Antiqua" w:cs="Book Antiqua"/>
          <w:color w:val="000000"/>
        </w:rPr>
        <w:t xml:space="preserve"> 2017; </w:t>
      </w:r>
      <w:r>
        <w:rPr>
          <w:rFonts w:ascii="Book Antiqua" w:hAnsi="Book Antiqua" w:eastAsia="Book Antiqua" w:cs="Book Antiqua"/>
          <w:b/>
          <w:bCs/>
          <w:color w:val="000000"/>
        </w:rPr>
        <w:t>64</w:t>
      </w:r>
      <w:r>
        <w:rPr>
          <w:rFonts w:ascii="Book Antiqua" w:hAnsi="Book Antiqua" w:eastAsia="Book Antiqua" w:cs="Book Antiqua"/>
          <w:color w:val="000000"/>
        </w:rPr>
        <w:t xml:space="preserve"> [PMID: 28598585 DOI: 10.1002/pbc.26675]</w:t>
      </w:r>
    </w:p>
    <w:p>
      <w:pPr>
        <w:spacing w:line="360" w:lineRule="auto"/>
        <w:jc w:val="both"/>
        <w:rPr>
          <w:rFonts w:ascii="Book Antiqua" w:hAnsi="Book Antiqua"/>
        </w:rPr>
      </w:pPr>
      <w:r>
        <w:rPr>
          <w:rFonts w:ascii="Book Antiqua" w:hAnsi="Book Antiqua" w:eastAsia="Book Antiqua" w:cs="Book Antiqua"/>
          <w:color w:val="000000"/>
        </w:rPr>
        <w:t xml:space="preserve">27 </w:t>
      </w:r>
      <w:r>
        <w:rPr>
          <w:rFonts w:ascii="Book Antiqua" w:hAnsi="Book Antiqua" w:eastAsia="Book Antiqua" w:cs="Book Antiqua"/>
          <w:b/>
          <w:bCs/>
          <w:color w:val="000000"/>
        </w:rPr>
        <w:t>Cournoyer E</w:t>
      </w:r>
      <w:r>
        <w:rPr>
          <w:rFonts w:ascii="Book Antiqua" w:hAnsi="Book Antiqua" w:eastAsia="Book Antiqua" w:cs="Book Antiqua"/>
          <w:color w:val="000000"/>
        </w:rPr>
        <w:t xml:space="preserve">, Al-Ibraheemi A, Engel E, Chaudry G, Stapleton S, Adams DM. Clinical characterization and long-term outcomes in pediatric epithelioid hemangioendothelioma. </w:t>
      </w:r>
      <w:r>
        <w:rPr>
          <w:rFonts w:ascii="Book Antiqua" w:hAnsi="Book Antiqua" w:eastAsia="Book Antiqua" w:cs="Book Antiqua"/>
          <w:i/>
          <w:iCs/>
          <w:color w:val="000000"/>
        </w:rPr>
        <w:t>Pediatr Blood Cancer</w:t>
      </w:r>
      <w:r>
        <w:rPr>
          <w:rFonts w:ascii="Book Antiqua" w:hAnsi="Book Antiqua" w:eastAsia="Book Antiqua" w:cs="Book Antiqua"/>
          <w:color w:val="000000"/>
        </w:rPr>
        <w:t xml:space="preserve"> 2020; </w:t>
      </w:r>
      <w:r>
        <w:rPr>
          <w:rFonts w:ascii="Book Antiqua" w:hAnsi="Book Antiqua" w:eastAsia="Book Antiqua" w:cs="Book Antiqua"/>
          <w:b/>
          <w:bCs/>
          <w:color w:val="000000"/>
        </w:rPr>
        <w:t>67</w:t>
      </w:r>
      <w:r>
        <w:rPr>
          <w:rFonts w:ascii="Book Antiqua" w:hAnsi="Book Antiqua" w:eastAsia="Book Antiqua" w:cs="Book Antiqua"/>
          <w:color w:val="000000"/>
        </w:rPr>
        <w:t>: e28045 [PMID: 31724797 DOI: 10.1002/pbc.28045]</w:t>
      </w:r>
    </w:p>
    <w:p>
      <w:pPr>
        <w:spacing w:line="360" w:lineRule="auto"/>
        <w:jc w:val="both"/>
        <w:rPr>
          <w:rFonts w:ascii="Book Antiqua" w:hAnsi="Book Antiqua"/>
        </w:rPr>
      </w:pPr>
      <w:r>
        <w:rPr>
          <w:rFonts w:ascii="Book Antiqua" w:hAnsi="Book Antiqua" w:eastAsia="Book Antiqua" w:cs="Book Antiqua"/>
          <w:color w:val="000000"/>
        </w:rPr>
        <w:t xml:space="preserve">28 </w:t>
      </w:r>
      <w:r>
        <w:rPr>
          <w:rFonts w:ascii="Book Antiqua" w:hAnsi="Book Antiqua" w:eastAsia="Book Antiqua" w:cs="Book Antiqua"/>
          <w:b/>
          <w:bCs/>
          <w:color w:val="000000"/>
        </w:rPr>
        <w:t>Jung H</w:t>
      </w:r>
      <w:r>
        <w:rPr>
          <w:rFonts w:ascii="Book Antiqua" w:hAnsi="Book Antiqua" w:eastAsia="Book Antiqua" w:cs="Book Antiqua"/>
          <w:color w:val="000000"/>
        </w:rPr>
        <w:t xml:space="preserve">, Kim HN, Jang Y, Park CK, Ha SY. CAMTA-1 Expression in 24 Cases of Hepatic Epithelioid Hemangioendothelioma in a Single Institute: Diagnostic Utility for Differential Diagnosis from Hepatic Angiosarcoma. </w:t>
      </w:r>
      <w:r>
        <w:rPr>
          <w:rFonts w:ascii="Book Antiqua" w:hAnsi="Book Antiqua" w:eastAsia="Book Antiqua" w:cs="Book Antiqua"/>
          <w:i/>
          <w:iCs/>
          <w:color w:val="000000"/>
        </w:rPr>
        <w:t>In Vivo</w:t>
      </w:r>
      <w:r>
        <w:rPr>
          <w:rFonts w:ascii="Book Antiqua" w:hAnsi="Book Antiqua" w:eastAsia="Book Antiqua" w:cs="Book Antiqua"/>
          <w:color w:val="000000"/>
        </w:rPr>
        <w:t xml:space="preserve"> 2019; </w:t>
      </w:r>
      <w:r>
        <w:rPr>
          <w:rFonts w:ascii="Book Antiqua" w:hAnsi="Book Antiqua" w:eastAsia="Book Antiqua" w:cs="Book Antiqua"/>
          <w:b/>
          <w:bCs/>
          <w:color w:val="000000"/>
        </w:rPr>
        <w:t>33</w:t>
      </w:r>
      <w:r>
        <w:rPr>
          <w:rFonts w:ascii="Book Antiqua" w:hAnsi="Book Antiqua" w:eastAsia="Book Antiqua" w:cs="Book Antiqua"/>
          <w:color w:val="000000"/>
        </w:rPr>
        <w:t>: 2293-2297 [PMID: 31662570 DOI: 10.21873/invivo.11736]</w:t>
      </w:r>
    </w:p>
    <w:p>
      <w:pPr>
        <w:spacing w:line="360" w:lineRule="auto"/>
        <w:jc w:val="both"/>
        <w:rPr>
          <w:rFonts w:ascii="Book Antiqua" w:hAnsi="Book Antiqua"/>
        </w:rPr>
      </w:pPr>
      <w:r>
        <w:rPr>
          <w:rFonts w:ascii="Book Antiqua" w:hAnsi="Book Antiqua" w:eastAsia="Book Antiqua" w:cs="Book Antiqua"/>
          <w:color w:val="000000"/>
        </w:rPr>
        <w:t xml:space="preserve">29 </w:t>
      </w:r>
      <w:r>
        <w:rPr>
          <w:rFonts w:ascii="Book Antiqua" w:hAnsi="Book Antiqua" w:eastAsia="Book Antiqua" w:cs="Book Antiqua"/>
          <w:b/>
          <w:bCs/>
          <w:color w:val="000000"/>
        </w:rPr>
        <w:t>Deyrup AT</w:t>
      </w:r>
      <w:r>
        <w:rPr>
          <w:rFonts w:ascii="Book Antiqua" w:hAnsi="Book Antiqua" w:eastAsia="Book Antiqua" w:cs="Book Antiqua"/>
          <w:color w:val="000000"/>
        </w:rPr>
        <w:t xml:space="preserve">, Miettinen M, North PE, Khoury JD, Tighiouart M, Spunt SL, Parham D, Weiss SW, Shehata BM. Angiosarcomas arising in the viscera and soft tissue of children and young adults: a clinicopathologic study of 15 cases.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2009; </w:t>
      </w:r>
      <w:r>
        <w:rPr>
          <w:rFonts w:ascii="Book Antiqua" w:hAnsi="Book Antiqua" w:eastAsia="Book Antiqua" w:cs="Book Antiqua"/>
          <w:b/>
          <w:bCs/>
          <w:color w:val="000000"/>
        </w:rPr>
        <w:t>33</w:t>
      </w:r>
      <w:r>
        <w:rPr>
          <w:rFonts w:ascii="Book Antiqua" w:hAnsi="Book Antiqua" w:eastAsia="Book Antiqua" w:cs="Book Antiqua"/>
          <w:color w:val="000000"/>
        </w:rPr>
        <w:t>: 264-269 [PMID: 18987547 DOI: 10.1097/PAS.0b013e3181875a5f]</w:t>
      </w:r>
    </w:p>
    <w:p>
      <w:pPr>
        <w:spacing w:line="360" w:lineRule="auto"/>
        <w:jc w:val="both"/>
        <w:rPr>
          <w:rFonts w:ascii="Book Antiqua" w:hAnsi="Book Antiqua"/>
        </w:rPr>
      </w:pPr>
      <w:r>
        <w:rPr>
          <w:rFonts w:ascii="Book Antiqua" w:hAnsi="Book Antiqua" w:eastAsia="Book Antiqua" w:cs="Book Antiqua"/>
          <w:color w:val="000000"/>
        </w:rPr>
        <w:t xml:space="preserve">30 </w:t>
      </w:r>
      <w:r>
        <w:rPr>
          <w:rFonts w:ascii="Book Antiqua" w:hAnsi="Book Antiqua" w:eastAsia="Book Antiqua" w:cs="Book Antiqua"/>
          <w:b/>
          <w:bCs/>
          <w:color w:val="000000"/>
        </w:rPr>
        <w:t>Dimashkieh HH</w:t>
      </w:r>
      <w:r>
        <w:rPr>
          <w:rFonts w:ascii="Book Antiqua" w:hAnsi="Book Antiqua" w:eastAsia="Book Antiqua" w:cs="Book Antiqua"/>
          <w:color w:val="000000"/>
        </w:rPr>
        <w:t xml:space="preserve">, Mo JQ, Wyatt-Ashmead J, Collins MH. Pediatric hepatic angiosarcoma: case report and review of the literature. </w:t>
      </w:r>
      <w:r>
        <w:rPr>
          <w:rFonts w:ascii="Book Antiqua" w:hAnsi="Book Antiqua" w:eastAsia="Book Antiqua" w:cs="Book Antiqua"/>
          <w:i/>
          <w:iCs/>
          <w:color w:val="000000"/>
        </w:rPr>
        <w:t>Pediatr Dev Pathol</w:t>
      </w:r>
      <w:r>
        <w:rPr>
          <w:rFonts w:ascii="Book Antiqua" w:hAnsi="Book Antiqua" w:eastAsia="Book Antiqua" w:cs="Book Antiqua"/>
          <w:color w:val="000000"/>
        </w:rPr>
        <w:t xml:space="preserve"> 2004; </w:t>
      </w:r>
      <w:r>
        <w:rPr>
          <w:rFonts w:ascii="Book Antiqua" w:hAnsi="Book Antiqua" w:eastAsia="Book Antiqua" w:cs="Book Antiqua"/>
          <w:b/>
          <w:bCs/>
          <w:color w:val="000000"/>
        </w:rPr>
        <w:t>7</w:t>
      </w:r>
      <w:r>
        <w:rPr>
          <w:rFonts w:ascii="Book Antiqua" w:hAnsi="Book Antiqua" w:eastAsia="Book Antiqua" w:cs="Book Antiqua"/>
          <w:color w:val="000000"/>
        </w:rPr>
        <w:t>: 527-532 [PMID: 15547777 DOI: 10.1007/s10024-004-4041-x]</w:t>
      </w:r>
    </w:p>
    <w:p>
      <w:pPr>
        <w:spacing w:line="360" w:lineRule="auto"/>
        <w:jc w:val="both"/>
        <w:rPr>
          <w:rFonts w:ascii="Book Antiqua" w:hAnsi="Book Antiqua"/>
        </w:rPr>
      </w:pPr>
      <w:r>
        <w:rPr>
          <w:rFonts w:ascii="Book Antiqua" w:hAnsi="Book Antiqua" w:eastAsia="Book Antiqua" w:cs="Book Antiqua"/>
          <w:color w:val="000000"/>
        </w:rPr>
        <w:t xml:space="preserve">31 </w:t>
      </w:r>
      <w:r>
        <w:rPr>
          <w:rFonts w:ascii="Book Antiqua" w:hAnsi="Book Antiqua" w:eastAsia="Book Antiqua" w:cs="Book Antiqua"/>
          <w:b/>
          <w:bCs/>
          <w:color w:val="000000"/>
        </w:rPr>
        <w:t>Chavhan GB</w:t>
      </w:r>
      <w:r>
        <w:rPr>
          <w:rFonts w:ascii="Book Antiqua" w:hAnsi="Book Antiqua" w:eastAsia="Book Antiqua" w:cs="Book Antiqua"/>
          <w:color w:val="000000"/>
        </w:rPr>
        <w:t xml:space="preserve">, Siddiqui I, Ingley KM, Gupta AA. Rare malignant liver tumors in children. </w:t>
      </w:r>
      <w:r>
        <w:rPr>
          <w:rFonts w:ascii="Book Antiqua" w:hAnsi="Book Antiqua" w:eastAsia="Book Antiqua" w:cs="Book Antiqua"/>
          <w:i/>
          <w:iCs/>
          <w:color w:val="000000"/>
        </w:rPr>
        <w:t>Pediatr Radiol</w:t>
      </w:r>
      <w:r>
        <w:rPr>
          <w:rFonts w:ascii="Book Antiqua" w:hAnsi="Book Antiqua" w:eastAsia="Book Antiqua" w:cs="Book Antiqua"/>
          <w:color w:val="000000"/>
        </w:rPr>
        <w:t xml:space="preserve"> 2019; </w:t>
      </w:r>
      <w:r>
        <w:rPr>
          <w:rFonts w:ascii="Book Antiqua" w:hAnsi="Book Antiqua" w:eastAsia="Book Antiqua" w:cs="Book Antiqua"/>
          <w:b/>
          <w:bCs/>
          <w:color w:val="000000"/>
        </w:rPr>
        <w:t>49</w:t>
      </w:r>
      <w:r>
        <w:rPr>
          <w:rFonts w:ascii="Book Antiqua" w:hAnsi="Book Antiqua" w:eastAsia="Book Antiqua" w:cs="Book Antiqua"/>
          <w:color w:val="000000"/>
        </w:rPr>
        <w:t>: 1404-1421 [PMID: 31620842 DOI: 10.1007/s00247-019-04402-8]</w:t>
      </w:r>
    </w:p>
    <w:p>
      <w:pPr>
        <w:spacing w:line="360" w:lineRule="auto"/>
        <w:jc w:val="both"/>
        <w:rPr>
          <w:rFonts w:ascii="Book Antiqua" w:hAnsi="Book Antiqua"/>
        </w:rPr>
      </w:pPr>
      <w:r>
        <w:rPr>
          <w:rFonts w:ascii="Book Antiqua" w:hAnsi="Book Antiqua" w:eastAsia="Book Antiqua" w:cs="Book Antiqua"/>
          <w:color w:val="000000"/>
        </w:rPr>
        <w:t xml:space="preserve">32 </w:t>
      </w:r>
      <w:r>
        <w:rPr>
          <w:rFonts w:ascii="Book Antiqua" w:hAnsi="Book Antiqua" w:eastAsia="Book Antiqua" w:cs="Book Antiqua"/>
          <w:b/>
          <w:bCs/>
          <w:color w:val="000000"/>
        </w:rPr>
        <w:t>Grassia KL</w:t>
      </w:r>
      <w:r>
        <w:rPr>
          <w:rFonts w:ascii="Book Antiqua" w:hAnsi="Book Antiqua" w:eastAsia="Book Antiqua" w:cs="Book Antiqua"/>
          <w:color w:val="000000"/>
        </w:rPr>
        <w:t xml:space="preserve">, Peterman CM, Iacobas I, Margolin JF, Bien E, Padhye B, Meyers RL, Adams DM. Clinical case series of pediatric hepatic angiosarcoma. </w:t>
      </w:r>
      <w:r>
        <w:rPr>
          <w:rFonts w:ascii="Book Antiqua" w:hAnsi="Book Antiqua" w:eastAsia="Book Antiqua" w:cs="Book Antiqua"/>
          <w:i/>
          <w:iCs/>
          <w:color w:val="000000"/>
        </w:rPr>
        <w:t>Pediatr Blood Cancer</w:t>
      </w:r>
      <w:r>
        <w:rPr>
          <w:rFonts w:ascii="Book Antiqua" w:hAnsi="Book Antiqua" w:eastAsia="Book Antiqua" w:cs="Book Antiqua"/>
          <w:color w:val="000000"/>
        </w:rPr>
        <w:t xml:space="preserve"> 2017; </w:t>
      </w:r>
      <w:r>
        <w:rPr>
          <w:rFonts w:ascii="Book Antiqua" w:hAnsi="Book Antiqua" w:eastAsia="Book Antiqua" w:cs="Book Antiqua"/>
          <w:b/>
          <w:bCs/>
          <w:color w:val="000000"/>
        </w:rPr>
        <w:t>64</w:t>
      </w:r>
      <w:r>
        <w:rPr>
          <w:rFonts w:ascii="Book Antiqua" w:hAnsi="Book Antiqua" w:eastAsia="Book Antiqua" w:cs="Book Antiqua"/>
          <w:color w:val="000000"/>
        </w:rPr>
        <w:t xml:space="preserve"> [PMID: 28521077 DOI: 10.1002/pbc.26627]</w:t>
      </w:r>
    </w:p>
    <w:p>
      <w:pPr>
        <w:spacing w:line="360" w:lineRule="auto"/>
        <w:jc w:val="both"/>
        <w:rPr>
          <w:rFonts w:ascii="Book Antiqua" w:hAnsi="Book Antiqua"/>
        </w:rPr>
      </w:pPr>
      <w:r>
        <w:rPr>
          <w:rFonts w:ascii="Book Antiqua" w:hAnsi="Book Antiqua" w:eastAsia="Book Antiqua" w:cs="Book Antiqua"/>
          <w:color w:val="000000"/>
        </w:rPr>
        <w:t xml:space="preserve">33 </w:t>
      </w:r>
      <w:r>
        <w:rPr>
          <w:rFonts w:ascii="Book Antiqua" w:hAnsi="Book Antiqua" w:eastAsia="Book Antiqua" w:cs="Book Antiqua"/>
          <w:b/>
          <w:bCs/>
          <w:color w:val="000000"/>
        </w:rPr>
        <w:t>Marletta S</w:t>
      </w:r>
      <w:r>
        <w:rPr>
          <w:rFonts w:ascii="Book Antiqua" w:hAnsi="Book Antiqua" w:eastAsia="Book Antiqua" w:cs="Book Antiqua"/>
          <w:color w:val="000000"/>
        </w:rPr>
        <w:t xml:space="preserve">, Cavallo E, Ammendola S, Stefanizzi L, Mastrosimini MG, D'Onofrio M, Brunelli M, Caliò A, Pecori S, Dalbeni A, Ruzzenente A, Capelli P. Multifocal Hepatic Angiosarcoma with Atypical Presentation: Case Report and Literature Review. </w:t>
      </w:r>
      <w:r>
        <w:rPr>
          <w:rFonts w:ascii="Book Antiqua" w:hAnsi="Book Antiqua" w:eastAsia="Book Antiqua" w:cs="Book Antiqua"/>
          <w:i/>
          <w:iCs/>
          <w:color w:val="000000"/>
        </w:rPr>
        <w:t>J Gastrointest Cancer</w:t>
      </w:r>
      <w:r>
        <w:rPr>
          <w:rFonts w:ascii="Book Antiqua" w:hAnsi="Book Antiqua" w:eastAsia="Book Antiqua" w:cs="Book Antiqua"/>
          <w:color w:val="000000"/>
        </w:rPr>
        <w:t xml:space="preserve"> 2021; </w:t>
      </w:r>
      <w:r>
        <w:rPr>
          <w:rFonts w:ascii="Book Antiqua" w:hAnsi="Book Antiqua" w:eastAsia="Book Antiqua" w:cs="Book Antiqua"/>
          <w:b/>
          <w:bCs/>
          <w:color w:val="000000"/>
        </w:rPr>
        <w:t>52</w:t>
      </w:r>
      <w:r>
        <w:rPr>
          <w:rFonts w:ascii="Book Antiqua" w:hAnsi="Book Antiqua" w:eastAsia="Book Antiqua" w:cs="Book Antiqua"/>
          <w:color w:val="000000"/>
        </w:rPr>
        <w:t>: 771-775 [PMID: 32894473 DOI: 10.1007/s12029-020-00504-x]</w:t>
      </w:r>
    </w:p>
    <w:p>
      <w:pPr>
        <w:spacing w:line="360" w:lineRule="auto"/>
        <w:jc w:val="both"/>
        <w:rPr>
          <w:rFonts w:ascii="Book Antiqua" w:hAnsi="Book Antiqua"/>
        </w:rPr>
      </w:pPr>
      <w:r>
        <w:rPr>
          <w:rFonts w:ascii="Book Antiqua" w:hAnsi="Book Antiqua" w:eastAsia="Book Antiqua" w:cs="Book Antiqua"/>
          <w:color w:val="000000"/>
        </w:rPr>
        <w:t xml:space="preserve">34 </w:t>
      </w:r>
      <w:r>
        <w:rPr>
          <w:rFonts w:ascii="Book Antiqua" w:hAnsi="Book Antiqua" w:eastAsia="Book Antiqua" w:cs="Book Antiqua"/>
          <w:b/>
          <w:bCs/>
          <w:color w:val="000000"/>
        </w:rPr>
        <w:t>Marks EI</w:t>
      </w:r>
      <w:r>
        <w:rPr>
          <w:rFonts w:ascii="Book Antiqua" w:hAnsi="Book Antiqua" w:eastAsia="Book Antiqua" w:cs="Book Antiqua"/>
          <w:color w:val="000000"/>
        </w:rPr>
        <w:t xml:space="preserve">, Pamarthy S, Dizon D, Birnbaum A, Yakirevich E, Safran H, Carneiro BA. </w:t>
      </w:r>
      <w:r>
        <w:rPr>
          <w:rFonts w:ascii="Book Antiqua" w:hAnsi="Book Antiqua" w:eastAsia="Book Antiqua" w:cs="Book Antiqua"/>
          <w:i/>
          <w:iCs/>
          <w:color w:val="000000"/>
        </w:rPr>
        <w:t>ROS1-GOPC/FIG</w:t>
      </w:r>
      <w:r>
        <w:rPr>
          <w:rFonts w:ascii="Book Antiqua" w:hAnsi="Book Antiqua" w:eastAsia="Book Antiqua" w:cs="Book Antiqua"/>
          <w:color w:val="000000"/>
        </w:rPr>
        <w:t xml:space="preserve">: a novel gene fusion in hepatic angiosarcoma. </w:t>
      </w:r>
      <w:r>
        <w:rPr>
          <w:rFonts w:ascii="Book Antiqua" w:hAnsi="Book Antiqua" w:eastAsia="Book Antiqua" w:cs="Book Antiqua"/>
          <w:i/>
          <w:iCs/>
          <w:color w:val="000000"/>
        </w:rPr>
        <w:t>Oncotarget</w:t>
      </w:r>
      <w:r>
        <w:rPr>
          <w:rFonts w:ascii="Book Antiqua" w:hAnsi="Book Antiqua" w:eastAsia="Book Antiqua" w:cs="Book Antiqua"/>
          <w:color w:val="000000"/>
        </w:rPr>
        <w:t xml:space="preserve"> 2019; </w:t>
      </w:r>
      <w:r>
        <w:rPr>
          <w:rFonts w:ascii="Book Antiqua" w:hAnsi="Book Antiqua" w:eastAsia="Book Antiqua" w:cs="Book Antiqua"/>
          <w:b/>
          <w:bCs/>
          <w:color w:val="000000"/>
        </w:rPr>
        <w:t>10</w:t>
      </w:r>
      <w:r>
        <w:rPr>
          <w:rFonts w:ascii="Book Antiqua" w:hAnsi="Book Antiqua" w:eastAsia="Book Antiqua" w:cs="Book Antiqua"/>
          <w:color w:val="000000"/>
        </w:rPr>
        <w:t>: 245-251 [PMID: 30719217 DOI: 10.18632/oncotarget.26521]</w:t>
      </w:r>
    </w:p>
    <w:p>
      <w:pPr>
        <w:spacing w:line="360" w:lineRule="auto"/>
        <w:jc w:val="both"/>
        <w:rPr>
          <w:rFonts w:ascii="Book Antiqua" w:hAnsi="Book Antiqua"/>
        </w:rPr>
      </w:pPr>
      <w:r>
        <w:rPr>
          <w:rFonts w:ascii="Book Antiqua" w:hAnsi="Book Antiqua" w:eastAsia="Book Antiqua" w:cs="Book Antiqua"/>
          <w:color w:val="000000"/>
        </w:rPr>
        <w:t xml:space="preserve">35 </w:t>
      </w:r>
      <w:r>
        <w:rPr>
          <w:rFonts w:ascii="Book Antiqua" w:hAnsi="Book Antiqua" w:eastAsia="Book Antiqua" w:cs="Book Antiqua"/>
          <w:b/>
          <w:bCs/>
          <w:color w:val="000000"/>
        </w:rPr>
        <w:t>Awan S</w:t>
      </w:r>
      <w:r>
        <w:rPr>
          <w:rFonts w:ascii="Book Antiqua" w:hAnsi="Book Antiqua" w:eastAsia="Book Antiqua" w:cs="Book Antiqua"/>
          <w:color w:val="000000"/>
        </w:rPr>
        <w:t xml:space="preserve">, Davenport M, Portmann B, Howard ER. Angiosarcoma of the liver in children. </w:t>
      </w:r>
      <w:r>
        <w:rPr>
          <w:rFonts w:ascii="Book Antiqua" w:hAnsi="Book Antiqua" w:eastAsia="Book Antiqua" w:cs="Book Antiqua"/>
          <w:i/>
          <w:iCs/>
          <w:color w:val="000000"/>
        </w:rPr>
        <w:t>J Pediatr Surg</w:t>
      </w:r>
      <w:r>
        <w:rPr>
          <w:rFonts w:ascii="Book Antiqua" w:hAnsi="Book Antiqua" w:eastAsia="Book Antiqua" w:cs="Book Antiqua"/>
          <w:color w:val="000000"/>
        </w:rPr>
        <w:t xml:space="preserve"> 1996; </w:t>
      </w:r>
      <w:r>
        <w:rPr>
          <w:rFonts w:ascii="Book Antiqua" w:hAnsi="Book Antiqua" w:eastAsia="Book Antiqua" w:cs="Book Antiqua"/>
          <w:b/>
          <w:bCs/>
          <w:color w:val="000000"/>
        </w:rPr>
        <w:t>31</w:t>
      </w:r>
      <w:r>
        <w:rPr>
          <w:rFonts w:ascii="Book Antiqua" w:hAnsi="Book Antiqua" w:eastAsia="Book Antiqua" w:cs="Book Antiqua"/>
          <w:color w:val="000000"/>
        </w:rPr>
        <w:t>: 1729-1732 [PMID: 8987004 DOI: 10.1016/s0022-3468(96)90065-2]</w:t>
      </w:r>
    </w:p>
    <w:p>
      <w:pPr>
        <w:spacing w:line="360" w:lineRule="auto"/>
        <w:jc w:val="both"/>
        <w:rPr>
          <w:rFonts w:ascii="Book Antiqua" w:hAnsi="Book Antiqua"/>
        </w:rPr>
      </w:pPr>
      <w:r>
        <w:rPr>
          <w:rFonts w:ascii="Book Antiqua" w:hAnsi="Book Antiqua" w:eastAsia="Book Antiqua" w:cs="Book Antiqua"/>
          <w:color w:val="000000"/>
        </w:rPr>
        <w:t xml:space="preserve">36 </w:t>
      </w:r>
      <w:r>
        <w:rPr>
          <w:rFonts w:ascii="Book Antiqua" w:hAnsi="Book Antiqua" w:eastAsia="Book Antiqua" w:cs="Book Antiqua"/>
          <w:b/>
          <w:bCs/>
          <w:color w:val="000000"/>
        </w:rPr>
        <w:t>Wang ZB</w:t>
      </w:r>
      <w:r>
        <w:rPr>
          <w:rFonts w:ascii="Book Antiqua" w:hAnsi="Book Antiqua" w:eastAsia="Book Antiqua" w:cs="Book Antiqua"/>
          <w:color w:val="000000"/>
        </w:rPr>
        <w:t xml:space="preserve">, Wei LX. [Primary hepatic angiosarcoma: a clinical and pathological analysis]. </w:t>
      </w:r>
      <w:r>
        <w:rPr>
          <w:rFonts w:ascii="Book Antiqua" w:hAnsi="Book Antiqua" w:eastAsia="Book Antiqua" w:cs="Book Antiqua"/>
          <w:i/>
          <w:iCs/>
          <w:color w:val="000000"/>
        </w:rPr>
        <w:t>Zhonghua Bing Li Xue Za Zhi</w:t>
      </w:r>
      <w:r>
        <w:rPr>
          <w:rFonts w:ascii="Book Antiqua" w:hAnsi="Book Antiqua" w:eastAsia="Book Antiqua" w:cs="Book Antiqua"/>
          <w:color w:val="000000"/>
        </w:rPr>
        <w:t xml:space="preserve"> 2013; </w:t>
      </w:r>
      <w:r>
        <w:rPr>
          <w:rFonts w:ascii="Book Antiqua" w:hAnsi="Book Antiqua" w:eastAsia="Book Antiqua" w:cs="Book Antiqua"/>
          <w:b/>
          <w:bCs/>
          <w:color w:val="000000"/>
        </w:rPr>
        <w:t>42</w:t>
      </w:r>
      <w:r>
        <w:rPr>
          <w:rFonts w:ascii="Book Antiqua" w:hAnsi="Book Antiqua" w:eastAsia="Book Antiqua" w:cs="Book Antiqua"/>
          <w:color w:val="000000"/>
        </w:rPr>
        <w:t>: 376-380 [PMID: 24060070 DOI: 10.3760/cma.j.issn.0529-5807.2013.06.005]</w:t>
      </w:r>
    </w:p>
    <w:p>
      <w:pPr>
        <w:spacing w:line="360" w:lineRule="auto"/>
        <w:jc w:val="both"/>
        <w:rPr>
          <w:rFonts w:ascii="Book Antiqua" w:hAnsi="Book Antiqua"/>
        </w:rPr>
      </w:pPr>
      <w:r>
        <w:rPr>
          <w:rFonts w:ascii="Book Antiqua" w:hAnsi="Book Antiqua" w:eastAsia="Book Antiqua" w:cs="Book Antiqua"/>
          <w:color w:val="000000"/>
        </w:rPr>
        <w:t xml:space="preserve">37 </w:t>
      </w:r>
      <w:r>
        <w:rPr>
          <w:rFonts w:ascii="Book Antiqua" w:hAnsi="Book Antiqua" w:eastAsia="Book Antiqua" w:cs="Book Antiqua"/>
          <w:b/>
          <w:bCs/>
          <w:color w:val="000000"/>
        </w:rPr>
        <w:t>Gigante E</w:t>
      </w:r>
      <w:r>
        <w:rPr>
          <w:rFonts w:ascii="Book Antiqua" w:hAnsi="Book Antiqua" w:eastAsia="Book Antiqua" w:cs="Book Antiqua"/>
          <w:color w:val="000000"/>
        </w:rPr>
        <w:t xml:space="preserve">, Paradis V, Ronot M, Cauchy F, Soubrane O, Ganne-Carrié N, Nault JC. New insights into the pathophysiology and clinical care of rare primary liver cancers. </w:t>
      </w:r>
      <w:r>
        <w:rPr>
          <w:rFonts w:ascii="Book Antiqua" w:hAnsi="Book Antiqua" w:eastAsia="Book Antiqua" w:cs="Book Antiqua"/>
          <w:i/>
          <w:iCs/>
          <w:color w:val="000000"/>
        </w:rPr>
        <w:t>JHEP Rep</w:t>
      </w:r>
      <w:r>
        <w:rPr>
          <w:rFonts w:ascii="Book Antiqua" w:hAnsi="Book Antiqua" w:eastAsia="Book Antiqua" w:cs="Book Antiqua"/>
          <w:color w:val="000000"/>
        </w:rPr>
        <w:t xml:space="preserve"> 2021; </w:t>
      </w:r>
      <w:r>
        <w:rPr>
          <w:rFonts w:ascii="Book Antiqua" w:hAnsi="Book Antiqua" w:eastAsia="Book Antiqua" w:cs="Book Antiqua"/>
          <w:b/>
          <w:bCs/>
          <w:color w:val="000000"/>
        </w:rPr>
        <w:t>3</w:t>
      </w:r>
      <w:r>
        <w:rPr>
          <w:rFonts w:ascii="Book Antiqua" w:hAnsi="Book Antiqua" w:eastAsia="Book Antiqua" w:cs="Book Antiqua"/>
          <w:color w:val="000000"/>
        </w:rPr>
        <w:t>: 100174 [PMID: 33205035 DOI: 10.1016/j.jhepr.2020.100174]</w:t>
      </w:r>
    </w:p>
    <w:p>
      <w:pPr>
        <w:spacing w:line="360" w:lineRule="auto"/>
        <w:jc w:val="both"/>
        <w:rPr>
          <w:rFonts w:ascii="Book Antiqua" w:hAnsi="Book Antiqua"/>
        </w:rPr>
      </w:pPr>
      <w:r>
        <w:rPr>
          <w:rFonts w:ascii="Book Antiqua" w:hAnsi="Book Antiqua" w:eastAsia="Book Antiqua" w:cs="Book Antiqua"/>
          <w:color w:val="000000"/>
        </w:rPr>
        <w:t xml:space="preserve">38 </w:t>
      </w:r>
      <w:r>
        <w:rPr>
          <w:rFonts w:ascii="Book Antiqua" w:hAnsi="Book Antiqua" w:eastAsia="Book Antiqua" w:cs="Book Antiqua"/>
          <w:b/>
          <w:bCs/>
          <w:color w:val="000000"/>
        </w:rPr>
        <w:t>Przygodzki RM</w:t>
      </w:r>
      <w:r>
        <w:rPr>
          <w:rFonts w:ascii="Book Antiqua" w:hAnsi="Book Antiqua" w:eastAsia="Book Antiqua" w:cs="Book Antiqua"/>
          <w:color w:val="000000"/>
        </w:rPr>
        <w:t xml:space="preserve">, Finkelstein SD, Keohavong P, Zhu D, Bakker A, Swalsky PA, Soini Y, Ishak KG, Bennett WP. Sporadic and Thorotrast-induced angiosarcomas of the liver manifest frequent and multiple point mutations in K-ras-2. </w:t>
      </w:r>
      <w:r>
        <w:rPr>
          <w:rFonts w:ascii="Book Antiqua" w:hAnsi="Book Antiqua" w:eastAsia="Book Antiqua" w:cs="Book Antiqua"/>
          <w:i/>
          <w:iCs/>
          <w:color w:val="000000"/>
        </w:rPr>
        <w:t>Lab Invest</w:t>
      </w:r>
      <w:r>
        <w:rPr>
          <w:rFonts w:ascii="Book Antiqua" w:hAnsi="Book Antiqua" w:eastAsia="Book Antiqua" w:cs="Book Antiqua"/>
          <w:color w:val="000000"/>
        </w:rPr>
        <w:t xml:space="preserve"> 1997; </w:t>
      </w:r>
      <w:r>
        <w:rPr>
          <w:rFonts w:ascii="Book Antiqua" w:hAnsi="Book Antiqua" w:eastAsia="Book Antiqua" w:cs="Book Antiqua"/>
          <w:b/>
          <w:bCs/>
          <w:color w:val="000000"/>
        </w:rPr>
        <w:t>76</w:t>
      </w:r>
      <w:r>
        <w:rPr>
          <w:rFonts w:ascii="Book Antiqua" w:hAnsi="Book Antiqua" w:eastAsia="Book Antiqua" w:cs="Book Antiqua"/>
          <w:color w:val="000000"/>
        </w:rPr>
        <w:t>: 153-159 [PMID: 9010458]</w:t>
      </w:r>
    </w:p>
    <w:p>
      <w:pPr>
        <w:spacing w:line="360" w:lineRule="auto"/>
        <w:jc w:val="both"/>
        <w:rPr>
          <w:rFonts w:ascii="Book Antiqua" w:hAnsi="Book Antiqua"/>
        </w:rPr>
      </w:pPr>
      <w:r>
        <w:rPr>
          <w:rFonts w:ascii="Book Antiqua" w:hAnsi="Book Antiqua" w:eastAsia="Book Antiqua" w:cs="Book Antiqua"/>
          <w:color w:val="000000"/>
        </w:rPr>
        <w:t xml:space="preserve">39 </w:t>
      </w:r>
      <w:r>
        <w:rPr>
          <w:rFonts w:ascii="Book Antiqua" w:hAnsi="Book Antiqua" w:eastAsia="Book Antiqua" w:cs="Book Antiqua"/>
          <w:b/>
          <w:bCs/>
          <w:color w:val="000000"/>
        </w:rPr>
        <w:t>Tate G</w:t>
      </w:r>
      <w:r>
        <w:rPr>
          <w:rFonts w:ascii="Book Antiqua" w:hAnsi="Book Antiqua" w:eastAsia="Book Antiqua" w:cs="Book Antiqua"/>
          <w:color w:val="000000"/>
        </w:rPr>
        <w:t xml:space="preserve">, Suzuki T, Mitsuya T. Mutation of the PTEN gene in a human hepatic angiosarcoma. </w:t>
      </w:r>
      <w:r>
        <w:rPr>
          <w:rFonts w:ascii="Book Antiqua" w:hAnsi="Book Antiqua" w:eastAsia="Book Antiqua" w:cs="Book Antiqua"/>
          <w:i/>
          <w:iCs/>
          <w:color w:val="000000"/>
        </w:rPr>
        <w:t>Cancer Genet Cytogenet</w:t>
      </w:r>
      <w:r>
        <w:rPr>
          <w:rFonts w:ascii="Book Antiqua" w:hAnsi="Book Antiqua" w:eastAsia="Book Antiqua" w:cs="Book Antiqua"/>
          <w:color w:val="000000"/>
        </w:rPr>
        <w:t xml:space="preserve"> 2007; </w:t>
      </w:r>
      <w:r>
        <w:rPr>
          <w:rFonts w:ascii="Book Antiqua" w:hAnsi="Book Antiqua" w:eastAsia="Book Antiqua" w:cs="Book Antiqua"/>
          <w:b/>
          <w:bCs/>
          <w:color w:val="000000"/>
        </w:rPr>
        <w:t>178</w:t>
      </w:r>
      <w:r>
        <w:rPr>
          <w:rFonts w:ascii="Book Antiqua" w:hAnsi="Book Antiqua" w:eastAsia="Book Antiqua" w:cs="Book Antiqua"/>
          <w:color w:val="000000"/>
        </w:rPr>
        <w:t>: 160-162 [PMID: 17954274 DOI: 10.1016/j.cancergencyto.2007.07.017]</w:t>
      </w:r>
    </w:p>
    <w:bookmarkEnd w:id="9"/>
    <w:bookmarkEnd w:id="10"/>
    <w:p>
      <w:pPr>
        <w:spacing w:line="360" w:lineRule="auto"/>
        <w:jc w:val="both"/>
        <w:rPr>
          <w:rFonts w:ascii="Book Antiqua" w:hAnsi="Book Antiqua"/>
        </w:rPr>
        <w:sectPr>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rPr>
      </w:pPr>
      <w:r>
        <w:rPr>
          <w:rFonts w:ascii="Book Antiqua" w:hAnsi="Book Antiqua" w:eastAsia="Book Antiqua" w:cs="Book Antiqua"/>
          <w:b/>
          <w:color w:val="000000"/>
        </w:rPr>
        <w:t>Footnotes</w:t>
      </w:r>
    </w:p>
    <w:p>
      <w:pPr>
        <w:spacing w:line="360" w:lineRule="auto"/>
        <w:jc w:val="both"/>
        <w:rPr>
          <w:rFonts w:ascii="Book Antiqua" w:hAnsi="Book Antiqua"/>
        </w:rPr>
      </w:pPr>
      <w:r>
        <w:rPr>
          <w:rFonts w:ascii="Book Antiqua" w:hAnsi="Book Antiqua" w:eastAsia="Book Antiqua" w:cs="Book Antiqua"/>
          <w:b/>
          <w:bCs/>
          <w:color w:val="000000"/>
        </w:rPr>
        <w:t xml:space="preserve">Conflict-of-interest statement: </w:t>
      </w:r>
      <w:r>
        <w:rPr>
          <w:rFonts w:ascii="Book Antiqua" w:hAnsi="Book Antiqua" w:eastAsia="Book Antiqua" w:cs="Book Antiqua"/>
          <w:color w:val="000000"/>
          <w:shd w:val="clear" w:color="auto" w:fill="FFFFFF"/>
        </w:rPr>
        <w:t>The authors state that there are no conflicts of interest to disclose.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Open-Access: </w:t>
      </w:r>
      <w:r>
        <w:rPr>
          <w:rFonts w:ascii="Book Antiqua" w:hAnsi="Book Antiqua" w:eastAsia="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Manuscript source: </w:t>
      </w:r>
      <w:r>
        <w:rPr>
          <w:rFonts w:ascii="Book Antiqua" w:hAnsi="Book Antiqua" w:eastAsia="Book Antiqua" w:cs="Book Antiqua"/>
          <w:color w:val="000000"/>
        </w:rPr>
        <w:t>Invited manuscript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Peer-review started: </w:t>
      </w:r>
      <w:r>
        <w:rPr>
          <w:rFonts w:ascii="Book Antiqua" w:hAnsi="Book Antiqua" w:eastAsia="Book Antiqua" w:cs="Book Antiqua"/>
          <w:color w:val="000000"/>
        </w:rPr>
        <w:t>February 26, 2021</w:t>
      </w:r>
    </w:p>
    <w:p>
      <w:pPr>
        <w:spacing w:line="360" w:lineRule="auto"/>
        <w:jc w:val="both"/>
        <w:rPr>
          <w:rFonts w:ascii="Book Antiqua" w:hAnsi="Book Antiqua"/>
        </w:rPr>
      </w:pPr>
      <w:r>
        <w:rPr>
          <w:rFonts w:ascii="Book Antiqua" w:hAnsi="Book Antiqua" w:eastAsia="Book Antiqua" w:cs="Book Antiqua"/>
          <w:b/>
          <w:color w:val="000000"/>
        </w:rPr>
        <w:t xml:space="preserve">First decision: </w:t>
      </w:r>
      <w:r>
        <w:rPr>
          <w:rFonts w:ascii="Book Antiqua" w:hAnsi="Book Antiqua" w:eastAsia="Book Antiqua" w:cs="Book Antiqua"/>
          <w:color w:val="000000"/>
        </w:rPr>
        <w:t>May 3, 2021</w:t>
      </w:r>
    </w:p>
    <w:p>
      <w:pPr>
        <w:spacing w:line="360" w:lineRule="auto"/>
        <w:jc w:val="both"/>
        <w:rPr>
          <w:rFonts w:ascii="Book Antiqua" w:hAnsi="Book Antiqua"/>
        </w:rPr>
      </w:pPr>
      <w:r>
        <w:rPr>
          <w:rFonts w:ascii="Book Antiqua" w:hAnsi="Book Antiqua" w:eastAsia="Book Antiqua" w:cs="Book Antiqua"/>
          <w:b/>
          <w:color w:val="000000"/>
        </w:rPr>
        <w:t xml:space="preserve">Article in press: </w:t>
      </w:r>
      <w:r>
        <w:rPr>
          <w:rFonts w:ascii="Book Antiqua" w:hAnsi="Book Antiqua" w:eastAsia="Book Antiqua" w:cs="Book Antiqua"/>
          <w:color w:val="000000"/>
        </w:rPr>
        <w:t>August 27, 2021</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Specialty type: </w:t>
      </w:r>
      <w:r>
        <w:rPr>
          <w:rFonts w:ascii="Book Antiqua" w:hAnsi="Book Antiqua" w:eastAsia="Book Antiqua" w:cs="Book Antiqua"/>
          <w:color w:val="000000"/>
        </w:rPr>
        <w:t>Anatomy and morphology</w:t>
      </w:r>
    </w:p>
    <w:p>
      <w:pPr>
        <w:spacing w:line="360" w:lineRule="auto"/>
        <w:jc w:val="both"/>
        <w:rPr>
          <w:rFonts w:ascii="Book Antiqua" w:hAnsi="Book Antiqua"/>
        </w:rPr>
      </w:pPr>
      <w:r>
        <w:rPr>
          <w:rFonts w:ascii="Book Antiqua" w:hAnsi="Book Antiqua" w:eastAsia="Book Antiqua" w:cs="Book Antiqua"/>
          <w:b/>
          <w:color w:val="000000"/>
        </w:rPr>
        <w:t xml:space="preserve">Country/Territory of origin: </w:t>
      </w:r>
      <w:r>
        <w:rPr>
          <w:rFonts w:ascii="Book Antiqua" w:hAnsi="Book Antiqua" w:eastAsia="Book Antiqua" w:cs="Book Antiqua"/>
          <w:color w:val="000000"/>
        </w:rPr>
        <w:t>Belgium</w:t>
      </w:r>
    </w:p>
    <w:p>
      <w:pPr>
        <w:spacing w:line="360" w:lineRule="auto"/>
        <w:jc w:val="both"/>
        <w:rPr>
          <w:rFonts w:ascii="Book Antiqua" w:hAnsi="Book Antiqua"/>
        </w:rPr>
      </w:pPr>
      <w:r>
        <w:rPr>
          <w:rFonts w:ascii="Book Antiqua" w:hAnsi="Book Antiqua" w:eastAsia="Book Antiqua" w:cs="Book Antiqua"/>
          <w:b/>
          <w:color w:val="000000"/>
        </w:rPr>
        <w:t>Peer-review report’s scientific quality classification</w:t>
      </w:r>
    </w:p>
    <w:p>
      <w:pPr>
        <w:spacing w:line="360" w:lineRule="auto"/>
        <w:jc w:val="both"/>
        <w:rPr>
          <w:rFonts w:ascii="Book Antiqua" w:hAnsi="Book Antiqua"/>
        </w:rPr>
      </w:pPr>
      <w:r>
        <w:rPr>
          <w:rFonts w:ascii="Book Antiqua" w:hAnsi="Book Antiqua" w:eastAsia="Book Antiqua" w:cs="Book Antiqua"/>
          <w:color w:val="000000"/>
        </w:rPr>
        <w:t>Grade A (Excellent): 0</w:t>
      </w:r>
    </w:p>
    <w:p>
      <w:pPr>
        <w:spacing w:line="360" w:lineRule="auto"/>
        <w:jc w:val="both"/>
        <w:rPr>
          <w:rFonts w:ascii="Book Antiqua" w:hAnsi="Book Antiqua"/>
        </w:rPr>
      </w:pPr>
      <w:r>
        <w:rPr>
          <w:rFonts w:ascii="Book Antiqua" w:hAnsi="Book Antiqua" w:eastAsia="Book Antiqua" w:cs="Book Antiqua"/>
          <w:color w:val="000000"/>
        </w:rPr>
        <w:t>Grade B (Very good): B, B</w:t>
      </w:r>
    </w:p>
    <w:p>
      <w:pPr>
        <w:spacing w:line="360" w:lineRule="auto"/>
        <w:jc w:val="both"/>
        <w:rPr>
          <w:rFonts w:ascii="Book Antiqua" w:hAnsi="Book Antiqua"/>
        </w:rPr>
      </w:pPr>
      <w:r>
        <w:rPr>
          <w:rFonts w:ascii="Book Antiqua" w:hAnsi="Book Antiqua" w:eastAsia="Book Antiqua" w:cs="Book Antiqua"/>
          <w:color w:val="000000"/>
        </w:rPr>
        <w:t>Grade C (Good): 0</w:t>
      </w:r>
    </w:p>
    <w:p>
      <w:pPr>
        <w:spacing w:line="360" w:lineRule="auto"/>
        <w:jc w:val="both"/>
        <w:rPr>
          <w:rFonts w:ascii="Book Antiqua" w:hAnsi="Book Antiqua"/>
        </w:rPr>
      </w:pPr>
      <w:r>
        <w:rPr>
          <w:rFonts w:ascii="Book Antiqua" w:hAnsi="Book Antiqua" w:eastAsia="Book Antiqua" w:cs="Book Antiqua"/>
          <w:color w:val="000000"/>
        </w:rPr>
        <w:t>Grade D (Fair): 0</w:t>
      </w:r>
    </w:p>
    <w:p>
      <w:pPr>
        <w:spacing w:line="360" w:lineRule="auto"/>
        <w:jc w:val="both"/>
        <w:rPr>
          <w:rFonts w:ascii="Book Antiqua" w:hAnsi="Book Antiqua"/>
        </w:rPr>
      </w:pPr>
      <w:r>
        <w:rPr>
          <w:rFonts w:ascii="Book Antiqua" w:hAnsi="Book Antiqua" w:eastAsia="Book Antiqua" w:cs="Book Antiqua"/>
          <w:color w:val="000000"/>
        </w:rPr>
        <w:t>Grade E (Poor): 0</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rPr>
      </w:pPr>
      <w:r>
        <w:rPr>
          <w:rFonts w:ascii="Book Antiqua" w:hAnsi="Book Antiqua" w:eastAsia="Book Antiqua" w:cs="Book Antiqua"/>
          <w:b/>
          <w:color w:val="000000"/>
        </w:rPr>
        <w:t xml:space="preserve">P-Reviewer: </w:t>
      </w:r>
      <w:r>
        <w:rPr>
          <w:rFonts w:ascii="Book Antiqua" w:hAnsi="Book Antiqua" w:eastAsia="Book Antiqua" w:cs="Book Antiqua"/>
          <w:color w:val="000000"/>
        </w:rPr>
        <w:t>Monsereenusorn C, Sira AM</w:t>
      </w:r>
      <w:r>
        <w:rPr>
          <w:rFonts w:ascii="Book Antiqua" w:hAnsi="Book Antiqua" w:eastAsia="Book Antiqua" w:cs="Book Antiqua"/>
          <w:b/>
          <w:color w:val="000000"/>
        </w:rPr>
        <w:t xml:space="preserve"> S-Editor: </w:t>
      </w:r>
      <w:r>
        <w:rPr>
          <w:rFonts w:ascii="Book Antiqua" w:hAnsi="Book Antiqua" w:eastAsia="Book Antiqua" w:cs="Book Antiqua"/>
          <w:color w:val="000000"/>
        </w:rPr>
        <w:t>Ma YJ</w:t>
      </w:r>
      <w:r>
        <w:rPr>
          <w:rFonts w:ascii="Book Antiqua" w:hAnsi="Book Antiqua" w:eastAsia="Book Antiqua" w:cs="Book Antiqua"/>
          <w:b/>
          <w:color w:val="000000"/>
        </w:rPr>
        <w:t xml:space="preserve"> L-Editor: </w:t>
      </w:r>
      <w:r>
        <w:rPr>
          <w:rFonts w:hint="eastAsia" w:ascii="Book Antiqua" w:hAnsi="Book Antiqua" w:eastAsia="Book Antiqua" w:cs="Book Antiqua"/>
          <w:color w:val="000000"/>
        </w:rPr>
        <w:t>A</w:t>
      </w:r>
      <w:r>
        <w:rPr>
          <w:rFonts w:ascii="Book Antiqua" w:hAnsi="Book Antiqua" w:eastAsia="Book Antiqua" w:cs="Book Antiqua"/>
          <w:color w:val="000000"/>
        </w:rPr>
        <w:t xml:space="preserve"> </w:t>
      </w:r>
      <w:r>
        <w:rPr>
          <w:rFonts w:ascii="Book Antiqua" w:hAnsi="Book Antiqua" w:eastAsia="Book Antiqua" w:cs="Book Antiqua"/>
          <w:b/>
          <w:color w:val="000000"/>
        </w:rPr>
        <w:t xml:space="preserve">P-Editor: </w:t>
      </w:r>
      <w:r>
        <w:rPr>
          <w:rFonts w:hint="eastAsia" w:ascii="Book Antiqua" w:hAnsi="Book Antiqua" w:eastAsia="Book Antiqua" w:cs="Book Antiqua"/>
          <w:color w:val="000000"/>
        </w:rPr>
        <w:t>Wu</w:t>
      </w:r>
      <w:r>
        <w:rPr>
          <w:rFonts w:ascii="Book Antiqua" w:hAnsi="Book Antiqua" w:eastAsia="Book Antiqua" w:cs="Book Antiqua"/>
          <w:color w:val="000000"/>
        </w:rPr>
        <w:t xml:space="preserve"> RR</w:t>
      </w:r>
    </w:p>
    <w:p>
      <w:pPr>
        <w:spacing w:line="360" w:lineRule="auto"/>
        <w:jc w:val="both"/>
        <w:rPr>
          <w:rFonts w:ascii="Book Antiqua" w:hAnsi="Book Antiqua"/>
        </w:rPr>
        <w:sectPr>
          <w:pgSz w:w="12240" w:h="15840"/>
          <w:pgMar w:top="1440" w:right="1440" w:bottom="1440" w:left="1440" w:header="720" w:footer="720" w:gutter="0"/>
          <w:cols w:space="720" w:num="1"/>
          <w:docGrid w:linePitch="360" w:charSpace="0"/>
        </w:sectPr>
      </w:pPr>
      <w:r>
        <w:rPr>
          <w:rFonts w:ascii="Book Antiqua" w:hAnsi="Book Antiqua" w:eastAsia="Book Antiqua" w:cs="Book Antiqua"/>
          <w:color w:val="000000"/>
        </w:rPr>
        <w:t xml:space="preserve"> </w:t>
      </w:r>
    </w:p>
    <w:p>
      <w:pPr>
        <w:spacing w:line="360" w:lineRule="auto"/>
        <w:jc w:val="both"/>
        <w:rPr>
          <w:rFonts w:ascii="Book Antiqua" w:hAnsi="Book Antiqua" w:cs="Book Antiqua"/>
          <w:b/>
          <w:color w:val="000000"/>
          <w:lang w:eastAsia="zh-CN"/>
        </w:rPr>
      </w:pPr>
      <w:r>
        <w:rPr>
          <w:rFonts w:ascii="Book Antiqua" w:hAnsi="Book Antiqua" w:eastAsia="Book Antiqua" w:cs="Book Antiqua"/>
          <w:b/>
          <w:color w:val="000000"/>
        </w:rPr>
        <w:t>Figure Legends</w:t>
      </w:r>
    </w:p>
    <w:p>
      <w:pPr>
        <w:spacing w:line="360" w:lineRule="auto"/>
        <w:jc w:val="both"/>
        <w:rPr>
          <w:rFonts w:ascii="Book Antiqua" w:hAnsi="Book Antiqua" w:cs="Book Antiqua"/>
          <w:color w:val="000000"/>
          <w:lang w:eastAsia="zh-CN"/>
        </w:rPr>
      </w:pPr>
      <w:r>
        <w:rPr>
          <w:rFonts w:ascii="Book Antiqua" w:hAnsi="Book Antiqua"/>
          <w:lang w:eastAsia="zh-CN"/>
        </w:rPr>
        <w:drawing>
          <wp:inline distT="0" distB="0" distL="0" distR="0">
            <wp:extent cx="5194300" cy="3479800"/>
            <wp:effectExtent l="0" t="0" r="635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
                    <a:stretch>
                      <a:fillRect/>
                    </a:stretch>
                  </pic:blipFill>
                  <pic:spPr>
                    <a:xfrm>
                      <a:off x="0" y="0"/>
                      <a:ext cx="5194567" cy="3479979"/>
                    </a:xfrm>
                    <a:prstGeom prst="rect">
                      <a:avLst/>
                    </a:prstGeom>
                  </pic:spPr>
                </pic:pic>
              </a:graphicData>
            </a:graphic>
          </wp:inline>
        </w:drawing>
      </w:r>
    </w:p>
    <w:p>
      <w:pPr>
        <w:spacing w:line="360" w:lineRule="auto"/>
        <w:jc w:val="both"/>
        <w:rPr>
          <w:rFonts w:ascii="Book Antiqua" w:hAnsi="Book Antiqua"/>
          <w:b/>
          <w:bCs/>
          <w:lang w:eastAsia="zh-CN"/>
        </w:rPr>
      </w:pPr>
      <w:r>
        <w:rPr>
          <w:rFonts w:ascii="Book Antiqua" w:hAnsi="Book Antiqua"/>
          <w:b/>
          <w:bCs/>
          <w:lang w:eastAsia="zh-CN"/>
        </w:rPr>
        <w:t xml:space="preserve">Figure 1 </w:t>
      </w:r>
      <w:r>
        <w:rPr>
          <w:rFonts w:ascii="Book Antiqua" w:hAnsi="Book Antiqua"/>
          <w:b/>
          <w:bCs/>
        </w:rPr>
        <w:t>Histologic classification of hepatic hemangioendothelioma</w:t>
      </w:r>
      <w:r>
        <w:rPr>
          <w:rFonts w:ascii="Book Antiqua" w:hAnsi="Book Antiqua"/>
          <w:b/>
          <w:bCs/>
          <w:lang w:eastAsia="zh-CN"/>
        </w:rPr>
        <w:t xml:space="preserve">. </w:t>
      </w:r>
    </w:p>
    <w:p>
      <w:pPr>
        <w:spacing w:line="360" w:lineRule="auto"/>
        <w:jc w:val="both"/>
        <w:rPr>
          <w:rFonts w:ascii="Book Antiqua" w:hAnsi="Book Antiqua" w:cs="Book Antiqua"/>
          <w:b/>
          <w:color w:val="000000"/>
          <w:lang w:eastAsia="zh-CN"/>
        </w:rPr>
      </w:pPr>
      <w:r>
        <w:rPr>
          <w:rFonts w:ascii="Book Antiqua" w:hAnsi="Book Antiqua" w:cs="Book Antiqua"/>
          <w:b/>
          <w:color w:val="000000"/>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2578735" cy="1943100"/>
            <wp:effectExtent l="0" t="0" r="0" b="0"/>
            <wp:docPr id="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a:blip r:embed="rId6" cstate="print">
                      <a:extLst>
                        <a:ext uri="{BEBA8EAE-BF5A-486C-A8C5-ECC9F3942E4B}">
                          <a14:imgProps xmlns:a14="http://schemas.microsoft.com/office/drawing/2010/main">
                            <a14:imgLayer r:embed="rId7">
                              <a14:imgEffect>
                                <a14:brightnessContrast bright="20000" contrast="-40000"/>
                              </a14:imgEffect>
                            </a14:imgLayer>
                          </a14:imgProps>
                        </a:ext>
                        <a:ext uri="{28A0092B-C50C-407E-A947-70E740481C1C}">
                          <a14:useLocalDpi xmlns:a14="http://schemas.microsoft.com/office/drawing/2010/main" val="0"/>
                        </a:ext>
                      </a:extLst>
                    </a:blip>
                    <a:srcRect l="12712" r="12636"/>
                    <a:stretch>
                      <a:fillRect/>
                    </a:stretch>
                  </pic:blipFill>
                  <pic:spPr>
                    <a:xfrm>
                      <a:off x="0" y="0"/>
                      <a:ext cx="2580141" cy="1944064"/>
                    </a:xfrm>
                    <a:prstGeom prst="rect">
                      <a:avLst/>
                    </a:prstGeom>
                  </pic:spPr>
                </pic:pic>
              </a:graphicData>
            </a:graphic>
          </wp:inline>
        </w:drawing>
      </w:r>
      <w:r>
        <w:rPr>
          <w:rFonts w:ascii="Book Antiqua" w:hAnsi="Book Antiqua"/>
          <w:lang w:eastAsia="zh-CN"/>
        </w:rPr>
        <w:t xml:space="preserve"> </w:t>
      </w:r>
      <w:r>
        <w:rPr>
          <w:rFonts w:ascii="Book Antiqua" w:hAnsi="Book Antiqua"/>
          <w:lang w:eastAsia="zh-CN"/>
        </w:rPr>
        <w:drawing>
          <wp:inline distT="0" distB="0" distL="0" distR="0">
            <wp:extent cx="2540000" cy="1936750"/>
            <wp:effectExtent l="0" t="0" r="0" b="0"/>
            <wp:docPr id="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pic:cNvPicPr>
                      <a:picLocks noChangeAspect="1"/>
                    </pic:cNvPicPr>
                  </pic:nvPicPr>
                  <pic:blipFill>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3421" r="12814"/>
                    <a:stretch>
                      <a:fillRect/>
                    </a:stretch>
                  </pic:blipFill>
                  <pic:spPr>
                    <a:xfrm>
                      <a:off x="0" y="0"/>
                      <a:ext cx="2543530" cy="1939735"/>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lang w:eastAsia="zh-CN"/>
        </w:rPr>
        <w:t>A                                                                  B</w:t>
      </w:r>
    </w:p>
    <w:p>
      <w:pPr>
        <w:spacing w:line="360" w:lineRule="auto"/>
        <w:jc w:val="both"/>
        <w:rPr>
          <w:rFonts w:ascii="Book Antiqua" w:hAnsi="Book Antiqua"/>
          <w:lang w:eastAsia="zh-CN"/>
        </w:rPr>
      </w:pPr>
      <w:r>
        <w:rPr>
          <w:rFonts w:ascii="Book Antiqua" w:hAnsi="Book Antiqua"/>
          <w:lang w:eastAsia="zh-CN"/>
        </w:rPr>
        <w:drawing>
          <wp:inline distT="0" distB="0" distL="0" distR="0">
            <wp:extent cx="2616200" cy="1958340"/>
            <wp:effectExtent l="0" t="0" r="0" b="0"/>
            <wp:docPr id="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3"/>
                    <pic:cNvPicPr>
                      <a:picLocks noChangeAspect="1"/>
                    </pic:cNvPicPr>
                  </pic:nvPicPr>
                  <pic:blipFill>
                    <a:blip r:embed="rId10" cstate="print">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val="0"/>
                        </a:ext>
                      </a:extLst>
                    </a:blip>
                    <a:srcRect l="12400" r="12475"/>
                    <a:stretch>
                      <a:fillRect/>
                    </a:stretch>
                  </pic:blipFill>
                  <pic:spPr>
                    <a:xfrm>
                      <a:off x="0" y="0"/>
                      <a:ext cx="2616585" cy="1959108"/>
                    </a:xfrm>
                    <a:prstGeom prst="rect">
                      <a:avLst/>
                    </a:prstGeom>
                  </pic:spPr>
                </pic:pic>
              </a:graphicData>
            </a:graphic>
          </wp:inline>
        </w:drawing>
      </w:r>
      <w:r>
        <w:rPr>
          <w:rFonts w:ascii="Book Antiqua" w:hAnsi="Book Antiqua"/>
          <w:lang w:eastAsia="zh-CN"/>
        </w:rPr>
        <w:t xml:space="preserve"> </w:t>
      </w:r>
      <w:r>
        <w:rPr>
          <w:rFonts w:ascii="Book Antiqua" w:hAnsi="Book Antiqua"/>
          <w:lang w:eastAsia="zh-CN"/>
        </w:rPr>
        <w:drawing>
          <wp:inline distT="0" distB="0" distL="0" distR="0">
            <wp:extent cx="2559050" cy="1960245"/>
            <wp:effectExtent l="0" t="0" r="0" b="0"/>
            <wp:docPr id="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4"/>
                    <pic:cNvPicPr>
                      <a:picLocks noChangeAspect="1"/>
                    </pic:cNvPicPr>
                  </pic:nvPicPr>
                  <pic:blipFill>
                    <a:blip r:embed="rId12" cstate="print">
                      <a:extLst>
                        <a:ext uri="{BEBA8EAE-BF5A-486C-A8C5-ECC9F3942E4B}">
                          <a14:imgProps xmlns:a14="http://schemas.microsoft.com/office/drawing/2010/main">
                            <a14:imgLayer r:embed="rId13">
                              <a14:imgEffect>
                                <a14:brightnessContrast contrast="20000"/>
                              </a14:imgEffect>
                              <a14:imgEffect>
                                <a14:saturation sat="200000"/>
                              </a14:imgEffect>
                              <a14:imgEffect>
                                <a14:sharpenSoften amount="25000"/>
                              </a14:imgEffect>
                            </a14:imgLayer>
                          </a14:imgProps>
                        </a:ext>
                        <a:ext uri="{28A0092B-C50C-407E-A947-70E740481C1C}">
                          <a14:useLocalDpi xmlns:a14="http://schemas.microsoft.com/office/drawing/2010/main" val="0"/>
                        </a:ext>
                      </a:extLst>
                    </a:blip>
                    <a:srcRect l="13080" r="13494"/>
                    <a:stretch>
                      <a:fillRect/>
                    </a:stretch>
                  </pic:blipFill>
                  <pic:spPr>
                    <a:xfrm>
                      <a:off x="0" y="0"/>
                      <a:ext cx="2561137" cy="1962057"/>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lang w:eastAsia="zh-CN"/>
        </w:rPr>
        <w:t>C                                                                     D</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2</w:t>
      </w:r>
      <w:r>
        <w:rPr>
          <w:rFonts w:ascii="Book Antiqua" w:hAnsi="Book Antiqua" w:eastAsia="Book Antiqua" w:cs="Book Antiqua"/>
          <w:b/>
          <w:bCs/>
          <w:color w:val="000000"/>
        </w:rPr>
        <w:t xml:space="preserve"> Hepatic congenital hemangioma. </w:t>
      </w:r>
      <w:r>
        <w:rPr>
          <w:rFonts w:ascii="Book Antiqua" w:hAnsi="Book Antiqua" w:eastAsia="Book Antiqua" w:cs="Book Antiqua"/>
          <w:color w:val="000000"/>
        </w:rPr>
        <w:t>A: A relatively well-demarcated vascular lesion; B: Lobules of variable sized, mostly small thin-walled vascular spaces and more abundant larger vessels at the periphery; C: Necrotic and hemorrhagic areas in the central part (area of involution); D: Entrapment of hepatocytes and bile ducts in interface areas.</w:t>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2524125" cy="1898650"/>
            <wp:effectExtent l="0" t="0" r="0" b="0"/>
            <wp:docPr id="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4"/>
                    <pic:cNvPicPr>
                      <a:picLocks noChangeAspect="1"/>
                    </pic:cNvPicPr>
                  </pic:nvPicPr>
                  <pic:blipFill>
                    <a:blip r:embed="rId14" cstate="print">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l="12740" r="12475"/>
                    <a:stretch>
                      <a:fillRect/>
                    </a:stretch>
                  </pic:blipFill>
                  <pic:spPr>
                    <a:xfrm>
                      <a:off x="0" y="0"/>
                      <a:ext cx="2524132" cy="1898650"/>
                    </a:xfrm>
                    <a:prstGeom prst="rect">
                      <a:avLst/>
                    </a:prstGeom>
                  </pic:spPr>
                </pic:pic>
              </a:graphicData>
            </a:graphic>
          </wp:inline>
        </w:drawing>
      </w:r>
      <w:r>
        <w:rPr>
          <w:rFonts w:ascii="Book Antiqua" w:hAnsi="Book Antiqua" w:cs="Book Antiqua"/>
          <w:color w:val="000000"/>
          <w:lang w:eastAsia="zh-CN"/>
        </w:rPr>
        <w:t xml:space="preserve"> </w:t>
      </w:r>
      <w:r>
        <w:rPr>
          <w:rFonts w:ascii="Book Antiqua" w:hAnsi="Book Antiqua" w:cs="Book Antiqua"/>
          <w:color w:val="000000"/>
          <w:lang w:eastAsia="zh-CN"/>
        </w:rPr>
        <w:drawing>
          <wp:inline distT="0" distB="0" distL="0" distR="0">
            <wp:extent cx="2565400" cy="1929130"/>
            <wp:effectExtent l="0" t="0" r="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3"/>
                    <pic:cNvPicPr>
                      <a:picLocks noChangeAspect="1"/>
                    </pic:cNvPicPr>
                  </pic:nvPicPr>
                  <pic:blipFill>
                    <a:blip r:embed="rId16"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l="12740" r="12475"/>
                    <a:stretch>
                      <a:fillRect/>
                    </a:stretch>
                  </pic:blipFill>
                  <pic:spPr>
                    <a:xfrm>
                      <a:off x="0" y="0"/>
                      <a:ext cx="2565400" cy="1929691"/>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cs="Book Antiqua"/>
          <w:color w:val="000000"/>
          <w:lang w:eastAsia="zh-CN"/>
        </w:rPr>
        <w:t>A                                                                 B</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3</w:t>
      </w:r>
      <w:r>
        <w:rPr>
          <w:rFonts w:ascii="Book Antiqua" w:hAnsi="Book Antiqua" w:eastAsia="Book Antiqua" w:cs="Book Antiqua"/>
          <w:b/>
          <w:bCs/>
          <w:color w:val="000000"/>
        </w:rPr>
        <w:t xml:space="preserve"> Hepatic congenital hemangioma. </w:t>
      </w:r>
      <w:r>
        <w:rPr>
          <w:rFonts w:ascii="Book Antiqua" w:hAnsi="Book Antiqua" w:eastAsia="Book Antiqua" w:cs="Book Antiqua"/>
          <w:color w:val="000000"/>
        </w:rPr>
        <w:t>A: Erythroblast transformation-specific-related gene expression of endothelial cells; B: No GLUT1 expression of endothelial cells.</w:t>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2336800" cy="1773555"/>
            <wp:effectExtent l="0" t="0" r="0" b="0"/>
            <wp:docPr id="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3"/>
                    <pic:cNvPicPr>
                      <a:picLocks noChangeAspect="1"/>
                    </pic:cNvPicPr>
                  </pic:nvPicPr>
                  <pic:blipFill>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l="13080" r="12815"/>
                    <a:stretch>
                      <a:fillRect/>
                    </a:stretch>
                  </pic:blipFill>
                  <pic:spPr>
                    <a:xfrm>
                      <a:off x="0" y="0"/>
                      <a:ext cx="2336800" cy="1773967"/>
                    </a:xfrm>
                    <a:prstGeom prst="rect">
                      <a:avLst/>
                    </a:prstGeom>
                  </pic:spPr>
                </pic:pic>
              </a:graphicData>
            </a:graphic>
          </wp:inline>
        </w:drawing>
      </w:r>
      <w:r>
        <w:rPr>
          <w:rFonts w:ascii="Book Antiqua" w:hAnsi="Book Antiqua" w:cs="Book Antiqua"/>
          <w:color w:val="000000"/>
          <w:lang w:eastAsia="zh-CN"/>
        </w:rPr>
        <w:t xml:space="preserve"> </w:t>
      </w:r>
      <w:r>
        <w:rPr>
          <w:rFonts w:ascii="Book Antiqua" w:hAnsi="Book Antiqua" w:cs="Book Antiqua"/>
          <w:color w:val="000000"/>
          <w:lang w:eastAsia="zh-CN"/>
        </w:rPr>
        <w:drawing>
          <wp:inline distT="0" distB="0" distL="0" distR="0">
            <wp:extent cx="2324100" cy="1754505"/>
            <wp:effectExtent l="0" t="0" r="0" b="0"/>
            <wp:docPr id="8"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4"/>
                    <pic:cNvPicPr>
                      <a:picLocks noChangeAspect="1"/>
                    </pic:cNvPicPr>
                  </pic:nvPicPr>
                  <pic:blipFill>
                    <a:blip r:embed="rId20" cstate="print">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l="12682" r="12808"/>
                    <a:stretch>
                      <a:fillRect/>
                    </a:stretch>
                  </pic:blipFill>
                  <pic:spPr>
                    <a:xfrm>
                      <a:off x="0" y="0"/>
                      <a:ext cx="2325169" cy="1755449"/>
                    </a:xfrm>
                    <a:prstGeom prst="rect">
                      <a:avLst/>
                    </a:prstGeom>
                  </pic:spPr>
                </pic:pic>
              </a:graphicData>
            </a:graphic>
          </wp:inline>
        </w:drawing>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t>A                                                              B</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4</w:t>
      </w:r>
      <w:r>
        <w:rPr>
          <w:rFonts w:ascii="Book Antiqua" w:hAnsi="Book Antiqua" w:eastAsia="Book Antiqua" w:cs="Book Antiqua"/>
          <w:b/>
          <w:bCs/>
          <w:color w:val="000000"/>
        </w:rPr>
        <w:t xml:space="preserve"> Hepatic infantile hemangioma. </w:t>
      </w:r>
      <w:r>
        <w:rPr>
          <w:rFonts w:ascii="Book Antiqua" w:hAnsi="Book Antiqua" w:eastAsia="Book Antiqua" w:cs="Book Antiqua"/>
          <w:color w:val="000000"/>
        </w:rPr>
        <w:t>A: A well-demarcated vascular lesion; B: Lobular, small-sized vascular spaces</w:t>
      </w:r>
      <w:r>
        <w:rPr>
          <w:rFonts w:ascii="Book Antiqua" w:hAnsi="Book Antiqua" w:cs="Book Antiqua"/>
          <w:color w:val="000000"/>
          <w:lang w:eastAsia="zh-CN"/>
        </w:rPr>
        <w:t>.</w:t>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2818130" cy="2120900"/>
            <wp:effectExtent l="0" t="0" r="0" b="0"/>
            <wp:docPr id="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3"/>
                    <pic:cNvPicPr>
                      <a:picLocks noChangeAspect="1"/>
                    </pic:cNvPicPr>
                  </pic:nvPicPr>
                  <pic:blipFill>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l="12683" r="12562"/>
                    <a:stretch>
                      <a:fillRect/>
                    </a:stretch>
                  </pic:blipFill>
                  <pic:spPr>
                    <a:xfrm>
                      <a:off x="0" y="0"/>
                      <a:ext cx="2819166" cy="2121226"/>
                    </a:xfrm>
                    <a:prstGeom prst="rect">
                      <a:avLst/>
                    </a:prstGeom>
                  </pic:spPr>
                </pic:pic>
              </a:graphicData>
            </a:graphic>
          </wp:inline>
        </w:drawing>
      </w:r>
      <w:r>
        <w:rPr>
          <w:rFonts w:ascii="Book Antiqua" w:hAnsi="Book Antiqua" w:cs="Book Antiqua"/>
          <w:color w:val="000000"/>
          <w:lang w:eastAsia="zh-CN"/>
        </w:rPr>
        <w:t xml:space="preserve"> </w:t>
      </w:r>
      <w:r>
        <w:rPr>
          <w:rFonts w:ascii="Book Antiqua" w:hAnsi="Book Antiqua" w:cs="Book Antiqua"/>
          <w:color w:val="000000"/>
          <w:lang w:eastAsia="zh-CN"/>
        </w:rPr>
        <w:drawing>
          <wp:inline distT="0" distB="0" distL="0" distR="0">
            <wp:extent cx="2827655" cy="2120900"/>
            <wp:effectExtent l="0" t="0" r="0" b="0"/>
            <wp:docPr id="10" name="Afbeelding 4" descr="Afbeelding met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4" descr="Afbeelding met stof&#10;&#10;Automatisch gegenereerde beschrijving"/>
                    <pic:cNvPicPr>
                      <a:picLocks noChangeAspect="1"/>
                    </pic:cNvPicPr>
                  </pic:nvPicPr>
                  <pic:blipFill>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12437" r="12562"/>
                    <a:stretch>
                      <a:fillRect/>
                    </a:stretch>
                  </pic:blipFill>
                  <pic:spPr>
                    <a:xfrm>
                      <a:off x="0" y="0"/>
                      <a:ext cx="2827867" cy="2120900"/>
                    </a:xfrm>
                    <a:prstGeom prst="rect">
                      <a:avLst/>
                    </a:prstGeom>
                  </pic:spPr>
                </pic:pic>
              </a:graphicData>
            </a:graphic>
          </wp:inline>
        </w:drawing>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t>A                                                                        B</w:t>
      </w:r>
    </w:p>
    <w:p>
      <w:pPr>
        <w:spacing w:line="360" w:lineRule="auto"/>
        <w:jc w:val="both"/>
        <w:rPr>
          <w:rFonts w:ascii="Book Antiqua" w:hAnsi="Book Antiqua"/>
          <w:lang w:eastAsia="zh-CN"/>
        </w:rPr>
      </w:pPr>
      <w:r>
        <w:rPr>
          <w:rFonts w:ascii="Book Antiqua" w:hAnsi="Book Antiqua"/>
          <w:lang w:eastAsia="zh-CN"/>
        </w:rPr>
        <w:drawing>
          <wp:inline distT="0" distB="0" distL="0" distR="0">
            <wp:extent cx="2857500" cy="2167890"/>
            <wp:effectExtent l="0" t="0" r="0" b="0"/>
            <wp:docPr id="1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3"/>
                    <pic:cNvPicPr>
                      <a:picLocks noChangeAspect="1"/>
                    </pic:cNvPicPr>
                  </pic:nvPicPr>
                  <pic:blipFill>
                    <a:blip r:embed="rId26" cstate="print">
                      <a:extLst>
                        <a:ext uri="{28A0092B-C50C-407E-A947-70E740481C1C}">
                          <a14:useLocalDpi xmlns:a14="http://schemas.microsoft.com/office/drawing/2010/main" val="0"/>
                        </a:ext>
                      </a:extLst>
                    </a:blip>
                    <a:srcRect l="13051" r="12703"/>
                    <a:stretch>
                      <a:fillRect/>
                    </a:stretch>
                  </pic:blipFill>
                  <pic:spPr>
                    <a:xfrm>
                      <a:off x="0" y="0"/>
                      <a:ext cx="2859681" cy="2169585"/>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lang w:eastAsia="zh-CN"/>
        </w:rPr>
        <w:t>C</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5</w:t>
      </w:r>
      <w:r>
        <w:rPr>
          <w:rFonts w:ascii="Book Antiqua" w:hAnsi="Book Antiqua" w:eastAsia="Book Antiqua" w:cs="Book Antiqua"/>
          <w:b/>
          <w:bCs/>
          <w:color w:val="000000"/>
        </w:rPr>
        <w:t xml:space="preserve"> Hepatic infantile hemangioma.</w:t>
      </w:r>
      <w:r>
        <w:rPr>
          <w:rFonts w:ascii="Book Antiqua" w:hAnsi="Book Antiqua" w:eastAsia="Book Antiqua" w:cs="Book Antiqua"/>
          <w:color w:val="000000"/>
        </w:rPr>
        <w:t xml:space="preserve"> A: Erythroblast transformation-specific-related gene expression of endothelial cells; B: </w:t>
      </w:r>
      <w:r>
        <w:rPr>
          <w:rFonts w:ascii="Book Antiqua" w:hAnsi="Book Antiqua" w:eastAsia="Book Antiqua" w:cs="Book Antiqua"/>
          <w:caps/>
          <w:color w:val="000000"/>
        </w:rPr>
        <w:t>s</w:t>
      </w:r>
      <w:r>
        <w:rPr>
          <w:rFonts w:ascii="Book Antiqua" w:hAnsi="Book Antiqua" w:eastAsia="Book Antiqua" w:cs="Book Antiqua"/>
          <w:color w:val="000000"/>
        </w:rPr>
        <w:t xml:space="preserve">mooth muscle actin expression of the pericytic cells; C: GLUT1 expression of endothelial cells. </w:t>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2872105" cy="2164715"/>
            <wp:effectExtent l="0" t="0" r="0" b="0"/>
            <wp:docPr id="1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4"/>
                    <pic:cNvPicPr>
                      <a:picLocks noChangeAspect="1"/>
                    </pic:cNvPicPr>
                  </pic:nvPicPr>
                  <pic:blipFill>
                    <a:blip r:embed="rId27" cstate="print">
                      <a:extLst>
                        <a:ext uri="{BEBA8EAE-BF5A-486C-A8C5-ECC9F3942E4B}">
                          <a14:imgProps xmlns:a14="http://schemas.microsoft.com/office/drawing/2010/main">
                            <a14:imgLayer r:embed="rId28">
                              <a14:imgEffect>
                                <a14:brightnessContrast contrast="20000"/>
                              </a14:imgEffect>
                            </a14:imgLayer>
                          </a14:imgProps>
                        </a:ext>
                        <a:ext uri="{28A0092B-C50C-407E-A947-70E740481C1C}">
                          <a14:useLocalDpi xmlns:a14="http://schemas.microsoft.com/office/drawing/2010/main" val="0"/>
                        </a:ext>
                      </a:extLst>
                    </a:blip>
                    <a:srcRect l="12682" r="12685"/>
                    <a:stretch>
                      <a:fillRect/>
                    </a:stretch>
                  </pic:blipFill>
                  <pic:spPr>
                    <a:xfrm>
                      <a:off x="0" y="0"/>
                      <a:ext cx="2873486" cy="2165756"/>
                    </a:xfrm>
                    <a:prstGeom prst="rect">
                      <a:avLst/>
                    </a:prstGeom>
                  </pic:spPr>
                </pic:pic>
              </a:graphicData>
            </a:graphic>
          </wp:inline>
        </w:drawing>
      </w:r>
      <w:r>
        <w:rPr>
          <w:rFonts w:ascii="Book Antiqua" w:hAnsi="Book Antiqua" w:cs="Book Antiqua"/>
          <w:color w:val="000000"/>
          <w:lang w:eastAsia="zh-CN"/>
        </w:rPr>
        <w:t xml:space="preserve"> </w:t>
      </w:r>
      <w:r>
        <w:rPr>
          <w:rFonts w:ascii="Book Antiqua" w:hAnsi="Book Antiqua" w:cs="Book Antiqua"/>
          <w:color w:val="000000"/>
          <w:lang w:eastAsia="zh-CN"/>
        </w:rPr>
        <w:drawing>
          <wp:inline distT="0" distB="0" distL="0" distR="0">
            <wp:extent cx="2871470" cy="2165350"/>
            <wp:effectExtent l="0" t="0" r="0" b="0"/>
            <wp:docPr id="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8"/>
                    <pic:cNvPicPr>
                      <a:picLocks noChangeAspect="1"/>
                    </pic:cNvPicPr>
                  </pic:nvPicPr>
                  <pic:blipFill>
                    <a:blip r:embed="rId29" cstate="print">
                      <a:extLst>
                        <a:ext uri="{28A0092B-C50C-407E-A947-70E740481C1C}">
                          <a14:useLocalDpi xmlns:a14="http://schemas.microsoft.com/office/drawing/2010/main" val="0"/>
                        </a:ext>
                      </a:extLst>
                    </a:blip>
                    <a:srcRect l="12545" t="-676" r="12856" b="676"/>
                    <a:stretch>
                      <a:fillRect/>
                    </a:stretch>
                  </pic:blipFill>
                  <pic:spPr>
                    <a:xfrm>
                      <a:off x="0" y="0"/>
                      <a:ext cx="2871623" cy="2165350"/>
                    </a:xfrm>
                    <a:prstGeom prst="rect">
                      <a:avLst/>
                    </a:prstGeom>
                  </pic:spPr>
                </pic:pic>
              </a:graphicData>
            </a:graphic>
          </wp:inline>
        </w:drawing>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t>A                                                                         B</w:t>
      </w:r>
    </w:p>
    <w:p>
      <w:pPr>
        <w:spacing w:line="360" w:lineRule="auto"/>
        <w:jc w:val="both"/>
        <w:rPr>
          <w:rFonts w:ascii="Book Antiqua" w:hAnsi="Book Antiqua"/>
          <w:lang w:eastAsia="zh-CN"/>
        </w:rPr>
      </w:pPr>
      <w:r>
        <w:rPr>
          <w:rFonts w:ascii="Book Antiqua" w:hAnsi="Book Antiqua"/>
          <w:lang w:eastAsia="zh-CN"/>
        </w:rPr>
        <w:drawing>
          <wp:inline distT="0" distB="0" distL="0" distR="0">
            <wp:extent cx="2870200" cy="2159000"/>
            <wp:effectExtent l="0" t="0" r="0" b="0"/>
            <wp:docPr id="1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3"/>
                    <pic:cNvPicPr>
                      <a:picLocks noChangeAspect="1"/>
                    </pic:cNvPicPr>
                  </pic:nvPicPr>
                  <pic:blipFill>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rcRect l="12683" r="12562"/>
                    <a:stretch>
                      <a:fillRect/>
                    </a:stretch>
                  </pic:blipFill>
                  <pic:spPr>
                    <a:xfrm>
                      <a:off x="0" y="0"/>
                      <a:ext cx="2872916" cy="2161669"/>
                    </a:xfrm>
                    <a:prstGeom prst="rect">
                      <a:avLst/>
                    </a:prstGeom>
                  </pic:spPr>
                </pic:pic>
              </a:graphicData>
            </a:graphic>
          </wp:inline>
        </w:drawing>
      </w:r>
      <w:r>
        <w:rPr>
          <w:rFonts w:ascii="Book Antiqua" w:hAnsi="Book Antiqua"/>
          <w:lang w:eastAsia="zh-CN"/>
        </w:rPr>
        <w:t xml:space="preserve"> </w:t>
      </w:r>
      <w:r>
        <w:rPr>
          <w:rFonts w:ascii="Book Antiqua" w:hAnsi="Book Antiqua"/>
          <w:lang w:eastAsia="zh-CN"/>
        </w:rPr>
        <w:drawing>
          <wp:inline distT="0" distB="0" distL="0" distR="0">
            <wp:extent cx="2846070" cy="2155825"/>
            <wp:effectExtent l="0" t="0" r="0" b="0"/>
            <wp:docPr id="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4"/>
                    <pic:cNvPicPr>
                      <a:picLocks noChangeAspect="1"/>
                    </pic:cNvPicPr>
                  </pic:nvPicPr>
                  <pic:blipFill>
                    <a:blip r:embed="rId32" cstate="print">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l="12437" r="13300"/>
                    <a:stretch>
                      <a:fillRect/>
                    </a:stretch>
                  </pic:blipFill>
                  <pic:spPr>
                    <a:xfrm>
                      <a:off x="0" y="0"/>
                      <a:ext cx="2849717" cy="2158397"/>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lang w:eastAsia="zh-CN"/>
        </w:rPr>
        <w:t>C                                                                           D</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6</w:t>
      </w:r>
      <w:r>
        <w:rPr>
          <w:rFonts w:ascii="Book Antiqua" w:hAnsi="Book Antiqua" w:eastAsia="Book Antiqua" w:cs="Book Antiqua"/>
          <w:b/>
          <w:bCs/>
          <w:color w:val="000000"/>
        </w:rPr>
        <w:t xml:space="preserve"> Hepatic epithelioid hemangioendothelioma. </w:t>
      </w:r>
      <w:r>
        <w:rPr>
          <w:rFonts w:ascii="Book Antiqua" w:hAnsi="Book Antiqua" w:eastAsia="Book Antiqua" w:cs="Book Antiqua"/>
          <w:color w:val="000000"/>
        </w:rPr>
        <w:t>A: Nests, cords, strands and single infiltrative epithelioid cells with intracytoplasmic vacuoles; B: Nests, cords, strands and single infiltrative epithelioid cells with intracytoplasmic vacuoles; C: Nuclear calmodulin-binding transcription activator1 (CAMTA1) expression; D: Nuclear CAMTA 1 expression.</w:t>
      </w:r>
    </w:p>
    <w:p>
      <w:pPr>
        <w:spacing w:line="360" w:lineRule="auto"/>
        <w:jc w:val="both"/>
        <w:rPr>
          <w:rFonts w:ascii="Book Antiqua" w:hAnsi="Book Antiqua"/>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5486400" cy="3086100"/>
            <wp:effectExtent l="0" t="0" r="0" b="0"/>
            <wp:docPr id="16" name="Afbeelding 1" descr="Afbeelding met rots&#10;&#10;Automatisch gegenereerde beschrijving"/>
            <wp:cNvGraphicFramePr/>
            <a:graphic xmlns:a="http://schemas.openxmlformats.org/drawingml/2006/main">
              <a:graphicData uri="http://schemas.openxmlformats.org/drawingml/2006/picture">
                <pic:pic xmlns:pic="http://schemas.openxmlformats.org/drawingml/2006/picture">
                  <pic:nvPicPr>
                    <pic:cNvPr id="16" name="Afbeelding 1" descr="Afbeelding met rots&#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pPr>
        <w:spacing w:line="360" w:lineRule="auto"/>
        <w:jc w:val="both"/>
        <w:rPr>
          <w:rFonts w:ascii="Book Antiqua" w:hAnsi="Book Antiqua" w:cs="Book Antiqua"/>
          <w:b/>
          <w:bCs/>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7</w:t>
      </w:r>
      <w:r>
        <w:rPr>
          <w:rFonts w:ascii="Book Antiqua" w:hAnsi="Book Antiqua" w:eastAsia="Book Antiqua" w:cs="Book Antiqua"/>
          <w:b/>
          <w:bCs/>
          <w:color w:val="000000"/>
        </w:rPr>
        <w:t xml:space="preserve"> Hepatic angiosarcoma, macroscopical features. </w:t>
      </w:r>
    </w:p>
    <w:p>
      <w:pPr>
        <w:spacing w:line="360" w:lineRule="auto"/>
        <w:jc w:val="both"/>
        <w:rPr>
          <w:rFonts w:ascii="Book Antiqua" w:hAnsi="Book Antiqua" w:cs="Book Antiqua"/>
          <w:b/>
          <w:bCs/>
          <w:color w:val="000000"/>
          <w:lang w:eastAsia="zh-CN"/>
        </w:rPr>
      </w:pPr>
      <w:r>
        <w:rPr>
          <w:rFonts w:ascii="Book Antiqua" w:hAnsi="Book Antiqua" w:cs="Book Antiqua"/>
          <w:b/>
          <w:bCs/>
          <w:color w:val="000000"/>
          <w:lang w:eastAsia="zh-CN"/>
        </w:rPr>
        <w:br w:type="page"/>
      </w:r>
      <w:r>
        <w:rPr>
          <w:rFonts w:ascii="Book Antiqua" w:hAnsi="Book Antiqua" w:cs="Book Antiqua"/>
          <w:b/>
          <w:bCs/>
          <w:color w:val="000000"/>
          <w:lang w:eastAsia="zh-CN"/>
        </w:rPr>
        <w:drawing>
          <wp:inline distT="0" distB="0" distL="0" distR="0">
            <wp:extent cx="2463800" cy="1859915"/>
            <wp:effectExtent l="0" t="0" r="0" b="0"/>
            <wp:docPr id="1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3"/>
                    <pic:cNvPicPr>
                      <a:picLocks noChangeAspect="1"/>
                    </pic:cNvPicPr>
                  </pic:nvPicPr>
                  <pic:blipFill>
                    <a:blip r:embed="rId35" cstate="print">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l="12806" r="12685"/>
                    <a:stretch>
                      <a:fillRect/>
                    </a:stretch>
                  </pic:blipFill>
                  <pic:spPr>
                    <a:xfrm>
                      <a:off x="0" y="0"/>
                      <a:ext cx="2464934" cy="1860968"/>
                    </a:xfrm>
                    <a:prstGeom prst="rect">
                      <a:avLst/>
                    </a:prstGeom>
                  </pic:spPr>
                </pic:pic>
              </a:graphicData>
            </a:graphic>
          </wp:inline>
        </w:drawing>
      </w:r>
      <w:r>
        <w:rPr>
          <w:rFonts w:ascii="Book Antiqua" w:hAnsi="Book Antiqua" w:cs="Book Antiqua"/>
          <w:b/>
          <w:bCs/>
          <w:color w:val="000000"/>
          <w:lang w:eastAsia="zh-CN"/>
        </w:rPr>
        <w:t xml:space="preserve"> </w:t>
      </w:r>
      <w:r>
        <w:rPr>
          <w:rFonts w:ascii="Book Antiqua" w:hAnsi="Book Antiqua" w:cs="Book Antiqua"/>
          <w:b/>
          <w:bCs/>
          <w:color w:val="000000"/>
          <w:lang w:eastAsia="zh-CN"/>
        </w:rPr>
        <w:drawing>
          <wp:inline distT="0" distB="0" distL="0" distR="0">
            <wp:extent cx="2457450" cy="1851660"/>
            <wp:effectExtent l="0" t="0" r="0" b="0"/>
            <wp:docPr id="18" name="Afbeelding 4" descr="Afbeelding met paar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4" descr="Afbeelding met paars&#10;&#10;Automatisch gegenereerde beschrijving"/>
                    <pic:cNvPicPr>
                      <a:picLocks noChangeAspect="1"/>
                    </pic:cNvPicPr>
                  </pic:nvPicPr>
                  <pic:blipFill>
                    <a:blip r:embed="rId37" cstate="print">
                      <a:extLst>
                        <a:ext uri="{28A0092B-C50C-407E-A947-70E740481C1C}">
                          <a14:useLocalDpi xmlns:a14="http://schemas.microsoft.com/office/drawing/2010/main" val="0"/>
                        </a:ext>
                      </a:extLst>
                    </a:blip>
                    <a:srcRect l="12559" r="12808"/>
                    <a:stretch>
                      <a:fillRect/>
                    </a:stretch>
                  </pic:blipFill>
                  <pic:spPr>
                    <a:xfrm>
                      <a:off x="0" y="0"/>
                      <a:ext cx="2458205" cy="1852758"/>
                    </a:xfrm>
                    <a:prstGeom prst="rect">
                      <a:avLst/>
                    </a:prstGeom>
                  </pic:spPr>
                </pic:pic>
              </a:graphicData>
            </a:graphic>
          </wp:inline>
        </w:drawing>
      </w:r>
    </w:p>
    <w:p>
      <w:pPr>
        <w:spacing w:line="360" w:lineRule="auto"/>
        <w:jc w:val="both"/>
        <w:rPr>
          <w:rFonts w:ascii="Book Antiqua" w:hAnsi="Book Antiqua" w:cs="Book Antiqua"/>
          <w:b/>
          <w:bCs/>
          <w:color w:val="000000"/>
          <w:lang w:eastAsia="zh-CN"/>
        </w:rPr>
      </w:pPr>
      <w:r>
        <w:rPr>
          <w:rFonts w:ascii="Book Antiqua" w:hAnsi="Book Antiqua" w:cs="Book Antiqua"/>
          <w:b/>
          <w:bCs/>
          <w:color w:val="000000"/>
          <w:lang w:eastAsia="zh-CN"/>
        </w:rPr>
        <w:t>A                                                               B</w:t>
      </w:r>
    </w:p>
    <w:p>
      <w:pPr>
        <w:spacing w:line="360" w:lineRule="auto"/>
        <w:jc w:val="both"/>
        <w:rPr>
          <w:rFonts w:ascii="Book Antiqua" w:hAnsi="Book Antiqua"/>
          <w:lang w:eastAsia="zh-CN"/>
        </w:rPr>
      </w:pPr>
      <w:r>
        <w:rPr>
          <w:rFonts w:ascii="Book Antiqua" w:hAnsi="Book Antiqua"/>
          <w:lang w:eastAsia="zh-CN"/>
        </w:rPr>
        <w:drawing>
          <wp:inline distT="0" distB="0" distL="0" distR="0">
            <wp:extent cx="2501900" cy="1882140"/>
            <wp:effectExtent l="0" t="0" r="0" b="0"/>
            <wp:docPr id="1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3"/>
                    <pic:cNvPicPr>
                      <a:picLocks noChangeAspect="1"/>
                    </pic:cNvPicPr>
                  </pic:nvPicPr>
                  <pic:blipFill>
                    <a:blip r:embed="rId38" cstate="print">
                      <a:extLst>
                        <a:ext uri="{BEBA8EAE-BF5A-486C-A8C5-ECC9F3942E4B}">
                          <a14:imgProps xmlns:a14="http://schemas.microsoft.com/office/drawing/2010/main">
                            <a14:imgLayer r:embed="rId39">
                              <a14:imgEffect>
                                <a14:brightnessContrast contrast="20000"/>
                              </a14:imgEffect>
                            </a14:imgLayer>
                          </a14:imgProps>
                        </a:ext>
                        <a:ext uri="{28A0092B-C50C-407E-A947-70E740481C1C}">
                          <a14:useLocalDpi xmlns:a14="http://schemas.microsoft.com/office/drawing/2010/main" val="0"/>
                        </a:ext>
                      </a:extLst>
                    </a:blip>
                    <a:srcRect l="12805" r="12439"/>
                    <a:stretch>
                      <a:fillRect/>
                    </a:stretch>
                  </pic:blipFill>
                  <pic:spPr>
                    <a:xfrm>
                      <a:off x="0" y="0"/>
                      <a:ext cx="2502599" cy="1883033"/>
                    </a:xfrm>
                    <a:prstGeom prst="rect">
                      <a:avLst/>
                    </a:prstGeom>
                  </pic:spPr>
                </pic:pic>
              </a:graphicData>
            </a:graphic>
          </wp:inline>
        </w:drawing>
      </w:r>
      <w:r>
        <w:rPr>
          <w:rFonts w:ascii="Book Antiqua" w:hAnsi="Book Antiqua"/>
          <w:lang w:eastAsia="zh-CN"/>
        </w:rPr>
        <w:t xml:space="preserve"> </w:t>
      </w:r>
      <w:r>
        <w:rPr>
          <w:rFonts w:ascii="Book Antiqua" w:hAnsi="Book Antiqua"/>
          <w:lang w:eastAsia="zh-CN"/>
        </w:rPr>
        <w:drawing>
          <wp:inline distT="0" distB="0" distL="0" distR="0">
            <wp:extent cx="2476500" cy="1856105"/>
            <wp:effectExtent l="0" t="0" r="0" b="0"/>
            <wp:docPr id="2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4"/>
                    <pic:cNvPicPr>
                      <a:picLocks noChangeAspect="1"/>
                    </pic:cNvPicPr>
                  </pic:nvPicPr>
                  <pic:blipFill>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l="12460" r="12500"/>
                    <a:stretch>
                      <a:fillRect/>
                    </a:stretch>
                  </pic:blipFill>
                  <pic:spPr>
                    <a:xfrm>
                      <a:off x="0" y="0"/>
                      <a:ext cx="2477556" cy="1857307"/>
                    </a:xfrm>
                    <a:prstGeom prst="rect">
                      <a:avLst/>
                    </a:prstGeom>
                  </pic:spPr>
                </pic:pic>
              </a:graphicData>
            </a:graphic>
          </wp:inline>
        </w:drawing>
      </w:r>
    </w:p>
    <w:p>
      <w:pPr>
        <w:spacing w:line="360" w:lineRule="auto"/>
        <w:jc w:val="both"/>
        <w:rPr>
          <w:rFonts w:ascii="Book Antiqua" w:hAnsi="Book Antiqua"/>
          <w:lang w:eastAsia="zh-CN"/>
        </w:rPr>
      </w:pPr>
      <w:r>
        <w:rPr>
          <w:rFonts w:ascii="Book Antiqua" w:hAnsi="Book Antiqua"/>
          <w:lang w:eastAsia="zh-CN"/>
        </w:rPr>
        <w:t>C                                                                 D</w:t>
      </w:r>
    </w:p>
    <w:p>
      <w:pPr>
        <w:spacing w:line="360" w:lineRule="auto"/>
        <w:jc w:val="both"/>
        <w:rPr>
          <w:rFonts w:ascii="Book Antiqua" w:hAnsi="Book Antiqua" w:cs="Book Antiqua"/>
          <w:color w:val="000000"/>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8</w:t>
      </w:r>
      <w:r>
        <w:rPr>
          <w:rFonts w:ascii="Book Antiqua" w:hAnsi="Book Antiqua" w:eastAsia="Book Antiqua" w:cs="Book Antiqua"/>
          <w:b/>
          <w:bCs/>
          <w:color w:val="000000"/>
        </w:rPr>
        <w:t xml:space="preserve"> Hepatic angiosarcoma. </w:t>
      </w:r>
      <w:r>
        <w:rPr>
          <w:rFonts w:ascii="Book Antiqua" w:hAnsi="Book Antiqua" w:eastAsia="Book Antiqua" w:cs="Book Antiqua"/>
          <w:color w:val="000000"/>
        </w:rPr>
        <w:t>A: Unencapsulated vascular lesion; B: Infiltrative growth pattern; C: Anastomosing vascular spaces lined by endothelial cells with marked cytological atypia and multilayering. D: Anastomosing vascular spaces lined by endothelial cells with marked cytological atypia and multilayering.</w:t>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br w:type="page"/>
      </w:r>
      <w:r>
        <w:rPr>
          <w:rFonts w:ascii="Book Antiqua" w:hAnsi="Book Antiqua" w:cs="Book Antiqua"/>
          <w:color w:val="000000"/>
          <w:lang w:eastAsia="zh-CN"/>
        </w:rPr>
        <w:drawing>
          <wp:inline distT="0" distB="0" distL="0" distR="0">
            <wp:extent cx="2785110" cy="2089150"/>
            <wp:effectExtent l="0" t="0" r="0" b="0"/>
            <wp:docPr id="2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3"/>
                    <pic:cNvPicPr>
                      <a:picLocks noChangeAspect="1"/>
                    </pic:cNvPicPr>
                  </pic:nvPicPr>
                  <pic:blipFill>
                    <a:blip r:embed="rId42" cstate="print">
                      <a:extLst>
                        <a:ext uri="{28A0092B-C50C-407E-A947-70E740481C1C}">
                          <a14:useLocalDpi xmlns:a14="http://schemas.microsoft.com/office/drawing/2010/main" val="0"/>
                        </a:ext>
                      </a:extLst>
                    </a:blip>
                    <a:srcRect l="12437" r="12562"/>
                    <a:stretch>
                      <a:fillRect/>
                    </a:stretch>
                  </pic:blipFill>
                  <pic:spPr>
                    <a:xfrm>
                      <a:off x="0" y="0"/>
                      <a:ext cx="2785533" cy="2089150"/>
                    </a:xfrm>
                    <a:prstGeom prst="rect">
                      <a:avLst/>
                    </a:prstGeom>
                  </pic:spPr>
                </pic:pic>
              </a:graphicData>
            </a:graphic>
          </wp:inline>
        </w:drawing>
      </w:r>
      <w:r>
        <w:rPr>
          <w:rFonts w:ascii="Book Antiqua" w:hAnsi="Book Antiqua" w:cs="Book Antiqua"/>
          <w:color w:val="000000"/>
          <w:lang w:eastAsia="zh-CN"/>
        </w:rPr>
        <w:t xml:space="preserve"> </w:t>
      </w:r>
      <w:r>
        <w:rPr>
          <w:rFonts w:ascii="Book Antiqua" w:hAnsi="Book Antiqua" w:cs="Book Antiqua"/>
          <w:color w:val="000000"/>
          <w:lang w:eastAsia="zh-CN"/>
        </w:rPr>
        <w:drawing>
          <wp:inline distT="0" distB="0" distL="0" distR="0">
            <wp:extent cx="2785110" cy="2089150"/>
            <wp:effectExtent l="0" t="0" r="0" b="0"/>
            <wp:docPr id="2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3"/>
                    <pic:cNvPicPr>
                      <a:picLocks noChangeAspect="1"/>
                    </pic:cNvPicPr>
                  </pic:nvPicPr>
                  <pic:blipFill>
                    <a:blip r:embed="rId42" cstate="print">
                      <a:extLst>
                        <a:ext uri="{28A0092B-C50C-407E-A947-70E740481C1C}">
                          <a14:useLocalDpi xmlns:a14="http://schemas.microsoft.com/office/drawing/2010/main" val="0"/>
                        </a:ext>
                      </a:extLst>
                    </a:blip>
                    <a:srcRect l="12437" r="12562"/>
                    <a:stretch>
                      <a:fillRect/>
                    </a:stretch>
                  </pic:blipFill>
                  <pic:spPr>
                    <a:xfrm>
                      <a:off x="0" y="0"/>
                      <a:ext cx="2785533" cy="2089150"/>
                    </a:xfrm>
                    <a:prstGeom prst="rect">
                      <a:avLst/>
                    </a:prstGeom>
                  </pic:spPr>
                </pic:pic>
              </a:graphicData>
            </a:graphic>
          </wp:inline>
        </w:drawing>
      </w:r>
    </w:p>
    <w:p>
      <w:pPr>
        <w:spacing w:line="360" w:lineRule="auto"/>
        <w:jc w:val="both"/>
        <w:rPr>
          <w:rFonts w:ascii="Book Antiqua" w:hAnsi="Book Antiqua" w:cs="Book Antiqua"/>
          <w:color w:val="000000"/>
          <w:lang w:eastAsia="zh-CN"/>
        </w:rPr>
      </w:pPr>
      <w:r>
        <w:rPr>
          <w:rFonts w:ascii="Book Antiqua" w:hAnsi="Book Antiqua" w:cs="Book Antiqua"/>
          <w:color w:val="000000"/>
          <w:lang w:eastAsia="zh-CN"/>
        </w:rPr>
        <w:t>A                                                                       B</w:t>
      </w:r>
    </w:p>
    <w:p>
      <w:pPr>
        <w:spacing w:line="360" w:lineRule="auto"/>
        <w:jc w:val="both"/>
        <w:rPr>
          <w:rFonts w:ascii="Book Antiqua" w:hAnsi="Book Antiqua"/>
          <w:b/>
          <w:bCs/>
          <w:lang w:eastAsia="zh-CN"/>
        </w:rPr>
      </w:pPr>
      <w:r>
        <w:rPr>
          <w:rFonts w:ascii="Book Antiqua" w:hAnsi="Book Antiqua" w:eastAsia="Book Antiqua" w:cs="Book Antiqua"/>
          <w:b/>
          <w:bCs/>
          <w:color w:val="000000"/>
        </w:rPr>
        <w:t xml:space="preserve">Figure </w:t>
      </w:r>
      <w:r>
        <w:rPr>
          <w:rFonts w:ascii="Book Antiqua" w:hAnsi="Book Antiqua" w:cs="Book Antiqua"/>
          <w:b/>
          <w:bCs/>
          <w:color w:val="000000"/>
          <w:lang w:eastAsia="zh-CN"/>
        </w:rPr>
        <w:t>9</w:t>
      </w:r>
      <w:r>
        <w:rPr>
          <w:rFonts w:ascii="Book Antiqua" w:hAnsi="Book Antiqua" w:eastAsia="Book Antiqua" w:cs="Book Antiqua"/>
          <w:b/>
          <w:bCs/>
          <w:color w:val="000000"/>
        </w:rPr>
        <w:t xml:space="preserve"> Hepatic angiosarcoma. </w:t>
      </w:r>
      <w:r>
        <w:rPr>
          <w:rFonts w:ascii="Book Antiqua" w:hAnsi="Book Antiqua" w:eastAsia="Book Antiqua" w:cs="Book Antiqua"/>
          <w:color w:val="000000"/>
        </w:rPr>
        <w:t>A: CD31 expression of the endothelial cells; B: Erythroblast transformation-specific-related gene expression of the endothelial cells.</w:t>
      </w:r>
      <w:r>
        <w:rPr>
          <w:rFonts w:ascii="Book Antiqua" w:hAnsi="Book Antiqua" w:eastAsia="Book Antiqua" w:cs="Book Antiqua"/>
          <w:color w:val="000000"/>
        </w:rPr>
        <w:br w:type="page"/>
      </w:r>
      <w:r>
        <w:rPr>
          <w:rFonts w:ascii="Book Antiqua" w:hAnsi="Book Antiqua"/>
          <w:lang w:eastAsia="zh-CN"/>
        </w:rPr>
        <w:drawing>
          <wp:inline distT="0" distB="0" distL="0" distR="0">
            <wp:extent cx="5207000" cy="29591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3"/>
                    <a:stretch>
                      <a:fillRect/>
                    </a:stretch>
                  </pic:blipFill>
                  <pic:spPr>
                    <a:xfrm>
                      <a:off x="0" y="0"/>
                      <a:ext cx="5207268" cy="2959252"/>
                    </a:xfrm>
                    <a:prstGeom prst="rect">
                      <a:avLst/>
                    </a:prstGeom>
                  </pic:spPr>
                </pic:pic>
              </a:graphicData>
            </a:graphic>
          </wp:inline>
        </w:drawing>
      </w:r>
    </w:p>
    <w:p>
      <w:pPr>
        <w:spacing w:line="360" w:lineRule="auto"/>
        <w:jc w:val="both"/>
        <w:rPr>
          <w:rFonts w:ascii="Book Antiqua" w:hAnsi="Book Antiqua"/>
        </w:rPr>
      </w:pPr>
      <w:r>
        <w:rPr>
          <w:rFonts w:ascii="Book Antiqua" w:hAnsi="Book Antiqua"/>
          <w:b/>
          <w:bCs/>
          <w:lang w:eastAsia="zh-CN"/>
        </w:rPr>
        <w:t>Figu</w:t>
      </w:r>
      <w:r>
        <w:rPr>
          <w:rFonts w:hint="eastAsia" w:ascii="Book Antiqua" w:hAnsi="Book Antiqua"/>
          <w:b/>
          <w:bCs/>
          <w:lang w:eastAsia="zh-CN"/>
        </w:rPr>
        <w:t>re</w:t>
      </w:r>
      <w:r>
        <w:rPr>
          <w:rFonts w:ascii="Book Antiqua" w:hAnsi="Book Antiqua"/>
          <w:b/>
          <w:bCs/>
          <w:lang w:eastAsia="zh-CN"/>
        </w:rPr>
        <w:t xml:space="preserve"> 10</w:t>
      </w:r>
      <w:r>
        <w:rPr>
          <w:rFonts w:ascii="Book Antiqua" w:hAnsi="Book Antiqua"/>
          <w:b/>
          <w:bCs/>
        </w:rPr>
        <w:t xml:space="preserve"> Overview pediatric vascular tumors of the liver and their immunohistochemistry</w:t>
      </w:r>
      <w:r>
        <w:rPr>
          <w:rFonts w:ascii="Book Antiqua" w:hAnsi="Book Antiqua"/>
          <w:b/>
          <w:bCs/>
          <w:lang w:eastAsia="zh-CN"/>
        </w:rPr>
        <w:t>.</w:t>
      </w:r>
      <w:r>
        <w:rPr>
          <w:rFonts w:ascii="Book Antiqua" w:hAnsi="Book Antiqua"/>
        </w:rPr>
        <w:t xml:space="preserve"> </w:t>
      </w:r>
      <w:r>
        <w:rPr>
          <w:rFonts w:ascii="Book Antiqua" w:hAnsi="Book Antiqua"/>
          <w:vertAlign w:val="superscript"/>
        </w:rPr>
        <w:t>1</w:t>
      </w:r>
      <w:r>
        <w:rPr>
          <w:rFonts w:ascii="Book Antiqua" w:hAnsi="Book Antiqua"/>
        </w:rPr>
        <w:t>Positive immunohistochemical staining</w:t>
      </w:r>
      <w:r>
        <w:rPr>
          <w:rFonts w:hint="eastAsia" w:ascii="Book Antiqua" w:hAnsi="Book Antiqua"/>
          <w:lang w:eastAsia="zh-CN"/>
        </w:rPr>
        <w:t>；</w:t>
      </w:r>
      <w:r>
        <w:rPr>
          <w:rFonts w:ascii="Book Antiqua" w:hAnsi="Book Antiqua"/>
        </w:rPr>
        <w:t xml:space="preserve"> </w:t>
      </w:r>
      <w:r>
        <w:rPr>
          <w:rFonts w:ascii="Book Antiqua" w:hAnsi="Book Antiqua"/>
          <w:vertAlign w:val="superscript"/>
        </w:rPr>
        <w:t>2</w:t>
      </w:r>
      <w:r>
        <w:rPr>
          <w:rFonts w:ascii="Book Antiqua" w:hAnsi="Book Antiqua"/>
        </w:rPr>
        <w:t>Negative immunohistochemical staining</w:t>
      </w:r>
      <w:r>
        <w:rPr>
          <w:rFonts w:hint="eastAsia" w:ascii="Book Antiqua" w:hAnsi="Book Antiqua"/>
          <w:lang w:eastAsia="zh-CN"/>
        </w:rPr>
        <w:t>；</w:t>
      </w:r>
      <w:r>
        <w:rPr>
          <w:rFonts w:ascii="Book Antiqua" w:hAnsi="Book Antiqua"/>
        </w:rPr>
        <w:t xml:space="preserve"> </w:t>
      </w:r>
      <w:r>
        <w:rPr>
          <w:rFonts w:ascii="Book Antiqua" w:hAnsi="Book Antiqua"/>
          <w:vertAlign w:val="superscript"/>
        </w:rPr>
        <w:t>3</w:t>
      </w:r>
      <w:r>
        <w:rPr>
          <w:rFonts w:ascii="Book Antiqua" w:hAnsi="Book Antiqua"/>
        </w:rPr>
        <w:t>Occasionally positive immunohistochemical staining</w:t>
      </w:r>
      <w:r>
        <w:rPr>
          <w:rFonts w:ascii="Book Antiqua" w:hAnsi="Book Antiqua"/>
          <w:lang w:eastAsia="zh-CN"/>
        </w:rPr>
        <w:t xml:space="preserve">. </w:t>
      </w:r>
      <w:r>
        <w:rPr>
          <w:rFonts w:ascii="Book Antiqua" w:hAnsi="Book Antiqua"/>
        </w:rPr>
        <w:t xml:space="preserve">WT-1: Wilms’ tumor 1; FVIII: factor VIII; ERG: Erythroblast transformation-specific-related gene; GLUT-1: glucose transporter-1; D2-40: podoplanin; CAMTA1: calmodulin-binding transcription activator1; TFE3: transcription factor E3; CK8-18: cytokeratin 8-18. </w:t>
      </w:r>
    </w:p>
    <w:p>
      <w:pPr>
        <w:spacing w:line="360" w:lineRule="auto"/>
        <w:jc w:val="both"/>
        <w:rPr>
          <w:rFonts w:ascii="Book Antiqua" w:hAnsi="Book Antiqua"/>
          <w:b/>
          <w:bCs/>
          <w:lang w:eastAsia="zh-CN"/>
        </w:rPr>
      </w:pPr>
    </w:p>
    <w:p>
      <w:pPr>
        <w:spacing w:line="360" w:lineRule="auto"/>
        <w:jc w:val="both"/>
        <w:rPr>
          <w:rFonts w:ascii="Book Antiqua" w:hAnsi="Book Antiqua"/>
          <w:lang w:eastAsia="zh-CN"/>
        </w:rPr>
        <w:sectPr>
          <w:pgSz w:w="12240" w:h="15840"/>
          <w:pgMar w:top="1440" w:right="1440" w:bottom="1440" w:left="1440" w:header="720" w:footer="720" w:gutter="0"/>
          <w:cols w:space="720" w:num="1"/>
          <w:docGrid w:linePitch="360" w:charSpace="0"/>
        </w:sect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2499360" cy="1440180"/>
            <wp:effectExtent l="0" t="0" r="0" b="7620"/>
            <wp:docPr id="23" name="图片 23"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18810513029\Desktop\logo.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26" name="图片 2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18810513029\Desktop\二维码.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rPr>
        <w:t>© 2021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ascii="Book Antiqua" w:hAnsi="Book Antiqua"/>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Garamond-Bold">
    <w:altName w:val="等线"/>
    <w:panose1 w:val="00000000000000000000"/>
    <w:charset w:val="00"/>
    <w:family w:val="auto"/>
    <w:pitch w:val="default"/>
    <w:sig w:usb0="00000000" w:usb1="00000000" w:usb2="00000010" w:usb3="00000000" w:csb0="0004009F" w:csb1="00000000"/>
  </w:font>
  <w:font w:name="等线">
    <w:panose1 w:val="02010600030101010101"/>
    <w:charset w:val="86"/>
    <w:family w:val="auto"/>
    <w:pitch w:val="default"/>
    <w:sig w:usb0="A00002BF" w:usb1="38CF7CFA" w:usb2="00000016" w:usb3="00000000" w:csb0="0004000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58199131"/>
      <w:docPartObj>
        <w:docPartGallery w:val="autotext"/>
      </w:docPartObj>
    </w:sdtPr>
    <w:sdtContent>
      <w:sdt>
        <w:sdtPr>
          <w:id w:val="98381352"/>
          <w:docPartObj>
            <w:docPartGallery w:val="autotext"/>
          </w:docPartObj>
        </w:sdtPr>
        <w:sdtContent>
          <w:p>
            <w:pPr>
              <w:pStyle w:val="4"/>
              <w:jc w:val="right"/>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 xml:space="preserve">PAGE</w:instrText>
            </w:r>
            <w:r>
              <w:rPr>
                <w:rFonts w:ascii="Book Antiqua" w:hAnsi="Book Antiqua"/>
                <w:b/>
                <w:bCs/>
                <w:sz w:val="24"/>
                <w:szCs w:val="24"/>
              </w:rPr>
              <w:fldChar w:fldCharType="separate"/>
            </w:r>
            <w:r>
              <w:rPr>
                <w:rFonts w:ascii="Book Antiqua" w:hAnsi="Book Antiqua"/>
                <w:b/>
                <w:bCs/>
                <w:sz w:val="24"/>
                <w:szCs w:val="24"/>
              </w:rPr>
              <w:t>27</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 xml:space="preserve">NUMPAGES</w:instrText>
            </w:r>
            <w:r>
              <w:rPr>
                <w:rFonts w:ascii="Book Antiqua" w:hAnsi="Book Antiqua"/>
                <w:b/>
                <w:bCs/>
                <w:sz w:val="24"/>
                <w:szCs w:val="24"/>
              </w:rPr>
              <w:fldChar w:fldCharType="separate"/>
            </w:r>
            <w:r>
              <w:rPr>
                <w:rFonts w:ascii="Book Antiqua" w:hAnsi="Book Antiqua"/>
                <w:b/>
                <w:bCs/>
                <w:sz w:val="24"/>
                <w:szCs w:val="24"/>
              </w:rPr>
              <w:t>27</w:t>
            </w:r>
            <w:r>
              <w:rPr>
                <w:rFonts w:ascii="Book Antiqua" w:hAnsi="Book Antiqua"/>
                <w:b/>
                <w:bCs/>
                <w:sz w:val="24"/>
                <w:szCs w:val="24"/>
              </w:rPr>
              <w:fldChar w:fldCharType="end"/>
            </w:r>
          </w:p>
        </w:sdtContent>
      </w:sdt>
    </w:sdtContent>
  </w:sdt>
  <w:p>
    <w:pPr>
      <w:pStyle w:val="4"/>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noPunctuationKerning w:val="1"/>
  <w:characterSpacingControl w:val="doNotCompress"/>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A77B3E"/>
    <w:rsid w:val="00054E35"/>
    <w:rsid w:val="00086A8E"/>
    <w:rsid w:val="0017144C"/>
    <w:rsid w:val="001C7E33"/>
    <w:rsid w:val="00277BC9"/>
    <w:rsid w:val="00372AF8"/>
    <w:rsid w:val="003F478C"/>
    <w:rsid w:val="00440FAB"/>
    <w:rsid w:val="004D3457"/>
    <w:rsid w:val="00537141"/>
    <w:rsid w:val="00544E5F"/>
    <w:rsid w:val="00600BD4"/>
    <w:rsid w:val="006148A8"/>
    <w:rsid w:val="00684B9B"/>
    <w:rsid w:val="006A6B80"/>
    <w:rsid w:val="00744859"/>
    <w:rsid w:val="00795B42"/>
    <w:rsid w:val="008024FD"/>
    <w:rsid w:val="008139A1"/>
    <w:rsid w:val="009B3E89"/>
    <w:rsid w:val="00A060FC"/>
    <w:rsid w:val="00A77B3E"/>
    <w:rsid w:val="00AE7E6A"/>
    <w:rsid w:val="00AF35A7"/>
    <w:rsid w:val="00B03BC4"/>
    <w:rsid w:val="00B03F1B"/>
    <w:rsid w:val="00BA0850"/>
    <w:rsid w:val="00C2764B"/>
    <w:rsid w:val="00C4612F"/>
    <w:rsid w:val="00C608FA"/>
    <w:rsid w:val="00CA2A55"/>
    <w:rsid w:val="00CB3673"/>
    <w:rsid w:val="00D063AC"/>
    <w:rsid w:val="00D43CBC"/>
    <w:rsid w:val="00DD18B5"/>
    <w:rsid w:val="00E70C52"/>
    <w:rsid w:val="00E7656C"/>
    <w:rsid w:val="00FD59CB"/>
    <w:rsid w:val="07B425C6"/>
    <w:rsid w:val="2997207B"/>
    <w:rsid w:val="764702B3"/>
    <w:rsid w:val="7DB576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nhideWhenUsed="0" w:uiPriority="0" w:semiHidden="0" w:name="annotation text"/>
    <w:lsdException w:unhideWhenUsed="0" w:uiPriority="0" w:semiHidden="0" w:name="header"/>
    <w:lsdException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8">
    <w:name w:val="Default Paragraph Font"/>
    <w:semiHidden/>
    <w:unhideWhenUsed/>
    <w:qFormat/>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1"/>
    <w:uiPriority w:val="0"/>
  </w:style>
  <w:style w:type="paragraph" w:styleId="3">
    <w:name w:val="Balloon Text"/>
    <w:basedOn w:val="1"/>
    <w:link w:val="10"/>
    <w:qFormat/>
    <w:uiPriority w:val="0"/>
    <w:rPr>
      <w:sz w:val="18"/>
      <w:szCs w:val="18"/>
    </w:rPr>
  </w:style>
  <w:style w:type="paragraph" w:styleId="4">
    <w:name w:val="footer"/>
    <w:basedOn w:val="1"/>
    <w:link w:val="14"/>
    <w:uiPriority w:val="99"/>
    <w:pPr>
      <w:tabs>
        <w:tab w:val="center" w:pos="4153"/>
        <w:tab w:val="right" w:pos="8306"/>
      </w:tabs>
      <w:snapToGrid w:val="0"/>
    </w:pPr>
    <w:rPr>
      <w:sz w:val="18"/>
      <w:szCs w:val="18"/>
    </w:rPr>
  </w:style>
  <w:style w:type="paragraph" w:styleId="5">
    <w:name w:val="header"/>
    <w:basedOn w:val="1"/>
    <w:link w:val="13"/>
    <w:uiPriority w:val="0"/>
    <w:pPr>
      <w:pBdr>
        <w:bottom w:val="single" w:color="auto" w:sz="6" w:space="1"/>
      </w:pBdr>
      <w:tabs>
        <w:tab w:val="center" w:pos="4153"/>
        <w:tab w:val="right" w:pos="8306"/>
      </w:tabs>
      <w:snapToGrid w:val="0"/>
      <w:jc w:val="center"/>
    </w:pPr>
    <w:rPr>
      <w:sz w:val="18"/>
      <w:szCs w:val="18"/>
    </w:rPr>
  </w:style>
  <w:style w:type="paragraph" w:styleId="6">
    <w:name w:val="annotation subject"/>
    <w:basedOn w:val="2"/>
    <w:next w:val="2"/>
    <w:link w:val="12"/>
    <w:uiPriority w:val="0"/>
    <w:rPr>
      <w:b/>
      <w:bCs/>
    </w:rPr>
  </w:style>
  <w:style w:type="character" w:styleId="9">
    <w:name w:val="annotation reference"/>
    <w:basedOn w:val="8"/>
    <w:uiPriority w:val="0"/>
    <w:rPr>
      <w:sz w:val="21"/>
      <w:szCs w:val="21"/>
    </w:rPr>
  </w:style>
  <w:style w:type="character" w:customStyle="1" w:styleId="10">
    <w:name w:val="批注框文本 字符"/>
    <w:basedOn w:val="8"/>
    <w:link w:val="3"/>
    <w:qFormat/>
    <w:uiPriority w:val="0"/>
    <w:rPr>
      <w:sz w:val="18"/>
      <w:szCs w:val="18"/>
    </w:rPr>
  </w:style>
  <w:style w:type="character" w:customStyle="1" w:styleId="11">
    <w:name w:val="批注文字 字符"/>
    <w:basedOn w:val="8"/>
    <w:link w:val="2"/>
    <w:uiPriority w:val="0"/>
    <w:rPr>
      <w:sz w:val="24"/>
      <w:szCs w:val="24"/>
    </w:rPr>
  </w:style>
  <w:style w:type="character" w:customStyle="1" w:styleId="12">
    <w:name w:val="批注主题 字符"/>
    <w:basedOn w:val="11"/>
    <w:link w:val="6"/>
    <w:uiPriority w:val="0"/>
    <w:rPr>
      <w:b/>
      <w:bCs/>
      <w:sz w:val="24"/>
      <w:szCs w:val="24"/>
    </w:rPr>
  </w:style>
  <w:style w:type="character" w:customStyle="1" w:styleId="13">
    <w:name w:val="页眉 字符"/>
    <w:basedOn w:val="8"/>
    <w:link w:val="5"/>
    <w:uiPriority w:val="0"/>
    <w:rPr>
      <w:sz w:val="18"/>
      <w:szCs w:val="18"/>
    </w:rPr>
  </w:style>
  <w:style w:type="character" w:customStyle="1" w:styleId="14">
    <w:name w:val="页脚 字符"/>
    <w:basedOn w:val="8"/>
    <w:link w:val="4"/>
    <w:qFormat/>
    <w:uiPriority w:val="99"/>
    <w:rPr>
      <w:sz w:val="18"/>
      <w:szCs w:val="18"/>
    </w:rPr>
  </w:style>
</w:styles>
</file>

<file path=word/_rels/document.xml.rels><?xml version="1.0" encoding="UTF-8" standalone="yes"?>
<Relationships xmlns="http://schemas.openxmlformats.org/package/2006/relationships"><Relationship Id="rId9" Type="http://schemas.microsoft.com/office/2007/relationships/hdphoto" Target="media/image5.wdp"/><Relationship Id="rId8" Type="http://schemas.openxmlformats.org/officeDocument/2006/relationships/image" Target="media/image4.png"/><Relationship Id="rId7" Type="http://schemas.microsoft.com/office/2007/relationships/hdphoto" Target="media/image3.wdp"/><Relationship Id="rId6" Type="http://schemas.openxmlformats.org/officeDocument/2006/relationships/image" Target="media/image2.png"/><Relationship Id="rId5" Type="http://schemas.openxmlformats.org/officeDocument/2006/relationships/image" Target="media/image1.png"/><Relationship Id="rId47" Type="http://schemas.openxmlformats.org/officeDocument/2006/relationships/fontTable" Target="fontTable.xml"/><Relationship Id="rId46" Type="http://schemas.openxmlformats.org/officeDocument/2006/relationships/customXml" Target="../customXml/item1.xml"/><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tiff"/><Relationship Id="rId41" Type="http://schemas.microsoft.com/office/2007/relationships/hdphoto" Target="media/image35.wdp"/><Relationship Id="rId40" Type="http://schemas.openxmlformats.org/officeDocument/2006/relationships/image" Target="media/image34.png"/><Relationship Id="rId4" Type="http://schemas.openxmlformats.org/officeDocument/2006/relationships/theme" Target="theme/theme1.xml"/><Relationship Id="rId39" Type="http://schemas.microsoft.com/office/2007/relationships/hdphoto" Target="media/image33.wdp"/><Relationship Id="rId38" Type="http://schemas.openxmlformats.org/officeDocument/2006/relationships/image" Target="media/image32.png"/><Relationship Id="rId37" Type="http://schemas.openxmlformats.org/officeDocument/2006/relationships/image" Target="media/image2.tiff"/><Relationship Id="rId36" Type="http://schemas.microsoft.com/office/2007/relationships/hdphoto" Target="media/image31.wdp"/><Relationship Id="rId35" Type="http://schemas.openxmlformats.org/officeDocument/2006/relationships/image" Target="media/image30.png"/><Relationship Id="rId34" Type="http://schemas.openxmlformats.org/officeDocument/2006/relationships/image" Target="media/image29.jpeg"/><Relationship Id="rId33" Type="http://schemas.microsoft.com/office/2007/relationships/hdphoto" Target="media/image28.wdp"/><Relationship Id="rId32" Type="http://schemas.openxmlformats.org/officeDocument/2006/relationships/image" Target="media/image27.png"/><Relationship Id="rId31" Type="http://schemas.microsoft.com/office/2007/relationships/hdphoto" Target="media/image26.wdp"/><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jpeg"/><Relationship Id="rId28" Type="http://schemas.microsoft.com/office/2007/relationships/hdphoto" Target="media/image23.wdp"/><Relationship Id="rId27" Type="http://schemas.openxmlformats.org/officeDocument/2006/relationships/image" Target="media/image22.png"/><Relationship Id="rId26" Type="http://schemas.openxmlformats.org/officeDocument/2006/relationships/image" Target="media/image1.tiff"/><Relationship Id="rId25" Type="http://schemas.microsoft.com/office/2007/relationships/hdphoto" Target="media/image21.wdp"/><Relationship Id="rId24" Type="http://schemas.openxmlformats.org/officeDocument/2006/relationships/image" Target="media/image20.png"/><Relationship Id="rId23" Type="http://schemas.microsoft.com/office/2007/relationships/hdphoto" Target="media/image19.wdp"/><Relationship Id="rId22" Type="http://schemas.openxmlformats.org/officeDocument/2006/relationships/image" Target="media/image18.png"/><Relationship Id="rId21" Type="http://schemas.microsoft.com/office/2007/relationships/hdphoto" Target="media/image17.wdp"/><Relationship Id="rId20" Type="http://schemas.openxmlformats.org/officeDocument/2006/relationships/image" Target="media/image16.png"/><Relationship Id="rId2" Type="http://schemas.openxmlformats.org/officeDocument/2006/relationships/settings" Target="settings.xml"/><Relationship Id="rId19" Type="http://schemas.microsoft.com/office/2007/relationships/hdphoto" Target="media/image15.wdp"/><Relationship Id="rId18" Type="http://schemas.openxmlformats.org/officeDocument/2006/relationships/image" Target="media/image14.png"/><Relationship Id="rId17" Type="http://schemas.microsoft.com/office/2007/relationships/hdphoto" Target="media/image13.wdp"/><Relationship Id="rId16" Type="http://schemas.openxmlformats.org/officeDocument/2006/relationships/image" Target="media/image12.png"/><Relationship Id="rId15" Type="http://schemas.microsoft.com/office/2007/relationships/hdphoto" Target="media/image11.wdp"/><Relationship Id="rId14" Type="http://schemas.openxmlformats.org/officeDocument/2006/relationships/image" Target="media/image10.png"/><Relationship Id="rId13" Type="http://schemas.microsoft.com/office/2007/relationships/hdphoto" Target="media/image9.wdp"/><Relationship Id="rId12" Type="http://schemas.openxmlformats.org/officeDocument/2006/relationships/image" Target="media/image8.png"/><Relationship Id="rId11" Type="http://schemas.microsoft.com/office/2007/relationships/hdphoto" Target="media/image7.wdp"/><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27</Pages>
  <Words>5234</Words>
  <Characters>29834</Characters>
  <Lines>248</Lines>
  <Paragraphs>69</Paragraphs>
  <TotalTime>0</TotalTime>
  <ScaleCrop>false</ScaleCrop>
  <LinksUpToDate>false</LinksUpToDate>
  <CharactersWithSpaces>34999</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2021-08-25T16:34:00Z</dcterms:created>
  <dc:creator>梅长苏</dc:creator>
  <cp:lastModifiedBy>晓晨</cp:lastModifiedBy>
  <dcterms:modified xsi:type="dcterms:W3CDTF">2021-10-21T10:46:03Z</dcterms:modified>
  <cp:revision>33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48A5BE06754F4137884A03BD406158AA</vt:lpwstr>
  </property>
</Properties>
</file>