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0684"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Name of Journal: </w:t>
      </w:r>
      <w:r w:rsidRPr="008725BA">
        <w:rPr>
          <w:rFonts w:ascii="Book Antiqua" w:eastAsia="Book Antiqua" w:hAnsi="Book Antiqua" w:cs="Book Antiqua"/>
          <w:i/>
          <w:color w:val="000000"/>
        </w:rPr>
        <w:t>World Journal of Hepatology</w:t>
      </w:r>
    </w:p>
    <w:p w14:paraId="60CDBC29"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Manuscript NO: </w:t>
      </w:r>
      <w:r w:rsidRPr="008725BA">
        <w:rPr>
          <w:rFonts w:ascii="Book Antiqua" w:eastAsia="Book Antiqua" w:hAnsi="Book Antiqua" w:cs="Book Antiqua"/>
          <w:color w:val="000000"/>
        </w:rPr>
        <w:t>64958</w:t>
      </w:r>
    </w:p>
    <w:p w14:paraId="4FB8524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Manuscript Type: </w:t>
      </w:r>
      <w:r w:rsidRPr="008725BA">
        <w:rPr>
          <w:rFonts w:ascii="Book Antiqua" w:eastAsia="Book Antiqua" w:hAnsi="Book Antiqua" w:cs="Book Antiqua"/>
          <w:color w:val="000000"/>
        </w:rPr>
        <w:t>MINIREVIEWS</w:t>
      </w:r>
    </w:p>
    <w:p w14:paraId="6D3A32E8" w14:textId="77777777" w:rsidR="00A77B3E" w:rsidRPr="008725BA" w:rsidRDefault="00A77B3E" w:rsidP="008725BA">
      <w:pPr>
        <w:adjustRightInd w:val="0"/>
        <w:snapToGrid w:val="0"/>
        <w:spacing w:line="360" w:lineRule="auto"/>
        <w:jc w:val="both"/>
        <w:rPr>
          <w:rFonts w:ascii="Book Antiqua" w:hAnsi="Book Antiqua"/>
        </w:rPr>
      </w:pPr>
    </w:p>
    <w:p w14:paraId="6CBFCD70"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Assessing the prognosis of cirrhotic patients in the</w:t>
      </w:r>
      <w:r w:rsidRPr="008725BA">
        <w:rPr>
          <w:rFonts w:ascii="Book Antiqua" w:eastAsia="Book Antiqua" w:hAnsi="Book Antiqua" w:cs="Book Antiqua"/>
          <w:b/>
          <w:color w:val="000000"/>
        </w:rPr>
        <w:t xml:space="preserve"> </w:t>
      </w:r>
      <w:r w:rsidRPr="008725BA">
        <w:rPr>
          <w:rFonts w:ascii="Book Antiqua" w:eastAsia="Book Antiqua" w:hAnsi="Book Antiqua" w:cs="Book Antiqua"/>
          <w:b/>
          <w:bCs/>
          <w:color w:val="000000"/>
        </w:rPr>
        <w:t>intensive care unit: What we know and what we need to know better</w:t>
      </w:r>
    </w:p>
    <w:p w14:paraId="153935E7" w14:textId="77777777" w:rsidR="00A77B3E" w:rsidRPr="008725BA" w:rsidRDefault="00A77B3E" w:rsidP="008725BA">
      <w:pPr>
        <w:adjustRightInd w:val="0"/>
        <w:snapToGrid w:val="0"/>
        <w:spacing w:line="360" w:lineRule="auto"/>
        <w:jc w:val="both"/>
        <w:rPr>
          <w:rFonts w:ascii="Book Antiqua" w:hAnsi="Book Antiqua"/>
        </w:rPr>
      </w:pPr>
    </w:p>
    <w:p w14:paraId="4ED5AE44"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da Silveira F </w:t>
      </w:r>
      <w:r w:rsidRPr="008725BA">
        <w:rPr>
          <w:rFonts w:ascii="Book Antiqua" w:eastAsia="Book Antiqua" w:hAnsi="Book Antiqua" w:cs="Book Antiqua"/>
          <w:i/>
          <w:iCs/>
          <w:color w:val="000000"/>
        </w:rPr>
        <w:t>et al</w:t>
      </w:r>
      <w:r w:rsidRPr="008725BA">
        <w:rPr>
          <w:rFonts w:ascii="Book Antiqua" w:eastAsia="Book Antiqua" w:hAnsi="Book Antiqua" w:cs="Book Antiqua"/>
          <w:color w:val="000000"/>
        </w:rPr>
        <w:t>. Prognosis of cirrhotic patients</w:t>
      </w:r>
    </w:p>
    <w:p w14:paraId="768B4E40" w14:textId="77777777" w:rsidR="00A77B3E" w:rsidRPr="008725BA" w:rsidRDefault="00A77B3E" w:rsidP="008725BA">
      <w:pPr>
        <w:adjustRightInd w:val="0"/>
        <w:snapToGrid w:val="0"/>
        <w:spacing w:line="360" w:lineRule="auto"/>
        <w:jc w:val="both"/>
        <w:rPr>
          <w:rFonts w:ascii="Book Antiqua" w:hAnsi="Book Antiqua"/>
        </w:rPr>
      </w:pPr>
    </w:p>
    <w:p w14:paraId="5945EE80"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Fernando da Silveira, Pedro H R Soares, </w:t>
      </w:r>
      <w:proofErr w:type="spellStart"/>
      <w:r w:rsidRPr="008725BA">
        <w:rPr>
          <w:rFonts w:ascii="Book Antiqua" w:eastAsia="Book Antiqua" w:hAnsi="Book Antiqua" w:cs="Book Antiqua"/>
          <w:color w:val="000000"/>
        </w:rPr>
        <w:t>Luana</w:t>
      </w:r>
      <w:proofErr w:type="spellEnd"/>
      <w:r w:rsidRPr="008725BA">
        <w:rPr>
          <w:rFonts w:ascii="Book Antiqua" w:eastAsia="Book Antiqua" w:hAnsi="Book Antiqua" w:cs="Book Antiqua"/>
          <w:color w:val="000000"/>
        </w:rPr>
        <w:t xml:space="preserve"> Q </w:t>
      </w:r>
      <w:proofErr w:type="spellStart"/>
      <w:r w:rsidRPr="008725BA">
        <w:rPr>
          <w:rFonts w:ascii="Book Antiqua" w:eastAsia="Book Antiqua" w:hAnsi="Book Antiqua" w:cs="Book Antiqua"/>
          <w:color w:val="000000"/>
        </w:rPr>
        <w:t>Marchesan</w:t>
      </w:r>
      <w:proofErr w:type="spellEnd"/>
      <w:r w:rsidRPr="008725BA">
        <w:rPr>
          <w:rFonts w:ascii="Book Antiqua" w:eastAsia="Book Antiqua" w:hAnsi="Book Antiqua" w:cs="Book Antiqua"/>
          <w:color w:val="000000"/>
        </w:rPr>
        <w:t xml:space="preserve">, Roberto S A da Fonseca, Wagner L </w:t>
      </w:r>
      <w:proofErr w:type="spellStart"/>
      <w:r w:rsidRPr="008725BA">
        <w:rPr>
          <w:rFonts w:ascii="Book Antiqua" w:eastAsia="Book Antiqua" w:hAnsi="Book Antiqua" w:cs="Book Antiqua"/>
          <w:color w:val="000000"/>
        </w:rPr>
        <w:t>Nedel</w:t>
      </w:r>
      <w:proofErr w:type="spellEnd"/>
    </w:p>
    <w:p w14:paraId="6ADB8B13" w14:textId="77777777" w:rsidR="00A77B3E" w:rsidRPr="008725BA" w:rsidRDefault="00A77B3E" w:rsidP="008725BA">
      <w:pPr>
        <w:adjustRightInd w:val="0"/>
        <w:snapToGrid w:val="0"/>
        <w:spacing w:line="360" w:lineRule="auto"/>
        <w:jc w:val="both"/>
        <w:rPr>
          <w:rFonts w:ascii="Book Antiqua" w:hAnsi="Book Antiqua"/>
        </w:rPr>
      </w:pPr>
    </w:p>
    <w:p w14:paraId="03734B4C"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Fernando da Silveira, </w:t>
      </w:r>
      <w:proofErr w:type="spellStart"/>
      <w:r w:rsidRPr="008725BA">
        <w:rPr>
          <w:rFonts w:ascii="Book Antiqua" w:eastAsia="Book Antiqua" w:hAnsi="Book Antiqua" w:cs="Book Antiqua"/>
          <w:color w:val="000000"/>
        </w:rPr>
        <w:t>Programa</w:t>
      </w:r>
      <w:proofErr w:type="spellEnd"/>
      <w:r w:rsidRPr="008725BA">
        <w:rPr>
          <w:rFonts w:ascii="Book Antiqua" w:eastAsia="Book Antiqua" w:hAnsi="Book Antiqua" w:cs="Book Antiqua"/>
          <w:color w:val="000000"/>
        </w:rPr>
        <w:t xml:space="preserve"> de </w:t>
      </w:r>
      <w:proofErr w:type="spellStart"/>
      <w:r w:rsidRPr="008725BA">
        <w:rPr>
          <w:rFonts w:ascii="Book Antiqua" w:eastAsia="Book Antiqua" w:hAnsi="Book Antiqua" w:cs="Book Antiqua"/>
          <w:color w:val="000000"/>
        </w:rPr>
        <w:t>Pós-Graduação</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em</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Pneumologia</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Universidade</w:t>
      </w:r>
      <w:proofErr w:type="spellEnd"/>
      <w:r w:rsidRPr="008725BA">
        <w:rPr>
          <w:rFonts w:ascii="Book Antiqua" w:eastAsia="Book Antiqua" w:hAnsi="Book Antiqua" w:cs="Book Antiqua"/>
          <w:color w:val="000000"/>
        </w:rPr>
        <w:t xml:space="preserve"> Federal do Rio Grande do Sul, Porto Alegre 91430835, Brazil</w:t>
      </w:r>
    </w:p>
    <w:p w14:paraId="791C4B98" w14:textId="77777777" w:rsidR="00A77B3E" w:rsidRPr="008725BA" w:rsidRDefault="00A77B3E" w:rsidP="008725BA">
      <w:pPr>
        <w:adjustRightInd w:val="0"/>
        <w:snapToGrid w:val="0"/>
        <w:spacing w:line="360" w:lineRule="auto"/>
        <w:jc w:val="both"/>
        <w:rPr>
          <w:rFonts w:ascii="Book Antiqua" w:hAnsi="Book Antiqua"/>
        </w:rPr>
      </w:pPr>
    </w:p>
    <w:p w14:paraId="4D8CEDC5"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Fernando da Silveira, Pedro H R Soares, </w:t>
      </w:r>
      <w:proofErr w:type="spellStart"/>
      <w:r w:rsidRPr="008725BA">
        <w:rPr>
          <w:rFonts w:ascii="Book Antiqua" w:eastAsia="Book Antiqua" w:hAnsi="Book Antiqua" w:cs="Book Antiqua"/>
          <w:b/>
          <w:bCs/>
          <w:color w:val="000000"/>
        </w:rPr>
        <w:t>Luana</w:t>
      </w:r>
      <w:proofErr w:type="spellEnd"/>
      <w:r w:rsidRPr="008725BA">
        <w:rPr>
          <w:rFonts w:ascii="Book Antiqua" w:eastAsia="Book Antiqua" w:hAnsi="Book Antiqua" w:cs="Book Antiqua"/>
          <w:b/>
          <w:bCs/>
          <w:color w:val="000000"/>
        </w:rPr>
        <w:t xml:space="preserve"> Q </w:t>
      </w:r>
      <w:proofErr w:type="spellStart"/>
      <w:r w:rsidRPr="008725BA">
        <w:rPr>
          <w:rFonts w:ascii="Book Antiqua" w:eastAsia="Book Antiqua" w:hAnsi="Book Antiqua" w:cs="Book Antiqua"/>
          <w:b/>
          <w:bCs/>
          <w:color w:val="000000"/>
        </w:rPr>
        <w:t>Marchesan</w:t>
      </w:r>
      <w:proofErr w:type="spellEnd"/>
      <w:r w:rsidRPr="008725BA">
        <w:rPr>
          <w:rFonts w:ascii="Book Antiqua" w:eastAsia="Book Antiqua" w:hAnsi="Book Antiqua" w:cs="Book Antiqua"/>
          <w:b/>
          <w:bCs/>
          <w:color w:val="000000"/>
        </w:rPr>
        <w:t xml:space="preserve">, Roberto S A da Fonseca, Wagner L </w:t>
      </w:r>
      <w:proofErr w:type="spellStart"/>
      <w:r w:rsidRPr="008725BA">
        <w:rPr>
          <w:rFonts w:ascii="Book Antiqua" w:eastAsia="Book Antiqua" w:hAnsi="Book Antiqua" w:cs="Book Antiqua"/>
          <w:b/>
          <w:bCs/>
          <w:color w:val="000000"/>
        </w:rPr>
        <w:t>Nedel</w:t>
      </w:r>
      <w:proofErr w:type="spellEnd"/>
      <w:r w:rsidRPr="008725BA">
        <w:rPr>
          <w:rFonts w:ascii="Book Antiqua" w:eastAsia="Book Antiqua" w:hAnsi="Book Antiqua" w:cs="Book Antiqua"/>
          <w:b/>
          <w:bCs/>
          <w:color w:val="000000"/>
        </w:rPr>
        <w:t xml:space="preserve">, </w:t>
      </w:r>
      <w:r w:rsidRPr="008725BA">
        <w:rPr>
          <w:rFonts w:ascii="Book Antiqua" w:eastAsia="Book Antiqua" w:hAnsi="Book Antiqua" w:cs="Book Antiqua"/>
          <w:color w:val="000000"/>
        </w:rPr>
        <w:t xml:space="preserve">Intensive Care Unit, Grupo </w:t>
      </w:r>
      <w:proofErr w:type="spellStart"/>
      <w:r w:rsidRPr="008725BA">
        <w:rPr>
          <w:rFonts w:ascii="Book Antiqua" w:eastAsia="Book Antiqua" w:hAnsi="Book Antiqua" w:cs="Book Antiqua"/>
          <w:color w:val="000000"/>
        </w:rPr>
        <w:t>Hospitalar</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Conceição</w:t>
      </w:r>
      <w:proofErr w:type="spellEnd"/>
      <w:r w:rsidRPr="008725BA">
        <w:rPr>
          <w:rFonts w:ascii="Book Antiqua" w:eastAsia="Book Antiqua" w:hAnsi="Book Antiqua" w:cs="Book Antiqua"/>
          <w:color w:val="000000"/>
        </w:rPr>
        <w:t>, Porto Alegre 91430835, Brazil</w:t>
      </w:r>
    </w:p>
    <w:p w14:paraId="328A799B" w14:textId="77777777" w:rsidR="00A77B3E" w:rsidRPr="008725BA" w:rsidRDefault="00A77B3E" w:rsidP="008725BA">
      <w:pPr>
        <w:adjustRightInd w:val="0"/>
        <w:snapToGrid w:val="0"/>
        <w:spacing w:line="360" w:lineRule="auto"/>
        <w:jc w:val="both"/>
        <w:rPr>
          <w:rFonts w:ascii="Book Antiqua" w:hAnsi="Book Antiqua"/>
        </w:rPr>
      </w:pPr>
    </w:p>
    <w:p w14:paraId="0567FD63"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Pedro H R Soares, </w:t>
      </w:r>
      <w:proofErr w:type="spellStart"/>
      <w:r w:rsidRPr="008725BA">
        <w:rPr>
          <w:rFonts w:ascii="Book Antiqua" w:eastAsia="Book Antiqua" w:hAnsi="Book Antiqua" w:cs="Book Antiqua"/>
          <w:color w:val="000000"/>
        </w:rPr>
        <w:t>Programa</w:t>
      </w:r>
      <w:proofErr w:type="spellEnd"/>
      <w:r w:rsidRPr="008725BA">
        <w:rPr>
          <w:rFonts w:ascii="Book Antiqua" w:eastAsia="Book Antiqua" w:hAnsi="Book Antiqua" w:cs="Book Antiqua"/>
          <w:color w:val="000000"/>
        </w:rPr>
        <w:t xml:space="preserve"> de </w:t>
      </w:r>
      <w:proofErr w:type="spellStart"/>
      <w:r w:rsidRPr="008725BA">
        <w:rPr>
          <w:rFonts w:ascii="Book Antiqua" w:eastAsia="Book Antiqua" w:hAnsi="Book Antiqua" w:cs="Book Antiqua"/>
          <w:color w:val="000000"/>
        </w:rPr>
        <w:t>Pós-Graduação</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em</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Neurociências</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Universidade</w:t>
      </w:r>
      <w:proofErr w:type="spellEnd"/>
      <w:r w:rsidRPr="008725BA">
        <w:rPr>
          <w:rFonts w:ascii="Book Antiqua" w:eastAsia="Book Antiqua" w:hAnsi="Book Antiqua" w:cs="Book Antiqua"/>
          <w:color w:val="000000"/>
        </w:rPr>
        <w:t xml:space="preserve"> Federal do Rio Grande do Sul, Porto Alegre 91430835, Brazil</w:t>
      </w:r>
    </w:p>
    <w:p w14:paraId="01707CC9" w14:textId="77777777" w:rsidR="00A77B3E" w:rsidRPr="008725BA" w:rsidRDefault="00A77B3E" w:rsidP="008725BA">
      <w:pPr>
        <w:adjustRightInd w:val="0"/>
        <w:snapToGrid w:val="0"/>
        <w:spacing w:line="360" w:lineRule="auto"/>
        <w:jc w:val="both"/>
        <w:rPr>
          <w:rFonts w:ascii="Book Antiqua" w:hAnsi="Book Antiqua"/>
        </w:rPr>
      </w:pPr>
    </w:p>
    <w:p w14:paraId="536FD8E0" w14:textId="7D34D100" w:rsidR="00A77B3E" w:rsidRPr="008725BA" w:rsidRDefault="00034438" w:rsidP="008725BA">
      <w:pPr>
        <w:adjustRightInd w:val="0"/>
        <w:snapToGrid w:val="0"/>
        <w:spacing w:line="360" w:lineRule="auto"/>
        <w:jc w:val="both"/>
        <w:rPr>
          <w:rFonts w:ascii="Book Antiqua" w:hAnsi="Book Antiqua"/>
        </w:rPr>
      </w:pPr>
      <w:proofErr w:type="spellStart"/>
      <w:r w:rsidRPr="008725BA">
        <w:rPr>
          <w:rFonts w:ascii="Book Antiqua" w:eastAsia="Book Antiqua" w:hAnsi="Book Antiqua" w:cs="Book Antiqua"/>
          <w:b/>
          <w:bCs/>
          <w:color w:val="000000"/>
        </w:rPr>
        <w:t>Luana</w:t>
      </w:r>
      <w:proofErr w:type="spellEnd"/>
      <w:r w:rsidRPr="008725BA">
        <w:rPr>
          <w:rFonts w:ascii="Book Antiqua" w:eastAsia="Book Antiqua" w:hAnsi="Book Antiqua" w:cs="Book Antiqua"/>
          <w:b/>
          <w:bCs/>
          <w:color w:val="000000"/>
        </w:rPr>
        <w:t xml:space="preserve"> Q </w:t>
      </w:r>
      <w:proofErr w:type="spellStart"/>
      <w:r w:rsidRPr="008725BA">
        <w:rPr>
          <w:rFonts w:ascii="Book Antiqua" w:eastAsia="Book Antiqua" w:hAnsi="Book Antiqua" w:cs="Book Antiqua"/>
          <w:b/>
          <w:bCs/>
          <w:color w:val="000000"/>
        </w:rPr>
        <w:t>Marchesan</w:t>
      </w:r>
      <w:proofErr w:type="spellEnd"/>
      <w:r w:rsidRPr="008725BA">
        <w:rPr>
          <w:rFonts w:ascii="Book Antiqua" w:eastAsia="Book Antiqua" w:hAnsi="Book Antiqua" w:cs="Book Antiqua"/>
          <w:b/>
          <w:bCs/>
          <w:color w:val="000000"/>
        </w:rPr>
        <w:t xml:space="preserve">, </w:t>
      </w:r>
      <w:proofErr w:type="spellStart"/>
      <w:r w:rsidRPr="008725BA">
        <w:rPr>
          <w:rFonts w:ascii="Book Antiqua" w:eastAsia="Book Antiqua" w:hAnsi="Book Antiqua" w:cs="Book Antiqua"/>
          <w:color w:val="000000"/>
        </w:rPr>
        <w:t>Programa</w:t>
      </w:r>
      <w:proofErr w:type="spellEnd"/>
      <w:r w:rsidRPr="008725BA">
        <w:rPr>
          <w:rFonts w:ascii="Book Antiqua" w:eastAsia="Book Antiqua" w:hAnsi="Book Antiqua" w:cs="Book Antiqua"/>
          <w:color w:val="000000"/>
        </w:rPr>
        <w:t xml:space="preserve"> de </w:t>
      </w:r>
      <w:proofErr w:type="spellStart"/>
      <w:r w:rsidRPr="008725BA">
        <w:rPr>
          <w:rFonts w:ascii="Book Antiqua" w:eastAsia="Book Antiqua" w:hAnsi="Book Antiqua" w:cs="Book Antiqua"/>
          <w:color w:val="000000"/>
        </w:rPr>
        <w:t>Pós-Graduação</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em</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Ciências</w:t>
      </w:r>
      <w:proofErr w:type="spellEnd"/>
      <w:r w:rsidRPr="008725BA">
        <w:rPr>
          <w:rFonts w:ascii="Book Antiqua" w:eastAsia="Book Antiqua" w:hAnsi="Book Antiqua" w:cs="Book Antiqua"/>
          <w:color w:val="000000"/>
        </w:rPr>
        <w:t xml:space="preserve"> da </w:t>
      </w:r>
      <w:proofErr w:type="spellStart"/>
      <w:r w:rsidRPr="008725BA">
        <w:rPr>
          <w:rFonts w:ascii="Book Antiqua" w:eastAsia="Book Antiqua" w:hAnsi="Book Antiqua" w:cs="Book Antiqua"/>
          <w:color w:val="000000"/>
        </w:rPr>
        <w:t>Saúde</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Universidade</w:t>
      </w:r>
      <w:proofErr w:type="spellEnd"/>
      <w:r w:rsidRPr="008725BA">
        <w:rPr>
          <w:rFonts w:ascii="Book Antiqua" w:eastAsia="Book Antiqua" w:hAnsi="Book Antiqua" w:cs="Book Antiqua"/>
          <w:color w:val="000000"/>
        </w:rPr>
        <w:t xml:space="preserve"> Federal de Santa Maria, Santa Maria</w:t>
      </w:r>
      <w:r w:rsidR="00D31696" w:rsidRPr="00D31696">
        <w:t xml:space="preserve"> </w:t>
      </w:r>
      <w:r w:rsidR="00D31696" w:rsidRPr="00D31696">
        <w:rPr>
          <w:rFonts w:ascii="Book Antiqua" w:eastAsia="Book Antiqua" w:hAnsi="Book Antiqua" w:cs="Book Antiqua"/>
          <w:color w:val="000000"/>
        </w:rPr>
        <w:t>97105900</w:t>
      </w:r>
      <w:r w:rsidRPr="008725BA">
        <w:rPr>
          <w:rFonts w:ascii="Book Antiqua" w:eastAsia="Book Antiqua" w:hAnsi="Book Antiqua" w:cs="Book Antiqua"/>
          <w:color w:val="000000"/>
        </w:rPr>
        <w:t>, Brazil</w:t>
      </w:r>
    </w:p>
    <w:p w14:paraId="04DFE983" w14:textId="77777777" w:rsidR="00A77B3E" w:rsidRPr="008725BA" w:rsidRDefault="00A77B3E" w:rsidP="008725BA">
      <w:pPr>
        <w:adjustRightInd w:val="0"/>
        <w:snapToGrid w:val="0"/>
        <w:spacing w:line="360" w:lineRule="auto"/>
        <w:jc w:val="both"/>
        <w:rPr>
          <w:rFonts w:ascii="Book Antiqua" w:hAnsi="Book Antiqua"/>
        </w:rPr>
      </w:pPr>
    </w:p>
    <w:p w14:paraId="1D0E0741"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Wagner L </w:t>
      </w:r>
      <w:proofErr w:type="spellStart"/>
      <w:r w:rsidRPr="008725BA">
        <w:rPr>
          <w:rFonts w:ascii="Book Antiqua" w:eastAsia="Book Antiqua" w:hAnsi="Book Antiqua" w:cs="Book Antiqua"/>
          <w:b/>
          <w:bCs/>
          <w:color w:val="000000"/>
        </w:rPr>
        <w:t>Nedel</w:t>
      </w:r>
      <w:proofErr w:type="spellEnd"/>
      <w:r w:rsidRPr="008725BA">
        <w:rPr>
          <w:rFonts w:ascii="Book Antiqua" w:eastAsia="Book Antiqua" w:hAnsi="Book Antiqua" w:cs="Book Antiqua"/>
          <w:b/>
          <w:bCs/>
          <w:color w:val="000000"/>
        </w:rPr>
        <w:t xml:space="preserve">, </w:t>
      </w:r>
      <w:proofErr w:type="spellStart"/>
      <w:r w:rsidRPr="008725BA">
        <w:rPr>
          <w:rFonts w:ascii="Book Antiqua" w:eastAsia="Book Antiqua" w:hAnsi="Book Antiqua" w:cs="Book Antiqua"/>
          <w:color w:val="000000"/>
        </w:rPr>
        <w:t>Programa</w:t>
      </w:r>
      <w:proofErr w:type="spellEnd"/>
      <w:r w:rsidRPr="008725BA">
        <w:rPr>
          <w:rFonts w:ascii="Book Antiqua" w:eastAsia="Book Antiqua" w:hAnsi="Book Antiqua" w:cs="Book Antiqua"/>
          <w:color w:val="000000"/>
        </w:rPr>
        <w:t xml:space="preserve"> de </w:t>
      </w:r>
      <w:proofErr w:type="spellStart"/>
      <w:r w:rsidRPr="008725BA">
        <w:rPr>
          <w:rFonts w:ascii="Book Antiqua" w:eastAsia="Book Antiqua" w:hAnsi="Book Antiqua" w:cs="Book Antiqua"/>
          <w:color w:val="000000"/>
        </w:rPr>
        <w:t>Pós-Graduação</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em</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Bioquímica</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Universidade</w:t>
      </w:r>
      <w:proofErr w:type="spellEnd"/>
      <w:r w:rsidRPr="008725BA">
        <w:rPr>
          <w:rFonts w:ascii="Book Antiqua" w:eastAsia="Book Antiqua" w:hAnsi="Book Antiqua" w:cs="Book Antiqua"/>
          <w:color w:val="000000"/>
        </w:rPr>
        <w:t xml:space="preserve"> Federal do Rio Grande do Sul, Porto Alegre 91430835, Brazil</w:t>
      </w:r>
    </w:p>
    <w:p w14:paraId="3E391916" w14:textId="77777777" w:rsidR="00A77B3E" w:rsidRPr="008725BA" w:rsidRDefault="00A77B3E" w:rsidP="008725BA">
      <w:pPr>
        <w:adjustRightInd w:val="0"/>
        <w:snapToGrid w:val="0"/>
        <w:spacing w:line="360" w:lineRule="auto"/>
        <w:jc w:val="both"/>
        <w:rPr>
          <w:rFonts w:ascii="Book Antiqua" w:hAnsi="Book Antiqua"/>
        </w:rPr>
      </w:pPr>
    </w:p>
    <w:p w14:paraId="2F843DFB" w14:textId="3C03A0DB"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lastRenderedPageBreak/>
        <w:t xml:space="preserve">Author contributions: </w:t>
      </w:r>
      <w:r w:rsidRPr="008725BA">
        <w:rPr>
          <w:rFonts w:ascii="Book Antiqua" w:eastAsia="Book Antiqua" w:hAnsi="Book Antiqua" w:cs="Book Antiqua"/>
          <w:color w:val="000000"/>
        </w:rPr>
        <w:t>da Silveira</w:t>
      </w:r>
      <w:r w:rsidR="005E2194">
        <w:rPr>
          <w:rFonts w:ascii="Book Antiqua" w:eastAsia="Book Antiqua" w:hAnsi="Book Antiqua" w:cs="Book Antiqua"/>
          <w:color w:val="000000"/>
        </w:rPr>
        <w:t xml:space="preserve"> F</w:t>
      </w:r>
      <w:r w:rsidRPr="008725BA">
        <w:rPr>
          <w:rFonts w:ascii="Book Antiqua" w:eastAsia="Book Antiqua" w:hAnsi="Book Antiqua" w:cs="Book Antiqua"/>
          <w:color w:val="000000"/>
        </w:rPr>
        <w:t>, Soares</w:t>
      </w:r>
      <w:r w:rsidR="005E2194">
        <w:rPr>
          <w:rFonts w:ascii="Book Antiqua" w:eastAsia="Book Antiqua" w:hAnsi="Book Antiqua" w:cs="Book Antiqua"/>
          <w:color w:val="000000"/>
        </w:rPr>
        <w:t xml:space="preserve"> </w:t>
      </w:r>
      <w:r w:rsidR="005E2194" w:rsidRPr="008725BA">
        <w:rPr>
          <w:rFonts w:ascii="Book Antiqua" w:eastAsia="Book Antiqua" w:hAnsi="Book Antiqua" w:cs="Book Antiqua"/>
          <w:color w:val="000000"/>
        </w:rPr>
        <w:t>PHR</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Marchezan</w:t>
      </w:r>
      <w:proofErr w:type="spellEnd"/>
      <w:r w:rsidR="005E2194">
        <w:rPr>
          <w:rFonts w:ascii="Book Antiqua" w:eastAsia="Book Antiqua" w:hAnsi="Book Antiqua" w:cs="Book Antiqua"/>
          <w:color w:val="000000"/>
        </w:rPr>
        <w:t xml:space="preserve"> LQ</w:t>
      </w:r>
      <w:r w:rsidRPr="008725BA">
        <w:rPr>
          <w:rFonts w:ascii="Book Antiqua" w:eastAsia="Book Antiqua" w:hAnsi="Book Antiqua" w:cs="Book Antiqua"/>
          <w:color w:val="000000"/>
        </w:rPr>
        <w:t>, da Fonseca</w:t>
      </w:r>
      <w:r w:rsidR="005E2194">
        <w:rPr>
          <w:rFonts w:ascii="Book Antiqua" w:eastAsia="Book Antiqua" w:hAnsi="Book Antiqua" w:cs="Book Antiqua"/>
          <w:color w:val="000000"/>
        </w:rPr>
        <w:t xml:space="preserve"> </w:t>
      </w:r>
      <w:r w:rsidR="005E2194" w:rsidRPr="008725BA">
        <w:rPr>
          <w:rFonts w:ascii="Book Antiqua" w:eastAsia="Book Antiqua" w:hAnsi="Book Antiqua" w:cs="Book Antiqua"/>
          <w:color w:val="000000"/>
        </w:rPr>
        <w:t>RSA</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Nedel</w:t>
      </w:r>
      <w:proofErr w:type="spellEnd"/>
      <w:r w:rsidRPr="008725BA">
        <w:rPr>
          <w:rFonts w:ascii="Book Antiqua" w:eastAsia="Book Antiqua" w:hAnsi="Book Antiqua" w:cs="Book Antiqua"/>
          <w:color w:val="000000"/>
        </w:rPr>
        <w:t xml:space="preserve"> </w:t>
      </w:r>
      <w:r w:rsidR="005E2194">
        <w:rPr>
          <w:rFonts w:ascii="Book Antiqua" w:eastAsia="Book Antiqua" w:hAnsi="Book Antiqua" w:cs="Book Antiqua"/>
          <w:color w:val="000000"/>
        </w:rPr>
        <w:t xml:space="preserve">WL </w:t>
      </w:r>
      <w:r w:rsidRPr="008725BA">
        <w:rPr>
          <w:rFonts w:ascii="Book Antiqua" w:eastAsia="Book Antiqua" w:hAnsi="Book Antiqua" w:cs="Book Antiqua"/>
          <w:color w:val="000000"/>
        </w:rPr>
        <w:t>collected the data and wrote the manuscript</w:t>
      </w:r>
      <w:r w:rsidR="005E2194">
        <w:rPr>
          <w:rFonts w:ascii="Book Antiqua" w:eastAsia="Book Antiqua" w:hAnsi="Book Antiqua" w:cs="Book Antiqua"/>
          <w:color w:val="000000"/>
        </w:rPr>
        <w:t>;</w:t>
      </w:r>
      <w:r w:rsidR="005E2194" w:rsidRPr="005E2194">
        <w:rPr>
          <w:rFonts w:ascii="Book Antiqua" w:eastAsia="Book Antiqua" w:hAnsi="Book Antiqua" w:cs="Book Antiqua"/>
          <w:color w:val="000000"/>
        </w:rPr>
        <w:t xml:space="preserve"> </w:t>
      </w:r>
      <w:r w:rsidR="005E2194" w:rsidRPr="008725BA">
        <w:rPr>
          <w:rFonts w:ascii="Book Antiqua" w:eastAsia="Book Antiqua" w:hAnsi="Book Antiqua" w:cs="Book Antiqua"/>
          <w:color w:val="000000"/>
        </w:rPr>
        <w:t>da Silveira</w:t>
      </w:r>
      <w:r w:rsidR="005E2194">
        <w:rPr>
          <w:rFonts w:ascii="Book Antiqua" w:eastAsia="Book Antiqua" w:hAnsi="Book Antiqua" w:cs="Book Antiqua"/>
          <w:color w:val="000000"/>
        </w:rPr>
        <w:t xml:space="preserve"> F</w:t>
      </w:r>
      <w:r w:rsidRPr="008725BA">
        <w:rPr>
          <w:rFonts w:ascii="Book Antiqua" w:eastAsia="Book Antiqua" w:hAnsi="Book Antiqua" w:cs="Book Antiqua"/>
          <w:color w:val="000000"/>
        </w:rPr>
        <w:t xml:space="preserve"> and </w:t>
      </w:r>
      <w:proofErr w:type="spellStart"/>
      <w:r w:rsidRPr="008725BA">
        <w:rPr>
          <w:rFonts w:ascii="Book Antiqua" w:eastAsia="Book Antiqua" w:hAnsi="Book Antiqua" w:cs="Book Antiqua"/>
          <w:color w:val="000000"/>
        </w:rPr>
        <w:t>Nedel</w:t>
      </w:r>
      <w:proofErr w:type="spellEnd"/>
      <w:r w:rsidRPr="008725BA">
        <w:rPr>
          <w:rFonts w:ascii="Book Antiqua" w:eastAsia="Book Antiqua" w:hAnsi="Book Antiqua" w:cs="Book Antiqua"/>
          <w:color w:val="000000"/>
        </w:rPr>
        <w:t xml:space="preserve"> </w:t>
      </w:r>
      <w:r w:rsidR="005E2194">
        <w:rPr>
          <w:rFonts w:ascii="Book Antiqua" w:eastAsia="Book Antiqua" w:hAnsi="Book Antiqua" w:cs="Book Antiqua"/>
          <w:color w:val="000000"/>
        </w:rPr>
        <w:t>WL</w:t>
      </w:r>
      <w:r w:rsidR="005E2194" w:rsidRPr="008725BA">
        <w:rPr>
          <w:rFonts w:ascii="Book Antiqua" w:eastAsia="Book Antiqua" w:hAnsi="Book Antiqua" w:cs="Book Antiqua"/>
          <w:color w:val="000000"/>
        </w:rPr>
        <w:t xml:space="preserve"> </w:t>
      </w:r>
      <w:r w:rsidRPr="008725BA">
        <w:rPr>
          <w:rFonts w:ascii="Book Antiqua" w:eastAsia="Book Antiqua" w:hAnsi="Book Antiqua" w:cs="Book Antiqua"/>
          <w:color w:val="000000"/>
        </w:rPr>
        <w:t>reviewed the manuscript.</w:t>
      </w:r>
    </w:p>
    <w:p w14:paraId="7F4A899E" w14:textId="77777777" w:rsidR="00A77B3E" w:rsidRPr="008725BA" w:rsidRDefault="00A77B3E" w:rsidP="008725BA">
      <w:pPr>
        <w:adjustRightInd w:val="0"/>
        <w:snapToGrid w:val="0"/>
        <w:spacing w:line="360" w:lineRule="auto"/>
        <w:jc w:val="both"/>
        <w:rPr>
          <w:rFonts w:ascii="Book Antiqua" w:hAnsi="Book Antiqua"/>
        </w:rPr>
      </w:pPr>
    </w:p>
    <w:p w14:paraId="698E5E85"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Corresponding author: Wagner L </w:t>
      </w:r>
      <w:proofErr w:type="spellStart"/>
      <w:r w:rsidRPr="008725BA">
        <w:rPr>
          <w:rFonts w:ascii="Book Antiqua" w:eastAsia="Book Antiqua" w:hAnsi="Book Antiqua" w:cs="Book Antiqua"/>
          <w:b/>
          <w:bCs/>
          <w:color w:val="000000"/>
        </w:rPr>
        <w:t>Nedel</w:t>
      </w:r>
      <w:proofErr w:type="spellEnd"/>
      <w:r w:rsidRPr="008725BA">
        <w:rPr>
          <w:rFonts w:ascii="Book Antiqua" w:eastAsia="Book Antiqua" w:hAnsi="Book Antiqua" w:cs="Book Antiqua"/>
          <w:b/>
          <w:bCs/>
          <w:color w:val="000000"/>
        </w:rPr>
        <w:t xml:space="preserve">, MD, </w:t>
      </w:r>
      <w:proofErr w:type="spellStart"/>
      <w:r w:rsidRPr="008725BA">
        <w:rPr>
          <w:rFonts w:ascii="Book Antiqua" w:eastAsia="Book Antiqua" w:hAnsi="Book Antiqua" w:cs="Book Antiqua"/>
          <w:b/>
          <w:bCs/>
          <w:color w:val="000000"/>
        </w:rPr>
        <w:t>MHSc</w:t>
      </w:r>
      <w:proofErr w:type="spellEnd"/>
      <w:r w:rsidRPr="008725BA">
        <w:rPr>
          <w:rFonts w:ascii="Book Antiqua" w:eastAsia="Book Antiqua" w:hAnsi="Book Antiqua" w:cs="Book Antiqua"/>
          <w:b/>
          <w:bCs/>
          <w:color w:val="000000"/>
        </w:rPr>
        <w:t xml:space="preserve">, Chief Doctor, Senior Research Fellow, </w:t>
      </w:r>
      <w:r w:rsidRPr="008725BA">
        <w:rPr>
          <w:rFonts w:ascii="Book Antiqua" w:eastAsia="Book Antiqua" w:hAnsi="Book Antiqua" w:cs="Book Antiqua"/>
          <w:color w:val="000000"/>
        </w:rPr>
        <w:t xml:space="preserve">Intensive Care Unit, Grupo </w:t>
      </w:r>
      <w:proofErr w:type="spellStart"/>
      <w:r w:rsidRPr="008725BA">
        <w:rPr>
          <w:rFonts w:ascii="Book Antiqua" w:eastAsia="Book Antiqua" w:hAnsi="Book Antiqua" w:cs="Book Antiqua"/>
          <w:color w:val="000000"/>
        </w:rPr>
        <w:t>Hospitalar</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Conceição</w:t>
      </w:r>
      <w:proofErr w:type="spellEnd"/>
      <w:r w:rsidRPr="008725BA">
        <w:rPr>
          <w:rFonts w:ascii="Book Antiqua" w:eastAsia="Book Antiqua" w:hAnsi="Book Antiqua" w:cs="Book Antiqua"/>
          <w:color w:val="000000"/>
        </w:rPr>
        <w:t xml:space="preserve">, Av Francisco </w:t>
      </w:r>
      <w:proofErr w:type="spellStart"/>
      <w:r w:rsidRPr="008725BA">
        <w:rPr>
          <w:rFonts w:ascii="Book Antiqua" w:eastAsia="Book Antiqua" w:hAnsi="Book Antiqua" w:cs="Book Antiqua"/>
          <w:color w:val="000000"/>
        </w:rPr>
        <w:t>Trein</w:t>
      </w:r>
      <w:proofErr w:type="spellEnd"/>
      <w:r w:rsidRPr="008725BA">
        <w:rPr>
          <w:rFonts w:ascii="Book Antiqua" w:eastAsia="Book Antiqua" w:hAnsi="Book Antiqua" w:cs="Book Antiqua"/>
          <w:color w:val="000000"/>
        </w:rPr>
        <w:t>, 357, Porto Alegre 91430835, Brazil. wagnernedel@uol.com.br</w:t>
      </w:r>
    </w:p>
    <w:p w14:paraId="15CCF25B" w14:textId="77777777" w:rsidR="00A77B3E" w:rsidRPr="008725BA" w:rsidRDefault="00A77B3E" w:rsidP="008725BA">
      <w:pPr>
        <w:adjustRightInd w:val="0"/>
        <w:snapToGrid w:val="0"/>
        <w:spacing w:line="360" w:lineRule="auto"/>
        <w:jc w:val="both"/>
        <w:rPr>
          <w:rFonts w:ascii="Book Antiqua" w:hAnsi="Book Antiqua"/>
        </w:rPr>
      </w:pPr>
    </w:p>
    <w:p w14:paraId="727A3EF5"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Received: </w:t>
      </w:r>
      <w:r w:rsidRPr="008725BA">
        <w:rPr>
          <w:rFonts w:ascii="Book Antiqua" w:eastAsia="Book Antiqua" w:hAnsi="Book Antiqua" w:cs="Book Antiqua"/>
          <w:color w:val="000000"/>
        </w:rPr>
        <w:t>February 25, 2021</w:t>
      </w:r>
    </w:p>
    <w:p w14:paraId="56CE3C28"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Revised: </w:t>
      </w:r>
      <w:r w:rsidRPr="008725BA">
        <w:rPr>
          <w:rFonts w:ascii="Book Antiqua" w:eastAsia="Book Antiqua" w:hAnsi="Book Antiqua" w:cs="Book Antiqua"/>
          <w:color w:val="000000"/>
        </w:rPr>
        <w:t>May 11, 2021</w:t>
      </w:r>
    </w:p>
    <w:p w14:paraId="7402EF82" w14:textId="08B9737A" w:rsidR="00FA3ADC" w:rsidRPr="00FA3ADC" w:rsidRDefault="00034438" w:rsidP="00FA3ADC">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Accepted: </w:t>
      </w:r>
      <w:r w:rsidR="007E6017" w:rsidRPr="007E6017">
        <w:rPr>
          <w:rFonts w:ascii="Book Antiqua" w:eastAsia="Book Antiqua" w:hAnsi="Book Antiqua" w:cs="Book Antiqua"/>
          <w:color w:val="000000"/>
        </w:rPr>
        <w:t>September 27, 2021</w:t>
      </w:r>
    </w:p>
    <w:p w14:paraId="6CA6D1E3" w14:textId="0FC1E0C8"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Published online: </w:t>
      </w:r>
    </w:p>
    <w:p w14:paraId="44A37306" w14:textId="77777777" w:rsidR="00027ECD" w:rsidRPr="008725BA" w:rsidRDefault="00027ECD" w:rsidP="008725BA">
      <w:pPr>
        <w:adjustRightInd w:val="0"/>
        <w:snapToGrid w:val="0"/>
        <w:spacing w:line="360" w:lineRule="auto"/>
        <w:jc w:val="both"/>
        <w:rPr>
          <w:rFonts w:ascii="Book Antiqua" w:eastAsia="Book Antiqua" w:hAnsi="Book Antiqua" w:cs="Book Antiqua"/>
          <w:b/>
          <w:color w:val="000000"/>
        </w:rPr>
      </w:pPr>
    </w:p>
    <w:p w14:paraId="58F52314" w14:textId="4D8079AE"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Abstract</w:t>
      </w:r>
    </w:p>
    <w:p w14:paraId="4F4F999F"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Critically ill cirrhotic patients have high in-hospital mortality and utilize significant health care resources as a consequence of the need for multiorgan support. Despite this fact, their mortality has decreased in recent decades due to improved care of critically ill patients. </w:t>
      </w:r>
      <w:bookmarkStart w:id="0" w:name="_Hlk82872296"/>
      <w:r w:rsidRPr="008725BA">
        <w:rPr>
          <w:rFonts w:ascii="Book Antiqua" w:eastAsia="Book Antiqua" w:hAnsi="Book Antiqua" w:cs="Book Antiqua"/>
          <w:color w:val="000000"/>
        </w:rPr>
        <w:t>Acute-on-chronic liver failure</w:t>
      </w:r>
      <w:bookmarkEnd w:id="0"/>
      <w:r w:rsidRPr="008725BA">
        <w:rPr>
          <w:rFonts w:ascii="Book Antiqua" w:eastAsia="Book Antiqua" w:hAnsi="Book Antiqua" w:cs="Book Antiqua"/>
          <w:color w:val="000000"/>
        </w:rPr>
        <w:t xml:space="preserve"> (ACLF), sepsis and elevated hepatic scores are associated with increased mortality in this population, especially among those not eligible for liver transplantation. No score is superior to another in the prognostic assessment of these patients, and both liver-specific and intensive care unit-specific scores have satisfactory predictive accuracy. The sequential assessment of the scores, especially the Sequential Organ Failure Assessment (SOFA) and </w:t>
      </w:r>
      <w:bookmarkStart w:id="1" w:name="_Hlk82872320"/>
      <w:r w:rsidRPr="008725BA">
        <w:rPr>
          <w:rFonts w:ascii="Book Antiqua" w:eastAsia="Book Antiqua" w:hAnsi="Book Antiqua" w:cs="Book Antiqua"/>
          <w:color w:val="000000"/>
        </w:rPr>
        <w:t>Chronic Liver Failure Consortium</w:t>
      </w:r>
      <w:bookmarkEnd w:id="1"/>
      <w:r w:rsidRPr="008725BA">
        <w:rPr>
          <w:rFonts w:ascii="Book Antiqua" w:eastAsia="Book Antiqua" w:hAnsi="Book Antiqua" w:cs="Book Antiqua"/>
          <w:color w:val="000000"/>
        </w:rPr>
        <w:t xml:space="preserve"> (CLIF)-SOFA scores, may be useful as an auxiliary tool in the decision-making process regarding the benefits of maintaining supportive therapies in this population. A CLIF-ACLF &gt; 70 at admission or at day 3 was associated with a poor prognosis, as well as SOFA score &gt; 19 at baseline or increasing SOFA score &gt; 72. Additional studies addressing the prognostic assessment of these patients are necessary.</w:t>
      </w:r>
    </w:p>
    <w:p w14:paraId="3BC53D0E" w14:textId="77777777" w:rsidR="00A77B3E" w:rsidRPr="008725BA" w:rsidRDefault="00A77B3E" w:rsidP="008725BA">
      <w:pPr>
        <w:adjustRightInd w:val="0"/>
        <w:snapToGrid w:val="0"/>
        <w:spacing w:line="360" w:lineRule="auto"/>
        <w:jc w:val="both"/>
        <w:rPr>
          <w:rFonts w:ascii="Book Antiqua" w:hAnsi="Book Antiqua"/>
        </w:rPr>
      </w:pPr>
    </w:p>
    <w:p w14:paraId="18C42931"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lastRenderedPageBreak/>
        <w:t xml:space="preserve">Key Words: </w:t>
      </w:r>
      <w:r w:rsidRPr="008725BA">
        <w:rPr>
          <w:rFonts w:ascii="Book Antiqua" w:eastAsia="Book Antiqua" w:hAnsi="Book Antiqua" w:cs="Book Antiqua"/>
          <w:color w:val="000000"/>
        </w:rPr>
        <w:t>Cirrhosis; Extrahepatic organ failure; Organ replacement therapy; Mortality; Prognostic scores; Chronic Liver Failure Consortium-Sequential Organ Failure Assessment; Sequential Organ Failure Assessment; Model for End-stage Liver Disease</w:t>
      </w:r>
    </w:p>
    <w:p w14:paraId="386CEDE1" w14:textId="77777777" w:rsidR="00A77B3E" w:rsidRPr="008725BA" w:rsidRDefault="00A77B3E" w:rsidP="008725BA">
      <w:pPr>
        <w:adjustRightInd w:val="0"/>
        <w:snapToGrid w:val="0"/>
        <w:spacing w:line="360" w:lineRule="auto"/>
        <w:jc w:val="both"/>
        <w:rPr>
          <w:rFonts w:ascii="Book Antiqua" w:hAnsi="Book Antiqua"/>
        </w:rPr>
      </w:pPr>
    </w:p>
    <w:p w14:paraId="45EEA99A" w14:textId="551280F8"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da Silveira F, Soares PHR, </w:t>
      </w:r>
      <w:proofErr w:type="spellStart"/>
      <w:r w:rsidRPr="008725BA">
        <w:rPr>
          <w:rFonts w:ascii="Book Antiqua" w:eastAsia="Book Antiqua" w:hAnsi="Book Antiqua" w:cs="Book Antiqua"/>
          <w:color w:val="000000"/>
        </w:rPr>
        <w:t>Marchesan</w:t>
      </w:r>
      <w:proofErr w:type="spellEnd"/>
      <w:r w:rsidRPr="008725BA">
        <w:rPr>
          <w:rFonts w:ascii="Book Antiqua" w:eastAsia="Book Antiqua" w:hAnsi="Book Antiqua" w:cs="Book Antiqua"/>
          <w:color w:val="000000"/>
        </w:rPr>
        <w:t xml:space="preserve"> LQ, da Fonseca RSA, </w:t>
      </w:r>
      <w:proofErr w:type="spellStart"/>
      <w:r w:rsidRPr="008725BA">
        <w:rPr>
          <w:rFonts w:ascii="Book Antiqua" w:eastAsia="Book Antiqua" w:hAnsi="Book Antiqua" w:cs="Book Antiqua"/>
          <w:color w:val="000000"/>
        </w:rPr>
        <w:t>Nedel</w:t>
      </w:r>
      <w:proofErr w:type="spellEnd"/>
      <w:r w:rsidRPr="008725BA">
        <w:rPr>
          <w:rFonts w:ascii="Book Antiqua" w:eastAsia="Book Antiqua" w:hAnsi="Book Antiqua" w:cs="Book Antiqua"/>
          <w:color w:val="000000"/>
        </w:rPr>
        <w:t xml:space="preserve"> WL. Assessing the prognosis of cirrhotic patients in the intensive care unit: What we know and what we need to know better. </w:t>
      </w:r>
      <w:r w:rsidRPr="008725BA">
        <w:rPr>
          <w:rFonts w:ascii="Book Antiqua" w:eastAsia="Book Antiqua" w:hAnsi="Book Antiqua" w:cs="Book Antiqua"/>
          <w:i/>
          <w:iCs/>
          <w:color w:val="000000"/>
        </w:rPr>
        <w:t>World J Hepatol</w:t>
      </w:r>
      <w:r w:rsidRPr="008725BA">
        <w:rPr>
          <w:rFonts w:ascii="Book Antiqua" w:eastAsia="Book Antiqua" w:hAnsi="Book Antiqua" w:cs="Book Antiqua"/>
          <w:color w:val="000000"/>
        </w:rPr>
        <w:t xml:space="preserve"> </w:t>
      </w:r>
      <w:r w:rsidR="000C17FA" w:rsidRPr="000C17FA">
        <w:rPr>
          <w:rFonts w:ascii="Book Antiqua" w:eastAsia="Book Antiqua" w:hAnsi="Book Antiqua" w:cs="Book Antiqua"/>
          <w:color w:val="000000"/>
        </w:rPr>
        <w:t>2021; 0(0): 0000-0000 URL: https://www.wjgnet.com/1948-5182/full/v0/i0/0000.htm DOI: https://dx.doi.org/</w:t>
      </w:r>
      <w:r w:rsidR="000C17FA" w:rsidRPr="000C17FA">
        <w:t xml:space="preserve"> </w:t>
      </w:r>
      <w:r w:rsidR="000C17FA" w:rsidRPr="000C17FA">
        <w:rPr>
          <w:rFonts w:ascii="Book Antiqua" w:eastAsia="Book Antiqua" w:hAnsi="Book Antiqua" w:cs="Book Antiqua"/>
          <w:color w:val="000000"/>
        </w:rPr>
        <w:t>10.4254/</w:t>
      </w:r>
      <w:proofErr w:type="gramStart"/>
      <w:r w:rsidR="000C17FA" w:rsidRPr="000C17FA">
        <w:rPr>
          <w:rFonts w:ascii="Book Antiqua" w:eastAsia="Book Antiqua" w:hAnsi="Book Antiqua" w:cs="Book Antiqua"/>
          <w:color w:val="000000"/>
        </w:rPr>
        <w:t>wj</w:t>
      </w:r>
      <w:r w:rsidR="000C17FA">
        <w:rPr>
          <w:rFonts w:ascii="Book Antiqua" w:eastAsia="Book Antiqua" w:hAnsi="Book Antiqua" w:cs="Book Antiqua"/>
          <w:color w:val="000000"/>
        </w:rPr>
        <w:t>h</w:t>
      </w:r>
      <w:r w:rsidR="000C17FA" w:rsidRPr="000C17FA">
        <w:rPr>
          <w:rFonts w:ascii="Book Antiqua" w:eastAsia="Book Antiqua" w:hAnsi="Book Antiqua" w:cs="Book Antiqua"/>
          <w:color w:val="000000"/>
        </w:rPr>
        <w:t>.v</w:t>
      </w:r>
      <w:proofErr w:type="gramEnd"/>
      <w:r w:rsidR="000C17FA" w:rsidRPr="000C17FA">
        <w:rPr>
          <w:rFonts w:ascii="Book Antiqua" w:eastAsia="Book Antiqua" w:hAnsi="Book Antiqua" w:cs="Book Antiqua"/>
          <w:color w:val="000000"/>
        </w:rPr>
        <w:t>0.i0.0000</w:t>
      </w:r>
    </w:p>
    <w:p w14:paraId="6FED631E" w14:textId="77777777" w:rsidR="00A77B3E" w:rsidRPr="008725BA" w:rsidRDefault="00A77B3E" w:rsidP="008725BA">
      <w:pPr>
        <w:adjustRightInd w:val="0"/>
        <w:snapToGrid w:val="0"/>
        <w:spacing w:line="360" w:lineRule="auto"/>
        <w:jc w:val="both"/>
        <w:rPr>
          <w:rFonts w:ascii="Book Antiqua" w:hAnsi="Book Antiqua"/>
        </w:rPr>
      </w:pPr>
    </w:p>
    <w:p w14:paraId="06361DDC" w14:textId="60010A25"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Core Tip: </w:t>
      </w:r>
      <w:r w:rsidRPr="008725BA">
        <w:rPr>
          <w:rFonts w:ascii="Book Antiqua" w:eastAsia="Book Antiqua" w:hAnsi="Book Antiqua" w:cs="Book Antiqua"/>
          <w:color w:val="000000"/>
        </w:rPr>
        <w:t>Assessing the potential benefits of maintaining or suspending supportive therapies for cirrhotic patients who are not eligible for liver transplantation is a major challenge at the bedside, especially in those admitted to general intensive care units (ICUs). In this article, we identify the main causes of ICU admission, analyze the main factors associated with prognosis, and provide a tool to assist the decision-making process.</w:t>
      </w:r>
    </w:p>
    <w:p w14:paraId="22EF160B" w14:textId="77777777" w:rsidR="00027ECD" w:rsidRPr="008725BA" w:rsidRDefault="00027ECD" w:rsidP="008725BA">
      <w:pPr>
        <w:adjustRightInd w:val="0"/>
        <w:snapToGrid w:val="0"/>
        <w:spacing w:line="360" w:lineRule="auto"/>
        <w:jc w:val="both"/>
        <w:rPr>
          <w:rFonts w:ascii="Book Antiqua" w:hAnsi="Book Antiqua"/>
        </w:rPr>
      </w:pPr>
    </w:p>
    <w:p w14:paraId="65242DBA"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aps/>
          <w:color w:val="000000"/>
          <w:u w:val="single"/>
        </w:rPr>
        <w:t>INTRODUCTION</w:t>
      </w:r>
    </w:p>
    <w:p w14:paraId="37FB35BC" w14:textId="611ED7D8"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Liver cirrhosis (LC) accounts for more than 7000 deaths per year in France and more than 25000 deaths per year in the U</w:t>
      </w:r>
      <w:r w:rsidR="00027ECD" w:rsidRPr="008725BA">
        <w:rPr>
          <w:rFonts w:ascii="Book Antiqua" w:eastAsia="Book Antiqua" w:hAnsi="Book Antiqua" w:cs="Book Antiqua"/>
          <w:color w:val="000000"/>
        </w:rPr>
        <w:t xml:space="preserve">nited </w:t>
      </w:r>
      <w:proofErr w:type="gramStart"/>
      <w:r w:rsidR="00027ECD" w:rsidRPr="008725BA">
        <w:rPr>
          <w:rFonts w:ascii="Book Antiqua" w:eastAsia="Book Antiqua" w:hAnsi="Book Antiqua" w:cs="Book Antiqua"/>
          <w:color w:val="000000"/>
        </w:rPr>
        <w:t>States</w:t>
      </w:r>
      <w:r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w:t>
      </w:r>
      <w:r w:rsidRPr="008725BA">
        <w:rPr>
          <w:rFonts w:ascii="Book Antiqua" w:eastAsia="Book Antiqua" w:hAnsi="Book Antiqua" w:cs="Book Antiqua"/>
          <w:color w:val="000000"/>
        </w:rPr>
        <w:t xml:space="preserve">. The </w:t>
      </w:r>
      <w:r w:rsidR="00027ECD" w:rsidRPr="008725BA">
        <w:rPr>
          <w:rFonts w:ascii="Book Antiqua" w:eastAsia="Book Antiqua" w:hAnsi="Book Antiqua" w:cs="Book Antiqua"/>
          <w:color w:val="000000"/>
        </w:rPr>
        <w:t>World Health Organization</w:t>
      </w:r>
      <w:r w:rsidRPr="008725BA">
        <w:rPr>
          <w:rFonts w:ascii="Book Antiqua" w:eastAsia="Book Antiqua" w:hAnsi="Book Antiqua" w:cs="Book Antiqua"/>
          <w:color w:val="000000"/>
        </w:rPr>
        <w:t xml:space="preserve"> recently estimated that cirrhosis is the 12</w:t>
      </w:r>
      <w:r w:rsidRPr="008725BA">
        <w:rPr>
          <w:rFonts w:ascii="Book Antiqua" w:eastAsia="Book Antiqua" w:hAnsi="Book Antiqua" w:cs="Book Antiqua"/>
          <w:color w:val="000000"/>
          <w:vertAlign w:val="superscript"/>
        </w:rPr>
        <w:t>th</w:t>
      </w:r>
      <w:r w:rsidRPr="008725BA">
        <w:rPr>
          <w:rFonts w:ascii="Book Antiqua" w:eastAsia="Book Antiqua" w:hAnsi="Book Antiqua" w:cs="Book Antiqua"/>
          <w:color w:val="000000"/>
        </w:rPr>
        <w:t xml:space="preserve"> leading cause of mortality in the world, with alcohol, </w:t>
      </w:r>
      <w:r w:rsidR="00027ECD" w:rsidRPr="008725BA">
        <w:rPr>
          <w:rFonts w:ascii="Book Antiqua" w:eastAsia="Book Antiqua" w:hAnsi="Book Antiqua" w:cs="Book Antiqua"/>
          <w:color w:val="000000"/>
        </w:rPr>
        <w:t>hepatitis B virus</w:t>
      </w:r>
      <w:r w:rsidRPr="008725BA">
        <w:rPr>
          <w:rFonts w:ascii="Book Antiqua" w:eastAsia="Book Antiqua" w:hAnsi="Book Antiqua" w:cs="Book Antiqua"/>
          <w:color w:val="000000"/>
        </w:rPr>
        <w:t xml:space="preserve"> and </w:t>
      </w:r>
      <w:r w:rsidR="00027ECD" w:rsidRPr="008725BA">
        <w:rPr>
          <w:rFonts w:ascii="Book Antiqua" w:eastAsia="Book Antiqua" w:hAnsi="Book Antiqua" w:cs="Book Antiqua"/>
          <w:color w:val="000000"/>
        </w:rPr>
        <w:t>hepatitis C virus</w:t>
      </w:r>
      <w:r w:rsidRPr="008725BA">
        <w:rPr>
          <w:rFonts w:ascii="Book Antiqua" w:eastAsia="Book Antiqua" w:hAnsi="Book Antiqua" w:cs="Book Antiqua"/>
          <w:color w:val="000000"/>
        </w:rPr>
        <w:t xml:space="preserve"> being the main causes of </w:t>
      </w:r>
      <w:proofErr w:type="gramStart"/>
      <w:r w:rsidRPr="008725BA">
        <w:rPr>
          <w:rFonts w:ascii="Book Antiqua" w:eastAsia="Book Antiqua" w:hAnsi="Book Antiqua" w:cs="Book Antiqua"/>
          <w:color w:val="000000"/>
        </w:rPr>
        <w:t>cirrhosis</w:t>
      </w:r>
      <w:r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2,3]</w:t>
      </w:r>
      <w:r w:rsidRPr="008725BA">
        <w:rPr>
          <w:rFonts w:ascii="Book Antiqua" w:eastAsia="Book Antiqua" w:hAnsi="Book Antiqua" w:cs="Book Antiqua"/>
          <w:color w:val="000000"/>
        </w:rPr>
        <w:t xml:space="preserve">. Cirrhotic patients account for 2.3% and 4.5% of all </w:t>
      </w:r>
      <w:r w:rsidR="00027ECD" w:rsidRPr="008725BA">
        <w:rPr>
          <w:rFonts w:ascii="Book Antiqua" w:eastAsia="Book Antiqua" w:hAnsi="Book Antiqua" w:cs="Book Antiqua"/>
          <w:color w:val="000000"/>
        </w:rPr>
        <w:t>intensive care units (ICUs)</w:t>
      </w:r>
      <w:r w:rsidRPr="008725BA">
        <w:rPr>
          <w:rFonts w:ascii="Book Antiqua" w:eastAsia="Book Antiqua" w:hAnsi="Book Antiqua" w:cs="Book Antiqua"/>
          <w:color w:val="000000"/>
        </w:rPr>
        <w:t xml:space="preserve"> </w:t>
      </w:r>
      <w:proofErr w:type="gramStart"/>
      <w:r w:rsidRPr="008725BA">
        <w:rPr>
          <w:rFonts w:ascii="Book Antiqua" w:eastAsia="Book Antiqua" w:hAnsi="Book Antiqua" w:cs="Book Antiqua"/>
          <w:color w:val="000000"/>
        </w:rPr>
        <w:t>admissions</w:t>
      </w:r>
      <w:r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w:t>
      </w:r>
      <w:r w:rsidRPr="008725BA">
        <w:rPr>
          <w:rFonts w:ascii="Book Antiqua" w:eastAsia="Book Antiqua" w:hAnsi="Book Antiqua" w:cs="Book Antiqua"/>
          <w:color w:val="000000"/>
        </w:rPr>
        <w:t>, and their mortality is traditionally high</w:t>
      </w:r>
      <w:r w:rsidR="00027ECD" w:rsidRPr="008725BA">
        <w:rPr>
          <w:rFonts w:ascii="Book Antiqua" w:eastAsia="Book Antiqua" w:hAnsi="Book Antiqua" w:cs="Book Antiqua"/>
          <w:color w:val="000000"/>
        </w:rPr>
        <w:t>-</w:t>
      </w:r>
      <w:r w:rsidRPr="008725BA">
        <w:rPr>
          <w:rFonts w:ascii="Book Antiqua" w:eastAsia="Book Antiqua" w:hAnsi="Book Antiqua" w:cs="Book Antiqua"/>
          <w:color w:val="000000"/>
        </w:rPr>
        <w:t>approximately 34</w:t>
      </w:r>
      <w:r w:rsidR="00027ECD" w:rsidRPr="008725BA">
        <w:rPr>
          <w:rFonts w:ascii="Book Antiqua" w:eastAsia="Book Antiqua" w:hAnsi="Book Antiqua" w:cs="Book Antiqua"/>
          <w:color w:val="000000"/>
        </w:rPr>
        <w:t>%</w:t>
      </w:r>
      <w:r w:rsidRPr="008725BA">
        <w:rPr>
          <w:rFonts w:ascii="Book Antiqua" w:eastAsia="Book Antiqua" w:hAnsi="Book Antiqua" w:cs="Book Antiqua"/>
          <w:color w:val="000000"/>
        </w:rPr>
        <w:t xml:space="preserve"> to 69% depending on the reason for admission</w:t>
      </w:r>
      <w:r w:rsidR="00027ECD" w:rsidRPr="008725BA">
        <w:rPr>
          <w:rFonts w:ascii="Book Antiqua" w:eastAsia="Book Antiqua" w:hAnsi="Book Antiqua" w:cs="Book Antiqua"/>
          <w:color w:val="000000"/>
          <w:vertAlign w:val="superscript"/>
        </w:rPr>
        <w:t>[</w:t>
      </w:r>
      <w:r w:rsidRPr="008725BA">
        <w:rPr>
          <w:rFonts w:ascii="Book Antiqua" w:eastAsia="Book Antiqua" w:hAnsi="Book Antiqua" w:cs="Book Antiqua"/>
          <w:color w:val="000000"/>
          <w:vertAlign w:val="superscript"/>
        </w:rPr>
        <w:t>2]</w:t>
      </w:r>
      <w:r w:rsidRPr="008725BA">
        <w:rPr>
          <w:rFonts w:ascii="Book Antiqua" w:eastAsia="Book Antiqua" w:hAnsi="Book Antiqua" w:cs="Book Antiqua"/>
          <w:color w:val="000000"/>
        </w:rPr>
        <w:t xml:space="preserve">. The increased effectiveness of supportive treatments and the spread of liver transplantation programs have improved the prognosis of these </w:t>
      </w:r>
      <w:proofErr w:type="gramStart"/>
      <w:r w:rsidRPr="008725BA">
        <w:rPr>
          <w:rFonts w:ascii="Book Antiqua" w:eastAsia="Book Antiqua" w:hAnsi="Book Antiqua" w:cs="Book Antiqua"/>
          <w:color w:val="000000"/>
        </w:rPr>
        <w:t>patients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1,4–6]</w:t>
      </w:r>
      <w:r w:rsidRPr="008725BA">
        <w:rPr>
          <w:rFonts w:ascii="Book Antiqua" w:eastAsia="Book Antiqua" w:hAnsi="Book Antiqua" w:cs="Book Antiqua"/>
          <w:color w:val="000000"/>
        </w:rPr>
        <w:t xml:space="preserve">. Nonetheless, the prognosis of cirrhotic patients admitted to the ICU remains </w:t>
      </w:r>
      <w:proofErr w:type="gramStart"/>
      <w:r w:rsidRPr="008725BA">
        <w:rPr>
          <w:rFonts w:ascii="Book Antiqua" w:eastAsia="Book Antiqua" w:hAnsi="Book Antiqua" w:cs="Book Antiqua"/>
          <w:color w:val="000000"/>
        </w:rPr>
        <w:t>poor</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7]</w:t>
      </w:r>
      <w:r w:rsidRPr="008725BA">
        <w:rPr>
          <w:rFonts w:ascii="Book Antiqua" w:eastAsia="Book Antiqua" w:hAnsi="Book Antiqua" w:cs="Book Antiqua"/>
          <w:color w:val="000000"/>
        </w:rPr>
        <w:t xml:space="preserve">, especially among those admitted to the general </w:t>
      </w:r>
      <w:r w:rsidRPr="008725BA">
        <w:rPr>
          <w:rFonts w:ascii="Book Antiqua" w:eastAsia="Book Antiqua" w:hAnsi="Book Antiqua" w:cs="Book Antiqua"/>
          <w:color w:val="000000"/>
        </w:rPr>
        <w:lastRenderedPageBreak/>
        <w:t xml:space="preserve">ICU who are ineligible for transplantation. The prognosis is determined by the extent of hepatic and extrahepatic organ </w:t>
      </w:r>
      <w:proofErr w:type="gramStart"/>
      <w:r w:rsidRPr="008725BA">
        <w:rPr>
          <w:rFonts w:ascii="Book Antiqua" w:eastAsia="Book Antiqua" w:hAnsi="Book Antiqua" w:cs="Book Antiqua"/>
          <w:color w:val="000000"/>
        </w:rPr>
        <w:t>dysfunction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8]</w:t>
      </w:r>
      <w:r w:rsidRPr="008725BA">
        <w:rPr>
          <w:rFonts w:ascii="Book Antiqua" w:eastAsia="Book Antiqua" w:hAnsi="Book Antiqua" w:cs="Book Antiqua"/>
          <w:color w:val="000000"/>
        </w:rPr>
        <w:t xml:space="preserve">. The occurrence of three or more organ failures in cirrhotic patients has an almost certain fatal </w:t>
      </w:r>
      <w:proofErr w:type="gramStart"/>
      <w:r w:rsidRPr="008725BA">
        <w:rPr>
          <w:rFonts w:ascii="Book Antiqua" w:eastAsia="Book Antiqua" w:hAnsi="Book Antiqua" w:cs="Book Antiqua"/>
          <w:color w:val="000000"/>
        </w:rPr>
        <w:t>outcome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6,9]</w:t>
      </w:r>
      <w:r w:rsidRPr="008725BA">
        <w:rPr>
          <w:rFonts w:ascii="Book Antiqua" w:eastAsia="Book Antiqua" w:hAnsi="Book Antiqua" w:cs="Book Antiqua"/>
          <w:color w:val="000000"/>
        </w:rPr>
        <w:t>. For ethical reasons and due to limited resources, physicians need to be able to quickly identify cases that benefit from aggressive treatment and ICU admission, discriminating good candidates for ICUs from those for whom the prognosis is poor despite strong therapeutic interventions.</w:t>
      </w:r>
    </w:p>
    <w:p w14:paraId="3B493CDF" w14:textId="77777777" w:rsidR="00A77B3E" w:rsidRPr="008725BA" w:rsidRDefault="00A77B3E" w:rsidP="008725BA">
      <w:pPr>
        <w:adjustRightInd w:val="0"/>
        <w:snapToGrid w:val="0"/>
        <w:spacing w:line="360" w:lineRule="auto"/>
        <w:ind w:firstLine="708"/>
        <w:jc w:val="both"/>
        <w:rPr>
          <w:rFonts w:ascii="Book Antiqua" w:hAnsi="Book Antiqua"/>
        </w:rPr>
      </w:pPr>
    </w:p>
    <w:p w14:paraId="03B10D1C"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aps/>
          <w:color w:val="000000"/>
          <w:u w:val="single"/>
        </w:rPr>
        <w:t>CIRRHOTIC PATIENTS ADMITTED TO THE ICU – AN OVERVIEW</w:t>
      </w:r>
    </w:p>
    <w:p w14:paraId="3A509356" w14:textId="64673BF9" w:rsidR="00A77B3E" w:rsidRPr="008725BA" w:rsidRDefault="00034438" w:rsidP="008725BA">
      <w:pPr>
        <w:adjustRightInd w:val="0"/>
        <w:snapToGrid w:val="0"/>
        <w:spacing w:line="360" w:lineRule="auto"/>
        <w:jc w:val="both"/>
        <w:rPr>
          <w:rFonts w:ascii="Book Antiqua" w:eastAsia="Book Antiqua" w:hAnsi="Book Antiqua" w:cs="Book Antiqua"/>
          <w:color w:val="000000"/>
        </w:rPr>
      </w:pPr>
      <w:r w:rsidRPr="008725BA">
        <w:rPr>
          <w:rFonts w:ascii="Book Antiqua" w:eastAsia="Book Antiqua" w:hAnsi="Book Antiqua" w:cs="Book Antiqua"/>
          <w:color w:val="000000"/>
        </w:rPr>
        <w:t xml:space="preserve">Hemodynamic changes in patients with cirrhosis, linked to sodium retention, the development of ascites, and alterations in systemic and splanchnic hemodynamics and coagulation, are linked to systemic impairments in organ function, especially cardiomyopathy and renal dysfunction in this </w:t>
      </w:r>
      <w:proofErr w:type="gramStart"/>
      <w:r w:rsidRPr="008725BA">
        <w:rPr>
          <w:rFonts w:ascii="Book Antiqua" w:eastAsia="Book Antiqua" w:hAnsi="Book Antiqua" w:cs="Book Antiqua"/>
          <w:color w:val="000000"/>
        </w:rPr>
        <w:t>population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10]</w:t>
      </w:r>
      <w:r w:rsidRPr="008725BA">
        <w:rPr>
          <w:rFonts w:ascii="Book Antiqua" w:eastAsia="Book Antiqua" w:hAnsi="Book Antiqua" w:cs="Book Antiqua"/>
          <w:color w:val="000000"/>
        </w:rPr>
        <w:t xml:space="preserve">. A systemic inflammatory response has been observed in these patients, with complex immune dysfunction that increases the complexity of treatment and mortality in comparison with the general </w:t>
      </w:r>
      <w:proofErr w:type="gramStart"/>
      <w:r w:rsidRPr="008725BA">
        <w:rPr>
          <w:rFonts w:ascii="Book Antiqua" w:eastAsia="Book Antiqua" w:hAnsi="Book Antiqua" w:cs="Book Antiqua"/>
          <w:color w:val="000000"/>
        </w:rPr>
        <w:t>population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6,11]</w:t>
      </w:r>
      <w:r w:rsidRPr="008725BA">
        <w:rPr>
          <w:rFonts w:ascii="Book Antiqua" w:eastAsia="Book Antiqua" w:hAnsi="Book Antiqua" w:cs="Book Antiqua"/>
          <w:color w:val="000000"/>
        </w:rPr>
        <w:t>. High-grade hepatic encephalopathy</w:t>
      </w:r>
      <w:r w:rsidR="00027ECD" w:rsidRPr="008725BA">
        <w:rPr>
          <w:rFonts w:ascii="Book Antiqua" w:eastAsia="Book Antiqua" w:hAnsi="Book Antiqua" w:cs="Book Antiqua"/>
          <w:color w:val="000000"/>
        </w:rPr>
        <w:t xml:space="preserve"> (HE)</w:t>
      </w:r>
      <w:r w:rsidRPr="008725BA">
        <w:rPr>
          <w:rFonts w:ascii="Book Antiqua" w:eastAsia="Book Antiqua" w:hAnsi="Book Antiqua" w:cs="Book Antiqua"/>
          <w:color w:val="000000"/>
        </w:rPr>
        <w:t>, septic shock, acute-on-chronic liver failure</w:t>
      </w:r>
      <w:r w:rsidR="00027ECD" w:rsidRPr="008725BA">
        <w:rPr>
          <w:rFonts w:ascii="Book Antiqua" w:eastAsia="Book Antiqua" w:hAnsi="Book Antiqua" w:cs="Book Antiqua"/>
          <w:color w:val="000000"/>
        </w:rPr>
        <w:t xml:space="preserve"> (ACLF)</w:t>
      </w:r>
      <w:r w:rsidRPr="008725BA">
        <w:rPr>
          <w:rFonts w:ascii="Book Antiqua" w:eastAsia="Book Antiqua" w:hAnsi="Book Antiqua" w:cs="Book Antiqua"/>
          <w:color w:val="000000"/>
        </w:rPr>
        <w:t>, variceal bleeding, the need for mechanical ventilation and acute kidney injury</w:t>
      </w:r>
      <w:r w:rsidR="00027ECD" w:rsidRPr="008725BA">
        <w:rPr>
          <w:rFonts w:ascii="Book Antiqua" w:eastAsia="Book Antiqua" w:hAnsi="Book Antiqua" w:cs="Book Antiqua"/>
          <w:color w:val="000000"/>
        </w:rPr>
        <w:t xml:space="preserve"> (AKI)</w:t>
      </w:r>
      <w:r w:rsidRPr="008725BA">
        <w:rPr>
          <w:rFonts w:ascii="Book Antiqua" w:eastAsia="Book Antiqua" w:hAnsi="Book Antiqua" w:cs="Book Antiqua"/>
          <w:color w:val="000000"/>
        </w:rPr>
        <w:t xml:space="preserve"> are clinical decompensations that most commonly motivate admission to the </w:t>
      </w:r>
      <w:proofErr w:type="gramStart"/>
      <w:r w:rsidRPr="008725BA">
        <w:rPr>
          <w:rFonts w:ascii="Book Antiqua" w:eastAsia="Book Antiqua" w:hAnsi="Book Antiqua" w:cs="Book Antiqua"/>
          <w:color w:val="000000"/>
        </w:rPr>
        <w:t>ICU</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6]</w:t>
      </w:r>
      <w:r w:rsidRPr="008725BA">
        <w:rPr>
          <w:rFonts w:ascii="Book Antiqua" w:eastAsia="Book Antiqua" w:hAnsi="Book Antiqua" w:cs="Book Antiqua"/>
          <w:color w:val="000000"/>
        </w:rPr>
        <w:t xml:space="preserve">. </w:t>
      </w:r>
    </w:p>
    <w:p w14:paraId="21FB3606" w14:textId="77777777" w:rsidR="00027ECD" w:rsidRPr="008725BA" w:rsidRDefault="00027ECD" w:rsidP="008725BA">
      <w:pPr>
        <w:adjustRightInd w:val="0"/>
        <w:snapToGrid w:val="0"/>
        <w:spacing w:line="360" w:lineRule="auto"/>
        <w:jc w:val="both"/>
        <w:rPr>
          <w:rFonts w:ascii="Book Antiqua" w:hAnsi="Book Antiqua"/>
        </w:rPr>
      </w:pPr>
    </w:p>
    <w:p w14:paraId="40310B81" w14:textId="77777777"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Sepsis and septic shock</w:t>
      </w:r>
    </w:p>
    <w:p w14:paraId="349335B8" w14:textId="6CA8A284"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Infections are among the main reasons for admission of these patients to the ICU, as 30</w:t>
      </w:r>
      <w:r w:rsidR="00027ECD" w:rsidRPr="008725BA">
        <w:rPr>
          <w:rFonts w:ascii="Book Antiqua" w:eastAsia="Book Antiqua" w:hAnsi="Book Antiqua" w:cs="Book Antiqua"/>
          <w:color w:val="000000"/>
        </w:rPr>
        <w:t>%</w:t>
      </w:r>
      <w:r w:rsidRPr="008725BA">
        <w:rPr>
          <w:rFonts w:ascii="Book Antiqua" w:eastAsia="Book Antiqua" w:hAnsi="Book Antiqua" w:cs="Book Antiqua"/>
          <w:color w:val="000000"/>
        </w:rPr>
        <w:t xml:space="preserve">–50% of patients with cirrhosis either present with infection during admission or develop infection during </w:t>
      </w:r>
      <w:proofErr w:type="gramStart"/>
      <w:r w:rsidRPr="008725BA">
        <w:rPr>
          <w:rFonts w:ascii="Book Antiqua" w:eastAsia="Book Antiqua" w:hAnsi="Book Antiqua" w:cs="Book Antiqua"/>
          <w:color w:val="000000"/>
        </w:rPr>
        <w:t>hospitalization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2,12]</w:t>
      </w:r>
      <w:r w:rsidRPr="008725BA">
        <w:rPr>
          <w:rFonts w:ascii="Book Antiqua" w:eastAsia="Book Antiqua" w:hAnsi="Book Antiqua" w:cs="Book Antiqua"/>
          <w:color w:val="000000"/>
        </w:rPr>
        <w:t xml:space="preserve">. Sepsis is a consequence of the host response to </w:t>
      </w:r>
      <w:proofErr w:type="gramStart"/>
      <w:r w:rsidRPr="008725BA">
        <w:rPr>
          <w:rFonts w:ascii="Book Antiqua" w:eastAsia="Book Antiqua" w:hAnsi="Book Antiqua" w:cs="Book Antiqua"/>
          <w:color w:val="000000"/>
        </w:rPr>
        <w:t>infection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13]</w:t>
      </w:r>
      <w:r w:rsidRPr="008725BA">
        <w:rPr>
          <w:rFonts w:ascii="Book Antiqua" w:eastAsia="Book Antiqua" w:hAnsi="Book Antiqua" w:cs="Book Antiqua"/>
          <w:color w:val="000000"/>
        </w:rPr>
        <w:t xml:space="preserve"> and it is characterized by the release of pro- and anti-inflammatory cytokines and pro- and anti-coagulant substances in response to pathogens</w:t>
      </w:r>
      <w:r w:rsidR="00027ECD" w:rsidRPr="008725BA">
        <w:rPr>
          <w:rFonts w:ascii="Book Antiqua" w:eastAsia="Book Antiqua" w:hAnsi="Book Antiqua" w:cs="Book Antiqua"/>
          <w:color w:val="000000"/>
          <w:vertAlign w:val="superscript"/>
        </w:rPr>
        <w:t>[</w:t>
      </w:r>
      <w:r w:rsidRPr="008725BA">
        <w:rPr>
          <w:rFonts w:ascii="Book Antiqua" w:eastAsia="Book Antiqua" w:hAnsi="Book Antiqua" w:cs="Book Antiqua"/>
          <w:color w:val="000000"/>
          <w:vertAlign w:val="superscript"/>
        </w:rPr>
        <w:t>14]</w:t>
      </w:r>
      <w:r w:rsidRPr="008725BA">
        <w:rPr>
          <w:rFonts w:ascii="Book Antiqua" w:eastAsia="Book Antiqua" w:hAnsi="Book Antiqua" w:cs="Book Antiqua"/>
          <w:color w:val="000000"/>
        </w:rPr>
        <w:t xml:space="preserve">. Several studies have highlighted the major influence of cirrhosis on the susceptibility to severe bacterial infections, with higher in-hospital mortality rates as a result of septic shock in cirrhotic relative to noncirrhotic patients (71% </w:t>
      </w:r>
      <w:r w:rsidRPr="008725BA">
        <w:rPr>
          <w:rFonts w:ascii="Book Antiqua" w:eastAsia="Book Antiqua" w:hAnsi="Book Antiqua" w:cs="Book Antiqua"/>
          <w:i/>
          <w:iCs/>
          <w:color w:val="000000"/>
        </w:rPr>
        <w:t>vs</w:t>
      </w:r>
      <w:r w:rsidRPr="008725BA">
        <w:rPr>
          <w:rFonts w:ascii="Book Antiqua" w:eastAsia="Book Antiqua" w:hAnsi="Book Antiqua" w:cs="Book Antiqua"/>
          <w:color w:val="000000"/>
        </w:rPr>
        <w:t xml:space="preserve"> 49%, </w:t>
      </w:r>
      <w:proofErr w:type="gramStart"/>
      <w:r w:rsidRPr="008725BA">
        <w:rPr>
          <w:rFonts w:ascii="Book Antiqua" w:eastAsia="Book Antiqua" w:hAnsi="Book Antiqua" w:cs="Book Antiqua"/>
          <w:color w:val="000000"/>
        </w:rPr>
        <w:lastRenderedPageBreak/>
        <w:t>respectively)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15,16]</w:t>
      </w:r>
      <w:r w:rsidRPr="008725BA">
        <w:rPr>
          <w:rFonts w:ascii="Book Antiqua" w:eastAsia="Book Antiqua" w:hAnsi="Book Antiqua" w:cs="Book Antiqua"/>
          <w:color w:val="000000"/>
        </w:rPr>
        <w:t xml:space="preserve">. Cirrhotic patients have an altered defense against bacteria associated with reduced bacterial clearance. This immune defect facilitates bacterial translocation induced by the increased intestinal permeability and gut bacterial overgrowth observed in </w:t>
      </w:r>
      <w:proofErr w:type="gramStart"/>
      <w:r w:rsidRPr="008725BA">
        <w:rPr>
          <w:rFonts w:ascii="Book Antiqua" w:eastAsia="Book Antiqua" w:hAnsi="Book Antiqua" w:cs="Book Antiqua"/>
          <w:color w:val="000000"/>
        </w:rPr>
        <w:t>cirrhosis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17]</w:t>
      </w:r>
      <w:r w:rsidRPr="008725BA">
        <w:rPr>
          <w:rFonts w:ascii="Book Antiqua" w:eastAsia="Book Antiqua" w:hAnsi="Book Antiqua" w:cs="Book Antiqua"/>
          <w:color w:val="000000"/>
        </w:rPr>
        <w:t xml:space="preserve">. Sepsis leads to the production of various inflammatory mediators that are increased in cirrhotic patients compared to noncirrhotic septic </w:t>
      </w:r>
      <w:proofErr w:type="gramStart"/>
      <w:r w:rsidRPr="008725BA">
        <w:rPr>
          <w:rFonts w:ascii="Book Antiqua" w:eastAsia="Book Antiqua" w:hAnsi="Book Antiqua" w:cs="Book Antiqua"/>
          <w:color w:val="000000"/>
        </w:rPr>
        <w:t>patients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6]</w:t>
      </w:r>
      <w:r w:rsidRPr="008725BA">
        <w:rPr>
          <w:rFonts w:ascii="Book Antiqua" w:eastAsia="Book Antiqua" w:hAnsi="Book Antiqua" w:cs="Book Antiqua"/>
          <w:color w:val="000000"/>
        </w:rPr>
        <w:t xml:space="preserve">. This state leads to complex organ alterations that often lead to the development of extrahepatic organ dysfunction, including </w:t>
      </w:r>
      <w:r w:rsidR="00027ECD" w:rsidRPr="008725BA">
        <w:rPr>
          <w:rFonts w:ascii="Book Antiqua" w:eastAsia="Book Antiqua" w:hAnsi="Book Antiqua" w:cs="Book Antiqua"/>
          <w:color w:val="000000"/>
        </w:rPr>
        <w:t>HE</w:t>
      </w:r>
      <w:r w:rsidRPr="008725BA">
        <w:rPr>
          <w:rFonts w:ascii="Book Antiqua" w:eastAsia="Book Antiqua" w:hAnsi="Book Antiqua" w:cs="Book Antiqua"/>
          <w:color w:val="000000"/>
        </w:rPr>
        <w:t xml:space="preserve"> and renal, respiratory, and circulatory failure during sepsis, a syndrome referred to as ACLF, which is also associated with a deterioration in hepatic </w:t>
      </w:r>
      <w:proofErr w:type="gramStart"/>
      <w:r w:rsidRPr="008725BA">
        <w:rPr>
          <w:rFonts w:ascii="Book Antiqua" w:eastAsia="Book Antiqua" w:hAnsi="Book Antiqua" w:cs="Book Antiqua"/>
          <w:color w:val="000000"/>
        </w:rPr>
        <w:t>function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18]</w:t>
      </w:r>
      <w:r w:rsidRPr="008725BA">
        <w:rPr>
          <w:rFonts w:ascii="Book Antiqua" w:eastAsia="Book Antiqua" w:hAnsi="Book Antiqua" w:cs="Book Antiqua"/>
          <w:color w:val="000000"/>
        </w:rPr>
        <w:t xml:space="preserve">. Commonly encountered infections in cirrhosis include spontaneous bacterial peritonitis, pneumonia, urinary tract infection, and </w:t>
      </w:r>
      <w:proofErr w:type="gramStart"/>
      <w:r w:rsidRPr="008725BA">
        <w:rPr>
          <w:rFonts w:ascii="Book Antiqua" w:eastAsia="Book Antiqua" w:hAnsi="Book Antiqua" w:cs="Book Antiqua"/>
          <w:color w:val="000000"/>
        </w:rPr>
        <w:t>cellulitis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19]</w:t>
      </w:r>
      <w:r w:rsidRPr="008725BA">
        <w:rPr>
          <w:rFonts w:ascii="Book Antiqua" w:eastAsia="Book Antiqua" w:hAnsi="Book Antiqua" w:cs="Book Antiqua"/>
          <w:color w:val="000000"/>
        </w:rPr>
        <w:t xml:space="preserve">. Sepsis is more common in cirrhotic than in noncirrhotic ICU patients, and it is also associated with a higher mortality </w:t>
      </w:r>
      <w:proofErr w:type="gramStart"/>
      <w:r w:rsidRPr="008725BA">
        <w:rPr>
          <w:rFonts w:ascii="Book Antiqua" w:eastAsia="Book Antiqua" w:hAnsi="Book Antiqua" w:cs="Book Antiqua"/>
          <w:color w:val="000000"/>
        </w:rPr>
        <w:t>rate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15]</w:t>
      </w:r>
      <w:r w:rsidRPr="008725BA">
        <w:rPr>
          <w:rFonts w:ascii="Book Antiqua" w:eastAsia="Book Antiqua" w:hAnsi="Book Antiqua" w:cs="Book Antiqua"/>
          <w:color w:val="000000"/>
        </w:rPr>
        <w:t xml:space="preserve">. Variables associated with mortality in septic cirrhotic patients are the presence of more than one site of infection, Child C status and elevated </w:t>
      </w:r>
      <w:r w:rsidR="00027ECD" w:rsidRPr="008725BA">
        <w:rPr>
          <w:rFonts w:ascii="Book Antiqua" w:eastAsia="Book Antiqua" w:hAnsi="Book Antiqua" w:cs="Book Antiqua"/>
          <w:color w:val="000000"/>
        </w:rPr>
        <w:t>Model for End-stage Liver Disease (MELD)</w:t>
      </w:r>
      <w:r w:rsidRPr="008725BA">
        <w:rPr>
          <w:rFonts w:ascii="Book Antiqua" w:eastAsia="Book Antiqua" w:hAnsi="Book Antiqua" w:cs="Book Antiqua"/>
          <w:color w:val="000000"/>
        </w:rPr>
        <w:t xml:space="preserve"> </w:t>
      </w:r>
      <w:proofErr w:type="gramStart"/>
      <w:r w:rsidRPr="008725BA">
        <w:rPr>
          <w:rFonts w:ascii="Book Antiqua" w:eastAsia="Book Antiqua" w:hAnsi="Book Antiqua" w:cs="Book Antiqua"/>
          <w:color w:val="000000"/>
        </w:rPr>
        <w:t>score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12]</w:t>
      </w:r>
      <w:r w:rsidRPr="008725BA">
        <w:rPr>
          <w:rFonts w:ascii="Book Antiqua" w:eastAsia="Book Antiqua" w:hAnsi="Book Antiqua" w:cs="Book Antiqua"/>
          <w:color w:val="000000"/>
        </w:rPr>
        <w:t>.</w:t>
      </w:r>
    </w:p>
    <w:p w14:paraId="0E80B63A" w14:textId="77777777" w:rsidR="00A77B3E" w:rsidRPr="008725BA" w:rsidRDefault="00A77B3E" w:rsidP="008725BA">
      <w:pPr>
        <w:adjustRightInd w:val="0"/>
        <w:snapToGrid w:val="0"/>
        <w:spacing w:line="360" w:lineRule="auto"/>
        <w:jc w:val="both"/>
        <w:rPr>
          <w:rFonts w:ascii="Book Antiqua" w:hAnsi="Book Antiqua"/>
        </w:rPr>
      </w:pPr>
    </w:p>
    <w:p w14:paraId="7ADB9580" w14:textId="55B3F7B9"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 xml:space="preserve">Variceal </w:t>
      </w:r>
      <w:r w:rsidR="00027ECD" w:rsidRPr="008725BA">
        <w:rPr>
          <w:rFonts w:ascii="Book Antiqua" w:eastAsia="Book Antiqua" w:hAnsi="Book Antiqua" w:cs="Book Antiqua"/>
          <w:b/>
          <w:bCs/>
          <w:i/>
          <w:iCs/>
          <w:color w:val="000000"/>
        </w:rPr>
        <w:t>b</w:t>
      </w:r>
      <w:r w:rsidRPr="008725BA">
        <w:rPr>
          <w:rFonts w:ascii="Book Antiqua" w:eastAsia="Book Antiqua" w:hAnsi="Book Antiqua" w:cs="Book Antiqua"/>
          <w:b/>
          <w:bCs/>
          <w:i/>
          <w:iCs/>
          <w:color w:val="000000"/>
        </w:rPr>
        <w:t>leeding</w:t>
      </w:r>
    </w:p>
    <w:p w14:paraId="550345D0" w14:textId="6E8F6FF8" w:rsidR="00A77B3E" w:rsidRPr="008725BA" w:rsidRDefault="00034438" w:rsidP="008725BA">
      <w:pPr>
        <w:adjustRightInd w:val="0"/>
        <w:snapToGrid w:val="0"/>
        <w:spacing w:line="360" w:lineRule="auto"/>
        <w:jc w:val="both"/>
        <w:rPr>
          <w:rFonts w:ascii="Book Antiqua" w:eastAsia="Book Antiqua" w:hAnsi="Book Antiqua" w:cs="Book Antiqua"/>
          <w:color w:val="000000"/>
        </w:rPr>
      </w:pPr>
      <w:r w:rsidRPr="008725BA">
        <w:rPr>
          <w:rFonts w:ascii="Book Antiqua" w:eastAsia="Book Antiqua" w:hAnsi="Book Antiqua" w:cs="Book Antiqua"/>
          <w:color w:val="000000"/>
        </w:rPr>
        <w:t xml:space="preserve">Cirrhotic patients with variceal bleeding are usually transferred to the ICU for hemodynamic stabilization. The fate of variceal bleeding in cirrhotic patients has changed over the last two </w:t>
      </w:r>
      <w:proofErr w:type="gramStart"/>
      <w:r w:rsidRPr="008725BA">
        <w:rPr>
          <w:rFonts w:ascii="Book Antiqua" w:eastAsia="Book Antiqua" w:hAnsi="Book Antiqua" w:cs="Book Antiqua"/>
          <w:color w:val="000000"/>
        </w:rPr>
        <w:t>decades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14]</w:t>
      </w:r>
      <w:r w:rsidRPr="008725BA">
        <w:rPr>
          <w:rFonts w:ascii="Book Antiqua" w:eastAsia="Book Antiqua" w:hAnsi="Book Antiqua" w:cs="Book Antiqua"/>
          <w:color w:val="000000"/>
        </w:rPr>
        <w:t>. Overall hospital mortality decreased from 42% in 1980 to 14% in 2000</w:t>
      </w:r>
      <w:r w:rsidR="00027ECD" w:rsidRPr="008725BA">
        <w:rPr>
          <w:rFonts w:ascii="Book Antiqua" w:eastAsia="Book Antiqua" w:hAnsi="Book Antiqua" w:cs="Book Antiqua"/>
          <w:color w:val="000000"/>
          <w:vertAlign w:val="superscript"/>
        </w:rPr>
        <w:t>[</w:t>
      </w:r>
      <w:r w:rsidRPr="008725BA">
        <w:rPr>
          <w:rFonts w:ascii="Book Antiqua" w:eastAsia="Book Antiqua" w:hAnsi="Book Antiqua" w:cs="Book Antiqua"/>
          <w:color w:val="000000"/>
          <w:vertAlign w:val="superscript"/>
        </w:rPr>
        <w:t>20]</w:t>
      </w:r>
      <w:r w:rsidRPr="008725BA">
        <w:rPr>
          <w:rFonts w:ascii="Book Antiqua" w:eastAsia="Book Antiqua" w:hAnsi="Book Antiqua" w:cs="Book Antiqua"/>
          <w:color w:val="000000"/>
        </w:rPr>
        <w:t xml:space="preserve">. ICU admissions for variceal bleeding fell significantly in the last decade and were associated with a decrease in mortality over </w:t>
      </w:r>
      <w:proofErr w:type="gramStart"/>
      <w:r w:rsidRPr="008725BA">
        <w:rPr>
          <w:rFonts w:ascii="Book Antiqua" w:eastAsia="Book Antiqua" w:hAnsi="Book Antiqua" w:cs="Book Antiqua"/>
          <w:color w:val="000000"/>
        </w:rPr>
        <w:t>time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21]</w:t>
      </w:r>
      <w:r w:rsidRPr="008725BA">
        <w:rPr>
          <w:rFonts w:ascii="Book Antiqua" w:eastAsia="Book Antiqua" w:hAnsi="Book Antiqua" w:cs="Book Antiqua"/>
          <w:color w:val="000000"/>
        </w:rPr>
        <w:t xml:space="preserve">. Although overall mortality rates have decreased in cirrhotic patients with variceal bleeding, it is still high in the first 6 </w:t>
      </w:r>
      <w:proofErr w:type="spellStart"/>
      <w:r w:rsidRPr="008725BA">
        <w:rPr>
          <w:rFonts w:ascii="Book Antiqua" w:eastAsia="Book Antiqua" w:hAnsi="Book Antiqua" w:cs="Book Antiqua"/>
          <w:color w:val="000000"/>
        </w:rPr>
        <w:t>wk</w:t>
      </w:r>
      <w:proofErr w:type="spellEnd"/>
      <w:r w:rsidRPr="008725BA">
        <w:rPr>
          <w:rFonts w:ascii="Book Antiqua" w:eastAsia="Book Antiqua" w:hAnsi="Book Antiqua" w:cs="Book Antiqua"/>
          <w:color w:val="000000"/>
        </w:rPr>
        <w:t xml:space="preserve"> after the initial episode, and could exceed 30% in those with more severe disease and in those with multiorgan </w:t>
      </w:r>
      <w:proofErr w:type="gramStart"/>
      <w:r w:rsidRPr="008725BA">
        <w:rPr>
          <w:rFonts w:ascii="Book Antiqua" w:eastAsia="Book Antiqua" w:hAnsi="Book Antiqua" w:cs="Book Antiqua"/>
          <w:color w:val="000000"/>
        </w:rPr>
        <w:t>failure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5,6,22]</w:t>
      </w:r>
      <w:r w:rsidRPr="008725BA">
        <w:rPr>
          <w:rFonts w:ascii="Book Antiqua" w:eastAsia="Book Antiqua" w:hAnsi="Book Antiqua" w:cs="Book Antiqua"/>
          <w:color w:val="000000"/>
        </w:rPr>
        <w:t xml:space="preserve">. Rebleeding occurs in up to 20% of patients during the first 6 </w:t>
      </w:r>
      <w:proofErr w:type="spellStart"/>
      <w:r w:rsidRPr="008725BA">
        <w:rPr>
          <w:rFonts w:ascii="Book Antiqua" w:eastAsia="Book Antiqua" w:hAnsi="Book Antiqua" w:cs="Book Antiqua"/>
          <w:color w:val="000000"/>
        </w:rPr>
        <w:t>wk</w:t>
      </w:r>
      <w:proofErr w:type="spellEnd"/>
      <w:r w:rsidRPr="008725BA">
        <w:rPr>
          <w:rFonts w:ascii="Book Antiqua" w:eastAsia="Book Antiqua" w:hAnsi="Book Antiqua" w:cs="Book Antiqua"/>
          <w:color w:val="000000"/>
        </w:rPr>
        <w:t xml:space="preserve">, and in this case, the mortality rate can exceed 50%. Patients with Child C or MELD ≥ 18, portal vein thrombosis, bacterial infections, and renal failure have a high likelihood of recurrence or </w:t>
      </w:r>
      <w:proofErr w:type="gramStart"/>
      <w:r w:rsidRPr="008725BA">
        <w:rPr>
          <w:rFonts w:ascii="Book Antiqua" w:eastAsia="Book Antiqua" w:hAnsi="Book Antiqua" w:cs="Book Antiqua"/>
          <w:color w:val="000000"/>
        </w:rPr>
        <w:t>death</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6]</w:t>
      </w:r>
      <w:r w:rsidRPr="008725BA">
        <w:rPr>
          <w:rFonts w:ascii="Book Antiqua" w:eastAsia="Book Antiqua" w:hAnsi="Book Antiqua" w:cs="Book Antiqua"/>
          <w:color w:val="000000"/>
        </w:rPr>
        <w:t xml:space="preserve">. </w:t>
      </w:r>
    </w:p>
    <w:p w14:paraId="0FC760E7" w14:textId="77777777" w:rsidR="00027ECD" w:rsidRPr="008725BA" w:rsidRDefault="00027ECD" w:rsidP="008725BA">
      <w:pPr>
        <w:adjustRightInd w:val="0"/>
        <w:snapToGrid w:val="0"/>
        <w:spacing w:line="360" w:lineRule="auto"/>
        <w:jc w:val="both"/>
        <w:rPr>
          <w:rFonts w:ascii="Book Antiqua" w:hAnsi="Book Antiqua"/>
        </w:rPr>
      </w:pPr>
    </w:p>
    <w:p w14:paraId="5CAEDB41" w14:textId="77777777" w:rsidR="00027ECD" w:rsidRPr="008725BA" w:rsidRDefault="00027ECD" w:rsidP="008725BA">
      <w:pPr>
        <w:adjustRightInd w:val="0"/>
        <w:snapToGrid w:val="0"/>
        <w:spacing w:line="360" w:lineRule="auto"/>
        <w:jc w:val="both"/>
        <w:rPr>
          <w:rFonts w:ascii="Book Antiqua" w:eastAsia="Book Antiqua" w:hAnsi="Book Antiqua" w:cs="Book Antiqua"/>
          <w:b/>
          <w:bCs/>
          <w:i/>
          <w:iCs/>
          <w:color w:val="000000"/>
        </w:rPr>
      </w:pPr>
      <w:r w:rsidRPr="008725BA">
        <w:rPr>
          <w:rFonts w:ascii="Book Antiqua" w:eastAsia="Book Antiqua" w:hAnsi="Book Antiqua" w:cs="Book Antiqua"/>
          <w:b/>
          <w:bCs/>
          <w:i/>
          <w:iCs/>
          <w:color w:val="000000"/>
        </w:rPr>
        <w:t xml:space="preserve">AKI </w:t>
      </w:r>
    </w:p>
    <w:p w14:paraId="26464B82" w14:textId="661B0FA5"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lastRenderedPageBreak/>
        <w:t xml:space="preserve">Cirrhosis-associated AKI is usually multifactorial and commonly involves bacterial infections, hypovolemia (secondary to </w:t>
      </w:r>
      <w:proofErr w:type="spellStart"/>
      <w:r w:rsidRPr="008725BA">
        <w:rPr>
          <w:rFonts w:ascii="Book Antiqua" w:eastAsia="Book Antiqua" w:hAnsi="Book Antiqua" w:cs="Book Antiqua"/>
          <w:color w:val="000000"/>
        </w:rPr>
        <w:t>overdiuresis</w:t>
      </w:r>
      <w:proofErr w:type="spellEnd"/>
      <w:r w:rsidRPr="008725BA">
        <w:rPr>
          <w:rFonts w:ascii="Book Antiqua" w:eastAsia="Book Antiqua" w:hAnsi="Book Antiqua" w:cs="Book Antiqua"/>
          <w:color w:val="000000"/>
        </w:rPr>
        <w:t>, hemorrhagic shock, large-volume paracentesis or diarrhea), drug-induced nephrotoxicity, parenchymal renal disease and, in the absence of these causes, hepatorenal syndrome (HRS</w:t>
      </w:r>
      <w:proofErr w:type="gramStart"/>
      <w:r w:rsidRPr="008725BA">
        <w:rPr>
          <w:rFonts w:ascii="Book Antiqua" w:eastAsia="Book Antiqua" w:hAnsi="Book Antiqua" w:cs="Book Antiqua"/>
          <w:color w:val="000000"/>
        </w:rPr>
        <w:t>)</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5,23]</w:t>
      </w:r>
      <w:r w:rsidRPr="008725BA">
        <w:rPr>
          <w:rFonts w:ascii="Book Antiqua" w:eastAsia="Book Antiqua" w:hAnsi="Book Antiqua" w:cs="Book Antiqua"/>
          <w:color w:val="000000"/>
        </w:rPr>
        <w:t>. With a yearly rate of 8</w:t>
      </w:r>
      <w:r w:rsidR="00027ECD" w:rsidRPr="008725BA">
        <w:rPr>
          <w:rFonts w:ascii="Book Antiqua" w:eastAsia="Book Antiqua" w:hAnsi="Book Antiqua" w:cs="Book Antiqua"/>
          <w:color w:val="000000"/>
        </w:rPr>
        <w:t>%</w:t>
      </w:r>
      <w:r w:rsidRPr="008725BA">
        <w:rPr>
          <w:rFonts w:ascii="Book Antiqua" w:eastAsia="Book Antiqua" w:hAnsi="Book Antiqua" w:cs="Book Antiqua"/>
          <w:color w:val="000000"/>
        </w:rPr>
        <w:t xml:space="preserve">–12%, HRS-AKI is quite common in decompensated cirrhosis with </w:t>
      </w:r>
      <w:proofErr w:type="gramStart"/>
      <w:r w:rsidRPr="008725BA">
        <w:rPr>
          <w:rFonts w:ascii="Book Antiqua" w:eastAsia="Book Antiqua" w:hAnsi="Book Antiqua" w:cs="Book Antiqua"/>
          <w:color w:val="000000"/>
        </w:rPr>
        <w:t>ascites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10,23]</w:t>
      </w:r>
      <w:r w:rsidRPr="008725BA">
        <w:rPr>
          <w:rFonts w:ascii="Book Antiqua" w:eastAsia="Book Antiqua" w:hAnsi="Book Antiqua" w:cs="Book Antiqua"/>
          <w:color w:val="000000"/>
        </w:rPr>
        <w:t>. In hospitalized patients, it is approximately 25% and it increases up to 40</w:t>
      </w:r>
      <w:r w:rsidR="00027ECD" w:rsidRPr="008725BA">
        <w:rPr>
          <w:rFonts w:ascii="Book Antiqua" w:eastAsia="Book Antiqua" w:hAnsi="Book Antiqua" w:cs="Book Antiqua"/>
          <w:color w:val="000000"/>
        </w:rPr>
        <w:t>%</w:t>
      </w:r>
      <w:r w:rsidRPr="008725BA">
        <w:rPr>
          <w:rFonts w:ascii="Book Antiqua" w:eastAsia="Book Antiqua" w:hAnsi="Book Antiqua" w:cs="Book Antiqua"/>
          <w:color w:val="000000"/>
        </w:rPr>
        <w:t xml:space="preserve">–60% in those admitted to the </w:t>
      </w:r>
      <w:proofErr w:type="gramStart"/>
      <w:r w:rsidRPr="008725BA">
        <w:rPr>
          <w:rFonts w:ascii="Book Antiqua" w:eastAsia="Book Antiqua" w:hAnsi="Book Antiqua" w:cs="Book Antiqua"/>
          <w:color w:val="000000"/>
        </w:rPr>
        <w:t>ICU</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14,24]</w:t>
      </w:r>
      <w:r w:rsidRPr="008725BA">
        <w:rPr>
          <w:rFonts w:ascii="Book Antiqua" w:eastAsia="Book Antiqua" w:hAnsi="Book Antiqua" w:cs="Book Antiqua"/>
          <w:color w:val="000000"/>
        </w:rPr>
        <w:t xml:space="preserve">. AKI is associated with a poor prognosis and represents an important predictor for short-term mortality in patients with </w:t>
      </w:r>
      <w:proofErr w:type="gramStart"/>
      <w:r w:rsidRPr="008725BA">
        <w:rPr>
          <w:rFonts w:ascii="Book Antiqua" w:eastAsia="Book Antiqua" w:hAnsi="Book Antiqua" w:cs="Book Antiqua"/>
          <w:color w:val="000000"/>
        </w:rPr>
        <w:t>cirrhosis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25]</w:t>
      </w:r>
      <w:r w:rsidRPr="008725BA">
        <w:rPr>
          <w:rFonts w:ascii="Book Antiqua" w:eastAsia="Book Antiqua" w:hAnsi="Book Antiqua" w:cs="Book Antiqua"/>
          <w:color w:val="000000"/>
        </w:rPr>
        <w:t>.</w:t>
      </w:r>
    </w:p>
    <w:p w14:paraId="71CB7963" w14:textId="77777777" w:rsidR="00A77B3E" w:rsidRPr="008725BA" w:rsidRDefault="00A77B3E" w:rsidP="008725BA">
      <w:pPr>
        <w:adjustRightInd w:val="0"/>
        <w:snapToGrid w:val="0"/>
        <w:spacing w:line="360" w:lineRule="auto"/>
        <w:jc w:val="both"/>
        <w:rPr>
          <w:rFonts w:ascii="Book Antiqua" w:hAnsi="Book Antiqua"/>
        </w:rPr>
      </w:pPr>
    </w:p>
    <w:p w14:paraId="25FCCFE4" w14:textId="77777777"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Encephalopathy</w:t>
      </w:r>
    </w:p>
    <w:p w14:paraId="6EC01A4B" w14:textId="13DE7E3F" w:rsidR="00A77B3E" w:rsidRPr="008725BA" w:rsidRDefault="00034438" w:rsidP="008725BA">
      <w:pPr>
        <w:adjustRightInd w:val="0"/>
        <w:snapToGrid w:val="0"/>
        <w:spacing w:line="360" w:lineRule="auto"/>
        <w:jc w:val="both"/>
        <w:rPr>
          <w:rFonts w:ascii="Book Antiqua" w:eastAsia="Book Antiqua" w:hAnsi="Book Antiqua" w:cs="Book Antiqua"/>
          <w:color w:val="000000"/>
        </w:rPr>
      </w:pPr>
      <w:r w:rsidRPr="008725BA">
        <w:rPr>
          <w:rFonts w:ascii="Book Antiqua" w:eastAsia="Book Antiqua" w:hAnsi="Book Antiqua" w:cs="Book Antiqua"/>
          <w:color w:val="000000"/>
        </w:rPr>
        <w:t xml:space="preserve">HE is a brain dysfunction caused by liver failure and/or portosystemic shunts and it manifests as a wide spectrum of neurological and/or psychiatric </w:t>
      </w:r>
      <w:proofErr w:type="gramStart"/>
      <w:r w:rsidRPr="008725BA">
        <w:rPr>
          <w:rFonts w:ascii="Book Antiqua" w:eastAsia="Book Antiqua" w:hAnsi="Book Antiqua" w:cs="Book Antiqua"/>
          <w:color w:val="000000"/>
        </w:rPr>
        <w:t>abnormalities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26]</w:t>
      </w:r>
      <w:r w:rsidRPr="008725BA">
        <w:rPr>
          <w:rFonts w:ascii="Book Antiqua" w:eastAsia="Book Antiqua" w:hAnsi="Book Antiqua" w:cs="Book Antiqua"/>
          <w:color w:val="000000"/>
        </w:rPr>
        <w:t>. Approximately 30</w:t>
      </w:r>
      <w:r w:rsidR="00027ECD" w:rsidRPr="008725BA">
        <w:rPr>
          <w:rFonts w:ascii="Book Antiqua" w:eastAsia="Book Antiqua" w:hAnsi="Book Antiqua" w:cs="Book Antiqua"/>
          <w:color w:val="000000"/>
        </w:rPr>
        <w:t>%</w:t>
      </w:r>
      <w:r w:rsidRPr="008725BA">
        <w:rPr>
          <w:rFonts w:ascii="Book Antiqua" w:eastAsia="Book Antiqua" w:hAnsi="Book Antiqua" w:cs="Book Antiqua"/>
          <w:color w:val="000000"/>
        </w:rPr>
        <w:t xml:space="preserve">–40% of patients with cirrhosis present with an episode of HE at some time of their illness, with a poor prognosis and a mortality increase of 50% within 1 year after the episode of </w:t>
      </w:r>
      <w:proofErr w:type="gramStart"/>
      <w:r w:rsidRPr="008725BA">
        <w:rPr>
          <w:rFonts w:ascii="Book Antiqua" w:eastAsia="Book Antiqua" w:hAnsi="Book Antiqua" w:cs="Book Antiqua"/>
          <w:color w:val="000000"/>
        </w:rPr>
        <w:t>HE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6]</w:t>
      </w:r>
      <w:r w:rsidRPr="008725BA">
        <w:rPr>
          <w:rFonts w:ascii="Book Antiqua" w:eastAsia="Book Antiqua" w:hAnsi="Book Antiqua" w:cs="Book Antiqua"/>
          <w:color w:val="000000"/>
        </w:rPr>
        <w:t xml:space="preserve">. Patients with more severe grades (grade III-IV) could require admission to the ICU and orotracheal intubation and eventually prolonged MV, variables that are associated with increased mortality in this </w:t>
      </w:r>
      <w:proofErr w:type="gramStart"/>
      <w:r w:rsidRPr="008725BA">
        <w:rPr>
          <w:rFonts w:ascii="Book Antiqua" w:eastAsia="Book Antiqua" w:hAnsi="Book Antiqua" w:cs="Book Antiqua"/>
          <w:color w:val="000000"/>
        </w:rPr>
        <w:t>scenario</w:t>
      </w:r>
      <w:r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27,28]</w:t>
      </w:r>
      <w:r w:rsidRPr="008725BA">
        <w:rPr>
          <w:rFonts w:ascii="Book Antiqua" w:eastAsia="Book Antiqua" w:hAnsi="Book Antiqua" w:cs="Book Antiqua"/>
          <w:color w:val="000000"/>
        </w:rPr>
        <w:t>.</w:t>
      </w:r>
    </w:p>
    <w:p w14:paraId="599DE2CB" w14:textId="77777777" w:rsidR="00027ECD" w:rsidRPr="008725BA" w:rsidRDefault="00027ECD" w:rsidP="008725BA">
      <w:pPr>
        <w:adjustRightInd w:val="0"/>
        <w:snapToGrid w:val="0"/>
        <w:spacing w:line="360" w:lineRule="auto"/>
        <w:jc w:val="both"/>
        <w:rPr>
          <w:rFonts w:ascii="Book Antiqua" w:hAnsi="Book Antiqua"/>
        </w:rPr>
      </w:pPr>
    </w:p>
    <w:p w14:paraId="5ABD9F7D" w14:textId="77777777"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Short and long-term mortality in ICU-cirrhotic patients</w:t>
      </w:r>
    </w:p>
    <w:p w14:paraId="379C5C25" w14:textId="4273896D"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Short-term mortality in ICU-cirrhotic patients ranges from 42% in the ICU to 54% during </w:t>
      </w:r>
      <w:proofErr w:type="gramStart"/>
      <w:r w:rsidRPr="008725BA">
        <w:rPr>
          <w:rFonts w:ascii="Book Antiqua" w:eastAsia="Book Antiqua" w:hAnsi="Book Antiqua" w:cs="Book Antiqua"/>
          <w:color w:val="000000"/>
        </w:rPr>
        <w:t>hospitalization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29]</w:t>
      </w:r>
      <w:r w:rsidRPr="008725BA">
        <w:rPr>
          <w:rFonts w:ascii="Book Antiqua" w:eastAsia="Book Antiqua" w:hAnsi="Book Antiqua" w:cs="Book Antiqua"/>
          <w:color w:val="000000"/>
        </w:rPr>
        <w:t xml:space="preserve">. There is variability between different studies due to different selection criteria for patient admission between centers, differences between therapeutic strategies (including liver transplantation) and the low number of patients studied in each cohort in this short period of </w:t>
      </w:r>
      <w:proofErr w:type="gramStart"/>
      <w:r w:rsidRPr="008725BA">
        <w:rPr>
          <w:rFonts w:ascii="Book Antiqua" w:eastAsia="Book Antiqua" w:hAnsi="Book Antiqua" w:cs="Book Antiqua"/>
          <w:color w:val="000000"/>
        </w:rPr>
        <w:t>time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30]</w:t>
      </w:r>
      <w:r w:rsidRPr="008725BA">
        <w:rPr>
          <w:rFonts w:ascii="Book Antiqua" w:eastAsia="Book Antiqua" w:hAnsi="Book Antiqua" w:cs="Book Antiqua"/>
          <w:color w:val="000000"/>
        </w:rPr>
        <w:t xml:space="preserve">. During the ICU stay, prolonged MV is an important prognostic marker for ICU </w:t>
      </w:r>
      <w:proofErr w:type="gramStart"/>
      <w:r w:rsidRPr="008725BA">
        <w:rPr>
          <w:rFonts w:ascii="Book Antiqua" w:eastAsia="Book Antiqua" w:hAnsi="Book Antiqua" w:cs="Book Antiqua"/>
          <w:color w:val="000000"/>
        </w:rPr>
        <w:t>mortality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28]</w:t>
      </w:r>
      <w:r w:rsidRPr="008725BA">
        <w:rPr>
          <w:rFonts w:ascii="Book Antiqua" w:eastAsia="Book Antiqua" w:hAnsi="Book Antiqua" w:cs="Book Antiqua"/>
          <w:color w:val="000000"/>
        </w:rPr>
        <w:t xml:space="preserve">. Among the long-term mortality data for cirrhotic patients, there is high in-hospital mortality with reduced survival rates at 6 </w:t>
      </w:r>
      <w:proofErr w:type="spellStart"/>
      <w:r w:rsidRPr="008725BA">
        <w:rPr>
          <w:rFonts w:ascii="Book Antiqua" w:eastAsia="Book Antiqua" w:hAnsi="Book Antiqua" w:cs="Book Antiqua"/>
          <w:color w:val="000000"/>
        </w:rPr>
        <w:t>mo</w:t>
      </w:r>
      <w:proofErr w:type="spellEnd"/>
      <w:r w:rsidRPr="008725BA">
        <w:rPr>
          <w:rFonts w:ascii="Book Antiqua" w:eastAsia="Book Antiqua" w:hAnsi="Book Antiqua" w:cs="Book Antiqua"/>
          <w:color w:val="000000"/>
        </w:rPr>
        <w:t xml:space="preserve"> and 1 year. Thus, the one-year survival rate was 32% among patients alive at discharge from the </w:t>
      </w:r>
      <w:proofErr w:type="gramStart"/>
      <w:r w:rsidRPr="008725BA">
        <w:rPr>
          <w:rFonts w:ascii="Book Antiqua" w:eastAsia="Book Antiqua" w:hAnsi="Book Antiqua" w:cs="Book Antiqua"/>
          <w:color w:val="000000"/>
        </w:rPr>
        <w:t>ICU</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9]</w:t>
      </w:r>
      <w:r w:rsidRPr="008725BA">
        <w:rPr>
          <w:rFonts w:ascii="Book Antiqua" w:eastAsia="Book Antiqua" w:hAnsi="Book Antiqua" w:cs="Book Antiqua"/>
          <w:i/>
          <w:iCs/>
          <w:color w:val="000000"/>
        </w:rPr>
        <w:t xml:space="preserve">. </w:t>
      </w:r>
      <w:r w:rsidRPr="008725BA">
        <w:rPr>
          <w:rFonts w:ascii="Book Antiqua" w:eastAsia="Book Antiqua" w:hAnsi="Book Antiqua" w:cs="Book Antiqua"/>
          <w:color w:val="000000"/>
        </w:rPr>
        <w:t xml:space="preserve">In another large study of short- and long-term survival, we found a comparable reduction in survival, with 8%–21% patients dying shortly after </w:t>
      </w:r>
      <w:r w:rsidRPr="008725BA">
        <w:rPr>
          <w:rFonts w:ascii="Book Antiqua" w:eastAsia="Book Antiqua" w:hAnsi="Book Antiqua" w:cs="Book Antiqua"/>
          <w:color w:val="000000"/>
        </w:rPr>
        <w:lastRenderedPageBreak/>
        <w:t xml:space="preserve">ICU discharge. In the ICU, 28-d, 3-, 6-mo, and 1-year mortality rates were 47%, 53% (116/218), 66%, 74%, and 77%, </w:t>
      </w:r>
      <w:proofErr w:type="gramStart"/>
      <w:r w:rsidRPr="008725BA">
        <w:rPr>
          <w:rFonts w:ascii="Book Antiqua" w:eastAsia="Book Antiqua" w:hAnsi="Book Antiqua" w:cs="Book Antiqua"/>
          <w:color w:val="000000"/>
        </w:rPr>
        <w:t>respectively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7]</w:t>
      </w:r>
      <w:r w:rsidRPr="008725BA">
        <w:rPr>
          <w:rFonts w:ascii="Book Antiqua" w:eastAsia="Book Antiqua" w:hAnsi="Book Antiqua" w:cs="Book Antiqua"/>
          <w:color w:val="000000"/>
        </w:rPr>
        <w:t xml:space="preserve">. The Glasgow coma scale, mean arterial pressure, bilirubin, and albumin determined on admission to the ICU have independent prognostic significance for assessing 6-month mortality. Severe sepsis had the strongest association with increased 6-month mortality among the primary ICU admission </w:t>
      </w:r>
      <w:proofErr w:type="gramStart"/>
      <w:r w:rsidRPr="008725BA">
        <w:rPr>
          <w:rFonts w:ascii="Book Antiqua" w:eastAsia="Book Antiqua" w:hAnsi="Book Antiqua" w:cs="Book Antiqua"/>
          <w:color w:val="000000"/>
        </w:rPr>
        <w:t>reasons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29]</w:t>
      </w:r>
      <w:r w:rsidRPr="008725BA">
        <w:rPr>
          <w:rFonts w:ascii="Book Antiqua" w:eastAsia="Book Antiqua" w:hAnsi="Book Antiqua" w:cs="Book Antiqua"/>
          <w:color w:val="000000"/>
        </w:rPr>
        <w:t xml:space="preserve">. </w:t>
      </w:r>
    </w:p>
    <w:p w14:paraId="0487DA33" w14:textId="77777777" w:rsidR="00A77B3E" w:rsidRPr="008725BA" w:rsidRDefault="00A77B3E" w:rsidP="008725BA">
      <w:pPr>
        <w:adjustRightInd w:val="0"/>
        <w:snapToGrid w:val="0"/>
        <w:spacing w:line="360" w:lineRule="auto"/>
        <w:ind w:firstLine="708"/>
        <w:jc w:val="both"/>
        <w:rPr>
          <w:rFonts w:ascii="Book Antiqua" w:hAnsi="Book Antiqua"/>
        </w:rPr>
      </w:pPr>
    </w:p>
    <w:p w14:paraId="6ACA9970"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aps/>
          <w:smallCaps/>
          <w:color w:val="000000"/>
          <w:u w:val="single"/>
        </w:rPr>
        <w:t>PROGNOSTIC SCORES IN CIRRHOTIC PATIENTS ADMITTED TO THE ICU</w:t>
      </w:r>
    </w:p>
    <w:p w14:paraId="796D3F64" w14:textId="5EDA618D"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Liver cirrhosis is characterized by a long phase of compensated disease until the first episode of decompensation occurs. The time elapsed until such an event is variable and unpredictable; however, it marks a change in the progression of the liver </w:t>
      </w:r>
      <w:proofErr w:type="gramStart"/>
      <w:r w:rsidRPr="008725BA">
        <w:rPr>
          <w:rFonts w:ascii="Book Antiqua" w:eastAsia="Book Antiqua" w:hAnsi="Book Antiqua" w:cs="Book Antiqua"/>
          <w:color w:val="000000"/>
        </w:rPr>
        <w:t>disease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30]</w:t>
      </w:r>
      <w:r w:rsidRPr="008725BA">
        <w:rPr>
          <w:rFonts w:ascii="Book Antiqua" w:eastAsia="Book Antiqua" w:hAnsi="Book Antiqua" w:cs="Book Antiqua"/>
          <w:color w:val="000000"/>
        </w:rPr>
        <w:t xml:space="preserve">. Upon acute decompensation, some of these patients develop organ failure and need to be admitted to the ICU for optimal treatment. Historically, the in-hospital mortality rates of these patients are very high, promoting the idea that admitting them to the ICU would be a futile </w:t>
      </w:r>
      <w:proofErr w:type="gramStart"/>
      <w:r w:rsidRPr="008725BA">
        <w:rPr>
          <w:rFonts w:ascii="Book Antiqua" w:eastAsia="Book Antiqua" w:hAnsi="Book Antiqua" w:cs="Book Antiqua"/>
          <w:color w:val="000000"/>
        </w:rPr>
        <w:t>measure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22]</w:t>
      </w:r>
      <w:r w:rsidRPr="008725BA">
        <w:rPr>
          <w:rFonts w:ascii="Book Antiqua" w:eastAsia="Book Antiqua" w:hAnsi="Book Antiqua" w:cs="Book Antiqua"/>
          <w:color w:val="000000"/>
        </w:rPr>
        <w:t xml:space="preserve">. More current series show that the hospital mortality of these patients is quite heterogeneous, reflecting the varying degrees of hepatic involvement that these patients may present on admission to the ICU, as well as their different reasons for admission to the </w:t>
      </w:r>
      <w:proofErr w:type="gramStart"/>
      <w:r w:rsidRPr="008725BA">
        <w:rPr>
          <w:rFonts w:ascii="Book Antiqua" w:eastAsia="Book Antiqua" w:hAnsi="Book Antiqua" w:cs="Book Antiqua"/>
          <w:color w:val="000000"/>
        </w:rPr>
        <w:t>ICU</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31]</w:t>
      </w:r>
      <w:r w:rsidRPr="008725BA">
        <w:rPr>
          <w:rFonts w:ascii="Book Antiqua" w:eastAsia="Book Antiqua" w:hAnsi="Book Antiqua" w:cs="Book Antiqua"/>
          <w:color w:val="000000"/>
        </w:rPr>
        <w:t>.</w:t>
      </w:r>
    </w:p>
    <w:p w14:paraId="6F25DA22" w14:textId="5863D906" w:rsidR="00A77B3E" w:rsidRPr="008725BA" w:rsidRDefault="00034438" w:rsidP="008725BA">
      <w:pPr>
        <w:adjustRightInd w:val="0"/>
        <w:snapToGrid w:val="0"/>
        <w:spacing w:line="360" w:lineRule="auto"/>
        <w:ind w:firstLine="708"/>
        <w:jc w:val="both"/>
        <w:rPr>
          <w:rFonts w:ascii="Book Antiqua" w:hAnsi="Book Antiqua"/>
        </w:rPr>
      </w:pPr>
      <w:r w:rsidRPr="008725BA">
        <w:rPr>
          <w:rFonts w:ascii="Book Antiqua" w:eastAsia="Book Antiqua" w:hAnsi="Book Antiqua" w:cs="Book Antiqua"/>
          <w:color w:val="000000"/>
        </w:rPr>
        <w:t xml:space="preserve">Even so, the nonnegligible mortality rates of critically ill patients with liver cirrhosis, associated with scarce and expensive intensive care resources, make the indication of ICU admission of this population a matter of debate. Prognostic scores are helpful in this decision-making, aiming at therapeutic proportionality at the individual level and an adequate allocation of resources at the institutional level. The prognostic scores can be specific to each pathology. In the case of liver cirrhosis, we can mention Child–Pugh (CP), the MELD, and the Chronic Liver Failure-Consortium </w:t>
      </w:r>
      <w:r w:rsidR="00027ECD" w:rsidRPr="008725BA">
        <w:rPr>
          <w:rFonts w:ascii="Book Antiqua" w:eastAsia="Book Antiqua" w:hAnsi="Book Antiqua" w:cs="Book Antiqua"/>
          <w:color w:val="000000"/>
        </w:rPr>
        <w:t>ACLF</w:t>
      </w:r>
      <w:r w:rsidRPr="008725BA">
        <w:rPr>
          <w:rFonts w:ascii="Book Antiqua" w:eastAsia="Book Antiqua" w:hAnsi="Book Antiqua" w:cs="Book Antiqua"/>
          <w:color w:val="000000"/>
        </w:rPr>
        <w:t xml:space="preserve"> (CLIF-ACLF) score, for example, or assessments common to all patients admitted to the ICU, such as the Sequential Organ Failure Assessment (SOFA) score and the Acute Physiology and Chronic Health Evaluation II (APACHE II) score. These scores can be performed immediately upon admission to the ICU (first 24 h) or during the first days </w:t>
      </w:r>
      <w:r w:rsidRPr="008725BA">
        <w:rPr>
          <w:rFonts w:ascii="Book Antiqua" w:eastAsia="Book Antiqua" w:hAnsi="Book Antiqua" w:cs="Book Antiqua"/>
          <w:color w:val="000000"/>
        </w:rPr>
        <w:lastRenderedPageBreak/>
        <w:t>of hospitalization, leading to an evolutionary assessment over this short period of time. We can also evaluate the prognosis of decompensated liver cirrhosis taking into account the number of organic disorders at its presentation. The most relevant studies regarding prognostic scores are summarized in Table 1.</w:t>
      </w:r>
    </w:p>
    <w:p w14:paraId="1A2E3F78" w14:textId="28E68D38" w:rsidR="00A77B3E" w:rsidRPr="008725BA" w:rsidRDefault="00034438" w:rsidP="008725BA">
      <w:pPr>
        <w:adjustRightInd w:val="0"/>
        <w:snapToGrid w:val="0"/>
        <w:spacing w:line="360" w:lineRule="auto"/>
        <w:ind w:firstLine="708"/>
        <w:jc w:val="both"/>
        <w:rPr>
          <w:rFonts w:ascii="Book Antiqua" w:eastAsia="Book Antiqua" w:hAnsi="Book Antiqua" w:cs="Book Antiqua"/>
          <w:color w:val="000000"/>
        </w:rPr>
      </w:pPr>
      <w:r w:rsidRPr="008725BA">
        <w:rPr>
          <w:rFonts w:ascii="Book Antiqua" w:eastAsia="Book Antiqua" w:hAnsi="Book Antiqua" w:cs="Book Antiqua"/>
          <w:color w:val="000000"/>
        </w:rPr>
        <w:t>General ICU scores have been frequently used in the evaluation of cirrhotic patients. However, these scores do not include the complexity of chronic liver disease, including the heterogeneity of its clinical stages and possible etiologies, thus imposing caution in the use of these tools. On the other hand, CP and MELD incorporate limited information about extrahepatic organic dysfunction. Next, the main scores will be discussed, as well as comparisons of their performances.</w:t>
      </w:r>
    </w:p>
    <w:p w14:paraId="2FC477B5" w14:textId="77777777" w:rsidR="002D08B2" w:rsidRPr="008725BA" w:rsidRDefault="002D08B2" w:rsidP="008725BA">
      <w:pPr>
        <w:adjustRightInd w:val="0"/>
        <w:snapToGrid w:val="0"/>
        <w:spacing w:line="360" w:lineRule="auto"/>
        <w:ind w:firstLine="708"/>
        <w:jc w:val="both"/>
        <w:rPr>
          <w:rFonts w:ascii="Book Antiqua" w:hAnsi="Book Antiqua"/>
        </w:rPr>
      </w:pPr>
    </w:p>
    <w:p w14:paraId="7B458E78" w14:textId="08D246AE" w:rsidR="00A77B3E" w:rsidRPr="008725BA" w:rsidRDefault="002D08B2" w:rsidP="008725BA">
      <w:pPr>
        <w:adjustRightInd w:val="0"/>
        <w:snapToGrid w:val="0"/>
        <w:spacing w:line="360" w:lineRule="auto"/>
        <w:jc w:val="both"/>
        <w:rPr>
          <w:rFonts w:ascii="Book Antiqua" w:hAnsi="Book Antiqua"/>
          <w:b/>
          <w:bCs/>
          <w:u w:val="single"/>
        </w:rPr>
      </w:pPr>
      <w:r w:rsidRPr="008725BA">
        <w:rPr>
          <w:rFonts w:ascii="Book Antiqua" w:eastAsia="Book Antiqua" w:hAnsi="Book Antiqua" w:cs="Book Antiqua"/>
          <w:b/>
          <w:bCs/>
          <w:color w:val="000000"/>
          <w:u w:val="single"/>
        </w:rPr>
        <w:t>HEPATIC-SPECIFIC SCORES</w:t>
      </w:r>
    </w:p>
    <w:p w14:paraId="3677946B" w14:textId="0C14A841"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CP and MELD</w:t>
      </w:r>
    </w:p>
    <w:p w14:paraId="2485AC68" w14:textId="782B6DEF"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The chronic liver disease severity score described by Child in 1964 and modified by Pugh in 1973 was used to describe the prognosis of patients undergoing surgical ligation of esophageal varices, demonstrating that patients with less perioperative liver dysfunction had lower mortality in six </w:t>
      </w:r>
      <w:proofErr w:type="gramStart"/>
      <w:r w:rsidRPr="008725BA">
        <w:rPr>
          <w:rFonts w:ascii="Book Antiqua" w:eastAsia="Book Antiqua" w:hAnsi="Book Antiqua" w:cs="Book Antiqua"/>
          <w:color w:val="000000"/>
        </w:rPr>
        <w:t>months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32]</w:t>
      </w:r>
      <w:r w:rsidRPr="008725BA">
        <w:rPr>
          <w:rFonts w:ascii="Book Antiqua" w:eastAsia="Book Antiqua" w:hAnsi="Book Antiqua" w:cs="Book Antiqua"/>
          <w:color w:val="000000"/>
        </w:rPr>
        <w:t xml:space="preserve">. It is currently used to assess the severity of chronic liver disease. The MELD score was described to predict mortality at 3 </w:t>
      </w:r>
      <w:proofErr w:type="spellStart"/>
      <w:r w:rsidRPr="008725BA">
        <w:rPr>
          <w:rFonts w:ascii="Book Antiqua" w:eastAsia="Book Antiqua" w:hAnsi="Book Antiqua" w:cs="Book Antiqua"/>
          <w:color w:val="000000"/>
        </w:rPr>
        <w:t>mo</w:t>
      </w:r>
      <w:proofErr w:type="spellEnd"/>
      <w:r w:rsidRPr="008725BA">
        <w:rPr>
          <w:rFonts w:ascii="Book Antiqua" w:eastAsia="Book Antiqua" w:hAnsi="Book Antiqua" w:cs="Book Antiqua"/>
          <w:color w:val="000000"/>
        </w:rPr>
        <w:t xml:space="preserve"> in patients electively submitted to the placement of portosystemic </w:t>
      </w:r>
      <w:proofErr w:type="gramStart"/>
      <w:r w:rsidRPr="008725BA">
        <w:rPr>
          <w:rFonts w:ascii="Book Antiqua" w:eastAsia="Book Antiqua" w:hAnsi="Book Antiqua" w:cs="Book Antiqua"/>
          <w:color w:val="000000"/>
        </w:rPr>
        <w:t>shunts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33]</w:t>
      </w:r>
      <w:r w:rsidRPr="008725BA">
        <w:rPr>
          <w:rFonts w:ascii="Book Antiqua" w:eastAsia="Book Antiqua" w:hAnsi="Book Antiqua" w:cs="Book Antiqua"/>
          <w:color w:val="000000"/>
        </w:rPr>
        <w:t xml:space="preserve"> and later used to prioritize patients listed for liver transplantation because it proved to be a reliable mortality risk index</w:t>
      </w:r>
      <w:r w:rsidR="00027ECD" w:rsidRPr="008725BA">
        <w:rPr>
          <w:rFonts w:ascii="Book Antiqua" w:eastAsia="Book Antiqua" w:hAnsi="Book Antiqua" w:cs="Book Antiqua"/>
          <w:color w:val="000000"/>
          <w:vertAlign w:val="superscript"/>
        </w:rPr>
        <w:t>[</w:t>
      </w:r>
      <w:r w:rsidRPr="008725BA">
        <w:rPr>
          <w:rFonts w:ascii="Book Antiqua" w:eastAsia="Book Antiqua" w:hAnsi="Book Antiqua" w:cs="Book Antiqua"/>
          <w:color w:val="000000"/>
          <w:vertAlign w:val="superscript"/>
        </w:rPr>
        <w:t>34]</w:t>
      </w:r>
      <w:r w:rsidRPr="008725BA">
        <w:rPr>
          <w:rFonts w:ascii="Book Antiqua" w:eastAsia="Book Antiqua" w:hAnsi="Book Antiqua" w:cs="Book Antiqua"/>
          <w:color w:val="000000"/>
        </w:rPr>
        <w:t>.</w:t>
      </w:r>
    </w:p>
    <w:p w14:paraId="3733DBF6" w14:textId="05A80820" w:rsidR="00A77B3E" w:rsidRPr="008725BA" w:rsidRDefault="00034438" w:rsidP="008725BA">
      <w:pPr>
        <w:adjustRightInd w:val="0"/>
        <w:snapToGrid w:val="0"/>
        <w:spacing w:line="360" w:lineRule="auto"/>
        <w:ind w:firstLine="708"/>
        <w:jc w:val="both"/>
        <w:rPr>
          <w:rFonts w:ascii="Book Antiqua" w:hAnsi="Book Antiqua"/>
        </w:rPr>
      </w:pPr>
      <w:r w:rsidRPr="008725BA">
        <w:rPr>
          <w:rFonts w:ascii="Book Antiqua" w:eastAsia="Book Antiqua" w:hAnsi="Book Antiqua" w:cs="Book Antiqua"/>
          <w:color w:val="000000"/>
        </w:rPr>
        <w:t xml:space="preserve">Specific scores for cirrhosis, such as CP and MELD, seem ideal for prognosis in cirrhotic patients with slow decompensation but do not perform well in those with acute decompensation accompanied by multiple organ and system dysfunction (DMOS). DMOS is a clinical condition where there are multiple acute systemic failures (renal, circulatory, neurologic, hematological, pulmonary, hepatic) associated with an initial injury, most commonly sepsis, trauma or </w:t>
      </w:r>
      <w:proofErr w:type="gramStart"/>
      <w:r w:rsidRPr="008725BA">
        <w:rPr>
          <w:rFonts w:ascii="Book Antiqua" w:eastAsia="Book Antiqua" w:hAnsi="Book Antiqua" w:cs="Book Antiqua"/>
          <w:color w:val="000000"/>
        </w:rPr>
        <w:t>shock</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35,36]</w:t>
      </w:r>
      <w:r w:rsidRPr="008725BA">
        <w:rPr>
          <w:rFonts w:ascii="Book Antiqua" w:eastAsia="Book Antiqua" w:hAnsi="Book Antiqua" w:cs="Book Antiqua"/>
          <w:color w:val="000000"/>
        </w:rPr>
        <w:t xml:space="preserve">. They show moderate </w:t>
      </w:r>
      <w:proofErr w:type="gramStart"/>
      <w:r w:rsidRPr="008725BA">
        <w:rPr>
          <w:rFonts w:ascii="Book Antiqua" w:eastAsia="Book Antiqua" w:hAnsi="Book Antiqua" w:cs="Book Antiqua"/>
          <w:color w:val="000000"/>
        </w:rPr>
        <w:t>results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37]</w:t>
      </w:r>
      <w:r w:rsidRPr="008725BA">
        <w:rPr>
          <w:rFonts w:ascii="Book Antiqua" w:eastAsia="Book Antiqua" w:hAnsi="Book Antiqua" w:cs="Book Antiqua"/>
          <w:color w:val="000000"/>
        </w:rPr>
        <w:t>, with the MELD score showing slightly better results than the CP</w:t>
      </w:r>
      <w:r w:rsidR="00027ECD" w:rsidRPr="008725BA">
        <w:rPr>
          <w:rFonts w:ascii="Book Antiqua" w:eastAsia="Book Antiqua" w:hAnsi="Book Antiqua" w:cs="Book Antiqua"/>
          <w:color w:val="000000"/>
          <w:vertAlign w:val="superscript"/>
        </w:rPr>
        <w:t>[</w:t>
      </w:r>
      <w:r w:rsidRPr="008725BA">
        <w:rPr>
          <w:rFonts w:ascii="Book Antiqua" w:eastAsia="Book Antiqua" w:hAnsi="Book Antiqua" w:cs="Book Antiqua"/>
          <w:color w:val="000000"/>
          <w:vertAlign w:val="superscript"/>
        </w:rPr>
        <w:t>3]</w:t>
      </w:r>
      <w:r w:rsidRPr="008725BA">
        <w:rPr>
          <w:rFonts w:ascii="Book Antiqua" w:eastAsia="Book Antiqua" w:hAnsi="Book Antiqua" w:cs="Book Antiqua"/>
          <w:color w:val="000000"/>
        </w:rPr>
        <w:t xml:space="preserve">. The MELD score has reasonable discriminatory power (AUROC = 0.81) in predicting </w:t>
      </w:r>
      <w:r w:rsidRPr="008725BA">
        <w:rPr>
          <w:rFonts w:ascii="Book Antiqua" w:eastAsia="Book Antiqua" w:hAnsi="Book Antiqua" w:cs="Book Antiqua"/>
          <w:color w:val="000000"/>
        </w:rPr>
        <w:lastRenderedPageBreak/>
        <w:t xml:space="preserve">mortality in cirrhotic patients admitted to the ICU, approaching the SOFA score (AUROC = </w:t>
      </w:r>
      <w:proofErr w:type="gramStart"/>
      <w:r w:rsidRPr="008725BA">
        <w:rPr>
          <w:rFonts w:ascii="Book Antiqua" w:eastAsia="Book Antiqua" w:hAnsi="Book Antiqua" w:cs="Book Antiqua"/>
          <w:color w:val="000000"/>
        </w:rPr>
        <w:t>0.83)</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31]</w:t>
      </w:r>
      <w:r w:rsidRPr="008725BA">
        <w:rPr>
          <w:rFonts w:ascii="Book Antiqua" w:eastAsia="Book Antiqua" w:hAnsi="Book Antiqua" w:cs="Book Antiqua"/>
          <w:color w:val="000000"/>
        </w:rPr>
        <w:t>.</w:t>
      </w:r>
    </w:p>
    <w:p w14:paraId="5B8A3F76" w14:textId="77777777"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Variations of MELD: MELD-sodium</w:t>
      </w:r>
    </w:p>
    <w:p w14:paraId="61B17C90" w14:textId="7700D0EF" w:rsidR="00A77B3E" w:rsidRPr="008725BA" w:rsidRDefault="00034438" w:rsidP="008725BA">
      <w:pPr>
        <w:adjustRightInd w:val="0"/>
        <w:snapToGrid w:val="0"/>
        <w:spacing w:line="360" w:lineRule="auto"/>
        <w:jc w:val="both"/>
        <w:rPr>
          <w:rFonts w:ascii="Book Antiqua" w:eastAsia="Book Antiqua" w:hAnsi="Book Antiqua" w:cs="Book Antiqua"/>
          <w:color w:val="000000"/>
        </w:rPr>
      </w:pPr>
      <w:r w:rsidRPr="008725BA">
        <w:rPr>
          <w:rFonts w:ascii="Book Antiqua" w:eastAsia="Book Antiqua" w:hAnsi="Book Antiqua" w:cs="Book Antiqua"/>
          <w:color w:val="000000"/>
        </w:rPr>
        <w:t xml:space="preserve">Dilutional hyponatremia is common in patients with advanced cirrhosis, and the inclusion of natremia in the MELD score has been suggested to increase its prognostic capacity for mortality, with greater importance when the MELD scores are </w:t>
      </w:r>
      <w:proofErr w:type="gramStart"/>
      <w:r w:rsidRPr="008725BA">
        <w:rPr>
          <w:rFonts w:ascii="Book Antiqua" w:eastAsia="Book Antiqua" w:hAnsi="Book Antiqua" w:cs="Book Antiqua"/>
          <w:color w:val="000000"/>
        </w:rPr>
        <w:t>lower</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38,39]</w:t>
      </w:r>
      <w:r w:rsidRPr="008725BA">
        <w:rPr>
          <w:rFonts w:ascii="Book Antiqua" w:eastAsia="Book Antiqua" w:hAnsi="Book Antiqua" w:cs="Book Antiqua"/>
          <w:color w:val="000000"/>
        </w:rPr>
        <w:t xml:space="preserve">. The MELD-Na score was better than the MELD score for predicting mortality in some </w:t>
      </w:r>
      <w:proofErr w:type="gramStart"/>
      <w:r w:rsidRPr="008725BA">
        <w:rPr>
          <w:rFonts w:ascii="Book Antiqua" w:eastAsia="Book Antiqua" w:hAnsi="Book Antiqua" w:cs="Book Antiqua"/>
          <w:color w:val="000000"/>
        </w:rPr>
        <w:t>studies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40]</w:t>
      </w:r>
      <w:r w:rsidRPr="008725BA">
        <w:rPr>
          <w:rFonts w:ascii="Book Antiqua" w:eastAsia="Book Antiqua" w:hAnsi="Book Antiqua" w:cs="Book Antiqua"/>
          <w:color w:val="000000"/>
        </w:rPr>
        <w:t xml:space="preserve"> but less accurate than the SOFA score</w:t>
      </w:r>
      <w:r w:rsidR="00027ECD" w:rsidRPr="008725BA">
        <w:rPr>
          <w:rFonts w:ascii="Book Antiqua" w:eastAsia="Book Antiqua" w:hAnsi="Book Antiqua" w:cs="Book Antiqua"/>
          <w:color w:val="000000"/>
          <w:vertAlign w:val="superscript"/>
        </w:rPr>
        <w:t>[</w:t>
      </w:r>
      <w:r w:rsidRPr="008725BA">
        <w:rPr>
          <w:rFonts w:ascii="Book Antiqua" w:eastAsia="Book Antiqua" w:hAnsi="Book Antiqua" w:cs="Book Antiqua"/>
          <w:color w:val="000000"/>
          <w:vertAlign w:val="superscript"/>
        </w:rPr>
        <w:t>41–43]</w:t>
      </w:r>
      <w:r w:rsidRPr="008725BA">
        <w:rPr>
          <w:rFonts w:ascii="Book Antiqua" w:eastAsia="Book Antiqua" w:hAnsi="Book Antiqua" w:cs="Book Antiqua"/>
          <w:color w:val="000000"/>
        </w:rPr>
        <w:t>.</w:t>
      </w:r>
    </w:p>
    <w:p w14:paraId="755C65E5" w14:textId="77777777" w:rsidR="002D08B2" w:rsidRPr="008725BA" w:rsidRDefault="002D08B2" w:rsidP="008725BA">
      <w:pPr>
        <w:adjustRightInd w:val="0"/>
        <w:snapToGrid w:val="0"/>
        <w:spacing w:line="360" w:lineRule="auto"/>
        <w:jc w:val="both"/>
        <w:rPr>
          <w:rFonts w:ascii="Book Antiqua" w:hAnsi="Book Antiqua"/>
        </w:rPr>
      </w:pPr>
    </w:p>
    <w:p w14:paraId="71049353" w14:textId="77777777"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CP variation: CP + L</w:t>
      </w:r>
    </w:p>
    <w:p w14:paraId="5794D063" w14:textId="3C228408" w:rsidR="00A77B3E" w:rsidRPr="008725BA" w:rsidRDefault="00034438" w:rsidP="008725BA">
      <w:pPr>
        <w:adjustRightInd w:val="0"/>
        <w:snapToGrid w:val="0"/>
        <w:spacing w:line="360" w:lineRule="auto"/>
        <w:jc w:val="both"/>
        <w:rPr>
          <w:rFonts w:ascii="Book Antiqua" w:eastAsia="Book Antiqua" w:hAnsi="Book Antiqua" w:cs="Book Antiqua"/>
          <w:color w:val="000000"/>
        </w:rPr>
      </w:pPr>
      <w:r w:rsidRPr="008725BA">
        <w:rPr>
          <w:rFonts w:ascii="Book Antiqua" w:eastAsia="Book Antiqua" w:hAnsi="Book Antiqua" w:cs="Book Antiqua"/>
          <w:color w:val="000000"/>
        </w:rPr>
        <w:t xml:space="preserve">More recent data suggest that lactate, a component of the prognostic model of fulminant hepatitis, is an independent marker of mortality in patients with cirrhosis admitted to the </w:t>
      </w:r>
      <w:proofErr w:type="gramStart"/>
      <w:r w:rsidRPr="008725BA">
        <w:rPr>
          <w:rFonts w:ascii="Book Antiqua" w:eastAsia="Book Antiqua" w:hAnsi="Book Antiqua" w:cs="Book Antiqua"/>
          <w:color w:val="000000"/>
        </w:rPr>
        <w:t>ICU</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44]</w:t>
      </w:r>
      <w:r w:rsidRPr="008725BA">
        <w:rPr>
          <w:rFonts w:ascii="Book Antiqua" w:eastAsia="Book Antiqua" w:hAnsi="Book Antiqua" w:cs="Book Antiqua"/>
          <w:color w:val="000000"/>
        </w:rPr>
        <w:t xml:space="preserve"> and it seems to significantly improve the CP score’s ability to predict ICU mortality</w:t>
      </w:r>
      <w:r w:rsidR="00027ECD" w:rsidRPr="008725BA">
        <w:rPr>
          <w:rFonts w:ascii="Book Antiqua" w:eastAsia="Book Antiqua" w:hAnsi="Book Antiqua" w:cs="Book Antiqua"/>
          <w:color w:val="000000"/>
          <w:vertAlign w:val="superscript"/>
        </w:rPr>
        <w:t>[</w:t>
      </w:r>
      <w:r w:rsidRPr="008725BA">
        <w:rPr>
          <w:rFonts w:ascii="Book Antiqua" w:eastAsia="Book Antiqua" w:hAnsi="Book Antiqua" w:cs="Book Antiqua"/>
          <w:color w:val="000000"/>
          <w:vertAlign w:val="superscript"/>
        </w:rPr>
        <w:t>45]</w:t>
      </w:r>
      <w:r w:rsidRPr="008725BA">
        <w:rPr>
          <w:rFonts w:ascii="Book Antiqua" w:eastAsia="Book Antiqua" w:hAnsi="Book Antiqua" w:cs="Book Antiqua"/>
          <w:color w:val="000000"/>
        </w:rPr>
        <w:t xml:space="preserve">. Serum lactate and ascites are independent predictors of ICU mortality, as proposed by the CTP + L score. This score incorporates serum lactate levels into CP, increasing its discriminatory ability as a prognostic stratification tool. Subsequently, a retrospective cohort study with a total of 199 cirrhotic patients admitted to a general ICU at two different centers validated the CP + L score as a predictor of mortality, showing results superior to the original CP: AUC CP + L 0.75 and AUC CP 0.68. In this work, the MELD and SOFA scores had AUCs of 0.7 and 0.71, </w:t>
      </w:r>
      <w:proofErr w:type="gramStart"/>
      <w:r w:rsidRPr="008725BA">
        <w:rPr>
          <w:rFonts w:ascii="Book Antiqua" w:eastAsia="Book Antiqua" w:hAnsi="Book Antiqua" w:cs="Book Antiqua"/>
          <w:color w:val="000000"/>
        </w:rPr>
        <w:t>respectively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w:t>
      </w:r>
      <w:r w:rsidRPr="008725BA">
        <w:rPr>
          <w:rFonts w:ascii="Book Antiqua" w:eastAsia="Book Antiqua" w:hAnsi="Book Antiqua" w:cs="Book Antiqua"/>
          <w:color w:val="000000"/>
        </w:rPr>
        <w:t xml:space="preserve">. </w:t>
      </w:r>
    </w:p>
    <w:p w14:paraId="132FF1EA" w14:textId="77777777" w:rsidR="002D08B2" w:rsidRPr="008725BA" w:rsidRDefault="002D08B2" w:rsidP="008725BA">
      <w:pPr>
        <w:adjustRightInd w:val="0"/>
        <w:snapToGrid w:val="0"/>
        <w:spacing w:line="360" w:lineRule="auto"/>
        <w:jc w:val="both"/>
        <w:rPr>
          <w:rFonts w:ascii="Book Antiqua" w:hAnsi="Book Antiqua"/>
        </w:rPr>
      </w:pPr>
    </w:p>
    <w:p w14:paraId="030B3BE9" w14:textId="561D3F7D"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 xml:space="preserve">Royal </w:t>
      </w:r>
      <w:r w:rsidR="002D08B2" w:rsidRPr="008725BA">
        <w:rPr>
          <w:rFonts w:ascii="Book Antiqua" w:eastAsia="Book Antiqua" w:hAnsi="Book Antiqua" w:cs="Book Antiqua"/>
          <w:b/>
          <w:bCs/>
          <w:i/>
          <w:iCs/>
          <w:color w:val="000000"/>
        </w:rPr>
        <w:t>free hospital s</w:t>
      </w:r>
      <w:r w:rsidRPr="008725BA">
        <w:rPr>
          <w:rFonts w:ascii="Book Antiqua" w:eastAsia="Book Antiqua" w:hAnsi="Book Antiqua" w:cs="Book Antiqua"/>
          <w:b/>
          <w:bCs/>
          <w:i/>
          <w:iCs/>
          <w:color w:val="000000"/>
        </w:rPr>
        <w:t>core</w:t>
      </w:r>
    </w:p>
    <w:p w14:paraId="61061A3B" w14:textId="33F0F4C8"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Studies have suggested that an alternative approach to predict mortality in patients with decompensated cirrhosis could be the number of organ dysfunctions at its presentation, ranging from 4% in patients without DMOS to 90% in those with three or more organ dysfunctions and thus in a DMOS </w:t>
      </w:r>
      <w:proofErr w:type="gramStart"/>
      <w:r w:rsidRPr="008725BA">
        <w:rPr>
          <w:rFonts w:ascii="Book Antiqua" w:eastAsia="Book Antiqua" w:hAnsi="Book Antiqua" w:cs="Book Antiqua"/>
          <w:color w:val="000000"/>
        </w:rPr>
        <w:t>scenario</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31]</w:t>
      </w:r>
      <w:r w:rsidRPr="008725BA">
        <w:rPr>
          <w:rFonts w:ascii="Book Antiqua" w:eastAsia="Book Antiqua" w:hAnsi="Book Antiqua" w:cs="Book Antiqua"/>
          <w:color w:val="000000"/>
        </w:rPr>
        <w:t xml:space="preserve">. In this context, a specific score for cirrhosis was developed and subsequently </w:t>
      </w:r>
      <w:proofErr w:type="gramStart"/>
      <w:r w:rsidRPr="008725BA">
        <w:rPr>
          <w:rFonts w:ascii="Book Antiqua" w:eastAsia="Book Antiqua" w:hAnsi="Book Antiqua" w:cs="Book Antiqua"/>
          <w:color w:val="000000"/>
        </w:rPr>
        <w:t>modified</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43]</w:t>
      </w:r>
      <w:r w:rsidRPr="008725BA">
        <w:rPr>
          <w:rFonts w:ascii="Book Antiqua" w:eastAsia="Book Antiqua" w:hAnsi="Book Antiqua" w:cs="Book Antiqua"/>
          <w:color w:val="000000"/>
        </w:rPr>
        <w:t xml:space="preserve">, taking into account possible organic failures involved during acute decompensation, the Royal Free </w:t>
      </w:r>
      <w:r w:rsidRPr="008725BA">
        <w:rPr>
          <w:rFonts w:ascii="Book Antiqua" w:eastAsia="Book Antiqua" w:hAnsi="Book Antiqua" w:cs="Book Antiqua"/>
          <w:color w:val="000000"/>
        </w:rPr>
        <w:lastRenderedPageBreak/>
        <w:t>Hospital Score (RFH). This score was shown to have a performance similar to the SOFA score and superior to APACHE II, MELD, and CP.</w:t>
      </w:r>
    </w:p>
    <w:p w14:paraId="4229394E" w14:textId="0C806FEE" w:rsidR="00A77B3E" w:rsidRPr="008725BA" w:rsidRDefault="00034438" w:rsidP="008725BA">
      <w:pPr>
        <w:adjustRightInd w:val="0"/>
        <w:snapToGrid w:val="0"/>
        <w:spacing w:line="360" w:lineRule="auto"/>
        <w:ind w:firstLine="708"/>
        <w:jc w:val="both"/>
        <w:rPr>
          <w:rFonts w:ascii="Book Antiqua" w:eastAsia="Book Antiqua" w:hAnsi="Book Antiqua" w:cs="Book Antiqua"/>
          <w:color w:val="000000"/>
        </w:rPr>
      </w:pPr>
      <w:r w:rsidRPr="008725BA">
        <w:rPr>
          <w:rFonts w:ascii="Book Antiqua" w:eastAsia="Book Antiqua" w:hAnsi="Book Antiqua" w:cs="Book Antiqua"/>
          <w:color w:val="000000"/>
        </w:rPr>
        <w:t xml:space="preserve">A retrospective cohort study by Campbell </w:t>
      </w:r>
      <w:r w:rsidRPr="008725BA">
        <w:rPr>
          <w:rFonts w:ascii="Book Antiqua" w:eastAsia="Book Antiqua" w:hAnsi="Book Antiqua" w:cs="Book Antiqua"/>
          <w:i/>
          <w:iCs/>
          <w:color w:val="000000"/>
        </w:rPr>
        <w:t xml:space="preserve">et </w:t>
      </w:r>
      <w:proofErr w:type="gramStart"/>
      <w:r w:rsidRPr="008725BA">
        <w:rPr>
          <w:rFonts w:ascii="Book Antiqua" w:eastAsia="Book Antiqua" w:hAnsi="Book Antiqua" w:cs="Book Antiqua"/>
          <w:i/>
          <w:iCs/>
          <w:color w:val="000000"/>
        </w:rPr>
        <w:t>al</w:t>
      </w:r>
      <w:r w:rsidR="002D08B2" w:rsidRPr="008725BA">
        <w:rPr>
          <w:rFonts w:ascii="Book Antiqua" w:eastAsia="Book Antiqua" w:hAnsi="Book Antiqua" w:cs="Book Antiqua"/>
          <w:color w:val="000000"/>
          <w:vertAlign w:val="superscript"/>
        </w:rPr>
        <w:t>[</w:t>
      </w:r>
      <w:proofErr w:type="gramEnd"/>
      <w:r w:rsidR="002D08B2" w:rsidRPr="008725BA">
        <w:rPr>
          <w:rFonts w:ascii="Book Antiqua" w:eastAsia="Book Antiqua" w:hAnsi="Book Antiqua" w:cs="Book Antiqua"/>
          <w:color w:val="000000"/>
          <w:vertAlign w:val="superscript"/>
        </w:rPr>
        <w:t>46]</w:t>
      </w:r>
      <w:r w:rsidRPr="008725BA">
        <w:rPr>
          <w:rFonts w:ascii="Book Antiqua" w:eastAsia="Book Antiqua" w:hAnsi="Book Antiqua" w:cs="Book Antiqua"/>
          <w:color w:val="000000"/>
        </w:rPr>
        <w:t xml:space="preserve">, with a total of 199 cirrhotic patients admitted to the ICU, validated the RFH score as a predictor of mortality in the ICU with an accuracy of 0.77, which was higher than the other scores evaluated: CP, CP-L, MELD, SOFA and CLIF-SOFA. The RFH score is the first liver-specific score to be matched, in terms of mortality predictive ability, to the general ICU scores used in these patients. In addition to the fact that it includes hepatic and extrahepatic parameters of organ dysfunction associated with higher mortality in this subset of patients, the inclusion of lactate levels in this score should be highlighted. Despite the well-known relationship between serum lactate levels and worse </w:t>
      </w:r>
      <w:proofErr w:type="gramStart"/>
      <w:r w:rsidRPr="008725BA">
        <w:rPr>
          <w:rFonts w:ascii="Book Antiqua" w:eastAsia="Book Antiqua" w:hAnsi="Book Antiqua" w:cs="Book Antiqua"/>
          <w:color w:val="000000"/>
        </w:rPr>
        <w:t>outcomes</w:t>
      </w:r>
      <w:r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2]</w:t>
      </w:r>
      <w:r w:rsidRPr="008725BA">
        <w:rPr>
          <w:rFonts w:ascii="Book Antiqua" w:eastAsia="Book Antiqua" w:hAnsi="Book Antiqua" w:cs="Book Antiqua"/>
          <w:color w:val="000000"/>
        </w:rPr>
        <w:t>, no other hepatic-specific score proposed thus far has included this parameter.</w:t>
      </w:r>
    </w:p>
    <w:p w14:paraId="3652C28C" w14:textId="77777777" w:rsidR="002D08B2" w:rsidRPr="008725BA" w:rsidRDefault="002D08B2" w:rsidP="008725BA">
      <w:pPr>
        <w:adjustRightInd w:val="0"/>
        <w:snapToGrid w:val="0"/>
        <w:spacing w:line="360" w:lineRule="auto"/>
        <w:ind w:firstLine="708"/>
        <w:jc w:val="both"/>
        <w:rPr>
          <w:rFonts w:ascii="Book Antiqua" w:hAnsi="Book Antiqua"/>
        </w:rPr>
      </w:pPr>
    </w:p>
    <w:p w14:paraId="42883715" w14:textId="1FFE3A78"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ICU mortality and morbidity scores (dysfunction)</w:t>
      </w:r>
    </w:p>
    <w:p w14:paraId="7EB600FC" w14:textId="2E097AFA"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ICU-specific mortality scores were created to assist the intensive care physician in predicting the outcome of patients admitted to the ICU. Among these scores, the most important are the APACHE II and SOFA scores. APACHE II uses the worst physiological variables of the patient in the first 24 h of ICU stay for its elaboration, in addition to previous comorbidities and </w:t>
      </w:r>
      <w:proofErr w:type="gramStart"/>
      <w:r w:rsidRPr="008725BA">
        <w:rPr>
          <w:rFonts w:ascii="Book Antiqua" w:eastAsia="Book Antiqua" w:hAnsi="Book Antiqua" w:cs="Book Antiqua"/>
          <w:color w:val="000000"/>
        </w:rPr>
        <w:t>age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47]</w:t>
      </w:r>
      <w:r w:rsidRPr="008725BA">
        <w:rPr>
          <w:rFonts w:ascii="Book Antiqua" w:eastAsia="Book Antiqua" w:hAnsi="Book Antiqua" w:cs="Book Antiqua"/>
          <w:color w:val="000000"/>
        </w:rPr>
        <w:t xml:space="preserve">. The SOFA score assesses the severity of patients admitted to the ICU according to the number of organ dysfunctions. The score is graded in five levels (from 0 to 4 points) for six organ systems: neurological, hemodynamic, respiratory, renal, hematological and hepatic, with a score greater than or equal to 3 in any organ system constituting organ </w:t>
      </w:r>
      <w:proofErr w:type="gramStart"/>
      <w:r w:rsidRPr="008725BA">
        <w:rPr>
          <w:rFonts w:ascii="Book Antiqua" w:eastAsia="Book Antiqua" w:hAnsi="Book Antiqua" w:cs="Book Antiqua"/>
          <w:color w:val="000000"/>
        </w:rPr>
        <w:t>failure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48]</w:t>
      </w:r>
      <w:r w:rsidRPr="008725BA">
        <w:rPr>
          <w:rFonts w:ascii="Book Antiqua" w:eastAsia="Book Antiqua" w:hAnsi="Book Antiqua" w:cs="Book Antiqua"/>
          <w:color w:val="000000"/>
        </w:rPr>
        <w:t xml:space="preserve">. Unlike the APACHE II score, which is performed at a specific time in the ICU (24 h of admission), the morbidity scores allow for an evolutionary assessment throughout the days of ICU </w:t>
      </w:r>
      <w:proofErr w:type="gramStart"/>
      <w:r w:rsidRPr="008725BA">
        <w:rPr>
          <w:rFonts w:ascii="Book Antiqua" w:eastAsia="Book Antiqua" w:hAnsi="Book Antiqua" w:cs="Book Antiqua"/>
          <w:color w:val="000000"/>
        </w:rPr>
        <w:t>admission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48]</w:t>
      </w:r>
      <w:r w:rsidRPr="008725BA">
        <w:rPr>
          <w:rFonts w:ascii="Book Antiqua" w:eastAsia="Book Antiqua" w:hAnsi="Book Antiqua" w:cs="Book Antiqua"/>
          <w:color w:val="000000"/>
        </w:rPr>
        <w:t>.</w:t>
      </w:r>
    </w:p>
    <w:p w14:paraId="2750B404" w14:textId="754B3162" w:rsidR="00A77B3E" w:rsidRPr="008725BA" w:rsidRDefault="00034438" w:rsidP="008725BA">
      <w:pPr>
        <w:adjustRightInd w:val="0"/>
        <w:snapToGrid w:val="0"/>
        <w:spacing w:line="360" w:lineRule="auto"/>
        <w:ind w:firstLine="708"/>
        <w:jc w:val="both"/>
        <w:rPr>
          <w:rFonts w:ascii="Book Antiqua" w:hAnsi="Book Antiqua"/>
        </w:rPr>
      </w:pPr>
      <w:r w:rsidRPr="008725BA">
        <w:rPr>
          <w:rFonts w:ascii="Book Antiqua" w:eastAsia="Book Antiqua" w:hAnsi="Book Antiqua" w:cs="Book Antiqua"/>
          <w:color w:val="000000"/>
        </w:rPr>
        <w:t xml:space="preserve">These scores have already been evaluated in specific populations of </w:t>
      </w:r>
      <w:proofErr w:type="gramStart"/>
      <w:r w:rsidRPr="008725BA">
        <w:rPr>
          <w:rFonts w:ascii="Book Antiqua" w:eastAsia="Book Antiqua" w:hAnsi="Book Antiqua" w:cs="Book Antiqua"/>
          <w:color w:val="000000"/>
        </w:rPr>
        <w:t>cirrhosis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15]</w:t>
      </w:r>
      <w:r w:rsidRPr="008725BA">
        <w:rPr>
          <w:rFonts w:ascii="Book Antiqua" w:eastAsia="Book Antiqua" w:hAnsi="Book Antiqua" w:cs="Book Antiqua"/>
          <w:color w:val="000000"/>
        </w:rPr>
        <w:t xml:space="preserve">. When compared to each other and with specific scores for cirrhosis, the SOFA score shows moderate to high accuracy, higher than the other scores, even for long-term </w:t>
      </w:r>
      <w:proofErr w:type="gramStart"/>
      <w:r w:rsidRPr="008725BA">
        <w:rPr>
          <w:rFonts w:ascii="Book Antiqua" w:eastAsia="Book Antiqua" w:hAnsi="Book Antiqua" w:cs="Book Antiqua"/>
          <w:color w:val="000000"/>
        </w:rPr>
        <w:lastRenderedPageBreak/>
        <w:t>mortality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3,45,49]</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Lindvig</w:t>
      </w:r>
      <w:proofErr w:type="spellEnd"/>
      <w:r w:rsidRPr="008725BA">
        <w:rPr>
          <w:rFonts w:ascii="Book Antiqua" w:eastAsia="Book Antiqua" w:hAnsi="Book Antiqua" w:cs="Book Antiqua"/>
          <w:color w:val="000000"/>
        </w:rPr>
        <w:t xml:space="preserve"> </w:t>
      </w:r>
      <w:r w:rsidRPr="008725BA">
        <w:rPr>
          <w:rFonts w:ascii="Book Antiqua" w:eastAsia="Book Antiqua" w:hAnsi="Book Antiqua" w:cs="Book Antiqua"/>
          <w:i/>
          <w:iCs/>
          <w:color w:val="000000"/>
        </w:rPr>
        <w:t xml:space="preserve">et </w:t>
      </w:r>
      <w:proofErr w:type="gramStart"/>
      <w:r w:rsidRPr="008725BA">
        <w:rPr>
          <w:rFonts w:ascii="Book Antiqua" w:eastAsia="Book Antiqua" w:hAnsi="Book Antiqua" w:cs="Book Antiqua"/>
          <w:i/>
          <w:iCs/>
          <w:color w:val="000000"/>
        </w:rPr>
        <w:t>al</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3]</w:t>
      </w:r>
      <w:r w:rsidRPr="008725BA">
        <w:rPr>
          <w:rFonts w:ascii="Book Antiqua" w:eastAsia="Book Antiqua" w:hAnsi="Book Antiqua" w:cs="Book Antiqua"/>
          <w:color w:val="000000"/>
        </w:rPr>
        <w:t>, in their systematic review, found that the SOFA score has better accuracy for death prediction, with an AUROC between 0.81</w:t>
      </w:r>
      <w:r w:rsidR="002D08B2" w:rsidRPr="008725BA">
        <w:rPr>
          <w:rFonts w:ascii="Book Antiqua" w:eastAsia="Book Antiqua" w:hAnsi="Book Antiqua" w:cs="Book Antiqua"/>
          <w:color w:val="000000"/>
        </w:rPr>
        <w:t>%</w:t>
      </w:r>
      <w:r w:rsidRPr="008725BA">
        <w:rPr>
          <w:rFonts w:ascii="Book Antiqua" w:eastAsia="Book Antiqua" w:hAnsi="Book Antiqua" w:cs="Book Antiqua"/>
          <w:color w:val="000000"/>
        </w:rPr>
        <w:t xml:space="preserve"> and 0.95%, a value higher than the APACHE II score (AUROC 0.66-083), MELD (AUROC 0.77–0.93) and CP (AUROC 0.71–0.87).</w:t>
      </w:r>
    </w:p>
    <w:p w14:paraId="2B6A7A3C" w14:textId="77777777" w:rsidR="00027ECD" w:rsidRPr="008725BA" w:rsidRDefault="00027ECD" w:rsidP="008725BA">
      <w:pPr>
        <w:adjustRightInd w:val="0"/>
        <w:snapToGrid w:val="0"/>
        <w:spacing w:line="360" w:lineRule="auto"/>
        <w:jc w:val="both"/>
        <w:rPr>
          <w:rFonts w:ascii="Book Antiqua" w:eastAsia="Book Antiqua" w:hAnsi="Book Antiqua" w:cs="Book Antiqua"/>
          <w:color w:val="000000"/>
        </w:rPr>
      </w:pPr>
    </w:p>
    <w:p w14:paraId="268599D6" w14:textId="6E6B74BD" w:rsidR="00027ECD" w:rsidRPr="008725BA" w:rsidRDefault="00027ECD" w:rsidP="008725BA">
      <w:pPr>
        <w:adjustRightInd w:val="0"/>
        <w:snapToGrid w:val="0"/>
        <w:spacing w:line="360" w:lineRule="auto"/>
        <w:jc w:val="both"/>
        <w:rPr>
          <w:rFonts w:ascii="Book Antiqua" w:eastAsia="Book Antiqua" w:hAnsi="Book Antiqua" w:cs="Book Antiqua"/>
          <w:b/>
          <w:bCs/>
          <w:color w:val="000000"/>
          <w:u w:val="single"/>
        </w:rPr>
      </w:pPr>
      <w:r w:rsidRPr="008725BA">
        <w:rPr>
          <w:rFonts w:ascii="Book Antiqua" w:eastAsia="Book Antiqua" w:hAnsi="Book Antiqua" w:cs="Book Antiqua"/>
          <w:b/>
          <w:bCs/>
          <w:color w:val="000000"/>
          <w:u w:val="single"/>
        </w:rPr>
        <w:t xml:space="preserve">ACLF </w:t>
      </w:r>
    </w:p>
    <w:p w14:paraId="2B430175" w14:textId="0E5FF4E9"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ACLF is a clinical syndrome characterized by acute liver cirrhosis decompensation associated with one or more organic disorders and a high short-term mortality rate. The European Association for Study of Liver/</w:t>
      </w:r>
      <w:r w:rsidR="002D08B2" w:rsidRPr="008725BA">
        <w:rPr>
          <w:rFonts w:ascii="Book Antiqua" w:eastAsia="Book Antiqua" w:hAnsi="Book Antiqua" w:cs="Book Antiqua"/>
          <w:color w:val="000000"/>
        </w:rPr>
        <w:t>CLIF</w:t>
      </w:r>
      <w:r w:rsidRPr="008725BA">
        <w:rPr>
          <w:rFonts w:ascii="Book Antiqua" w:eastAsia="Book Antiqua" w:hAnsi="Book Antiqua" w:cs="Book Antiqua"/>
          <w:color w:val="000000"/>
        </w:rPr>
        <w:t xml:space="preserve"> (EASL-CLIF Consortium) has established diagnostic criteria for ACLF with a view, above all, to identify patients at greater risk of death in the short term. For the establishment of the ACLF diagnostic criteria, the presence of organic dysfunction and a high mortality rate at 28 d (&gt; 15%) in cirrhotic patients with acute decompensation were considered. The assessment of organ dysfunction, in turn, was based on the SOFA score, but with modifications taking into account the pathophysiological and clinical characteristics of cirrhosis, giving rise to the CLIF-SOFA </w:t>
      </w:r>
      <w:proofErr w:type="gramStart"/>
      <w:r w:rsidRPr="008725BA">
        <w:rPr>
          <w:rFonts w:ascii="Book Antiqua" w:eastAsia="Book Antiqua" w:hAnsi="Book Antiqua" w:cs="Book Antiqua"/>
          <w:color w:val="000000"/>
        </w:rPr>
        <w:t>score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50]</w:t>
      </w:r>
      <w:r w:rsidRPr="008725BA">
        <w:rPr>
          <w:rFonts w:ascii="Book Antiqua" w:eastAsia="Book Antiqua" w:hAnsi="Book Antiqua" w:cs="Book Antiqua"/>
          <w:color w:val="000000"/>
        </w:rPr>
        <w:t>.</w:t>
      </w:r>
    </w:p>
    <w:p w14:paraId="449BADA9" w14:textId="0E6D5E29" w:rsidR="00A77B3E" w:rsidRPr="008725BA" w:rsidRDefault="00034438" w:rsidP="008725BA">
      <w:pPr>
        <w:adjustRightInd w:val="0"/>
        <w:snapToGrid w:val="0"/>
        <w:spacing w:line="360" w:lineRule="auto"/>
        <w:ind w:firstLine="708"/>
        <w:jc w:val="both"/>
        <w:rPr>
          <w:rFonts w:ascii="Book Antiqua" w:hAnsi="Book Antiqua"/>
        </w:rPr>
      </w:pPr>
      <w:r w:rsidRPr="008725BA">
        <w:rPr>
          <w:rFonts w:ascii="Book Antiqua" w:eastAsia="Book Antiqua" w:hAnsi="Book Antiqua" w:cs="Book Antiqua"/>
          <w:color w:val="000000"/>
        </w:rPr>
        <w:t xml:space="preserve">CLIF-SOFA improves the hematological, neurological, cardiovascular, and renal domains by considering commemoratives usually present in chronic liver disease patients, as well as the peculiarities of the clinical manifestations and therapy used during acute decompensation. Objectively, the hematological parameter is no longer the platelet count giving rise to the measurement of INR. The neurological parameter now includes the presence of </w:t>
      </w:r>
      <w:r w:rsidR="00027ECD" w:rsidRPr="008725BA">
        <w:rPr>
          <w:rFonts w:ascii="Book Antiqua" w:eastAsia="Book Antiqua" w:hAnsi="Book Antiqua" w:cs="Book Antiqua"/>
          <w:color w:val="000000"/>
        </w:rPr>
        <w:t xml:space="preserve">HE </w:t>
      </w:r>
      <w:r w:rsidRPr="008725BA">
        <w:rPr>
          <w:rFonts w:ascii="Book Antiqua" w:eastAsia="Book Antiqua" w:hAnsi="Book Antiqua" w:cs="Book Antiqua"/>
          <w:color w:val="000000"/>
        </w:rPr>
        <w:t xml:space="preserve">stratified under West Haven criteria, and in the cardiovascular and renal domains, it takes into account the use of </w:t>
      </w:r>
      <w:proofErr w:type="spellStart"/>
      <w:r w:rsidRPr="008725BA">
        <w:rPr>
          <w:rFonts w:ascii="Book Antiqua" w:eastAsia="Book Antiqua" w:hAnsi="Book Antiqua" w:cs="Book Antiqua"/>
          <w:color w:val="000000"/>
        </w:rPr>
        <w:t>terlipressin</w:t>
      </w:r>
      <w:proofErr w:type="spellEnd"/>
      <w:r w:rsidRPr="008725BA">
        <w:rPr>
          <w:rFonts w:ascii="Book Antiqua" w:eastAsia="Book Antiqua" w:hAnsi="Book Antiqua" w:cs="Book Antiqua"/>
          <w:color w:val="000000"/>
        </w:rPr>
        <w:t xml:space="preserve"> and renal replacement therapy, respectively. There is also a change in the hepatic domain with elevation of the total bilirubin threshold to characterize this organ dysfunction.</w:t>
      </w:r>
    </w:p>
    <w:p w14:paraId="2362032A" w14:textId="6CA44336" w:rsidR="00A77B3E" w:rsidRPr="008725BA" w:rsidRDefault="00034438" w:rsidP="008725BA">
      <w:pPr>
        <w:adjustRightInd w:val="0"/>
        <w:snapToGrid w:val="0"/>
        <w:spacing w:line="360" w:lineRule="auto"/>
        <w:ind w:firstLine="708"/>
        <w:jc w:val="both"/>
        <w:rPr>
          <w:rFonts w:ascii="Book Antiqua" w:eastAsia="Book Antiqua" w:hAnsi="Book Antiqua" w:cs="Book Antiqua"/>
          <w:color w:val="000000"/>
        </w:rPr>
      </w:pPr>
      <w:r w:rsidRPr="008725BA">
        <w:rPr>
          <w:rFonts w:ascii="Book Antiqua" w:eastAsia="Book Antiqua" w:hAnsi="Book Antiqua" w:cs="Book Antiqua"/>
          <w:color w:val="000000"/>
        </w:rPr>
        <w:t xml:space="preserve">McPhail </w:t>
      </w:r>
      <w:r w:rsidRPr="008725BA">
        <w:rPr>
          <w:rFonts w:ascii="Book Antiqua" w:eastAsia="Book Antiqua" w:hAnsi="Book Antiqua" w:cs="Book Antiqua"/>
          <w:i/>
          <w:iCs/>
          <w:color w:val="000000"/>
        </w:rPr>
        <w:t xml:space="preserve">et </w:t>
      </w:r>
      <w:proofErr w:type="gramStart"/>
      <w:r w:rsidRPr="008725BA">
        <w:rPr>
          <w:rFonts w:ascii="Book Antiqua" w:eastAsia="Book Antiqua" w:hAnsi="Book Antiqua" w:cs="Book Antiqua"/>
          <w:i/>
          <w:iCs/>
          <w:color w:val="000000"/>
        </w:rPr>
        <w:t>al</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51]</w:t>
      </w:r>
      <w:r w:rsidRPr="008725BA">
        <w:rPr>
          <w:rFonts w:ascii="Book Antiqua" w:eastAsia="Book Antiqua" w:hAnsi="Book Antiqua" w:cs="Book Antiqua"/>
          <w:color w:val="000000"/>
        </w:rPr>
        <w:t xml:space="preserve"> demonstrated the validity of the CLIF-SOFA score in terms of its ability to predict mortality with a slight improvement over the SOFA score and other prognostic scores. Aiming at a better performance than CLIF-SOFA, the CLIF-C ACLF score was developed based on CLIF organ failure score</w:t>
      </w:r>
      <w:r w:rsidR="00E75C84" w:rsidRPr="008725BA">
        <w:rPr>
          <w:rFonts w:ascii="Book Antiqua" w:eastAsia="Book Antiqua" w:hAnsi="Book Antiqua" w:cs="Book Antiqua"/>
          <w:color w:val="000000"/>
        </w:rPr>
        <w:t xml:space="preserve"> </w:t>
      </w:r>
      <w:r w:rsidRPr="008725BA">
        <w:rPr>
          <w:rFonts w:ascii="Book Antiqua" w:eastAsia="Book Antiqua" w:hAnsi="Book Antiqua" w:cs="Book Antiqua"/>
          <w:color w:val="000000"/>
        </w:rPr>
        <w:t xml:space="preserve">scores, the latter also a </w:t>
      </w:r>
      <w:r w:rsidRPr="008725BA">
        <w:rPr>
          <w:rFonts w:ascii="Book Antiqua" w:eastAsia="Book Antiqua" w:hAnsi="Book Antiqua" w:cs="Book Antiqua"/>
          <w:color w:val="000000"/>
        </w:rPr>
        <w:lastRenderedPageBreak/>
        <w:t>derivation of SOFA and CLIF-</w:t>
      </w:r>
      <w:proofErr w:type="gramStart"/>
      <w:r w:rsidRPr="008725BA">
        <w:rPr>
          <w:rFonts w:ascii="Book Antiqua" w:eastAsia="Book Antiqua" w:hAnsi="Book Antiqua" w:cs="Book Antiqua"/>
          <w:color w:val="000000"/>
        </w:rPr>
        <w:t>SOFA</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52]</w:t>
      </w:r>
      <w:r w:rsidRPr="008725BA">
        <w:rPr>
          <w:rFonts w:ascii="Book Antiqua" w:eastAsia="Book Antiqua" w:hAnsi="Book Antiqua" w:cs="Book Antiqua"/>
          <w:color w:val="000000"/>
        </w:rPr>
        <w:t xml:space="preserve">. However, the CLIF-C ACLF showed a slightly higher prognostic accuracy for 28-d mortality than the CLIF-SOFA scores and it was moderately higher than MELD, MELD-Na and Child–Pugh: agreement index of 0.76; 0.72; 0.68; 0.68; 0.66, </w:t>
      </w:r>
      <w:proofErr w:type="gramStart"/>
      <w:r w:rsidRPr="008725BA">
        <w:rPr>
          <w:rFonts w:ascii="Book Antiqua" w:eastAsia="Book Antiqua" w:hAnsi="Book Antiqua" w:cs="Book Antiqua"/>
          <w:color w:val="000000"/>
        </w:rPr>
        <w:t>respectively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52]</w:t>
      </w:r>
      <w:r w:rsidRPr="008725BA">
        <w:rPr>
          <w:rFonts w:ascii="Book Antiqua" w:eastAsia="Book Antiqua" w:hAnsi="Book Antiqua" w:cs="Book Antiqua"/>
          <w:color w:val="000000"/>
        </w:rPr>
        <w:t>.</w:t>
      </w:r>
    </w:p>
    <w:p w14:paraId="74B36CCB" w14:textId="77777777" w:rsidR="00B74CAE" w:rsidRPr="008725BA" w:rsidRDefault="00B74CAE" w:rsidP="008725BA">
      <w:pPr>
        <w:adjustRightInd w:val="0"/>
        <w:snapToGrid w:val="0"/>
        <w:spacing w:line="360" w:lineRule="auto"/>
        <w:ind w:firstLine="708"/>
        <w:jc w:val="both"/>
        <w:rPr>
          <w:rFonts w:ascii="Book Antiqua" w:hAnsi="Book Antiqua"/>
        </w:rPr>
      </w:pPr>
    </w:p>
    <w:p w14:paraId="022022C6" w14:textId="15818388" w:rsidR="00A77B3E" w:rsidRPr="008725BA" w:rsidRDefault="00034438" w:rsidP="008725BA">
      <w:pPr>
        <w:adjustRightInd w:val="0"/>
        <w:snapToGrid w:val="0"/>
        <w:spacing w:line="360" w:lineRule="auto"/>
        <w:jc w:val="both"/>
        <w:rPr>
          <w:rFonts w:ascii="Book Antiqua" w:hAnsi="Book Antiqua"/>
          <w:b/>
          <w:bCs/>
          <w:i/>
          <w:iCs/>
        </w:rPr>
      </w:pPr>
      <w:r w:rsidRPr="008725BA">
        <w:rPr>
          <w:rFonts w:ascii="Book Antiqua" w:eastAsia="Book Antiqua" w:hAnsi="Book Antiqua" w:cs="Book Antiqua"/>
          <w:b/>
          <w:bCs/>
          <w:i/>
          <w:iCs/>
          <w:color w:val="000000"/>
        </w:rPr>
        <w:t>Evolutionary assessment of scores</w:t>
      </w:r>
      <w:r w:rsidR="00B74CAE" w:rsidRPr="008725BA">
        <w:rPr>
          <w:rFonts w:ascii="Book Antiqua" w:eastAsia="Book Antiqua" w:hAnsi="Book Antiqua" w:cs="Book Antiqua"/>
          <w:b/>
          <w:bCs/>
          <w:i/>
          <w:iCs/>
          <w:color w:val="000000"/>
        </w:rPr>
        <w:t>-</w:t>
      </w:r>
      <w:r w:rsidRPr="008725BA">
        <w:rPr>
          <w:rFonts w:ascii="Book Antiqua" w:eastAsia="Book Antiqua" w:hAnsi="Book Antiqua" w:cs="Book Antiqua"/>
          <w:b/>
          <w:bCs/>
          <w:i/>
          <w:iCs/>
          <w:color w:val="000000"/>
        </w:rPr>
        <w:t>what we need to know better?</w:t>
      </w:r>
    </w:p>
    <w:p w14:paraId="25E2C878" w14:textId="5C8B9EE1"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Most prognostic scores in critically ill populations are constructed with data collected over the first 24 h of ICU admission. However, multiorgan failure seems to be related to a worse prognosis among patients with acute cirrhosis </w:t>
      </w:r>
      <w:proofErr w:type="gramStart"/>
      <w:r w:rsidRPr="008725BA">
        <w:rPr>
          <w:rFonts w:ascii="Book Antiqua" w:eastAsia="Book Antiqua" w:hAnsi="Book Antiqua" w:cs="Book Antiqua"/>
          <w:color w:val="000000"/>
        </w:rPr>
        <w:t>decompensation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1,4,22]</w:t>
      </w:r>
      <w:r w:rsidRPr="008725BA">
        <w:rPr>
          <w:rFonts w:ascii="Book Antiqua" w:eastAsia="Book Antiqua" w:hAnsi="Book Antiqua" w:cs="Book Antiqua"/>
          <w:color w:val="000000"/>
        </w:rPr>
        <w:t xml:space="preserve">. Seeking to increase the accuracy of prognostic scores in cirrhotic patients admitted to the ICU, a baseline assessment of the score followed by its reanalysis in a short period of time seems to be more accurate in predicting hospital mortality. The SOFA score seems to be the score with the best discrimination power when compared to the CTP, MELD, APACHE II scores, both at the initial time and when reassessed at 48 h: AUC for mortality, after 48 h of 0.88; 0.78; 0.86 and 0.78, </w:t>
      </w:r>
      <w:proofErr w:type="gramStart"/>
      <w:r w:rsidRPr="008725BA">
        <w:rPr>
          <w:rFonts w:ascii="Book Antiqua" w:eastAsia="Book Antiqua" w:hAnsi="Book Antiqua" w:cs="Book Antiqua"/>
          <w:color w:val="000000"/>
        </w:rPr>
        <w:t>respectively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44]</w:t>
      </w:r>
      <w:r w:rsidRPr="008725BA">
        <w:rPr>
          <w:rFonts w:ascii="Book Antiqua" w:eastAsia="Book Antiqua" w:hAnsi="Book Antiqua" w:cs="Book Antiqua"/>
          <w:color w:val="000000"/>
        </w:rPr>
        <w:t xml:space="preserve">. The modified SOFA score (removing the hepatic component from the score) was also shown to be highly accurate and with better discriminative power when compared to CP, MELD, and APACHE II scores both on the first day of ICU admission (AUC 0.84) and on the third day (AUC </w:t>
      </w:r>
      <w:proofErr w:type="gramStart"/>
      <w:r w:rsidRPr="008725BA">
        <w:rPr>
          <w:rFonts w:ascii="Book Antiqua" w:eastAsia="Book Antiqua" w:hAnsi="Book Antiqua" w:cs="Book Antiqua"/>
          <w:color w:val="000000"/>
        </w:rPr>
        <w:t>0.83)</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41]</w:t>
      </w:r>
      <w:r w:rsidRPr="008725BA">
        <w:rPr>
          <w:rFonts w:ascii="Book Antiqua" w:eastAsia="Book Antiqua" w:hAnsi="Book Antiqua" w:cs="Book Antiqua"/>
          <w:color w:val="000000"/>
        </w:rPr>
        <w:t xml:space="preserve">. It is interesting to note that the presence of 3 to 4 organ dysfunctions after 72 h of admission to the ICU is related to an important increase in mortality during </w:t>
      </w:r>
      <w:proofErr w:type="gramStart"/>
      <w:r w:rsidRPr="008725BA">
        <w:rPr>
          <w:rFonts w:ascii="Book Antiqua" w:eastAsia="Book Antiqua" w:hAnsi="Book Antiqua" w:cs="Book Antiqua"/>
          <w:color w:val="000000"/>
        </w:rPr>
        <w:t>hospitalization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41]</w:t>
      </w:r>
      <w:r w:rsidRPr="008725BA">
        <w:rPr>
          <w:rFonts w:ascii="Book Antiqua" w:eastAsia="Book Antiqua" w:hAnsi="Book Antiqua" w:cs="Book Antiqua"/>
          <w:color w:val="000000"/>
        </w:rPr>
        <w:t>.</w:t>
      </w:r>
    </w:p>
    <w:p w14:paraId="08316277" w14:textId="7E7B7F66" w:rsidR="00A77B3E" w:rsidRPr="008725BA" w:rsidRDefault="00034438" w:rsidP="008725BA">
      <w:pPr>
        <w:adjustRightInd w:val="0"/>
        <w:snapToGrid w:val="0"/>
        <w:spacing w:line="360" w:lineRule="auto"/>
        <w:ind w:firstLine="708"/>
        <w:jc w:val="both"/>
        <w:rPr>
          <w:rFonts w:ascii="Book Antiqua" w:hAnsi="Book Antiqua"/>
        </w:rPr>
      </w:pPr>
      <w:r w:rsidRPr="008725BA">
        <w:rPr>
          <w:rFonts w:ascii="Book Antiqua" w:eastAsia="Book Antiqua" w:hAnsi="Book Antiqua" w:cs="Book Antiqua"/>
          <w:color w:val="000000"/>
        </w:rPr>
        <w:t xml:space="preserve">A limitation of the prognostic scores evaluated on admission to the ICU is to neglect the continuum of physiological changes in critical patients with decompensated </w:t>
      </w:r>
      <w:proofErr w:type="gramStart"/>
      <w:r w:rsidRPr="008725BA">
        <w:rPr>
          <w:rFonts w:ascii="Book Antiqua" w:eastAsia="Book Antiqua" w:hAnsi="Book Antiqua" w:cs="Book Antiqua"/>
          <w:color w:val="000000"/>
        </w:rPr>
        <w:t>cirrhosis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53]</w:t>
      </w:r>
      <w:r w:rsidRPr="008725BA">
        <w:rPr>
          <w:rFonts w:ascii="Book Antiqua" w:eastAsia="Book Antiqua" w:hAnsi="Book Antiqua" w:cs="Book Antiqua"/>
          <w:color w:val="000000"/>
        </w:rPr>
        <w:t xml:space="preserve">. The serial assessment of the SOFA score throughout the ICU stay contemplates the dynamics of the occurrence of organic dysfunctions, including the effects of the offered </w:t>
      </w:r>
      <w:proofErr w:type="gramStart"/>
      <w:r w:rsidRPr="008725BA">
        <w:rPr>
          <w:rFonts w:ascii="Book Antiqua" w:eastAsia="Book Antiqua" w:hAnsi="Book Antiqua" w:cs="Book Antiqua"/>
          <w:color w:val="000000"/>
        </w:rPr>
        <w:t>therapy</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44,54]</w:t>
      </w:r>
      <w:r w:rsidRPr="008725BA">
        <w:rPr>
          <w:rFonts w:ascii="Book Antiqua" w:eastAsia="Book Antiqua" w:hAnsi="Book Antiqua" w:cs="Book Antiqua"/>
          <w:color w:val="000000"/>
        </w:rPr>
        <w:t xml:space="preserve">. Both the analysis of the variation in the SOFA score (Δ-SOFA) and access to the mean and maximum SOFA values during ICU admission are good prognostic indicators, regardless of the value of the score accessed at the time of </w:t>
      </w:r>
      <w:proofErr w:type="gramStart"/>
      <w:r w:rsidRPr="008725BA">
        <w:rPr>
          <w:rFonts w:ascii="Book Antiqua" w:eastAsia="Book Antiqua" w:hAnsi="Book Antiqua" w:cs="Book Antiqua"/>
          <w:color w:val="000000"/>
        </w:rPr>
        <w:t>admission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54]</w:t>
      </w:r>
      <w:r w:rsidRPr="008725BA">
        <w:rPr>
          <w:rFonts w:ascii="Book Antiqua" w:eastAsia="Book Antiqua" w:hAnsi="Book Antiqua" w:cs="Book Antiqua"/>
          <w:color w:val="000000"/>
        </w:rPr>
        <w:t>. In a retrospective cohort study comprised of 971 patients, the CLIF-</w:t>
      </w:r>
      <w:r w:rsidRPr="008725BA">
        <w:rPr>
          <w:rFonts w:ascii="Book Antiqua" w:eastAsia="Book Antiqua" w:hAnsi="Book Antiqua" w:cs="Book Antiqua"/>
          <w:color w:val="000000"/>
        </w:rPr>
        <w:lastRenderedPageBreak/>
        <w:t xml:space="preserve">SOFA score seemed to have a slightly higher accuracy than the SOFA score for mortality (AUC 0.81 </w:t>
      </w:r>
      <w:r w:rsidRPr="008725BA">
        <w:rPr>
          <w:rFonts w:ascii="Book Antiqua" w:eastAsia="Book Antiqua" w:hAnsi="Book Antiqua" w:cs="Book Antiqua"/>
          <w:i/>
          <w:iCs/>
          <w:color w:val="000000"/>
        </w:rPr>
        <w:t xml:space="preserve">vs </w:t>
      </w:r>
      <w:r w:rsidRPr="008725BA">
        <w:rPr>
          <w:rFonts w:ascii="Book Antiqua" w:eastAsia="Book Antiqua" w:hAnsi="Book Antiqua" w:cs="Book Antiqua"/>
          <w:color w:val="000000"/>
        </w:rPr>
        <w:t xml:space="preserve">0.79) when evaluated during the first day of hospitalization and an improvement in death prediction at 48 h after ICU admission. However, the results seem overlapping when evaluated on the seventh day of ICU stay, with both showing good discriminatory </w:t>
      </w:r>
      <w:proofErr w:type="gramStart"/>
      <w:r w:rsidRPr="008725BA">
        <w:rPr>
          <w:rFonts w:ascii="Book Antiqua" w:eastAsia="Book Antiqua" w:hAnsi="Book Antiqua" w:cs="Book Antiqua"/>
          <w:color w:val="000000"/>
        </w:rPr>
        <w:t>power</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51]</w:t>
      </w:r>
      <w:r w:rsidRPr="008725BA">
        <w:rPr>
          <w:rFonts w:ascii="Book Antiqua" w:eastAsia="Book Antiqua" w:hAnsi="Book Antiqua" w:cs="Book Antiqua"/>
          <w:color w:val="000000"/>
        </w:rPr>
        <w:t xml:space="preserve">. Dynamic prognostication seems to be the most promising strategy when establishing the prognosis of this population, especially in those with ACLF, septic shock and multiorgan </w:t>
      </w:r>
      <w:proofErr w:type="gramStart"/>
      <w:r w:rsidRPr="008725BA">
        <w:rPr>
          <w:rFonts w:ascii="Book Antiqua" w:eastAsia="Book Antiqua" w:hAnsi="Book Antiqua" w:cs="Book Antiqua"/>
          <w:color w:val="000000"/>
        </w:rPr>
        <w:t>failure</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55]</w:t>
      </w:r>
      <w:r w:rsidRPr="008725BA">
        <w:rPr>
          <w:rFonts w:ascii="Book Antiqua" w:eastAsia="Book Antiqua" w:hAnsi="Book Antiqua" w:cs="Book Antiqua"/>
          <w:color w:val="000000"/>
        </w:rPr>
        <w:t xml:space="preserve">. A proposed algorithm is summarized in Figure 1. A trial of unrestricted intensive care for a few days could be proposed as a reasonable strategy in this </w:t>
      </w:r>
      <w:proofErr w:type="gramStart"/>
      <w:r w:rsidRPr="008725BA">
        <w:rPr>
          <w:rFonts w:ascii="Book Antiqua" w:eastAsia="Book Antiqua" w:hAnsi="Book Antiqua" w:cs="Book Antiqua"/>
          <w:color w:val="000000"/>
        </w:rPr>
        <w:t>population</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41]</w:t>
      </w:r>
      <w:r w:rsidRPr="008725BA">
        <w:rPr>
          <w:rFonts w:ascii="Book Antiqua" w:eastAsia="Book Antiqua" w:hAnsi="Book Antiqua" w:cs="Book Antiqua"/>
          <w:color w:val="000000"/>
        </w:rPr>
        <w:t xml:space="preserve">. There are also opportunities for novel biomarkers of ACLF to improve existing models and potentially reflect information not currently captured in the conventional clinical and biochemical </w:t>
      </w:r>
      <w:proofErr w:type="gramStart"/>
      <w:r w:rsidRPr="008725BA">
        <w:rPr>
          <w:rFonts w:ascii="Book Antiqua" w:eastAsia="Book Antiqua" w:hAnsi="Book Antiqua" w:cs="Book Antiqua"/>
          <w:color w:val="000000"/>
        </w:rPr>
        <w:t>data</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56]</w:t>
      </w:r>
      <w:r w:rsidRPr="008725BA">
        <w:rPr>
          <w:rFonts w:ascii="Book Antiqua" w:eastAsia="Book Antiqua" w:hAnsi="Book Antiqua" w:cs="Book Antiqua"/>
          <w:color w:val="000000"/>
        </w:rPr>
        <w:t>.</w:t>
      </w:r>
    </w:p>
    <w:p w14:paraId="699B228E" w14:textId="716DB280" w:rsidR="00A77B3E" w:rsidRPr="008725BA" w:rsidRDefault="00034438" w:rsidP="008725BA">
      <w:pPr>
        <w:adjustRightInd w:val="0"/>
        <w:snapToGrid w:val="0"/>
        <w:spacing w:line="360" w:lineRule="auto"/>
        <w:ind w:firstLine="708"/>
        <w:jc w:val="both"/>
        <w:rPr>
          <w:rFonts w:ascii="Book Antiqua" w:hAnsi="Book Antiqua"/>
        </w:rPr>
      </w:pPr>
      <w:r w:rsidRPr="008725BA">
        <w:rPr>
          <w:rFonts w:ascii="Book Antiqua" w:eastAsia="Book Antiqua" w:hAnsi="Book Antiqua" w:cs="Book Antiqua"/>
          <w:color w:val="000000"/>
        </w:rPr>
        <w:t xml:space="preserve">An important limitation of prognostic studies in this field is that the interpretation of ROC curves is necessary because the criteria for therapeutic limitations or even the removal of supports are not reported in these studies, which leads to falsely high areas under the curves. Another limitation of prognostic scores is that they were not designed to predict outcomes beyond mortality, such as cost-effective treatment, recovery of physical activity or the quality of life after the ICU stay. In addition, some organ dysfunction scores may give similar weights for organ dysfunction with very different </w:t>
      </w:r>
      <w:proofErr w:type="gramStart"/>
      <w:r w:rsidRPr="008725BA">
        <w:rPr>
          <w:rFonts w:ascii="Book Antiqua" w:eastAsia="Book Antiqua" w:hAnsi="Book Antiqua" w:cs="Book Antiqua"/>
          <w:color w:val="000000"/>
        </w:rPr>
        <w:t>prognoses</w:t>
      </w:r>
      <w:r w:rsidR="00027ECD" w:rsidRPr="008725BA">
        <w:rPr>
          <w:rFonts w:ascii="Book Antiqua" w:eastAsia="Book Antiqua" w:hAnsi="Book Antiqua" w:cs="Book Antiqua"/>
          <w:color w:val="000000"/>
          <w:vertAlign w:val="superscript"/>
        </w:rPr>
        <w:t>[</w:t>
      </w:r>
      <w:proofErr w:type="gramEnd"/>
      <w:r w:rsidRPr="008725BA">
        <w:rPr>
          <w:rFonts w:ascii="Book Antiqua" w:eastAsia="Book Antiqua" w:hAnsi="Book Antiqua" w:cs="Book Antiqua"/>
          <w:color w:val="000000"/>
          <w:vertAlign w:val="superscript"/>
        </w:rPr>
        <w:t>57]</w:t>
      </w:r>
      <w:r w:rsidRPr="008725BA">
        <w:rPr>
          <w:rFonts w:ascii="Book Antiqua" w:eastAsia="Book Antiqua" w:hAnsi="Book Antiqua" w:cs="Book Antiqua"/>
          <w:color w:val="000000"/>
        </w:rPr>
        <w:t xml:space="preserve">. Alteration of the level of consciousness due to </w:t>
      </w:r>
      <w:r w:rsidR="00027ECD" w:rsidRPr="008725BA">
        <w:rPr>
          <w:rFonts w:ascii="Book Antiqua" w:eastAsia="Book Antiqua" w:hAnsi="Book Antiqua" w:cs="Book Antiqua"/>
          <w:color w:val="000000"/>
        </w:rPr>
        <w:t>HE</w:t>
      </w:r>
      <w:r w:rsidRPr="008725BA">
        <w:rPr>
          <w:rFonts w:ascii="Book Antiqua" w:eastAsia="Book Antiqua" w:hAnsi="Book Antiqua" w:cs="Book Antiqua"/>
          <w:color w:val="000000"/>
        </w:rPr>
        <w:t xml:space="preserve"> after bleeding from esophageal varices and even chronic thrombocytopenia, common in advanced cirrhosis, has a better prognosis than that of vasopressor or acute loss of renal function. Figure 1 outlines a structured assessment model based on prognostic scores in this population. A condition associated with high mortality, based on these scores, does not necessarily mean that therapeutic efforts should be stopped but that patients, family members and staff can have a better understanding of the prognosis, in light of current knowledge. Knowledge of the patients’ wishes, beliefs and desires </w:t>
      </w:r>
      <w:proofErr w:type="gramStart"/>
      <w:r w:rsidRPr="008725BA">
        <w:rPr>
          <w:rFonts w:ascii="Book Antiqua" w:eastAsia="Book Antiqua" w:hAnsi="Book Antiqua" w:cs="Book Antiqua"/>
          <w:color w:val="000000"/>
        </w:rPr>
        <w:t>is</w:t>
      </w:r>
      <w:proofErr w:type="gramEnd"/>
      <w:r w:rsidRPr="008725BA">
        <w:rPr>
          <w:rFonts w:ascii="Book Antiqua" w:eastAsia="Book Antiqua" w:hAnsi="Book Antiqua" w:cs="Book Antiqua"/>
          <w:color w:val="000000"/>
        </w:rPr>
        <w:t xml:space="preserve"> fundamental to establish future therapeutic strategies.</w:t>
      </w:r>
    </w:p>
    <w:p w14:paraId="7F898BAE" w14:textId="77777777" w:rsidR="00A77B3E" w:rsidRPr="008725BA" w:rsidRDefault="00A77B3E" w:rsidP="008725BA">
      <w:pPr>
        <w:adjustRightInd w:val="0"/>
        <w:snapToGrid w:val="0"/>
        <w:spacing w:line="360" w:lineRule="auto"/>
        <w:ind w:firstLine="708"/>
        <w:jc w:val="both"/>
        <w:rPr>
          <w:rFonts w:ascii="Book Antiqua" w:hAnsi="Book Antiqua"/>
        </w:rPr>
      </w:pPr>
    </w:p>
    <w:p w14:paraId="5AC09A34"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aps/>
          <w:color w:val="000000"/>
          <w:u w:val="single"/>
        </w:rPr>
        <w:t>CONCLUSION</w:t>
      </w:r>
    </w:p>
    <w:p w14:paraId="29E8B0C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lastRenderedPageBreak/>
        <w:t>In critically ill cirrhotic patients who are not awaiting liver transplantation, there is no “gold standard” for predicting their short- and long-term prognosis. Several variables are associated with a worse prognosis, such as the presence of sepsis, the number and intensity of associated organ failures, and the duration of MV. Baseline severity scores, as well as the sequential assessment of organ failure scores, provide more certainty regarding the impact of critical illness on the prognosis of this population.</w:t>
      </w:r>
    </w:p>
    <w:p w14:paraId="78F7E6A5" w14:textId="77777777" w:rsidR="00A77B3E" w:rsidRPr="008725BA" w:rsidRDefault="00A77B3E" w:rsidP="008725BA">
      <w:pPr>
        <w:adjustRightInd w:val="0"/>
        <w:snapToGrid w:val="0"/>
        <w:spacing w:line="360" w:lineRule="auto"/>
        <w:jc w:val="both"/>
        <w:rPr>
          <w:rFonts w:ascii="Book Antiqua" w:hAnsi="Book Antiqua"/>
        </w:rPr>
      </w:pPr>
    </w:p>
    <w:p w14:paraId="59584BD0"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REFERENCES</w:t>
      </w:r>
    </w:p>
    <w:p w14:paraId="2B615EC7"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 </w:t>
      </w:r>
      <w:proofErr w:type="spellStart"/>
      <w:r w:rsidRPr="008725BA">
        <w:rPr>
          <w:rFonts w:ascii="Book Antiqua" w:eastAsia="Book Antiqua" w:hAnsi="Book Antiqua" w:cs="Book Antiqua"/>
          <w:b/>
          <w:bCs/>
          <w:color w:val="000000"/>
        </w:rPr>
        <w:t>Galbois</w:t>
      </w:r>
      <w:proofErr w:type="spellEnd"/>
      <w:r w:rsidRPr="008725BA">
        <w:rPr>
          <w:rFonts w:ascii="Book Antiqua" w:eastAsia="Book Antiqua" w:hAnsi="Book Antiqua" w:cs="Book Antiqua"/>
          <w:b/>
          <w:bCs/>
          <w:color w:val="000000"/>
        </w:rPr>
        <w:t xml:space="preserve"> A</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Trompette</w:t>
      </w:r>
      <w:proofErr w:type="spellEnd"/>
      <w:r w:rsidRPr="008725BA">
        <w:rPr>
          <w:rFonts w:ascii="Book Antiqua" w:eastAsia="Book Antiqua" w:hAnsi="Book Antiqua" w:cs="Book Antiqua"/>
          <w:color w:val="000000"/>
        </w:rPr>
        <w:t xml:space="preserve"> ML, Das V, </w:t>
      </w:r>
      <w:proofErr w:type="spellStart"/>
      <w:r w:rsidRPr="008725BA">
        <w:rPr>
          <w:rFonts w:ascii="Book Antiqua" w:eastAsia="Book Antiqua" w:hAnsi="Book Antiqua" w:cs="Book Antiqua"/>
          <w:color w:val="000000"/>
        </w:rPr>
        <w:t>Boëlle</w:t>
      </w:r>
      <w:proofErr w:type="spellEnd"/>
      <w:r w:rsidRPr="008725BA">
        <w:rPr>
          <w:rFonts w:ascii="Book Antiqua" w:eastAsia="Book Antiqua" w:hAnsi="Book Antiqua" w:cs="Book Antiqua"/>
          <w:color w:val="000000"/>
        </w:rPr>
        <w:t xml:space="preserve"> PY, </w:t>
      </w:r>
      <w:proofErr w:type="spellStart"/>
      <w:r w:rsidRPr="008725BA">
        <w:rPr>
          <w:rFonts w:ascii="Book Antiqua" w:eastAsia="Book Antiqua" w:hAnsi="Book Antiqua" w:cs="Book Antiqua"/>
          <w:color w:val="000000"/>
        </w:rPr>
        <w:t>Carbonell</w:t>
      </w:r>
      <w:proofErr w:type="spellEnd"/>
      <w:r w:rsidRPr="008725BA">
        <w:rPr>
          <w:rFonts w:ascii="Book Antiqua" w:eastAsia="Book Antiqua" w:hAnsi="Book Antiqua" w:cs="Book Antiqua"/>
          <w:color w:val="000000"/>
        </w:rPr>
        <w:t xml:space="preserve"> N, </w:t>
      </w:r>
      <w:proofErr w:type="spellStart"/>
      <w:r w:rsidRPr="008725BA">
        <w:rPr>
          <w:rFonts w:ascii="Book Antiqua" w:eastAsia="Book Antiqua" w:hAnsi="Book Antiqua" w:cs="Book Antiqua"/>
          <w:color w:val="000000"/>
        </w:rPr>
        <w:t>Thabut</w:t>
      </w:r>
      <w:proofErr w:type="spellEnd"/>
      <w:r w:rsidRPr="008725BA">
        <w:rPr>
          <w:rFonts w:ascii="Book Antiqua" w:eastAsia="Book Antiqua" w:hAnsi="Book Antiqua" w:cs="Book Antiqua"/>
          <w:color w:val="000000"/>
        </w:rPr>
        <w:t xml:space="preserve"> D, </w:t>
      </w:r>
      <w:proofErr w:type="spellStart"/>
      <w:r w:rsidRPr="008725BA">
        <w:rPr>
          <w:rFonts w:ascii="Book Antiqua" w:eastAsia="Book Antiqua" w:hAnsi="Book Antiqua" w:cs="Book Antiqua"/>
          <w:color w:val="000000"/>
        </w:rPr>
        <w:t>Housset</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Ait-Oufella</w:t>
      </w:r>
      <w:proofErr w:type="spellEnd"/>
      <w:r w:rsidRPr="008725BA">
        <w:rPr>
          <w:rFonts w:ascii="Book Antiqua" w:eastAsia="Book Antiqua" w:hAnsi="Book Antiqua" w:cs="Book Antiqua"/>
          <w:color w:val="000000"/>
        </w:rPr>
        <w:t xml:space="preserve"> H, </w:t>
      </w:r>
      <w:proofErr w:type="spellStart"/>
      <w:r w:rsidRPr="008725BA">
        <w:rPr>
          <w:rFonts w:ascii="Book Antiqua" w:eastAsia="Book Antiqua" w:hAnsi="Book Antiqua" w:cs="Book Antiqua"/>
          <w:color w:val="000000"/>
        </w:rPr>
        <w:t>Offenstadt</w:t>
      </w:r>
      <w:proofErr w:type="spellEnd"/>
      <w:r w:rsidRPr="008725BA">
        <w:rPr>
          <w:rFonts w:ascii="Book Antiqua" w:eastAsia="Book Antiqua" w:hAnsi="Book Antiqua" w:cs="Book Antiqua"/>
          <w:color w:val="000000"/>
        </w:rPr>
        <w:t xml:space="preserve"> G, Maury E, </w:t>
      </w:r>
      <w:proofErr w:type="spellStart"/>
      <w:r w:rsidRPr="008725BA">
        <w:rPr>
          <w:rFonts w:ascii="Book Antiqua" w:eastAsia="Book Antiqua" w:hAnsi="Book Antiqua" w:cs="Book Antiqua"/>
          <w:color w:val="000000"/>
        </w:rPr>
        <w:t>Guidet</w:t>
      </w:r>
      <w:proofErr w:type="spellEnd"/>
      <w:r w:rsidRPr="008725BA">
        <w:rPr>
          <w:rFonts w:ascii="Book Antiqua" w:eastAsia="Book Antiqua" w:hAnsi="Book Antiqua" w:cs="Book Antiqua"/>
          <w:color w:val="000000"/>
        </w:rPr>
        <w:t xml:space="preserve"> B. Improvement in the prognosis of cirrhotic patients admitted to an intensive care unit, a retrospective study. </w:t>
      </w:r>
      <w:r w:rsidRPr="008725BA">
        <w:rPr>
          <w:rFonts w:ascii="Book Antiqua" w:eastAsia="Book Antiqua" w:hAnsi="Book Antiqua" w:cs="Book Antiqua"/>
          <w:i/>
          <w:iCs/>
          <w:color w:val="000000"/>
        </w:rPr>
        <w:t>Eur J Gastroenterol Hepatol</w:t>
      </w:r>
      <w:r w:rsidRPr="008725BA">
        <w:rPr>
          <w:rFonts w:ascii="Book Antiqua" w:eastAsia="Book Antiqua" w:hAnsi="Book Antiqua" w:cs="Book Antiqua"/>
          <w:color w:val="000000"/>
        </w:rPr>
        <w:t xml:space="preserve"> 2012; </w:t>
      </w:r>
      <w:r w:rsidRPr="008725BA">
        <w:rPr>
          <w:rFonts w:ascii="Book Antiqua" w:eastAsia="Book Antiqua" w:hAnsi="Book Antiqua" w:cs="Book Antiqua"/>
          <w:b/>
          <w:bCs/>
          <w:color w:val="000000"/>
        </w:rPr>
        <w:t>24</w:t>
      </w:r>
      <w:r w:rsidRPr="008725BA">
        <w:rPr>
          <w:rFonts w:ascii="Book Antiqua" w:eastAsia="Book Antiqua" w:hAnsi="Book Antiqua" w:cs="Book Antiqua"/>
          <w:color w:val="000000"/>
        </w:rPr>
        <w:t>: 897-904 [PMID: 22569082 DOI: 10.1097/MEG.0b013e3283544816]</w:t>
      </w:r>
    </w:p>
    <w:p w14:paraId="517DC791"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 </w:t>
      </w:r>
      <w:proofErr w:type="spellStart"/>
      <w:r w:rsidRPr="008725BA">
        <w:rPr>
          <w:rFonts w:ascii="Book Antiqua" w:eastAsia="Book Antiqua" w:hAnsi="Book Antiqua" w:cs="Book Antiqua"/>
          <w:b/>
          <w:bCs/>
          <w:color w:val="000000"/>
        </w:rPr>
        <w:t>Baudry</w:t>
      </w:r>
      <w:proofErr w:type="spellEnd"/>
      <w:r w:rsidRPr="008725BA">
        <w:rPr>
          <w:rFonts w:ascii="Book Antiqua" w:eastAsia="Book Antiqua" w:hAnsi="Book Antiqua" w:cs="Book Antiqua"/>
          <w:b/>
          <w:bCs/>
          <w:color w:val="000000"/>
        </w:rPr>
        <w:t xml:space="preserve"> T</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Hernu</w:t>
      </w:r>
      <w:proofErr w:type="spellEnd"/>
      <w:r w:rsidRPr="008725BA">
        <w:rPr>
          <w:rFonts w:ascii="Book Antiqua" w:eastAsia="Book Antiqua" w:hAnsi="Book Antiqua" w:cs="Book Antiqua"/>
          <w:color w:val="000000"/>
        </w:rPr>
        <w:t xml:space="preserve"> R, </w:t>
      </w:r>
      <w:proofErr w:type="spellStart"/>
      <w:r w:rsidRPr="008725BA">
        <w:rPr>
          <w:rFonts w:ascii="Book Antiqua" w:eastAsia="Book Antiqua" w:hAnsi="Book Antiqua" w:cs="Book Antiqua"/>
          <w:color w:val="000000"/>
        </w:rPr>
        <w:t>Valleix</w:t>
      </w:r>
      <w:proofErr w:type="spellEnd"/>
      <w:r w:rsidRPr="008725BA">
        <w:rPr>
          <w:rFonts w:ascii="Book Antiqua" w:eastAsia="Book Antiqua" w:hAnsi="Book Antiqua" w:cs="Book Antiqua"/>
          <w:color w:val="000000"/>
        </w:rPr>
        <w:t xml:space="preserve"> B, </w:t>
      </w:r>
      <w:proofErr w:type="spellStart"/>
      <w:r w:rsidRPr="008725BA">
        <w:rPr>
          <w:rFonts w:ascii="Book Antiqua" w:eastAsia="Book Antiqua" w:hAnsi="Book Antiqua" w:cs="Book Antiqua"/>
          <w:color w:val="000000"/>
        </w:rPr>
        <w:t>Jahandiez</w:t>
      </w:r>
      <w:proofErr w:type="spellEnd"/>
      <w:r w:rsidRPr="008725BA">
        <w:rPr>
          <w:rFonts w:ascii="Book Antiqua" w:eastAsia="Book Antiqua" w:hAnsi="Book Antiqua" w:cs="Book Antiqua"/>
          <w:color w:val="000000"/>
        </w:rPr>
        <w:t xml:space="preserve"> V, </w:t>
      </w:r>
      <w:proofErr w:type="spellStart"/>
      <w:r w:rsidRPr="008725BA">
        <w:rPr>
          <w:rFonts w:ascii="Book Antiqua" w:eastAsia="Book Antiqua" w:hAnsi="Book Antiqua" w:cs="Book Antiqua"/>
          <w:color w:val="000000"/>
        </w:rPr>
        <w:t>Faucher</w:t>
      </w:r>
      <w:proofErr w:type="spellEnd"/>
      <w:r w:rsidRPr="008725BA">
        <w:rPr>
          <w:rFonts w:ascii="Book Antiqua" w:eastAsia="Book Antiqua" w:hAnsi="Book Antiqua" w:cs="Book Antiqua"/>
          <w:color w:val="000000"/>
        </w:rPr>
        <w:t xml:space="preserve"> E, Simon M, </w:t>
      </w:r>
      <w:proofErr w:type="spellStart"/>
      <w:r w:rsidRPr="008725BA">
        <w:rPr>
          <w:rFonts w:ascii="Book Antiqua" w:eastAsia="Book Antiqua" w:hAnsi="Book Antiqua" w:cs="Book Antiqua"/>
          <w:color w:val="000000"/>
        </w:rPr>
        <w:t>Cour</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Argaud</w:t>
      </w:r>
      <w:proofErr w:type="spellEnd"/>
      <w:r w:rsidRPr="008725BA">
        <w:rPr>
          <w:rFonts w:ascii="Book Antiqua" w:eastAsia="Book Antiqua" w:hAnsi="Book Antiqua" w:cs="Book Antiqua"/>
          <w:color w:val="000000"/>
        </w:rPr>
        <w:t xml:space="preserve"> L. Cirrhotic Patients Admitted to the ICU With Septic Shock: Factors Predicting Short and Long-Term Outcome. </w:t>
      </w:r>
      <w:r w:rsidRPr="008725BA">
        <w:rPr>
          <w:rFonts w:ascii="Book Antiqua" w:eastAsia="Book Antiqua" w:hAnsi="Book Antiqua" w:cs="Book Antiqua"/>
          <w:i/>
          <w:iCs/>
          <w:color w:val="000000"/>
        </w:rPr>
        <w:t>Shock</w:t>
      </w:r>
      <w:r w:rsidRPr="008725BA">
        <w:rPr>
          <w:rFonts w:ascii="Book Antiqua" w:eastAsia="Book Antiqua" w:hAnsi="Book Antiqua" w:cs="Book Antiqua"/>
          <w:color w:val="000000"/>
        </w:rPr>
        <w:t xml:space="preserve"> 2019; </w:t>
      </w:r>
      <w:r w:rsidRPr="008725BA">
        <w:rPr>
          <w:rFonts w:ascii="Book Antiqua" w:eastAsia="Book Antiqua" w:hAnsi="Book Antiqua" w:cs="Book Antiqua"/>
          <w:b/>
          <w:bCs/>
          <w:color w:val="000000"/>
        </w:rPr>
        <w:t>52</w:t>
      </w:r>
      <w:r w:rsidRPr="008725BA">
        <w:rPr>
          <w:rFonts w:ascii="Book Antiqua" w:eastAsia="Book Antiqua" w:hAnsi="Book Antiqua" w:cs="Book Antiqua"/>
          <w:color w:val="000000"/>
        </w:rPr>
        <w:t>: 408-413 [PMID: 30395082 DOI: 10.1097/SHK.0000000000001282]</w:t>
      </w:r>
    </w:p>
    <w:p w14:paraId="615DE642"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 </w:t>
      </w:r>
      <w:proofErr w:type="spellStart"/>
      <w:r w:rsidRPr="008725BA">
        <w:rPr>
          <w:rFonts w:ascii="Book Antiqua" w:eastAsia="Book Antiqua" w:hAnsi="Book Antiqua" w:cs="Book Antiqua"/>
          <w:b/>
          <w:bCs/>
          <w:color w:val="000000"/>
        </w:rPr>
        <w:t>Lindvig</w:t>
      </w:r>
      <w:proofErr w:type="spellEnd"/>
      <w:r w:rsidRPr="008725BA">
        <w:rPr>
          <w:rFonts w:ascii="Book Antiqua" w:eastAsia="Book Antiqua" w:hAnsi="Book Antiqua" w:cs="Book Antiqua"/>
          <w:b/>
          <w:bCs/>
          <w:color w:val="000000"/>
        </w:rPr>
        <w:t xml:space="preserve"> KP</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Teisner</w:t>
      </w:r>
      <w:proofErr w:type="spellEnd"/>
      <w:r w:rsidRPr="008725BA">
        <w:rPr>
          <w:rFonts w:ascii="Book Antiqua" w:eastAsia="Book Antiqua" w:hAnsi="Book Antiqua" w:cs="Book Antiqua"/>
          <w:color w:val="000000"/>
        </w:rPr>
        <w:t xml:space="preserve"> AS, Kjeldsen J, </w:t>
      </w:r>
      <w:proofErr w:type="spellStart"/>
      <w:r w:rsidRPr="008725BA">
        <w:rPr>
          <w:rFonts w:ascii="Book Antiqua" w:eastAsia="Book Antiqua" w:hAnsi="Book Antiqua" w:cs="Book Antiqua"/>
          <w:color w:val="000000"/>
        </w:rPr>
        <w:t>Strøm</w:t>
      </w:r>
      <w:proofErr w:type="spellEnd"/>
      <w:r w:rsidRPr="008725BA">
        <w:rPr>
          <w:rFonts w:ascii="Book Antiqua" w:eastAsia="Book Antiqua" w:hAnsi="Book Antiqua" w:cs="Book Antiqua"/>
          <w:color w:val="000000"/>
        </w:rPr>
        <w:t xml:space="preserve"> T, Toft P, </w:t>
      </w:r>
      <w:proofErr w:type="spellStart"/>
      <w:r w:rsidRPr="008725BA">
        <w:rPr>
          <w:rFonts w:ascii="Book Antiqua" w:eastAsia="Book Antiqua" w:hAnsi="Book Antiqua" w:cs="Book Antiqua"/>
          <w:color w:val="000000"/>
        </w:rPr>
        <w:t>Furhmann</w:t>
      </w:r>
      <w:proofErr w:type="spellEnd"/>
      <w:r w:rsidRPr="008725BA">
        <w:rPr>
          <w:rFonts w:ascii="Book Antiqua" w:eastAsia="Book Antiqua" w:hAnsi="Book Antiqua" w:cs="Book Antiqua"/>
          <w:color w:val="000000"/>
        </w:rPr>
        <w:t xml:space="preserve"> V, </w:t>
      </w:r>
      <w:proofErr w:type="spellStart"/>
      <w:r w:rsidRPr="008725BA">
        <w:rPr>
          <w:rFonts w:ascii="Book Antiqua" w:eastAsia="Book Antiqua" w:hAnsi="Book Antiqua" w:cs="Book Antiqua"/>
          <w:color w:val="000000"/>
        </w:rPr>
        <w:t>Krag</w:t>
      </w:r>
      <w:proofErr w:type="spellEnd"/>
      <w:r w:rsidRPr="008725BA">
        <w:rPr>
          <w:rFonts w:ascii="Book Antiqua" w:eastAsia="Book Antiqua" w:hAnsi="Book Antiqua" w:cs="Book Antiqua"/>
          <w:color w:val="000000"/>
        </w:rPr>
        <w:t xml:space="preserve"> A. Allocation of patients with liver cirrhosis and organ failure to intensive care: Systematic review and a proposal for clinical practice. </w:t>
      </w:r>
      <w:r w:rsidRPr="008725BA">
        <w:rPr>
          <w:rFonts w:ascii="Book Antiqua" w:eastAsia="Book Antiqua" w:hAnsi="Book Antiqua" w:cs="Book Antiqua"/>
          <w:i/>
          <w:iCs/>
          <w:color w:val="000000"/>
        </w:rPr>
        <w:t>World J Gastroenterol</w:t>
      </w:r>
      <w:r w:rsidRPr="008725BA">
        <w:rPr>
          <w:rFonts w:ascii="Book Antiqua" w:eastAsia="Book Antiqua" w:hAnsi="Book Antiqua" w:cs="Book Antiqua"/>
          <w:color w:val="000000"/>
        </w:rPr>
        <w:t xml:space="preserve"> 2015; </w:t>
      </w:r>
      <w:r w:rsidRPr="008725BA">
        <w:rPr>
          <w:rFonts w:ascii="Book Antiqua" w:eastAsia="Book Antiqua" w:hAnsi="Book Antiqua" w:cs="Book Antiqua"/>
          <w:b/>
          <w:bCs/>
          <w:color w:val="000000"/>
        </w:rPr>
        <w:t>21</w:t>
      </w:r>
      <w:r w:rsidRPr="008725BA">
        <w:rPr>
          <w:rFonts w:ascii="Book Antiqua" w:eastAsia="Book Antiqua" w:hAnsi="Book Antiqua" w:cs="Book Antiqua"/>
          <w:color w:val="000000"/>
        </w:rPr>
        <w:t>: 8964-8973 [PMID: 26269687 DOI: 10.3748/</w:t>
      </w:r>
      <w:proofErr w:type="gramStart"/>
      <w:r w:rsidRPr="008725BA">
        <w:rPr>
          <w:rFonts w:ascii="Book Antiqua" w:eastAsia="Book Antiqua" w:hAnsi="Book Antiqua" w:cs="Book Antiqua"/>
          <w:color w:val="000000"/>
        </w:rPr>
        <w:t>wjg.v21.i</w:t>
      </w:r>
      <w:proofErr w:type="gramEnd"/>
      <w:r w:rsidRPr="008725BA">
        <w:rPr>
          <w:rFonts w:ascii="Book Antiqua" w:eastAsia="Book Antiqua" w:hAnsi="Book Antiqua" w:cs="Book Antiqua"/>
          <w:color w:val="000000"/>
        </w:rPr>
        <w:t>29.8964]</w:t>
      </w:r>
    </w:p>
    <w:p w14:paraId="6A5750FC" w14:textId="47F8B6F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 </w:t>
      </w:r>
      <w:proofErr w:type="spellStart"/>
      <w:r w:rsidRPr="008725BA">
        <w:rPr>
          <w:rFonts w:ascii="Book Antiqua" w:eastAsia="Book Antiqua" w:hAnsi="Book Antiqua" w:cs="Book Antiqua"/>
          <w:b/>
          <w:bCs/>
          <w:color w:val="000000"/>
        </w:rPr>
        <w:t>Galbois</w:t>
      </w:r>
      <w:proofErr w:type="spellEnd"/>
      <w:r w:rsidRPr="008725BA">
        <w:rPr>
          <w:rFonts w:ascii="Book Antiqua" w:eastAsia="Book Antiqua" w:hAnsi="Book Antiqua" w:cs="Book Antiqua"/>
          <w:b/>
          <w:bCs/>
          <w:color w:val="000000"/>
        </w:rPr>
        <w:t xml:space="preserve"> A</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Aegerter</w:t>
      </w:r>
      <w:proofErr w:type="spellEnd"/>
      <w:r w:rsidRPr="008725BA">
        <w:rPr>
          <w:rFonts w:ascii="Book Antiqua" w:eastAsia="Book Antiqua" w:hAnsi="Book Antiqua" w:cs="Book Antiqua"/>
          <w:color w:val="000000"/>
        </w:rPr>
        <w:t xml:space="preserve"> P, Martel-Samb P, </w:t>
      </w:r>
      <w:proofErr w:type="spellStart"/>
      <w:r w:rsidRPr="008725BA">
        <w:rPr>
          <w:rFonts w:ascii="Book Antiqua" w:eastAsia="Book Antiqua" w:hAnsi="Book Antiqua" w:cs="Book Antiqua"/>
          <w:color w:val="000000"/>
        </w:rPr>
        <w:t>Housset</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Thabut</w:t>
      </w:r>
      <w:proofErr w:type="spellEnd"/>
      <w:r w:rsidRPr="008725BA">
        <w:rPr>
          <w:rFonts w:ascii="Book Antiqua" w:eastAsia="Book Antiqua" w:hAnsi="Book Antiqua" w:cs="Book Antiqua"/>
          <w:color w:val="000000"/>
        </w:rPr>
        <w:t xml:space="preserve"> D, </w:t>
      </w:r>
      <w:proofErr w:type="spellStart"/>
      <w:r w:rsidRPr="008725BA">
        <w:rPr>
          <w:rFonts w:ascii="Book Antiqua" w:eastAsia="Book Antiqua" w:hAnsi="Book Antiqua" w:cs="Book Antiqua"/>
          <w:color w:val="000000"/>
        </w:rPr>
        <w:t>Offenstadt</w:t>
      </w:r>
      <w:proofErr w:type="spellEnd"/>
      <w:r w:rsidRPr="008725BA">
        <w:rPr>
          <w:rFonts w:ascii="Book Antiqua" w:eastAsia="Book Antiqua" w:hAnsi="Book Antiqua" w:cs="Book Antiqua"/>
          <w:color w:val="000000"/>
        </w:rPr>
        <w:t xml:space="preserve"> G, </w:t>
      </w:r>
      <w:proofErr w:type="spellStart"/>
      <w:r w:rsidRPr="008725BA">
        <w:rPr>
          <w:rFonts w:ascii="Book Antiqua" w:eastAsia="Book Antiqua" w:hAnsi="Book Antiqua" w:cs="Book Antiqua"/>
          <w:color w:val="000000"/>
        </w:rPr>
        <w:t>Ait-Oufella</w:t>
      </w:r>
      <w:proofErr w:type="spellEnd"/>
      <w:r w:rsidRPr="008725BA">
        <w:rPr>
          <w:rFonts w:ascii="Book Antiqua" w:eastAsia="Book Antiqua" w:hAnsi="Book Antiqua" w:cs="Book Antiqua"/>
          <w:color w:val="000000"/>
        </w:rPr>
        <w:t xml:space="preserve"> H, Maury E, </w:t>
      </w:r>
      <w:proofErr w:type="spellStart"/>
      <w:r w:rsidRPr="008725BA">
        <w:rPr>
          <w:rFonts w:ascii="Book Antiqua" w:eastAsia="Book Antiqua" w:hAnsi="Book Antiqua" w:cs="Book Antiqua"/>
          <w:color w:val="000000"/>
        </w:rPr>
        <w:t>Guidet</w:t>
      </w:r>
      <w:proofErr w:type="spellEnd"/>
      <w:r w:rsidRPr="008725BA">
        <w:rPr>
          <w:rFonts w:ascii="Book Antiqua" w:eastAsia="Book Antiqua" w:hAnsi="Book Antiqua" w:cs="Book Antiqua"/>
          <w:color w:val="000000"/>
        </w:rPr>
        <w:t xml:space="preserve"> B; Collège des </w:t>
      </w:r>
      <w:proofErr w:type="spellStart"/>
      <w:r w:rsidRPr="008725BA">
        <w:rPr>
          <w:rFonts w:ascii="Book Antiqua" w:eastAsia="Book Antiqua" w:hAnsi="Book Antiqua" w:cs="Book Antiqua"/>
          <w:color w:val="000000"/>
        </w:rPr>
        <w:t>Utilisateurs</w:t>
      </w:r>
      <w:proofErr w:type="spellEnd"/>
      <w:r w:rsidRPr="008725BA">
        <w:rPr>
          <w:rFonts w:ascii="Book Antiqua" w:eastAsia="Book Antiqua" w:hAnsi="Book Antiqua" w:cs="Book Antiqua"/>
          <w:color w:val="000000"/>
        </w:rPr>
        <w:t xml:space="preserve"> des Bases des </w:t>
      </w:r>
      <w:proofErr w:type="spellStart"/>
      <w:r w:rsidRPr="008725BA">
        <w:rPr>
          <w:rFonts w:ascii="Book Antiqua" w:eastAsia="Book Antiqua" w:hAnsi="Book Antiqua" w:cs="Book Antiqua"/>
          <w:color w:val="000000"/>
        </w:rPr>
        <w:t>données</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en</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Réanimation</w:t>
      </w:r>
      <w:proofErr w:type="spellEnd"/>
      <w:r w:rsidRPr="008725BA">
        <w:rPr>
          <w:rFonts w:ascii="Book Antiqua" w:eastAsia="Book Antiqua" w:hAnsi="Book Antiqua" w:cs="Book Antiqua"/>
          <w:color w:val="000000"/>
        </w:rPr>
        <w:t xml:space="preserve"> (CUB-</w:t>
      </w:r>
      <w:proofErr w:type="spellStart"/>
      <w:r w:rsidRPr="008725BA">
        <w:rPr>
          <w:rFonts w:ascii="Book Antiqua" w:eastAsia="Book Antiqua" w:hAnsi="Book Antiqua" w:cs="Book Antiqua"/>
          <w:color w:val="000000"/>
        </w:rPr>
        <w:t>Réa</w:t>
      </w:r>
      <w:proofErr w:type="spellEnd"/>
      <w:r w:rsidRPr="008725BA">
        <w:rPr>
          <w:rFonts w:ascii="Book Antiqua" w:eastAsia="Book Antiqua" w:hAnsi="Book Antiqua" w:cs="Book Antiqua"/>
          <w:color w:val="000000"/>
        </w:rPr>
        <w:t xml:space="preserve">) Group. Improved prognosis of septic shock in patients with cirrhosis: a multicenter study. </w:t>
      </w:r>
      <w:r w:rsidRPr="008725BA">
        <w:rPr>
          <w:rFonts w:ascii="Book Antiqua" w:eastAsia="Book Antiqua" w:hAnsi="Book Antiqua" w:cs="Book Antiqua"/>
          <w:i/>
          <w:iCs/>
          <w:color w:val="000000"/>
        </w:rPr>
        <w:t>Crit Care Med</w:t>
      </w:r>
      <w:r w:rsidRPr="008725BA">
        <w:rPr>
          <w:rFonts w:ascii="Book Antiqua" w:eastAsia="Book Antiqua" w:hAnsi="Book Antiqua" w:cs="Book Antiqua"/>
          <w:color w:val="000000"/>
        </w:rPr>
        <w:t xml:space="preserve"> 2014; </w:t>
      </w:r>
      <w:r w:rsidRPr="008725BA">
        <w:rPr>
          <w:rFonts w:ascii="Book Antiqua" w:eastAsia="Book Antiqua" w:hAnsi="Book Antiqua" w:cs="Book Antiqua"/>
          <w:b/>
          <w:bCs/>
          <w:color w:val="000000"/>
        </w:rPr>
        <w:t>42</w:t>
      </w:r>
      <w:r w:rsidRPr="008725BA">
        <w:rPr>
          <w:rFonts w:ascii="Book Antiqua" w:eastAsia="Book Antiqua" w:hAnsi="Book Antiqua" w:cs="Book Antiqua"/>
          <w:color w:val="000000"/>
        </w:rPr>
        <w:t>: 1666-1675 [PMID: 24732239 DOI: 10.1097/CCM.0000000000000321]</w:t>
      </w:r>
    </w:p>
    <w:p w14:paraId="32CAB9A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 </w:t>
      </w:r>
      <w:proofErr w:type="spellStart"/>
      <w:r w:rsidRPr="008725BA">
        <w:rPr>
          <w:rFonts w:ascii="Book Antiqua" w:eastAsia="Book Antiqua" w:hAnsi="Book Antiqua" w:cs="Book Antiqua"/>
          <w:b/>
          <w:bCs/>
          <w:color w:val="000000"/>
        </w:rPr>
        <w:t>Karvellas</w:t>
      </w:r>
      <w:proofErr w:type="spellEnd"/>
      <w:r w:rsidRPr="008725BA">
        <w:rPr>
          <w:rFonts w:ascii="Book Antiqua" w:eastAsia="Book Antiqua" w:hAnsi="Book Antiqua" w:cs="Book Antiqua"/>
          <w:b/>
          <w:bCs/>
          <w:color w:val="000000"/>
        </w:rPr>
        <w:t xml:space="preserve"> CJ</w:t>
      </w:r>
      <w:r w:rsidRPr="008725BA">
        <w:rPr>
          <w:rFonts w:ascii="Book Antiqua" w:eastAsia="Book Antiqua" w:hAnsi="Book Antiqua" w:cs="Book Antiqua"/>
          <w:color w:val="000000"/>
        </w:rPr>
        <w:t xml:space="preserve">, Bagshaw SM. Advances in management and prognostication in critically ill cirrhotic patients. </w:t>
      </w:r>
      <w:proofErr w:type="spellStart"/>
      <w:r w:rsidRPr="008725BA">
        <w:rPr>
          <w:rFonts w:ascii="Book Antiqua" w:eastAsia="Book Antiqua" w:hAnsi="Book Antiqua" w:cs="Book Antiqua"/>
          <w:i/>
          <w:iCs/>
          <w:color w:val="000000"/>
        </w:rPr>
        <w:t>Curr</w:t>
      </w:r>
      <w:proofErr w:type="spellEnd"/>
      <w:r w:rsidRPr="008725BA">
        <w:rPr>
          <w:rFonts w:ascii="Book Antiqua" w:eastAsia="Book Antiqua" w:hAnsi="Book Antiqua" w:cs="Book Antiqua"/>
          <w:i/>
          <w:iCs/>
          <w:color w:val="000000"/>
        </w:rPr>
        <w:t xml:space="preserve"> </w:t>
      </w:r>
      <w:proofErr w:type="spellStart"/>
      <w:r w:rsidRPr="008725BA">
        <w:rPr>
          <w:rFonts w:ascii="Book Antiqua" w:eastAsia="Book Antiqua" w:hAnsi="Book Antiqua" w:cs="Book Antiqua"/>
          <w:i/>
          <w:iCs/>
          <w:color w:val="000000"/>
        </w:rPr>
        <w:t>Opin</w:t>
      </w:r>
      <w:proofErr w:type="spellEnd"/>
      <w:r w:rsidRPr="008725BA">
        <w:rPr>
          <w:rFonts w:ascii="Book Antiqua" w:eastAsia="Book Antiqua" w:hAnsi="Book Antiqua" w:cs="Book Antiqua"/>
          <w:i/>
          <w:iCs/>
          <w:color w:val="000000"/>
        </w:rPr>
        <w:t xml:space="preserve"> Crit Care</w:t>
      </w:r>
      <w:r w:rsidRPr="008725BA">
        <w:rPr>
          <w:rFonts w:ascii="Book Antiqua" w:eastAsia="Book Antiqua" w:hAnsi="Book Antiqua" w:cs="Book Antiqua"/>
          <w:color w:val="000000"/>
        </w:rPr>
        <w:t xml:space="preserve"> 2014; </w:t>
      </w:r>
      <w:r w:rsidRPr="008725BA">
        <w:rPr>
          <w:rFonts w:ascii="Book Antiqua" w:eastAsia="Book Antiqua" w:hAnsi="Book Antiqua" w:cs="Book Antiqua"/>
          <w:b/>
          <w:bCs/>
          <w:color w:val="000000"/>
        </w:rPr>
        <w:t>20</w:t>
      </w:r>
      <w:r w:rsidRPr="008725BA">
        <w:rPr>
          <w:rFonts w:ascii="Book Antiqua" w:eastAsia="Book Antiqua" w:hAnsi="Book Antiqua" w:cs="Book Antiqua"/>
          <w:color w:val="000000"/>
        </w:rPr>
        <w:t>: 210-217 [PMID: 24514101 DOI: 10.1097/MCC.0000000000000067]</w:t>
      </w:r>
    </w:p>
    <w:p w14:paraId="2641EB6E" w14:textId="6F8C25FE"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lastRenderedPageBreak/>
        <w:t xml:space="preserve">6 </w:t>
      </w:r>
      <w:r w:rsidRPr="008725BA">
        <w:rPr>
          <w:rFonts w:ascii="Book Antiqua" w:eastAsia="Book Antiqua" w:hAnsi="Book Antiqua" w:cs="Book Antiqua"/>
          <w:b/>
          <w:bCs/>
          <w:color w:val="000000"/>
        </w:rPr>
        <w:t>Fernández J,</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Aracil</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Solà</w:t>
      </w:r>
      <w:proofErr w:type="spellEnd"/>
      <w:r w:rsidRPr="008725BA">
        <w:rPr>
          <w:rFonts w:ascii="Book Antiqua" w:eastAsia="Book Antiqua" w:hAnsi="Book Antiqua" w:cs="Book Antiqua"/>
          <w:color w:val="000000"/>
        </w:rPr>
        <w:t xml:space="preserve"> E, Soriano G, </w:t>
      </w:r>
      <w:proofErr w:type="spellStart"/>
      <w:r w:rsidRPr="008725BA">
        <w:rPr>
          <w:rFonts w:ascii="Book Antiqua" w:eastAsia="Book Antiqua" w:hAnsi="Book Antiqua" w:cs="Book Antiqua"/>
          <w:color w:val="000000"/>
        </w:rPr>
        <w:t>Cinta</w:t>
      </w:r>
      <w:proofErr w:type="spellEnd"/>
      <w:r w:rsidRPr="008725BA">
        <w:rPr>
          <w:rFonts w:ascii="Book Antiqua" w:eastAsia="Book Antiqua" w:hAnsi="Book Antiqua" w:cs="Book Antiqua"/>
          <w:color w:val="000000"/>
        </w:rPr>
        <w:t xml:space="preserve"> Cardona M, Coll S, </w:t>
      </w:r>
      <w:proofErr w:type="spellStart"/>
      <w:r w:rsidRPr="008725BA">
        <w:rPr>
          <w:rFonts w:ascii="Book Antiqua" w:eastAsia="Book Antiqua" w:hAnsi="Book Antiqua" w:cs="Book Antiqua"/>
          <w:color w:val="000000"/>
        </w:rPr>
        <w:t>Genescà</w:t>
      </w:r>
      <w:proofErr w:type="spellEnd"/>
      <w:r w:rsidRPr="008725BA">
        <w:rPr>
          <w:rFonts w:ascii="Book Antiqua" w:eastAsia="Book Antiqua" w:hAnsi="Book Antiqua" w:cs="Book Antiqua"/>
          <w:color w:val="000000"/>
        </w:rPr>
        <w:t xml:space="preserve"> J, </w:t>
      </w:r>
      <w:proofErr w:type="spellStart"/>
      <w:r w:rsidRPr="008725BA">
        <w:rPr>
          <w:rFonts w:ascii="Book Antiqua" w:eastAsia="Book Antiqua" w:hAnsi="Book Antiqua" w:cs="Book Antiqua"/>
          <w:color w:val="000000"/>
        </w:rPr>
        <w:t>Hombrados</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Morillas</w:t>
      </w:r>
      <w:proofErr w:type="spellEnd"/>
      <w:r w:rsidRPr="008725BA">
        <w:rPr>
          <w:rFonts w:ascii="Book Antiqua" w:eastAsia="Book Antiqua" w:hAnsi="Book Antiqua" w:cs="Book Antiqua"/>
          <w:color w:val="000000"/>
        </w:rPr>
        <w:t xml:space="preserve"> R, Martín-</w:t>
      </w:r>
      <w:proofErr w:type="spellStart"/>
      <w:r w:rsidRPr="008725BA">
        <w:rPr>
          <w:rFonts w:ascii="Book Antiqua" w:eastAsia="Book Antiqua" w:hAnsi="Book Antiqua" w:cs="Book Antiqua"/>
          <w:color w:val="000000"/>
        </w:rPr>
        <w:t>Llahí</w:t>
      </w:r>
      <w:proofErr w:type="spellEnd"/>
      <w:r w:rsidRPr="008725BA">
        <w:rPr>
          <w:rFonts w:ascii="Book Antiqua" w:eastAsia="Book Antiqua" w:hAnsi="Book Antiqua" w:cs="Book Antiqua"/>
          <w:color w:val="000000"/>
        </w:rPr>
        <w:t xml:space="preserve"> M, Pardo A, Sánchez J, Vargas V, </w:t>
      </w:r>
      <w:proofErr w:type="spellStart"/>
      <w:r w:rsidRPr="008725BA">
        <w:rPr>
          <w:rFonts w:ascii="Book Antiqua" w:eastAsia="Book Antiqua" w:hAnsi="Book Antiqua" w:cs="Book Antiqua"/>
          <w:color w:val="000000"/>
        </w:rPr>
        <w:t>Xiol</w:t>
      </w:r>
      <w:proofErr w:type="spellEnd"/>
      <w:r w:rsidRPr="008725BA">
        <w:rPr>
          <w:rFonts w:ascii="Book Antiqua" w:eastAsia="Book Antiqua" w:hAnsi="Book Antiqua" w:cs="Book Antiqua"/>
          <w:color w:val="000000"/>
        </w:rPr>
        <w:t xml:space="preserve"> X, </w:t>
      </w:r>
      <w:proofErr w:type="spellStart"/>
      <w:r w:rsidRPr="008725BA">
        <w:rPr>
          <w:rFonts w:ascii="Book Antiqua" w:eastAsia="Book Antiqua" w:hAnsi="Book Antiqua" w:cs="Book Antiqua"/>
          <w:color w:val="000000"/>
        </w:rPr>
        <w:t>Ginès</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Evaluación</w:t>
      </w:r>
      <w:proofErr w:type="spellEnd"/>
      <w:r w:rsidRPr="008725BA">
        <w:rPr>
          <w:rFonts w:ascii="Book Antiqua" w:eastAsia="Book Antiqua" w:hAnsi="Book Antiqua" w:cs="Book Antiqua"/>
          <w:color w:val="000000"/>
        </w:rPr>
        <w:t xml:space="preserve"> y </w:t>
      </w:r>
      <w:proofErr w:type="spellStart"/>
      <w:r w:rsidRPr="008725BA">
        <w:rPr>
          <w:rFonts w:ascii="Book Antiqua" w:eastAsia="Book Antiqua" w:hAnsi="Book Antiqua" w:cs="Book Antiqua"/>
          <w:color w:val="000000"/>
        </w:rPr>
        <w:t>tratamiento</w:t>
      </w:r>
      <w:proofErr w:type="spellEnd"/>
      <w:r w:rsidRPr="008725BA">
        <w:rPr>
          <w:rFonts w:ascii="Book Antiqua" w:eastAsia="Book Antiqua" w:hAnsi="Book Antiqua" w:cs="Book Antiqua"/>
          <w:color w:val="000000"/>
        </w:rPr>
        <w:t xml:space="preserve"> del </w:t>
      </w:r>
      <w:proofErr w:type="spellStart"/>
      <w:r w:rsidRPr="008725BA">
        <w:rPr>
          <w:rFonts w:ascii="Book Antiqua" w:eastAsia="Book Antiqua" w:hAnsi="Book Antiqua" w:cs="Book Antiqua"/>
          <w:color w:val="000000"/>
        </w:rPr>
        <w:t>paciente</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cirrótico</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crítico</w:t>
      </w:r>
      <w:proofErr w:type="spellEnd"/>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i/>
          <w:iCs/>
          <w:color w:val="000000"/>
        </w:rPr>
        <w:t>Gastroenterologia</w:t>
      </w:r>
      <w:proofErr w:type="spellEnd"/>
      <w:r w:rsidRPr="008725BA">
        <w:rPr>
          <w:rFonts w:ascii="Book Antiqua" w:eastAsia="Book Antiqua" w:hAnsi="Book Antiqua" w:cs="Book Antiqua"/>
          <w:i/>
          <w:iCs/>
          <w:color w:val="000000"/>
        </w:rPr>
        <w:t xml:space="preserve"> y </w:t>
      </w:r>
      <w:proofErr w:type="spellStart"/>
      <w:r w:rsidRPr="008725BA">
        <w:rPr>
          <w:rFonts w:ascii="Book Antiqua" w:eastAsia="Book Antiqua" w:hAnsi="Book Antiqua" w:cs="Book Antiqua"/>
          <w:i/>
          <w:iCs/>
          <w:color w:val="000000"/>
        </w:rPr>
        <w:t>Hepatologia</w:t>
      </w:r>
      <w:proofErr w:type="spellEnd"/>
      <w:r w:rsidRPr="008725BA">
        <w:rPr>
          <w:rFonts w:ascii="Book Antiqua" w:eastAsia="Book Antiqua" w:hAnsi="Book Antiqua" w:cs="Book Antiqua"/>
          <w:color w:val="000000"/>
        </w:rPr>
        <w:t xml:space="preserve"> 2016; </w:t>
      </w:r>
      <w:r w:rsidRPr="008725BA">
        <w:rPr>
          <w:rFonts w:ascii="Book Antiqua" w:eastAsia="Book Antiqua" w:hAnsi="Book Antiqua" w:cs="Book Antiqua"/>
          <w:b/>
          <w:bCs/>
          <w:color w:val="000000"/>
        </w:rPr>
        <w:t>39</w:t>
      </w:r>
      <w:r w:rsidRPr="008725BA">
        <w:rPr>
          <w:rFonts w:ascii="Book Antiqua" w:eastAsia="Book Antiqua" w:hAnsi="Book Antiqua" w:cs="Book Antiqua"/>
          <w:color w:val="000000"/>
        </w:rPr>
        <w:t>: 607–626 [DOI:</w:t>
      </w:r>
      <w:r w:rsidR="00B74CAE" w:rsidRPr="008725BA">
        <w:rPr>
          <w:rFonts w:ascii="Book Antiqua" w:eastAsia="Book Antiqua" w:hAnsi="Book Antiqua" w:cs="Book Antiqua"/>
          <w:color w:val="000000"/>
        </w:rPr>
        <w:t xml:space="preserve"> </w:t>
      </w:r>
      <w:r w:rsidRPr="008725BA">
        <w:rPr>
          <w:rFonts w:ascii="Book Antiqua" w:eastAsia="Book Antiqua" w:hAnsi="Book Antiqua" w:cs="Book Antiqua"/>
          <w:color w:val="000000"/>
        </w:rPr>
        <w:t>10.1016/j.gastrohep.2015.09.019]</w:t>
      </w:r>
    </w:p>
    <w:p w14:paraId="49F19CAC"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7 </w:t>
      </w:r>
      <w:r w:rsidRPr="008725BA">
        <w:rPr>
          <w:rFonts w:ascii="Book Antiqua" w:eastAsia="Book Antiqua" w:hAnsi="Book Antiqua" w:cs="Book Antiqua"/>
          <w:b/>
          <w:bCs/>
          <w:color w:val="000000"/>
        </w:rPr>
        <w:t>Piton G</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Chaignat</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Giabicani</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Cervoni</w:t>
      </w:r>
      <w:proofErr w:type="spellEnd"/>
      <w:r w:rsidRPr="008725BA">
        <w:rPr>
          <w:rFonts w:ascii="Book Antiqua" w:eastAsia="Book Antiqua" w:hAnsi="Book Antiqua" w:cs="Book Antiqua"/>
          <w:color w:val="000000"/>
        </w:rPr>
        <w:t xml:space="preserve"> JP, </w:t>
      </w:r>
      <w:proofErr w:type="spellStart"/>
      <w:r w:rsidRPr="008725BA">
        <w:rPr>
          <w:rFonts w:ascii="Book Antiqua" w:eastAsia="Book Antiqua" w:hAnsi="Book Antiqua" w:cs="Book Antiqua"/>
          <w:color w:val="000000"/>
        </w:rPr>
        <w:t>Tamion</w:t>
      </w:r>
      <w:proofErr w:type="spellEnd"/>
      <w:r w:rsidRPr="008725BA">
        <w:rPr>
          <w:rFonts w:ascii="Book Antiqua" w:eastAsia="Book Antiqua" w:hAnsi="Book Antiqua" w:cs="Book Antiqua"/>
          <w:color w:val="000000"/>
        </w:rPr>
        <w:t xml:space="preserve"> F, Weiss E, </w:t>
      </w:r>
      <w:proofErr w:type="spellStart"/>
      <w:r w:rsidRPr="008725BA">
        <w:rPr>
          <w:rFonts w:ascii="Book Antiqua" w:eastAsia="Book Antiqua" w:hAnsi="Book Antiqua" w:cs="Book Antiqua"/>
          <w:color w:val="000000"/>
        </w:rPr>
        <w:t>Paugam-Burtz</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Capellier</w:t>
      </w:r>
      <w:proofErr w:type="spellEnd"/>
      <w:r w:rsidRPr="008725BA">
        <w:rPr>
          <w:rFonts w:ascii="Book Antiqua" w:eastAsia="Book Antiqua" w:hAnsi="Book Antiqua" w:cs="Book Antiqua"/>
          <w:color w:val="000000"/>
        </w:rPr>
        <w:t xml:space="preserve"> G, Di Martino V. Prognosis of cirrhotic patients admitted to the general ICU. </w:t>
      </w:r>
      <w:r w:rsidRPr="008725BA">
        <w:rPr>
          <w:rFonts w:ascii="Book Antiqua" w:eastAsia="Book Antiqua" w:hAnsi="Book Antiqua" w:cs="Book Antiqua"/>
          <w:i/>
          <w:iCs/>
          <w:color w:val="000000"/>
        </w:rPr>
        <w:t>Ann Intensive Care</w:t>
      </w:r>
      <w:r w:rsidRPr="008725BA">
        <w:rPr>
          <w:rFonts w:ascii="Book Antiqua" w:eastAsia="Book Antiqua" w:hAnsi="Book Antiqua" w:cs="Book Antiqua"/>
          <w:color w:val="000000"/>
        </w:rPr>
        <w:t xml:space="preserve"> 2016; </w:t>
      </w:r>
      <w:r w:rsidRPr="008725BA">
        <w:rPr>
          <w:rFonts w:ascii="Book Antiqua" w:eastAsia="Book Antiqua" w:hAnsi="Book Antiqua" w:cs="Book Antiqua"/>
          <w:b/>
          <w:bCs/>
          <w:color w:val="000000"/>
        </w:rPr>
        <w:t>6</w:t>
      </w:r>
      <w:r w:rsidRPr="008725BA">
        <w:rPr>
          <w:rFonts w:ascii="Book Antiqua" w:eastAsia="Book Antiqua" w:hAnsi="Book Antiqua" w:cs="Book Antiqua"/>
          <w:color w:val="000000"/>
        </w:rPr>
        <w:t>: 94 [PMID: 27709556 DOI: 10.1186/s13613-016-0194-9]</w:t>
      </w:r>
    </w:p>
    <w:p w14:paraId="551457C9"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8 </w:t>
      </w:r>
      <w:r w:rsidRPr="008725BA">
        <w:rPr>
          <w:rFonts w:ascii="Book Antiqua" w:eastAsia="Book Antiqua" w:hAnsi="Book Antiqua" w:cs="Book Antiqua"/>
          <w:b/>
          <w:bCs/>
          <w:color w:val="000000"/>
        </w:rPr>
        <w:t>Ho YP</w:t>
      </w:r>
      <w:r w:rsidRPr="008725BA">
        <w:rPr>
          <w:rFonts w:ascii="Book Antiqua" w:eastAsia="Book Antiqua" w:hAnsi="Book Antiqua" w:cs="Book Antiqua"/>
          <w:color w:val="000000"/>
        </w:rPr>
        <w:t xml:space="preserve">, Chen YC, Yang C, Lien JM, Chu YY, Fang JT, Chiu CT, Chen PC, Tsai MH. Outcome prediction for critically ill cirrhotic patients: a comparison of APACHE II and Child-Pugh scoring systems. </w:t>
      </w:r>
      <w:r w:rsidRPr="008725BA">
        <w:rPr>
          <w:rFonts w:ascii="Book Antiqua" w:eastAsia="Book Antiqua" w:hAnsi="Book Antiqua" w:cs="Book Antiqua"/>
          <w:i/>
          <w:iCs/>
          <w:color w:val="000000"/>
        </w:rPr>
        <w:t>J Intensive Care Med</w:t>
      </w:r>
      <w:r w:rsidRPr="008725BA">
        <w:rPr>
          <w:rFonts w:ascii="Book Antiqua" w:eastAsia="Book Antiqua" w:hAnsi="Book Antiqua" w:cs="Book Antiqua"/>
          <w:color w:val="000000"/>
        </w:rPr>
        <w:t xml:space="preserve"> 2004; </w:t>
      </w:r>
      <w:r w:rsidRPr="008725BA">
        <w:rPr>
          <w:rFonts w:ascii="Book Antiqua" w:eastAsia="Book Antiqua" w:hAnsi="Book Antiqua" w:cs="Book Antiqua"/>
          <w:b/>
          <w:bCs/>
          <w:color w:val="000000"/>
        </w:rPr>
        <w:t>19</w:t>
      </w:r>
      <w:r w:rsidRPr="008725BA">
        <w:rPr>
          <w:rFonts w:ascii="Book Antiqua" w:eastAsia="Book Antiqua" w:hAnsi="Book Antiqua" w:cs="Book Antiqua"/>
          <w:color w:val="000000"/>
        </w:rPr>
        <w:t>: 105-110 [PMID: 15070520 DOI: 10.1177/0885066603261991]</w:t>
      </w:r>
    </w:p>
    <w:p w14:paraId="0878AA0B"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9 </w:t>
      </w:r>
      <w:r w:rsidRPr="008725BA">
        <w:rPr>
          <w:rFonts w:ascii="Book Antiqua" w:eastAsia="Book Antiqua" w:hAnsi="Book Antiqua" w:cs="Book Antiqua"/>
          <w:b/>
          <w:bCs/>
          <w:color w:val="000000"/>
        </w:rPr>
        <w:t>Levesque E</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Saliba</w:t>
      </w:r>
      <w:proofErr w:type="spellEnd"/>
      <w:r w:rsidRPr="008725BA">
        <w:rPr>
          <w:rFonts w:ascii="Book Antiqua" w:eastAsia="Book Antiqua" w:hAnsi="Book Antiqua" w:cs="Book Antiqua"/>
          <w:color w:val="000000"/>
        </w:rPr>
        <w:t xml:space="preserve"> F, </w:t>
      </w:r>
      <w:proofErr w:type="spellStart"/>
      <w:r w:rsidRPr="008725BA">
        <w:rPr>
          <w:rFonts w:ascii="Book Antiqua" w:eastAsia="Book Antiqua" w:hAnsi="Book Antiqua" w:cs="Book Antiqua"/>
          <w:color w:val="000000"/>
        </w:rPr>
        <w:t>Ichaï</w:t>
      </w:r>
      <w:proofErr w:type="spellEnd"/>
      <w:r w:rsidRPr="008725BA">
        <w:rPr>
          <w:rFonts w:ascii="Book Antiqua" w:eastAsia="Book Antiqua" w:hAnsi="Book Antiqua" w:cs="Book Antiqua"/>
          <w:color w:val="000000"/>
        </w:rPr>
        <w:t xml:space="preserve"> P, Samuel D. Outcome of patients with cirrhosis requiring mechanical ventilation in ICU. </w:t>
      </w:r>
      <w:r w:rsidRPr="008725BA">
        <w:rPr>
          <w:rFonts w:ascii="Book Antiqua" w:eastAsia="Book Antiqua" w:hAnsi="Book Antiqua" w:cs="Book Antiqua"/>
          <w:i/>
          <w:iCs/>
          <w:color w:val="000000"/>
        </w:rPr>
        <w:t>J Hepatol</w:t>
      </w:r>
      <w:r w:rsidRPr="008725BA">
        <w:rPr>
          <w:rFonts w:ascii="Book Antiqua" w:eastAsia="Book Antiqua" w:hAnsi="Book Antiqua" w:cs="Book Antiqua"/>
          <w:color w:val="000000"/>
        </w:rPr>
        <w:t xml:space="preserve"> 2014; </w:t>
      </w:r>
      <w:r w:rsidRPr="008725BA">
        <w:rPr>
          <w:rFonts w:ascii="Book Antiqua" w:eastAsia="Book Antiqua" w:hAnsi="Book Antiqua" w:cs="Book Antiqua"/>
          <w:b/>
          <w:bCs/>
          <w:color w:val="000000"/>
        </w:rPr>
        <w:t>60</w:t>
      </w:r>
      <w:r w:rsidRPr="008725BA">
        <w:rPr>
          <w:rFonts w:ascii="Book Antiqua" w:eastAsia="Book Antiqua" w:hAnsi="Book Antiqua" w:cs="Book Antiqua"/>
          <w:color w:val="000000"/>
        </w:rPr>
        <w:t>: 570-578 [PMID: 24280294 DOI: 10.1016/j.jhep.2013.11.012]</w:t>
      </w:r>
    </w:p>
    <w:p w14:paraId="18200A51" w14:textId="64C9B7DC" w:rsidR="00A77B3E" w:rsidRPr="008725BA" w:rsidRDefault="00034438" w:rsidP="008725BA">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8725BA">
        <w:rPr>
          <w:rFonts w:ascii="Book Antiqua" w:eastAsia="Book Antiqua" w:hAnsi="Book Antiqua" w:cs="Book Antiqua"/>
          <w:color w:val="000000"/>
        </w:rPr>
        <w:t xml:space="preserve">10 </w:t>
      </w:r>
      <w:proofErr w:type="spellStart"/>
      <w:r w:rsidR="004A2564" w:rsidRPr="008725BA">
        <w:rPr>
          <w:rFonts w:ascii="Book Antiqua" w:hAnsi="Book Antiqua"/>
          <w:b/>
          <w:bCs/>
          <w:color w:val="201F35"/>
        </w:rPr>
        <w:t>Simonetto</w:t>
      </w:r>
      <w:proofErr w:type="spellEnd"/>
      <w:r w:rsidR="004A2564" w:rsidRPr="008725BA">
        <w:rPr>
          <w:rFonts w:ascii="Book Antiqua" w:hAnsi="Book Antiqua"/>
          <w:b/>
          <w:bCs/>
          <w:color w:val="201F35"/>
        </w:rPr>
        <w:t xml:space="preserve"> DA</w:t>
      </w:r>
      <w:r w:rsidR="004A2564" w:rsidRPr="008725BA">
        <w:rPr>
          <w:rFonts w:ascii="Book Antiqua" w:hAnsi="Book Antiqua"/>
          <w:color w:val="201F35"/>
        </w:rPr>
        <w:t xml:space="preserve">, </w:t>
      </w:r>
      <w:proofErr w:type="spellStart"/>
      <w:r w:rsidR="004A2564" w:rsidRPr="008725BA">
        <w:rPr>
          <w:rFonts w:ascii="Book Antiqua" w:hAnsi="Book Antiqua"/>
          <w:color w:val="201F35"/>
        </w:rPr>
        <w:t>Gines</w:t>
      </w:r>
      <w:proofErr w:type="spellEnd"/>
      <w:r w:rsidR="004A2564" w:rsidRPr="008725BA">
        <w:rPr>
          <w:rFonts w:ascii="Book Antiqua" w:hAnsi="Book Antiqua"/>
          <w:color w:val="201F35"/>
        </w:rPr>
        <w:t xml:space="preserve"> P, Kamath PS. Hepatorenal syndrome: pathophysiology, diagnosis, and management. </w:t>
      </w:r>
      <w:r w:rsidR="004A2564" w:rsidRPr="008725BA">
        <w:rPr>
          <w:rFonts w:ascii="Book Antiqua" w:hAnsi="Book Antiqua"/>
          <w:i/>
          <w:iCs/>
          <w:color w:val="201F35"/>
        </w:rPr>
        <w:t>BMJ</w:t>
      </w:r>
      <w:r w:rsidR="004A2564" w:rsidRPr="008725BA">
        <w:rPr>
          <w:rFonts w:ascii="Book Antiqua" w:hAnsi="Book Antiqua"/>
          <w:color w:val="201F35"/>
        </w:rPr>
        <w:t> 2020; </w:t>
      </w:r>
      <w:r w:rsidR="004A2564" w:rsidRPr="008725BA">
        <w:rPr>
          <w:rFonts w:ascii="Book Antiqua" w:hAnsi="Book Antiqua"/>
          <w:b/>
          <w:bCs/>
          <w:color w:val="201F35"/>
        </w:rPr>
        <w:t>370</w:t>
      </w:r>
      <w:r w:rsidR="004A2564" w:rsidRPr="008725BA">
        <w:rPr>
          <w:rFonts w:ascii="Book Antiqua" w:hAnsi="Book Antiqua"/>
          <w:color w:val="201F35"/>
        </w:rPr>
        <w:t>: m2687 [PMID: 32928750 DOI: 10.1136/bmj.m2687]</w:t>
      </w:r>
    </w:p>
    <w:p w14:paraId="2038803F"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11 </w:t>
      </w:r>
      <w:proofErr w:type="spellStart"/>
      <w:r w:rsidRPr="008725BA">
        <w:rPr>
          <w:rFonts w:ascii="Book Antiqua" w:eastAsia="Book Antiqua" w:hAnsi="Book Antiqua" w:cs="Book Antiqua"/>
          <w:b/>
          <w:bCs/>
          <w:color w:val="000000"/>
        </w:rPr>
        <w:t>Bassetti</w:t>
      </w:r>
      <w:proofErr w:type="spellEnd"/>
      <w:r w:rsidRPr="008725BA">
        <w:rPr>
          <w:rFonts w:ascii="Book Antiqua" w:eastAsia="Book Antiqua" w:hAnsi="Book Antiqua" w:cs="Book Antiqua"/>
          <w:b/>
          <w:bCs/>
          <w:color w:val="000000"/>
        </w:rPr>
        <w:t xml:space="preserve"> M</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Peghin</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Carnelutti</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Righi</w:t>
      </w:r>
      <w:proofErr w:type="spellEnd"/>
      <w:r w:rsidRPr="008725BA">
        <w:rPr>
          <w:rFonts w:ascii="Book Antiqua" w:eastAsia="Book Antiqua" w:hAnsi="Book Antiqua" w:cs="Book Antiqua"/>
          <w:color w:val="000000"/>
        </w:rPr>
        <w:t xml:space="preserve"> E, </w:t>
      </w:r>
      <w:proofErr w:type="spellStart"/>
      <w:r w:rsidRPr="008725BA">
        <w:rPr>
          <w:rFonts w:ascii="Book Antiqua" w:eastAsia="Book Antiqua" w:hAnsi="Book Antiqua" w:cs="Book Antiqua"/>
          <w:color w:val="000000"/>
        </w:rPr>
        <w:t>Merelli</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Ansaldi</w:t>
      </w:r>
      <w:proofErr w:type="spellEnd"/>
      <w:r w:rsidRPr="008725BA">
        <w:rPr>
          <w:rFonts w:ascii="Book Antiqua" w:eastAsia="Book Antiqua" w:hAnsi="Book Antiqua" w:cs="Book Antiqua"/>
          <w:color w:val="000000"/>
        </w:rPr>
        <w:t xml:space="preserve"> F, </w:t>
      </w:r>
      <w:proofErr w:type="spellStart"/>
      <w:r w:rsidRPr="008725BA">
        <w:rPr>
          <w:rFonts w:ascii="Book Antiqua" w:eastAsia="Book Antiqua" w:hAnsi="Book Antiqua" w:cs="Book Antiqua"/>
          <w:color w:val="000000"/>
        </w:rPr>
        <w:t>Trucchi</w:t>
      </w:r>
      <w:proofErr w:type="spellEnd"/>
      <w:r w:rsidRPr="008725BA">
        <w:rPr>
          <w:rFonts w:ascii="Book Antiqua" w:eastAsia="Book Antiqua" w:hAnsi="Book Antiqua" w:cs="Book Antiqua"/>
          <w:color w:val="000000"/>
        </w:rPr>
        <w:t xml:space="preserve"> C, Alicino C, Sartor A, </w:t>
      </w:r>
      <w:proofErr w:type="spellStart"/>
      <w:r w:rsidRPr="008725BA">
        <w:rPr>
          <w:rFonts w:ascii="Book Antiqua" w:eastAsia="Book Antiqua" w:hAnsi="Book Antiqua" w:cs="Book Antiqua"/>
          <w:color w:val="000000"/>
        </w:rPr>
        <w:t>Toniutto</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Wauters</w:t>
      </w:r>
      <w:proofErr w:type="spellEnd"/>
      <w:r w:rsidRPr="008725BA">
        <w:rPr>
          <w:rFonts w:ascii="Book Antiqua" w:eastAsia="Book Antiqua" w:hAnsi="Book Antiqua" w:cs="Book Antiqua"/>
          <w:color w:val="000000"/>
        </w:rPr>
        <w:t xml:space="preserve"> J, </w:t>
      </w:r>
      <w:proofErr w:type="spellStart"/>
      <w:r w:rsidRPr="008725BA">
        <w:rPr>
          <w:rFonts w:ascii="Book Antiqua" w:eastAsia="Book Antiqua" w:hAnsi="Book Antiqua" w:cs="Book Antiqua"/>
          <w:color w:val="000000"/>
        </w:rPr>
        <w:t>Laleman</w:t>
      </w:r>
      <w:proofErr w:type="spellEnd"/>
      <w:r w:rsidRPr="008725BA">
        <w:rPr>
          <w:rFonts w:ascii="Book Antiqua" w:eastAsia="Book Antiqua" w:hAnsi="Book Antiqua" w:cs="Book Antiqua"/>
          <w:color w:val="000000"/>
        </w:rPr>
        <w:t xml:space="preserve"> W, </w:t>
      </w:r>
      <w:proofErr w:type="spellStart"/>
      <w:r w:rsidRPr="008725BA">
        <w:rPr>
          <w:rFonts w:ascii="Book Antiqua" w:eastAsia="Book Antiqua" w:hAnsi="Book Antiqua" w:cs="Book Antiqua"/>
          <w:color w:val="000000"/>
        </w:rPr>
        <w:t>Tascini</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Menichetti</w:t>
      </w:r>
      <w:proofErr w:type="spellEnd"/>
      <w:r w:rsidRPr="008725BA">
        <w:rPr>
          <w:rFonts w:ascii="Book Antiqua" w:eastAsia="Book Antiqua" w:hAnsi="Book Antiqua" w:cs="Book Antiqua"/>
          <w:color w:val="000000"/>
        </w:rPr>
        <w:t xml:space="preserve"> F, </w:t>
      </w:r>
      <w:proofErr w:type="spellStart"/>
      <w:r w:rsidRPr="008725BA">
        <w:rPr>
          <w:rFonts w:ascii="Book Antiqua" w:eastAsia="Book Antiqua" w:hAnsi="Book Antiqua" w:cs="Book Antiqua"/>
          <w:color w:val="000000"/>
        </w:rPr>
        <w:t>Luzzati</w:t>
      </w:r>
      <w:proofErr w:type="spellEnd"/>
      <w:r w:rsidRPr="008725BA">
        <w:rPr>
          <w:rFonts w:ascii="Book Antiqua" w:eastAsia="Book Antiqua" w:hAnsi="Book Antiqua" w:cs="Book Antiqua"/>
          <w:color w:val="000000"/>
        </w:rPr>
        <w:t xml:space="preserve"> R, </w:t>
      </w:r>
      <w:proofErr w:type="spellStart"/>
      <w:r w:rsidRPr="008725BA">
        <w:rPr>
          <w:rFonts w:ascii="Book Antiqua" w:eastAsia="Book Antiqua" w:hAnsi="Book Antiqua" w:cs="Book Antiqua"/>
          <w:color w:val="000000"/>
        </w:rPr>
        <w:t>Brugnaro</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Mesini</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Raviolo</w:t>
      </w:r>
      <w:proofErr w:type="spellEnd"/>
      <w:r w:rsidRPr="008725BA">
        <w:rPr>
          <w:rFonts w:ascii="Book Antiqua" w:eastAsia="Book Antiqua" w:hAnsi="Book Antiqua" w:cs="Book Antiqua"/>
          <w:color w:val="000000"/>
        </w:rPr>
        <w:t xml:space="preserve"> S, De Rosa FG, Lagunes L, </w:t>
      </w:r>
      <w:proofErr w:type="spellStart"/>
      <w:r w:rsidRPr="008725BA">
        <w:rPr>
          <w:rFonts w:ascii="Book Antiqua" w:eastAsia="Book Antiqua" w:hAnsi="Book Antiqua" w:cs="Book Antiqua"/>
          <w:color w:val="000000"/>
        </w:rPr>
        <w:t>Rello</w:t>
      </w:r>
      <w:proofErr w:type="spellEnd"/>
      <w:r w:rsidRPr="008725BA">
        <w:rPr>
          <w:rFonts w:ascii="Book Antiqua" w:eastAsia="Book Antiqua" w:hAnsi="Book Antiqua" w:cs="Book Antiqua"/>
          <w:color w:val="000000"/>
        </w:rPr>
        <w:t xml:space="preserve"> J, </w:t>
      </w:r>
      <w:proofErr w:type="spellStart"/>
      <w:r w:rsidRPr="008725BA">
        <w:rPr>
          <w:rFonts w:ascii="Book Antiqua" w:eastAsia="Book Antiqua" w:hAnsi="Book Antiqua" w:cs="Book Antiqua"/>
          <w:color w:val="000000"/>
        </w:rPr>
        <w:t>Dimopoulos</w:t>
      </w:r>
      <w:proofErr w:type="spellEnd"/>
      <w:r w:rsidRPr="008725BA">
        <w:rPr>
          <w:rFonts w:ascii="Book Antiqua" w:eastAsia="Book Antiqua" w:hAnsi="Book Antiqua" w:cs="Book Antiqua"/>
          <w:color w:val="000000"/>
        </w:rPr>
        <w:t xml:space="preserve"> G, Colombo AL, Nucci M, Vena A, Bouza E, Muñoz P, </w:t>
      </w:r>
      <w:proofErr w:type="spellStart"/>
      <w:r w:rsidRPr="008725BA">
        <w:rPr>
          <w:rFonts w:ascii="Book Antiqua" w:eastAsia="Book Antiqua" w:hAnsi="Book Antiqua" w:cs="Book Antiqua"/>
          <w:color w:val="000000"/>
        </w:rPr>
        <w:t>Tumbarello</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Losito</w:t>
      </w:r>
      <w:proofErr w:type="spellEnd"/>
      <w:r w:rsidRPr="008725BA">
        <w:rPr>
          <w:rFonts w:ascii="Book Antiqua" w:eastAsia="Book Antiqua" w:hAnsi="Book Antiqua" w:cs="Book Antiqua"/>
          <w:color w:val="000000"/>
        </w:rPr>
        <w:t xml:space="preserve"> R, Martin-</w:t>
      </w:r>
      <w:proofErr w:type="spellStart"/>
      <w:r w:rsidRPr="008725BA">
        <w:rPr>
          <w:rFonts w:ascii="Book Antiqua" w:eastAsia="Book Antiqua" w:hAnsi="Book Antiqua" w:cs="Book Antiqua"/>
          <w:color w:val="000000"/>
        </w:rPr>
        <w:t>Loeches</w:t>
      </w:r>
      <w:proofErr w:type="spellEnd"/>
      <w:r w:rsidRPr="008725BA">
        <w:rPr>
          <w:rFonts w:ascii="Book Antiqua" w:eastAsia="Book Antiqua" w:hAnsi="Book Antiqua" w:cs="Book Antiqua"/>
          <w:color w:val="000000"/>
        </w:rPr>
        <w:t xml:space="preserve"> I, </w:t>
      </w:r>
      <w:proofErr w:type="spellStart"/>
      <w:r w:rsidRPr="008725BA">
        <w:rPr>
          <w:rFonts w:ascii="Book Antiqua" w:eastAsia="Book Antiqua" w:hAnsi="Book Antiqua" w:cs="Book Antiqua"/>
          <w:color w:val="000000"/>
        </w:rPr>
        <w:t>Viscoli</w:t>
      </w:r>
      <w:proofErr w:type="spellEnd"/>
      <w:r w:rsidRPr="008725BA">
        <w:rPr>
          <w:rFonts w:ascii="Book Antiqua" w:eastAsia="Book Antiqua" w:hAnsi="Book Antiqua" w:cs="Book Antiqua"/>
          <w:color w:val="000000"/>
        </w:rPr>
        <w:t xml:space="preserve"> C. Clinical characteristics and predictors of mortality in cirrhotic patients with candidemia and intra-abdominal candidiasis: a multicenter study. </w:t>
      </w:r>
      <w:r w:rsidRPr="008725BA">
        <w:rPr>
          <w:rFonts w:ascii="Book Antiqua" w:eastAsia="Book Antiqua" w:hAnsi="Book Antiqua" w:cs="Book Antiqua"/>
          <w:i/>
          <w:iCs/>
          <w:color w:val="000000"/>
        </w:rPr>
        <w:t>Intensive Care Med</w:t>
      </w:r>
      <w:r w:rsidRPr="008725BA">
        <w:rPr>
          <w:rFonts w:ascii="Book Antiqua" w:eastAsia="Book Antiqua" w:hAnsi="Book Antiqua" w:cs="Book Antiqua"/>
          <w:color w:val="000000"/>
        </w:rPr>
        <w:t xml:space="preserve"> 2017; </w:t>
      </w:r>
      <w:r w:rsidRPr="008725BA">
        <w:rPr>
          <w:rFonts w:ascii="Book Antiqua" w:eastAsia="Book Antiqua" w:hAnsi="Book Antiqua" w:cs="Book Antiqua"/>
          <w:b/>
          <w:bCs/>
          <w:color w:val="000000"/>
        </w:rPr>
        <w:t>43</w:t>
      </w:r>
      <w:r w:rsidRPr="008725BA">
        <w:rPr>
          <w:rFonts w:ascii="Book Antiqua" w:eastAsia="Book Antiqua" w:hAnsi="Book Antiqua" w:cs="Book Antiqua"/>
          <w:color w:val="000000"/>
        </w:rPr>
        <w:t>: 509-518 [PMID: 28271321 DOI: 10.1007/s00134-017-4717-0]</w:t>
      </w:r>
    </w:p>
    <w:p w14:paraId="329CBAEB"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12 </w:t>
      </w:r>
      <w:r w:rsidRPr="008725BA">
        <w:rPr>
          <w:rFonts w:ascii="Book Antiqua" w:eastAsia="Book Antiqua" w:hAnsi="Book Antiqua" w:cs="Book Antiqua"/>
          <w:b/>
          <w:bCs/>
          <w:color w:val="000000"/>
        </w:rPr>
        <w:t>Lim LG</w:t>
      </w:r>
      <w:r w:rsidRPr="008725BA">
        <w:rPr>
          <w:rFonts w:ascii="Book Antiqua" w:eastAsia="Book Antiqua" w:hAnsi="Book Antiqua" w:cs="Book Antiqua"/>
          <w:color w:val="000000"/>
        </w:rPr>
        <w:t xml:space="preserve">, Tan XX, Woo SJ, Dan YY, Lee YM, Lai V, Lim SG. Risk factors for mortality in cirrhotic patients with sepsis. </w:t>
      </w:r>
      <w:r w:rsidRPr="008725BA">
        <w:rPr>
          <w:rFonts w:ascii="Book Antiqua" w:eastAsia="Book Antiqua" w:hAnsi="Book Antiqua" w:cs="Book Antiqua"/>
          <w:i/>
          <w:iCs/>
          <w:color w:val="000000"/>
        </w:rPr>
        <w:t>Hepatol Int</w:t>
      </w:r>
      <w:r w:rsidRPr="008725BA">
        <w:rPr>
          <w:rFonts w:ascii="Book Antiqua" w:eastAsia="Book Antiqua" w:hAnsi="Book Antiqua" w:cs="Book Antiqua"/>
          <w:color w:val="000000"/>
        </w:rPr>
        <w:t xml:space="preserve"> 2011; </w:t>
      </w:r>
      <w:r w:rsidRPr="008725BA">
        <w:rPr>
          <w:rFonts w:ascii="Book Antiqua" w:eastAsia="Book Antiqua" w:hAnsi="Book Antiqua" w:cs="Book Antiqua"/>
          <w:b/>
          <w:bCs/>
          <w:color w:val="000000"/>
        </w:rPr>
        <w:t>5</w:t>
      </w:r>
      <w:r w:rsidRPr="008725BA">
        <w:rPr>
          <w:rFonts w:ascii="Book Antiqua" w:eastAsia="Book Antiqua" w:hAnsi="Book Antiqua" w:cs="Book Antiqua"/>
          <w:color w:val="000000"/>
        </w:rPr>
        <w:t>: 800-807 [PMID: 21484126 DOI: 10.1007/s12072-011-9258-y]</w:t>
      </w:r>
    </w:p>
    <w:p w14:paraId="41BB8E88" w14:textId="6059906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lastRenderedPageBreak/>
        <w:t xml:space="preserve">13 </w:t>
      </w:r>
      <w:r w:rsidR="004A2564" w:rsidRPr="008725BA">
        <w:rPr>
          <w:rFonts w:ascii="Book Antiqua" w:hAnsi="Book Antiqua"/>
          <w:b/>
          <w:bCs/>
          <w:color w:val="201F35"/>
        </w:rPr>
        <w:t>Levy MM</w:t>
      </w:r>
      <w:r w:rsidR="004A2564" w:rsidRPr="008725BA">
        <w:rPr>
          <w:rFonts w:ascii="Book Antiqua" w:hAnsi="Book Antiqua"/>
          <w:color w:val="201F35"/>
        </w:rPr>
        <w:t>, Evans LE, Rhodes A. The Surviving Sepsis Campaign Bundle: 2018 update. </w:t>
      </w:r>
      <w:r w:rsidR="004A2564" w:rsidRPr="008725BA">
        <w:rPr>
          <w:rFonts w:ascii="Book Antiqua" w:hAnsi="Book Antiqua"/>
          <w:i/>
          <w:iCs/>
          <w:color w:val="201F35"/>
        </w:rPr>
        <w:t>Intensive Care Med</w:t>
      </w:r>
      <w:r w:rsidR="004A2564" w:rsidRPr="008725BA">
        <w:rPr>
          <w:rFonts w:ascii="Book Antiqua" w:hAnsi="Book Antiqua"/>
          <w:color w:val="201F35"/>
        </w:rPr>
        <w:t> 2018; </w:t>
      </w:r>
      <w:r w:rsidR="004A2564" w:rsidRPr="008725BA">
        <w:rPr>
          <w:rFonts w:ascii="Book Antiqua" w:hAnsi="Book Antiqua"/>
          <w:b/>
          <w:bCs/>
          <w:color w:val="201F35"/>
        </w:rPr>
        <w:t>44</w:t>
      </w:r>
      <w:r w:rsidR="004A2564" w:rsidRPr="008725BA">
        <w:rPr>
          <w:rFonts w:ascii="Book Antiqua" w:hAnsi="Book Antiqua"/>
          <w:color w:val="201F35"/>
        </w:rPr>
        <w:t>: 925-928 [PMID: 29675566 DOI: 10.1097/CCM.0000000000003119]</w:t>
      </w:r>
    </w:p>
    <w:p w14:paraId="5357C3FB"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14 </w:t>
      </w:r>
      <w:proofErr w:type="spellStart"/>
      <w:r w:rsidRPr="008725BA">
        <w:rPr>
          <w:rFonts w:ascii="Book Antiqua" w:eastAsia="Book Antiqua" w:hAnsi="Book Antiqua" w:cs="Book Antiqua"/>
          <w:b/>
          <w:bCs/>
          <w:color w:val="000000"/>
        </w:rPr>
        <w:t>Ginès</w:t>
      </w:r>
      <w:proofErr w:type="spellEnd"/>
      <w:r w:rsidRPr="008725BA">
        <w:rPr>
          <w:rFonts w:ascii="Book Antiqua" w:eastAsia="Book Antiqua" w:hAnsi="Book Antiqua" w:cs="Book Antiqua"/>
          <w:b/>
          <w:bCs/>
          <w:color w:val="000000"/>
        </w:rPr>
        <w:t xml:space="preserve"> P</w:t>
      </w:r>
      <w:r w:rsidRPr="008725BA">
        <w:rPr>
          <w:rFonts w:ascii="Book Antiqua" w:eastAsia="Book Antiqua" w:hAnsi="Book Antiqua" w:cs="Book Antiqua"/>
          <w:color w:val="000000"/>
        </w:rPr>
        <w:t xml:space="preserve">, Fernández J, Durand F, </w:t>
      </w:r>
      <w:proofErr w:type="spellStart"/>
      <w:r w:rsidRPr="008725BA">
        <w:rPr>
          <w:rFonts w:ascii="Book Antiqua" w:eastAsia="Book Antiqua" w:hAnsi="Book Antiqua" w:cs="Book Antiqua"/>
          <w:color w:val="000000"/>
        </w:rPr>
        <w:t>Saliba</w:t>
      </w:r>
      <w:proofErr w:type="spellEnd"/>
      <w:r w:rsidRPr="008725BA">
        <w:rPr>
          <w:rFonts w:ascii="Book Antiqua" w:eastAsia="Book Antiqua" w:hAnsi="Book Antiqua" w:cs="Book Antiqua"/>
          <w:color w:val="000000"/>
        </w:rPr>
        <w:t xml:space="preserve"> F. Management of critically-ill cirrhotic patients. </w:t>
      </w:r>
      <w:r w:rsidRPr="008725BA">
        <w:rPr>
          <w:rFonts w:ascii="Book Antiqua" w:eastAsia="Book Antiqua" w:hAnsi="Book Antiqua" w:cs="Book Antiqua"/>
          <w:i/>
          <w:iCs/>
          <w:color w:val="000000"/>
        </w:rPr>
        <w:t>J Hepatol</w:t>
      </w:r>
      <w:r w:rsidRPr="008725BA">
        <w:rPr>
          <w:rFonts w:ascii="Book Antiqua" w:eastAsia="Book Antiqua" w:hAnsi="Book Antiqua" w:cs="Book Antiqua"/>
          <w:color w:val="000000"/>
        </w:rPr>
        <w:t xml:space="preserve"> 2012; </w:t>
      </w:r>
      <w:r w:rsidRPr="008725BA">
        <w:rPr>
          <w:rFonts w:ascii="Book Antiqua" w:eastAsia="Book Antiqua" w:hAnsi="Book Antiqua" w:cs="Book Antiqua"/>
          <w:b/>
          <w:bCs/>
          <w:color w:val="000000"/>
        </w:rPr>
        <w:t xml:space="preserve">56 </w:t>
      </w:r>
      <w:r w:rsidRPr="008725BA">
        <w:rPr>
          <w:rFonts w:ascii="Book Antiqua" w:eastAsia="Book Antiqua" w:hAnsi="Book Antiqua" w:cs="Book Antiqua"/>
          <w:color w:val="000000"/>
        </w:rPr>
        <w:t>Suppl 1: S13-S24 [PMID: 22300462 DOI: 10.1016/S0168-8278(12)60003-8]</w:t>
      </w:r>
    </w:p>
    <w:p w14:paraId="69066672"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15 </w:t>
      </w:r>
      <w:proofErr w:type="spellStart"/>
      <w:r w:rsidRPr="008725BA">
        <w:rPr>
          <w:rFonts w:ascii="Book Antiqua" w:eastAsia="Book Antiqua" w:hAnsi="Book Antiqua" w:cs="Book Antiqua"/>
          <w:b/>
          <w:bCs/>
          <w:color w:val="000000"/>
        </w:rPr>
        <w:t>Gustot</w:t>
      </w:r>
      <w:proofErr w:type="spellEnd"/>
      <w:r w:rsidRPr="008725BA">
        <w:rPr>
          <w:rFonts w:ascii="Book Antiqua" w:eastAsia="Book Antiqua" w:hAnsi="Book Antiqua" w:cs="Book Antiqua"/>
          <w:b/>
          <w:bCs/>
          <w:color w:val="000000"/>
        </w:rPr>
        <w:t xml:space="preserve"> T</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Felleiter</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Pickkers</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Sakr</w:t>
      </w:r>
      <w:proofErr w:type="spellEnd"/>
      <w:r w:rsidRPr="008725BA">
        <w:rPr>
          <w:rFonts w:ascii="Book Antiqua" w:eastAsia="Book Antiqua" w:hAnsi="Book Antiqua" w:cs="Book Antiqua"/>
          <w:color w:val="000000"/>
        </w:rPr>
        <w:t xml:space="preserve"> Y, </w:t>
      </w:r>
      <w:proofErr w:type="spellStart"/>
      <w:r w:rsidRPr="008725BA">
        <w:rPr>
          <w:rFonts w:ascii="Book Antiqua" w:eastAsia="Book Antiqua" w:hAnsi="Book Antiqua" w:cs="Book Antiqua"/>
          <w:color w:val="000000"/>
        </w:rPr>
        <w:t>Rello</w:t>
      </w:r>
      <w:proofErr w:type="spellEnd"/>
      <w:r w:rsidRPr="008725BA">
        <w:rPr>
          <w:rFonts w:ascii="Book Antiqua" w:eastAsia="Book Antiqua" w:hAnsi="Book Antiqua" w:cs="Book Antiqua"/>
          <w:color w:val="000000"/>
        </w:rPr>
        <w:t xml:space="preserve"> J, </w:t>
      </w:r>
      <w:proofErr w:type="spellStart"/>
      <w:r w:rsidRPr="008725BA">
        <w:rPr>
          <w:rFonts w:ascii="Book Antiqua" w:eastAsia="Book Antiqua" w:hAnsi="Book Antiqua" w:cs="Book Antiqua"/>
          <w:color w:val="000000"/>
        </w:rPr>
        <w:t>Velissaris</w:t>
      </w:r>
      <w:proofErr w:type="spellEnd"/>
      <w:r w:rsidRPr="008725BA">
        <w:rPr>
          <w:rFonts w:ascii="Book Antiqua" w:eastAsia="Book Antiqua" w:hAnsi="Book Antiqua" w:cs="Book Antiqua"/>
          <w:color w:val="000000"/>
        </w:rPr>
        <w:t xml:space="preserve"> D, </w:t>
      </w:r>
      <w:proofErr w:type="spellStart"/>
      <w:r w:rsidRPr="008725BA">
        <w:rPr>
          <w:rFonts w:ascii="Book Antiqua" w:eastAsia="Book Antiqua" w:hAnsi="Book Antiqua" w:cs="Book Antiqua"/>
          <w:color w:val="000000"/>
        </w:rPr>
        <w:t>Pierrakos</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Taccone</w:t>
      </w:r>
      <w:proofErr w:type="spellEnd"/>
      <w:r w:rsidRPr="008725BA">
        <w:rPr>
          <w:rFonts w:ascii="Book Antiqua" w:eastAsia="Book Antiqua" w:hAnsi="Book Antiqua" w:cs="Book Antiqua"/>
          <w:color w:val="000000"/>
        </w:rPr>
        <w:t xml:space="preserve"> FS, </w:t>
      </w:r>
      <w:proofErr w:type="spellStart"/>
      <w:r w:rsidRPr="008725BA">
        <w:rPr>
          <w:rFonts w:ascii="Book Antiqua" w:eastAsia="Book Antiqua" w:hAnsi="Book Antiqua" w:cs="Book Antiqua"/>
          <w:color w:val="000000"/>
        </w:rPr>
        <w:t>Sevcik</w:t>
      </w:r>
      <w:proofErr w:type="spellEnd"/>
      <w:r w:rsidRPr="008725BA">
        <w:rPr>
          <w:rFonts w:ascii="Book Antiqua" w:eastAsia="Book Antiqua" w:hAnsi="Book Antiqua" w:cs="Book Antiqua"/>
          <w:color w:val="000000"/>
        </w:rPr>
        <w:t xml:space="preserve"> P, Moreno C, Vincent JL; EPIC II Group of Investigators. Impact of infection on the prognosis of critically ill cirrhotic patients: results from a large worldwide study. </w:t>
      </w:r>
      <w:r w:rsidRPr="008725BA">
        <w:rPr>
          <w:rFonts w:ascii="Book Antiqua" w:eastAsia="Book Antiqua" w:hAnsi="Book Antiqua" w:cs="Book Antiqua"/>
          <w:i/>
          <w:iCs/>
          <w:color w:val="000000"/>
        </w:rPr>
        <w:t>Liver Int</w:t>
      </w:r>
      <w:r w:rsidRPr="008725BA">
        <w:rPr>
          <w:rFonts w:ascii="Book Antiqua" w:eastAsia="Book Antiqua" w:hAnsi="Book Antiqua" w:cs="Book Antiqua"/>
          <w:color w:val="000000"/>
        </w:rPr>
        <w:t xml:space="preserve"> 2014; </w:t>
      </w:r>
      <w:r w:rsidRPr="008725BA">
        <w:rPr>
          <w:rFonts w:ascii="Book Antiqua" w:eastAsia="Book Antiqua" w:hAnsi="Book Antiqua" w:cs="Book Antiqua"/>
          <w:b/>
          <w:bCs/>
          <w:color w:val="000000"/>
        </w:rPr>
        <w:t>34</w:t>
      </w:r>
      <w:r w:rsidRPr="008725BA">
        <w:rPr>
          <w:rFonts w:ascii="Book Antiqua" w:eastAsia="Book Antiqua" w:hAnsi="Book Antiqua" w:cs="Book Antiqua"/>
          <w:color w:val="000000"/>
        </w:rPr>
        <w:t>: 1496-1503 [PMID: 24606193 DOI: 10.1111/Liv.12520]</w:t>
      </w:r>
    </w:p>
    <w:p w14:paraId="359523B1"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16 </w:t>
      </w:r>
      <w:proofErr w:type="spellStart"/>
      <w:r w:rsidRPr="008725BA">
        <w:rPr>
          <w:rFonts w:ascii="Book Antiqua" w:eastAsia="Book Antiqua" w:hAnsi="Book Antiqua" w:cs="Book Antiqua"/>
          <w:b/>
          <w:bCs/>
          <w:color w:val="000000"/>
        </w:rPr>
        <w:t>Sauneuf</w:t>
      </w:r>
      <w:proofErr w:type="spellEnd"/>
      <w:r w:rsidRPr="008725BA">
        <w:rPr>
          <w:rFonts w:ascii="Book Antiqua" w:eastAsia="Book Antiqua" w:hAnsi="Book Antiqua" w:cs="Book Antiqua"/>
          <w:b/>
          <w:bCs/>
          <w:color w:val="000000"/>
        </w:rPr>
        <w:t xml:space="preserve"> B</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Champigneulle</w:t>
      </w:r>
      <w:proofErr w:type="spellEnd"/>
      <w:r w:rsidRPr="008725BA">
        <w:rPr>
          <w:rFonts w:ascii="Book Antiqua" w:eastAsia="Book Antiqua" w:hAnsi="Book Antiqua" w:cs="Book Antiqua"/>
          <w:color w:val="000000"/>
        </w:rPr>
        <w:t xml:space="preserve"> B, </w:t>
      </w:r>
      <w:proofErr w:type="spellStart"/>
      <w:r w:rsidRPr="008725BA">
        <w:rPr>
          <w:rFonts w:ascii="Book Antiqua" w:eastAsia="Book Antiqua" w:hAnsi="Book Antiqua" w:cs="Book Antiqua"/>
          <w:color w:val="000000"/>
        </w:rPr>
        <w:t>Soummer</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Mongardon</w:t>
      </w:r>
      <w:proofErr w:type="spellEnd"/>
      <w:r w:rsidRPr="008725BA">
        <w:rPr>
          <w:rFonts w:ascii="Book Antiqua" w:eastAsia="Book Antiqua" w:hAnsi="Book Antiqua" w:cs="Book Antiqua"/>
          <w:color w:val="000000"/>
        </w:rPr>
        <w:t xml:space="preserve"> N, Charpentier J, </w:t>
      </w:r>
      <w:proofErr w:type="spellStart"/>
      <w:r w:rsidRPr="008725BA">
        <w:rPr>
          <w:rFonts w:ascii="Book Antiqua" w:eastAsia="Book Antiqua" w:hAnsi="Book Antiqua" w:cs="Book Antiqua"/>
          <w:color w:val="000000"/>
        </w:rPr>
        <w:t>Cariou</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Chiche</w:t>
      </w:r>
      <w:proofErr w:type="spellEnd"/>
      <w:r w:rsidRPr="008725BA">
        <w:rPr>
          <w:rFonts w:ascii="Book Antiqua" w:eastAsia="Book Antiqua" w:hAnsi="Book Antiqua" w:cs="Book Antiqua"/>
          <w:color w:val="000000"/>
        </w:rPr>
        <w:t xml:space="preserve"> JD, Mallet V, Mira JP, </w:t>
      </w:r>
      <w:proofErr w:type="spellStart"/>
      <w:r w:rsidRPr="008725BA">
        <w:rPr>
          <w:rFonts w:ascii="Book Antiqua" w:eastAsia="Book Antiqua" w:hAnsi="Book Antiqua" w:cs="Book Antiqua"/>
          <w:color w:val="000000"/>
        </w:rPr>
        <w:t>Pène</w:t>
      </w:r>
      <w:proofErr w:type="spellEnd"/>
      <w:r w:rsidRPr="008725BA">
        <w:rPr>
          <w:rFonts w:ascii="Book Antiqua" w:eastAsia="Book Antiqua" w:hAnsi="Book Antiqua" w:cs="Book Antiqua"/>
          <w:color w:val="000000"/>
        </w:rPr>
        <w:t xml:space="preserve"> F. Increased survival of cirrhotic patients with septic shock. </w:t>
      </w:r>
      <w:r w:rsidRPr="008725BA">
        <w:rPr>
          <w:rFonts w:ascii="Book Antiqua" w:eastAsia="Book Antiqua" w:hAnsi="Book Antiqua" w:cs="Book Antiqua"/>
          <w:i/>
          <w:iCs/>
          <w:color w:val="000000"/>
        </w:rPr>
        <w:t>Crit Care</w:t>
      </w:r>
      <w:r w:rsidRPr="008725BA">
        <w:rPr>
          <w:rFonts w:ascii="Book Antiqua" w:eastAsia="Book Antiqua" w:hAnsi="Book Antiqua" w:cs="Book Antiqua"/>
          <w:color w:val="000000"/>
        </w:rPr>
        <w:t xml:space="preserve"> 2013; </w:t>
      </w:r>
      <w:r w:rsidRPr="008725BA">
        <w:rPr>
          <w:rFonts w:ascii="Book Antiqua" w:eastAsia="Book Antiqua" w:hAnsi="Book Antiqua" w:cs="Book Antiqua"/>
          <w:b/>
          <w:bCs/>
          <w:color w:val="000000"/>
        </w:rPr>
        <w:t>17</w:t>
      </w:r>
      <w:r w:rsidRPr="008725BA">
        <w:rPr>
          <w:rFonts w:ascii="Book Antiqua" w:eastAsia="Book Antiqua" w:hAnsi="Book Antiqua" w:cs="Book Antiqua"/>
          <w:color w:val="000000"/>
        </w:rPr>
        <w:t>: R78 [PMID: 23601847 DOI: 10.1186/cc12687]</w:t>
      </w:r>
    </w:p>
    <w:p w14:paraId="358715F1"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17 </w:t>
      </w:r>
      <w:r w:rsidRPr="008725BA">
        <w:rPr>
          <w:rFonts w:ascii="Book Antiqua" w:eastAsia="Book Antiqua" w:hAnsi="Book Antiqua" w:cs="Book Antiqua"/>
          <w:b/>
          <w:bCs/>
          <w:color w:val="000000"/>
        </w:rPr>
        <w:t>Wiest R</w:t>
      </w:r>
      <w:r w:rsidRPr="008725BA">
        <w:rPr>
          <w:rFonts w:ascii="Book Antiqua" w:eastAsia="Book Antiqua" w:hAnsi="Book Antiqua" w:cs="Book Antiqua"/>
          <w:color w:val="000000"/>
        </w:rPr>
        <w:t xml:space="preserve">, Garcia-Tsao G. Bacterial translocation (BT) in cirrhosis. </w:t>
      </w:r>
      <w:r w:rsidRPr="008725BA">
        <w:rPr>
          <w:rFonts w:ascii="Book Antiqua" w:eastAsia="Book Antiqua" w:hAnsi="Book Antiqua" w:cs="Book Antiqua"/>
          <w:i/>
          <w:iCs/>
          <w:color w:val="000000"/>
        </w:rPr>
        <w:t>Hepatology</w:t>
      </w:r>
      <w:r w:rsidRPr="008725BA">
        <w:rPr>
          <w:rFonts w:ascii="Book Antiqua" w:eastAsia="Book Antiqua" w:hAnsi="Book Antiqua" w:cs="Book Antiqua"/>
          <w:color w:val="000000"/>
        </w:rPr>
        <w:t xml:space="preserve"> 2005; </w:t>
      </w:r>
      <w:r w:rsidRPr="008725BA">
        <w:rPr>
          <w:rFonts w:ascii="Book Antiqua" w:eastAsia="Book Antiqua" w:hAnsi="Book Antiqua" w:cs="Book Antiqua"/>
          <w:b/>
          <w:bCs/>
          <w:color w:val="000000"/>
        </w:rPr>
        <w:t>41</w:t>
      </w:r>
      <w:r w:rsidRPr="008725BA">
        <w:rPr>
          <w:rFonts w:ascii="Book Antiqua" w:eastAsia="Book Antiqua" w:hAnsi="Book Antiqua" w:cs="Book Antiqua"/>
          <w:color w:val="000000"/>
        </w:rPr>
        <w:t>: 422-433 [PMID: 15723320 DOI: 10.1002/hep.20632]</w:t>
      </w:r>
    </w:p>
    <w:p w14:paraId="1A6193D2" w14:textId="0FCC60AC" w:rsidR="00A77B3E" w:rsidRPr="008725BA" w:rsidRDefault="00034438" w:rsidP="008725BA">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8725BA">
        <w:rPr>
          <w:rFonts w:ascii="Book Antiqua" w:eastAsia="Book Antiqua" w:hAnsi="Book Antiqua" w:cs="Book Antiqua"/>
          <w:color w:val="000000"/>
        </w:rPr>
        <w:t xml:space="preserve">18 </w:t>
      </w:r>
      <w:r w:rsidR="004A2564" w:rsidRPr="008725BA">
        <w:rPr>
          <w:rFonts w:ascii="Book Antiqua" w:hAnsi="Book Antiqua"/>
          <w:b/>
          <w:bCs/>
          <w:color w:val="201F35"/>
        </w:rPr>
        <w:t>Thomson SJ</w:t>
      </w:r>
      <w:r w:rsidR="004A2564" w:rsidRPr="008725BA">
        <w:rPr>
          <w:rFonts w:ascii="Book Antiqua" w:hAnsi="Book Antiqua"/>
          <w:color w:val="201F35"/>
        </w:rPr>
        <w:t>, Berry PA, Rahman TM. The impact of organ dysfunction in cirrhosis: survival at a cost? </w:t>
      </w:r>
      <w:r w:rsidR="004A2564" w:rsidRPr="008725BA">
        <w:rPr>
          <w:rFonts w:ascii="Book Antiqua" w:hAnsi="Book Antiqua"/>
          <w:i/>
          <w:iCs/>
          <w:color w:val="201F35"/>
        </w:rPr>
        <w:t>J Hepatol</w:t>
      </w:r>
      <w:r w:rsidR="004A2564" w:rsidRPr="008725BA">
        <w:rPr>
          <w:rFonts w:ascii="Book Antiqua" w:hAnsi="Book Antiqua"/>
          <w:color w:val="201F35"/>
        </w:rPr>
        <w:t> 2012; </w:t>
      </w:r>
      <w:r w:rsidR="004A2564" w:rsidRPr="008725BA">
        <w:rPr>
          <w:rFonts w:ascii="Book Antiqua" w:hAnsi="Book Antiqua"/>
          <w:b/>
          <w:bCs/>
          <w:color w:val="201F35"/>
        </w:rPr>
        <w:t>57</w:t>
      </w:r>
      <w:r w:rsidR="004A2564" w:rsidRPr="008725BA">
        <w:rPr>
          <w:rFonts w:ascii="Book Antiqua" w:hAnsi="Book Antiqua"/>
          <w:color w:val="201F35"/>
        </w:rPr>
        <w:t>: 707-</w:t>
      </w:r>
      <w:r w:rsidR="00041B7C" w:rsidRPr="008725BA">
        <w:rPr>
          <w:rFonts w:ascii="Book Antiqua" w:hAnsi="Book Antiqua"/>
          <w:color w:val="201F35"/>
        </w:rPr>
        <w:t>70</w:t>
      </w:r>
      <w:r w:rsidR="004A2564" w:rsidRPr="008725BA">
        <w:rPr>
          <w:rFonts w:ascii="Book Antiqua" w:hAnsi="Book Antiqua"/>
          <w:color w:val="201F35"/>
        </w:rPr>
        <w:t>8 [PMID: 22704199 DOI: 10.1016/j.jhep.2012.03.032]</w:t>
      </w:r>
    </w:p>
    <w:p w14:paraId="2C70ADE4"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19 </w:t>
      </w:r>
      <w:r w:rsidRPr="008725BA">
        <w:rPr>
          <w:rFonts w:ascii="Book Antiqua" w:eastAsia="Book Antiqua" w:hAnsi="Book Antiqua" w:cs="Book Antiqua"/>
          <w:b/>
          <w:bCs/>
          <w:color w:val="000000"/>
        </w:rPr>
        <w:t>Fernández J</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Gustot</w:t>
      </w:r>
      <w:proofErr w:type="spellEnd"/>
      <w:r w:rsidRPr="008725BA">
        <w:rPr>
          <w:rFonts w:ascii="Book Antiqua" w:eastAsia="Book Antiqua" w:hAnsi="Book Antiqua" w:cs="Book Antiqua"/>
          <w:color w:val="000000"/>
        </w:rPr>
        <w:t xml:space="preserve"> T. Management of bacterial infections in cirrhosis. </w:t>
      </w:r>
      <w:r w:rsidRPr="008725BA">
        <w:rPr>
          <w:rFonts w:ascii="Book Antiqua" w:eastAsia="Book Antiqua" w:hAnsi="Book Antiqua" w:cs="Book Antiqua"/>
          <w:i/>
          <w:iCs/>
          <w:color w:val="000000"/>
        </w:rPr>
        <w:t>J Hepatol</w:t>
      </w:r>
      <w:r w:rsidRPr="008725BA">
        <w:rPr>
          <w:rFonts w:ascii="Book Antiqua" w:eastAsia="Book Antiqua" w:hAnsi="Book Antiqua" w:cs="Book Antiqua"/>
          <w:color w:val="000000"/>
        </w:rPr>
        <w:t xml:space="preserve"> 2012; </w:t>
      </w:r>
      <w:r w:rsidRPr="008725BA">
        <w:rPr>
          <w:rFonts w:ascii="Book Antiqua" w:eastAsia="Book Antiqua" w:hAnsi="Book Antiqua" w:cs="Book Antiqua"/>
          <w:b/>
          <w:bCs/>
          <w:color w:val="000000"/>
        </w:rPr>
        <w:t xml:space="preserve">56 </w:t>
      </w:r>
      <w:r w:rsidRPr="008725BA">
        <w:rPr>
          <w:rFonts w:ascii="Book Antiqua" w:eastAsia="Book Antiqua" w:hAnsi="Book Antiqua" w:cs="Book Antiqua"/>
          <w:color w:val="000000"/>
        </w:rPr>
        <w:t>Suppl 1: S1-12 [PMID: 22300459 DOI: 10.1016/S0168-8278(12)60002-6]</w:t>
      </w:r>
    </w:p>
    <w:p w14:paraId="79CBCC0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20 </w:t>
      </w:r>
      <w:proofErr w:type="spellStart"/>
      <w:r w:rsidRPr="008725BA">
        <w:rPr>
          <w:rFonts w:ascii="Book Antiqua" w:eastAsia="Book Antiqua" w:hAnsi="Book Antiqua" w:cs="Book Antiqua"/>
          <w:b/>
          <w:bCs/>
          <w:color w:val="000000"/>
        </w:rPr>
        <w:t>Carbonell</w:t>
      </w:r>
      <w:proofErr w:type="spellEnd"/>
      <w:r w:rsidRPr="008725BA">
        <w:rPr>
          <w:rFonts w:ascii="Book Antiqua" w:eastAsia="Book Antiqua" w:hAnsi="Book Antiqua" w:cs="Book Antiqua"/>
          <w:b/>
          <w:bCs/>
          <w:color w:val="000000"/>
        </w:rPr>
        <w:t xml:space="preserve"> N</w:t>
      </w:r>
      <w:r w:rsidRPr="008725BA">
        <w:rPr>
          <w:rFonts w:ascii="Book Antiqua" w:eastAsia="Book Antiqua" w:hAnsi="Book Antiqua" w:cs="Book Antiqua"/>
          <w:color w:val="000000"/>
        </w:rPr>
        <w:t xml:space="preserve">, Pauwels A, </w:t>
      </w:r>
      <w:proofErr w:type="spellStart"/>
      <w:r w:rsidRPr="008725BA">
        <w:rPr>
          <w:rFonts w:ascii="Book Antiqua" w:eastAsia="Book Antiqua" w:hAnsi="Book Antiqua" w:cs="Book Antiqua"/>
          <w:color w:val="000000"/>
        </w:rPr>
        <w:t>Serfaty</w:t>
      </w:r>
      <w:proofErr w:type="spellEnd"/>
      <w:r w:rsidRPr="008725BA">
        <w:rPr>
          <w:rFonts w:ascii="Book Antiqua" w:eastAsia="Book Antiqua" w:hAnsi="Book Antiqua" w:cs="Book Antiqua"/>
          <w:color w:val="000000"/>
        </w:rPr>
        <w:t xml:space="preserve"> L, </w:t>
      </w:r>
      <w:proofErr w:type="spellStart"/>
      <w:r w:rsidRPr="008725BA">
        <w:rPr>
          <w:rFonts w:ascii="Book Antiqua" w:eastAsia="Book Antiqua" w:hAnsi="Book Antiqua" w:cs="Book Antiqua"/>
          <w:color w:val="000000"/>
        </w:rPr>
        <w:t>Fourdan</w:t>
      </w:r>
      <w:proofErr w:type="spellEnd"/>
      <w:r w:rsidRPr="008725BA">
        <w:rPr>
          <w:rFonts w:ascii="Book Antiqua" w:eastAsia="Book Antiqua" w:hAnsi="Book Antiqua" w:cs="Book Antiqua"/>
          <w:color w:val="000000"/>
        </w:rPr>
        <w:t xml:space="preserve"> O, Lévy VG, Poupon R. Improved survival after variceal bleeding in patients with cirrhosis over the past two decades. </w:t>
      </w:r>
      <w:r w:rsidRPr="008725BA">
        <w:rPr>
          <w:rFonts w:ascii="Book Antiqua" w:eastAsia="Book Antiqua" w:hAnsi="Book Antiqua" w:cs="Book Antiqua"/>
          <w:i/>
          <w:iCs/>
          <w:color w:val="000000"/>
        </w:rPr>
        <w:t>Hepatology</w:t>
      </w:r>
      <w:r w:rsidRPr="008725BA">
        <w:rPr>
          <w:rFonts w:ascii="Book Antiqua" w:eastAsia="Book Antiqua" w:hAnsi="Book Antiqua" w:cs="Book Antiqua"/>
          <w:color w:val="000000"/>
        </w:rPr>
        <w:t xml:space="preserve"> 2004; </w:t>
      </w:r>
      <w:r w:rsidRPr="008725BA">
        <w:rPr>
          <w:rFonts w:ascii="Book Antiqua" w:eastAsia="Book Antiqua" w:hAnsi="Book Antiqua" w:cs="Book Antiqua"/>
          <w:b/>
          <w:bCs/>
          <w:color w:val="000000"/>
        </w:rPr>
        <w:t>40</w:t>
      </w:r>
      <w:r w:rsidRPr="008725BA">
        <w:rPr>
          <w:rFonts w:ascii="Book Antiqua" w:eastAsia="Book Antiqua" w:hAnsi="Book Antiqua" w:cs="Book Antiqua"/>
          <w:color w:val="000000"/>
        </w:rPr>
        <w:t>: 652-659 [PMID: 15349904 DOI: 10.1002/hep.20339]</w:t>
      </w:r>
    </w:p>
    <w:p w14:paraId="1A603930"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21 </w:t>
      </w:r>
      <w:r w:rsidRPr="008725BA">
        <w:rPr>
          <w:rFonts w:ascii="Book Antiqua" w:eastAsia="Book Antiqua" w:hAnsi="Book Antiqua" w:cs="Book Antiqua"/>
          <w:b/>
          <w:bCs/>
          <w:color w:val="000000"/>
        </w:rPr>
        <w:t>Majeed A</w:t>
      </w:r>
      <w:r w:rsidRPr="008725BA">
        <w:rPr>
          <w:rFonts w:ascii="Book Antiqua" w:eastAsia="Book Antiqua" w:hAnsi="Book Antiqua" w:cs="Book Antiqua"/>
          <w:color w:val="000000"/>
        </w:rPr>
        <w:t xml:space="preserve">, Majumdar A, Bailey M, Kemp W, </w:t>
      </w:r>
      <w:proofErr w:type="spellStart"/>
      <w:r w:rsidRPr="008725BA">
        <w:rPr>
          <w:rFonts w:ascii="Book Antiqua" w:eastAsia="Book Antiqua" w:hAnsi="Book Antiqua" w:cs="Book Antiqua"/>
          <w:color w:val="000000"/>
        </w:rPr>
        <w:t>Bellomo</w:t>
      </w:r>
      <w:proofErr w:type="spellEnd"/>
      <w:r w:rsidRPr="008725BA">
        <w:rPr>
          <w:rFonts w:ascii="Book Antiqua" w:eastAsia="Book Antiqua" w:hAnsi="Book Antiqua" w:cs="Book Antiqua"/>
          <w:color w:val="000000"/>
        </w:rPr>
        <w:t xml:space="preserve"> R, Pilcher D, Roberts SK. Declining Mortality of Cirrhotic Variceal Bleeding Requiring Admission to Intensive Care: A Binational Cohort Study. </w:t>
      </w:r>
      <w:r w:rsidRPr="008725BA">
        <w:rPr>
          <w:rFonts w:ascii="Book Antiqua" w:eastAsia="Book Antiqua" w:hAnsi="Book Antiqua" w:cs="Book Antiqua"/>
          <w:i/>
          <w:iCs/>
          <w:color w:val="000000"/>
        </w:rPr>
        <w:t>Crit Care Med</w:t>
      </w:r>
      <w:r w:rsidRPr="008725BA">
        <w:rPr>
          <w:rFonts w:ascii="Book Antiqua" w:eastAsia="Book Antiqua" w:hAnsi="Book Antiqua" w:cs="Book Antiqua"/>
          <w:color w:val="000000"/>
        </w:rPr>
        <w:t xml:space="preserve"> 2019; </w:t>
      </w:r>
      <w:r w:rsidRPr="008725BA">
        <w:rPr>
          <w:rFonts w:ascii="Book Antiqua" w:eastAsia="Book Antiqua" w:hAnsi="Book Antiqua" w:cs="Book Antiqua"/>
          <w:b/>
          <w:bCs/>
          <w:color w:val="000000"/>
        </w:rPr>
        <w:t>47</w:t>
      </w:r>
      <w:r w:rsidRPr="008725BA">
        <w:rPr>
          <w:rFonts w:ascii="Book Antiqua" w:eastAsia="Book Antiqua" w:hAnsi="Book Antiqua" w:cs="Book Antiqua"/>
          <w:color w:val="000000"/>
        </w:rPr>
        <w:t>: 1317-1323 [PMID: 31306178 DOI: 10.1097/CCM.0000000000003902]</w:t>
      </w:r>
    </w:p>
    <w:p w14:paraId="787EA2E7"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lastRenderedPageBreak/>
        <w:t xml:space="preserve">22 </w:t>
      </w:r>
      <w:r w:rsidRPr="008725BA">
        <w:rPr>
          <w:rFonts w:ascii="Book Antiqua" w:eastAsia="Book Antiqua" w:hAnsi="Book Antiqua" w:cs="Book Antiqua"/>
          <w:b/>
          <w:bCs/>
          <w:color w:val="000000"/>
        </w:rPr>
        <w:t>Austin MJ</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Shawcross</w:t>
      </w:r>
      <w:proofErr w:type="spellEnd"/>
      <w:r w:rsidRPr="008725BA">
        <w:rPr>
          <w:rFonts w:ascii="Book Antiqua" w:eastAsia="Book Antiqua" w:hAnsi="Book Antiqua" w:cs="Book Antiqua"/>
          <w:color w:val="000000"/>
        </w:rPr>
        <w:t xml:space="preserve"> DL. Outcome of patients with cirrhosis admitted to intensive care. </w:t>
      </w:r>
      <w:proofErr w:type="spellStart"/>
      <w:r w:rsidRPr="008725BA">
        <w:rPr>
          <w:rFonts w:ascii="Book Antiqua" w:eastAsia="Book Antiqua" w:hAnsi="Book Antiqua" w:cs="Book Antiqua"/>
          <w:i/>
          <w:iCs/>
          <w:color w:val="000000"/>
        </w:rPr>
        <w:t>Curr</w:t>
      </w:r>
      <w:proofErr w:type="spellEnd"/>
      <w:r w:rsidRPr="008725BA">
        <w:rPr>
          <w:rFonts w:ascii="Book Antiqua" w:eastAsia="Book Antiqua" w:hAnsi="Book Antiqua" w:cs="Book Antiqua"/>
          <w:i/>
          <w:iCs/>
          <w:color w:val="000000"/>
        </w:rPr>
        <w:t xml:space="preserve"> </w:t>
      </w:r>
      <w:proofErr w:type="spellStart"/>
      <w:r w:rsidRPr="008725BA">
        <w:rPr>
          <w:rFonts w:ascii="Book Antiqua" w:eastAsia="Book Antiqua" w:hAnsi="Book Antiqua" w:cs="Book Antiqua"/>
          <w:i/>
          <w:iCs/>
          <w:color w:val="000000"/>
        </w:rPr>
        <w:t>Opin</w:t>
      </w:r>
      <w:proofErr w:type="spellEnd"/>
      <w:r w:rsidRPr="008725BA">
        <w:rPr>
          <w:rFonts w:ascii="Book Antiqua" w:eastAsia="Book Antiqua" w:hAnsi="Book Antiqua" w:cs="Book Antiqua"/>
          <w:i/>
          <w:iCs/>
          <w:color w:val="000000"/>
        </w:rPr>
        <w:t xml:space="preserve"> Crit Care</w:t>
      </w:r>
      <w:r w:rsidRPr="008725BA">
        <w:rPr>
          <w:rFonts w:ascii="Book Antiqua" w:eastAsia="Book Antiqua" w:hAnsi="Book Antiqua" w:cs="Book Antiqua"/>
          <w:color w:val="000000"/>
        </w:rPr>
        <w:t xml:space="preserve"> 2008; </w:t>
      </w:r>
      <w:r w:rsidRPr="008725BA">
        <w:rPr>
          <w:rFonts w:ascii="Book Antiqua" w:eastAsia="Book Antiqua" w:hAnsi="Book Antiqua" w:cs="Book Antiqua"/>
          <w:b/>
          <w:bCs/>
          <w:color w:val="000000"/>
        </w:rPr>
        <w:t>14</w:t>
      </w:r>
      <w:r w:rsidRPr="008725BA">
        <w:rPr>
          <w:rFonts w:ascii="Book Antiqua" w:eastAsia="Book Antiqua" w:hAnsi="Book Antiqua" w:cs="Book Antiqua"/>
          <w:color w:val="000000"/>
        </w:rPr>
        <w:t>: 202-207 [PMID: 18388684 DOI: 10.1097/MCC.0b013e3282f6a40d]</w:t>
      </w:r>
    </w:p>
    <w:p w14:paraId="2D3C6829"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23 </w:t>
      </w:r>
      <w:proofErr w:type="spellStart"/>
      <w:r w:rsidRPr="008725BA">
        <w:rPr>
          <w:rFonts w:ascii="Book Antiqua" w:eastAsia="Book Antiqua" w:hAnsi="Book Antiqua" w:cs="Book Antiqua"/>
          <w:b/>
          <w:bCs/>
          <w:color w:val="000000"/>
        </w:rPr>
        <w:t>Bucsics</w:t>
      </w:r>
      <w:proofErr w:type="spellEnd"/>
      <w:r w:rsidRPr="008725BA">
        <w:rPr>
          <w:rFonts w:ascii="Book Antiqua" w:eastAsia="Book Antiqua" w:hAnsi="Book Antiqua" w:cs="Book Antiqua"/>
          <w:b/>
          <w:bCs/>
          <w:color w:val="000000"/>
        </w:rPr>
        <w:t xml:space="preserve"> T</w:t>
      </w:r>
      <w:r w:rsidRPr="008725BA">
        <w:rPr>
          <w:rFonts w:ascii="Book Antiqua" w:eastAsia="Book Antiqua" w:hAnsi="Book Antiqua" w:cs="Book Antiqua"/>
          <w:color w:val="000000"/>
        </w:rPr>
        <w:t xml:space="preserve">, Krones E. Renal dysfunction in cirrhosis: acute kidney injury and the hepatorenal syndrome. </w:t>
      </w:r>
      <w:r w:rsidRPr="008725BA">
        <w:rPr>
          <w:rFonts w:ascii="Book Antiqua" w:eastAsia="Book Antiqua" w:hAnsi="Book Antiqua" w:cs="Book Antiqua"/>
          <w:i/>
          <w:iCs/>
          <w:color w:val="000000"/>
        </w:rPr>
        <w:t>Gastroenterol Rep (</w:t>
      </w:r>
      <w:proofErr w:type="spellStart"/>
      <w:r w:rsidRPr="008725BA">
        <w:rPr>
          <w:rFonts w:ascii="Book Antiqua" w:eastAsia="Book Antiqua" w:hAnsi="Book Antiqua" w:cs="Book Antiqua"/>
          <w:i/>
          <w:iCs/>
          <w:color w:val="000000"/>
        </w:rPr>
        <w:t>Oxf</w:t>
      </w:r>
      <w:proofErr w:type="spellEnd"/>
      <w:r w:rsidRPr="008725BA">
        <w:rPr>
          <w:rFonts w:ascii="Book Antiqua" w:eastAsia="Book Antiqua" w:hAnsi="Book Antiqua" w:cs="Book Antiqua"/>
          <w:i/>
          <w:iCs/>
          <w:color w:val="000000"/>
        </w:rPr>
        <w:t>)</w:t>
      </w:r>
      <w:r w:rsidRPr="008725BA">
        <w:rPr>
          <w:rFonts w:ascii="Book Antiqua" w:eastAsia="Book Antiqua" w:hAnsi="Book Antiqua" w:cs="Book Antiqua"/>
          <w:color w:val="000000"/>
        </w:rPr>
        <w:t xml:space="preserve"> 2017; </w:t>
      </w:r>
      <w:r w:rsidRPr="008725BA">
        <w:rPr>
          <w:rFonts w:ascii="Book Antiqua" w:eastAsia="Book Antiqua" w:hAnsi="Book Antiqua" w:cs="Book Antiqua"/>
          <w:b/>
          <w:bCs/>
          <w:color w:val="000000"/>
        </w:rPr>
        <w:t>5</w:t>
      </w:r>
      <w:r w:rsidRPr="008725BA">
        <w:rPr>
          <w:rFonts w:ascii="Book Antiqua" w:eastAsia="Book Antiqua" w:hAnsi="Book Antiqua" w:cs="Book Antiqua"/>
          <w:color w:val="000000"/>
        </w:rPr>
        <w:t>: 127-137 [PMID: 28533910 DOI: 10.1093/gastro/gox009]</w:t>
      </w:r>
    </w:p>
    <w:p w14:paraId="0174CAA2"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24 </w:t>
      </w:r>
      <w:proofErr w:type="spellStart"/>
      <w:r w:rsidRPr="008725BA">
        <w:rPr>
          <w:rFonts w:ascii="Book Antiqua" w:eastAsia="Book Antiqua" w:hAnsi="Book Antiqua" w:cs="Book Antiqua"/>
          <w:b/>
          <w:bCs/>
          <w:color w:val="000000"/>
        </w:rPr>
        <w:t>Cholongitas</w:t>
      </w:r>
      <w:proofErr w:type="spellEnd"/>
      <w:r w:rsidRPr="008725BA">
        <w:rPr>
          <w:rFonts w:ascii="Book Antiqua" w:eastAsia="Book Antiqua" w:hAnsi="Book Antiqua" w:cs="Book Antiqua"/>
          <w:b/>
          <w:bCs/>
          <w:color w:val="000000"/>
        </w:rPr>
        <w:t xml:space="preserve"> E</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Senzolo</w:t>
      </w:r>
      <w:proofErr w:type="spellEnd"/>
      <w:r w:rsidRPr="008725BA">
        <w:rPr>
          <w:rFonts w:ascii="Book Antiqua" w:eastAsia="Book Antiqua" w:hAnsi="Book Antiqua" w:cs="Book Antiqua"/>
          <w:color w:val="000000"/>
        </w:rPr>
        <w:t xml:space="preserve"> M, Patch D, Shaw S, </w:t>
      </w:r>
      <w:proofErr w:type="spellStart"/>
      <w:r w:rsidRPr="008725BA">
        <w:rPr>
          <w:rFonts w:ascii="Book Antiqua" w:eastAsia="Book Antiqua" w:hAnsi="Book Antiqua" w:cs="Book Antiqua"/>
          <w:color w:val="000000"/>
        </w:rPr>
        <w:t>O'Beirne</w:t>
      </w:r>
      <w:proofErr w:type="spellEnd"/>
      <w:r w:rsidRPr="008725BA">
        <w:rPr>
          <w:rFonts w:ascii="Book Antiqua" w:eastAsia="Book Antiqua" w:hAnsi="Book Antiqua" w:cs="Book Antiqua"/>
          <w:color w:val="000000"/>
        </w:rPr>
        <w:t xml:space="preserve"> J, Burroughs AK. </w:t>
      </w:r>
      <w:proofErr w:type="spellStart"/>
      <w:r w:rsidRPr="008725BA">
        <w:rPr>
          <w:rFonts w:ascii="Book Antiqua" w:eastAsia="Book Antiqua" w:hAnsi="Book Antiqua" w:cs="Book Antiqua"/>
          <w:color w:val="000000"/>
        </w:rPr>
        <w:t>Cirrhotics</w:t>
      </w:r>
      <w:proofErr w:type="spellEnd"/>
      <w:r w:rsidRPr="008725BA">
        <w:rPr>
          <w:rFonts w:ascii="Book Antiqua" w:eastAsia="Book Antiqua" w:hAnsi="Book Antiqua" w:cs="Book Antiqua"/>
          <w:color w:val="000000"/>
        </w:rPr>
        <w:t xml:space="preserve"> admitted to intensive care unit: the impact of acute renal failure on mortality. </w:t>
      </w:r>
      <w:r w:rsidRPr="008725BA">
        <w:rPr>
          <w:rFonts w:ascii="Book Antiqua" w:eastAsia="Book Antiqua" w:hAnsi="Book Antiqua" w:cs="Book Antiqua"/>
          <w:i/>
          <w:iCs/>
          <w:color w:val="000000"/>
        </w:rPr>
        <w:t>Eur J Gastroenterol Hepatol</w:t>
      </w:r>
      <w:r w:rsidRPr="008725BA">
        <w:rPr>
          <w:rFonts w:ascii="Book Antiqua" w:eastAsia="Book Antiqua" w:hAnsi="Book Antiqua" w:cs="Book Antiqua"/>
          <w:color w:val="000000"/>
        </w:rPr>
        <w:t xml:space="preserve"> 2009; </w:t>
      </w:r>
      <w:r w:rsidRPr="008725BA">
        <w:rPr>
          <w:rFonts w:ascii="Book Antiqua" w:eastAsia="Book Antiqua" w:hAnsi="Book Antiqua" w:cs="Book Antiqua"/>
          <w:b/>
          <w:bCs/>
          <w:color w:val="000000"/>
        </w:rPr>
        <w:t>21</w:t>
      </w:r>
      <w:r w:rsidRPr="008725BA">
        <w:rPr>
          <w:rFonts w:ascii="Book Antiqua" w:eastAsia="Book Antiqua" w:hAnsi="Book Antiqua" w:cs="Book Antiqua"/>
          <w:color w:val="000000"/>
        </w:rPr>
        <w:t>: 744-750 [PMID: 20160527 DOI: 10.1097/MEG.0b013e328308bb9c]</w:t>
      </w:r>
    </w:p>
    <w:p w14:paraId="788E653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25 </w:t>
      </w:r>
      <w:r w:rsidRPr="008725BA">
        <w:rPr>
          <w:rFonts w:ascii="Book Antiqua" w:eastAsia="Book Antiqua" w:hAnsi="Book Antiqua" w:cs="Book Antiqua"/>
          <w:b/>
          <w:bCs/>
          <w:color w:val="000000"/>
        </w:rPr>
        <w:t>Russ KB</w:t>
      </w:r>
      <w:r w:rsidRPr="008725BA">
        <w:rPr>
          <w:rFonts w:ascii="Book Antiqua" w:eastAsia="Book Antiqua" w:hAnsi="Book Antiqua" w:cs="Book Antiqua"/>
          <w:color w:val="000000"/>
        </w:rPr>
        <w:t xml:space="preserve">, Stevens TM, </w:t>
      </w:r>
      <w:proofErr w:type="spellStart"/>
      <w:r w:rsidRPr="008725BA">
        <w:rPr>
          <w:rFonts w:ascii="Book Antiqua" w:eastAsia="Book Antiqua" w:hAnsi="Book Antiqua" w:cs="Book Antiqua"/>
          <w:color w:val="000000"/>
        </w:rPr>
        <w:t>Singal</w:t>
      </w:r>
      <w:proofErr w:type="spellEnd"/>
      <w:r w:rsidRPr="008725BA">
        <w:rPr>
          <w:rFonts w:ascii="Book Antiqua" w:eastAsia="Book Antiqua" w:hAnsi="Book Antiqua" w:cs="Book Antiqua"/>
          <w:color w:val="000000"/>
        </w:rPr>
        <w:t xml:space="preserve"> AK. Acute Kidney Injury in Patients with Cirrhosis. </w:t>
      </w:r>
      <w:r w:rsidRPr="008725BA">
        <w:rPr>
          <w:rFonts w:ascii="Book Antiqua" w:eastAsia="Book Antiqua" w:hAnsi="Book Antiqua" w:cs="Book Antiqua"/>
          <w:i/>
          <w:iCs/>
          <w:color w:val="000000"/>
        </w:rPr>
        <w:t xml:space="preserve">J Clin </w:t>
      </w:r>
      <w:proofErr w:type="spellStart"/>
      <w:r w:rsidRPr="008725BA">
        <w:rPr>
          <w:rFonts w:ascii="Book Antiqua" w:eastAsia="Book Antiqua" w:hAnsi="Book Antiqua" w:cs="Book Antiqua"/>
          <w:i/>
          <w:iCs/>
          <w:color w:val="000000"/>
        </w:rPr>
        <w:t>Transl</w:t>
      </w:r>
      <w:proofErr w:type="spellEnd"/>
      <w:r w:rsidRPr="008725BA">
        <w:rPr>
          <w:rFonts w:ascii="Book Antiqua" w:eastAsia="Book Antiqua" w:hAnsi="Book Antiqua" w:cs="Book Antiqua"/>
          <w:i/>
          <w:iCs/>
          <w:color w:val="000000"/>
        </w:rPr>
        <w:t xml:space="preserve"> Hepatol</w:t>
      </w:r>
      <w:r w:rsidRPr="008725BA">
        <w:rPr>
          <w:rFonts w:ascii="Book Antiqua" w:eastAsia="Book Antiqua" w:hAnsi="Book Antiqua" w:cs="Book Antiqua"/>
          <w:color w:val="000000"/>
        </w:rPr>
        <w:t xml:space="preserve"> 2015; </w:t>
      </w:r>
      <w:r w:rsidRPr="008725BA">
        <w:rPr>
          <w:rFonts w:ascii="Book Antiqua" w:eastAsia="Book Antiqua" w:hAnsi="Book Antiqua" w:cs="Book Antiqua"/>
          <w:b/>
          <w:bCs/>
          <w:color w:val="000000"/>
        </w:rPr>
        <w:t>3</w:t>
      </w:r>
      <w:r w:rsidRPr="008725BA">
        <w:rPr>
          <w:rFonts w:ascii="Book Antiqua" w:eastAsia="Book Antiqua" w:hAnsi="Book Antiqua" w:cs="Book Antiqua"/>
          <w:color w:val="000000"/>
        </w:rPr>
        <w:t>: 195-204 [PMID: 26623266 DOI: 10.14218/JCTH.2015.00015]</w:t>
      </w:r>
    </w:p>
    <w:p w14:paraId="09CEE4C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26 </w:t>
      </w:r>
      <w:r w:rsidRPr="008725BA">
        <w:rPr>
          <w:rFonts w:ascii="Book Antiqua" w:eastAsia="Book Antiqua" w:hAnsi="Book Antiqua" w:cs="Book Antiqua"/>
          <w:b/>
          <w:bCs/>
          <w:color w:val="000000"/>
        </w:rPr>
        <w:t>Weiss N</w:t>
      </w:r>
      <w:r w:rsidRPr="008725BA">
        <w:rPr>
          <w:rFonts w:ascii="Book Antiqua" w:eastAsia="Book Antiqua" w:hAnsi="Book Antiqua" w:cs="Book Antiqua"/>
          <w:color w:val="000000"/>
        </w:rPr>
        <w:t xml:space="preserve">, Jalan R, </w:t>
      </w:r>
      <w:proofErr w:type="spellStart"/>
      <w:r w:rsidRPr="008725BA">
        <w:rPr>
          <w:rFonts w:ascii="Book Antiqua" w:eastAsia="Book Antiqua" w:hAnsi="Book Antiqua" w:cs="Book Antiqua"/>
          <w:color w:val="000000"/>
        </w:rPr>
        <w:t>Thabut</w:t>
      </w:r>
      <w:proofErr w:type="spellEnd"/>
      <w:r w:rsidRPr="008725BA">
        <w:rPr>
          <w:rFonts w:ascii="Book Antiqua" w:eastAsia="Book Antiqua" w:hAnsi="Book Antiqua" w:cs="Book Antiqua"/>
          <w:color w:val="000000"/>
        </w:rPr>
        <w:t xml:space="preserve"> D. Understanding hepatic encephalopathy. </w:t>
      </w:r>
      <w:r w:rsidRPr="008725BA">
        <w:rPr>
          <w:rFonts w:ascii="Book Antiqua" w:eastAsia="Book Antiqua" w:hAnsi="Book Antiqua" w:cs="Book Antiqua"/>
          <w:i/>
          <w:iCs/>
          <w:color w:val="000000"/>
        </w:rPr>
        <w:t>Intensive Care Med</w:t>
      </w:r>
      <w:r w:rsidRPr="008725BA">
        <w:rPr>
          <w:rFonts w:ascii="Book Antiqua" w:eastAsia="Book Antiqua" w:hAnsi="Book Antiqua" w:cs="Book Antiqua"/>
          <w:color w:val="000000"/>
        </w:rPr>
        <w:t xml:space="preserve"> 2018; </w:t>
      </w:r>
      <w:r w:rsidRPr="008725BA">
        <w:rPr>
          <w:rFonts w:ascii="Book Antiqua" w:eastAsia="Book Antiqua" w:hAnsi="Book Antiqua" w:cs="Book Antiqua"/>
          <w:b/>
          <w:bCs/>
          <w:color w:val="000000"/>
        </w:rPr>
        <w:t>44</w:t>
      </w:r>
      <w:r w:rsidRPr="008725BA">
        <w:rPr>
          <w:rFonts w:ascii="Book Antiqua" w:eastAsia="Book Antiqua" w:hAnsi="Book Antiqua" w:cs="Book Antiqua"/>
          <w:color w:val="000000"/>
        </w:rPr>
        <w:t>: 231-234 [PMID: 28547522 DOI: 10.1007/s00134-017-4845-6]</w:t>
      </w:r>
    </w:p>
    <w:p w14:paraId="612C536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27 </w:t>
      </w:r>
      <w:proofErr w:type="spellStart"/>
      <w:r w:rsidRPr="008725BA">
        <w:rPr>
          <w:rFonts w:ascii="Book Antiqua" w:eastAsia="Book Antiqua" w:hAnsi="Book Antiqua" w:cs="Book Antiqua"/>
          <w:b/>
          <w:bCs/>
          <w:color w:val="000000"/>
        </w:rPr>
        <w:t>Juneja</w:t>
      </w:r>
      <w:proofErr w:type="spellEnd"/>
      <w:r w:rsidRPr="008725BA">
        <w:rPr>
          <w:rFonts w:ascii="Book Antiqua" w:eastAsia="Book Antiqua" w:hAnsi="Book Antiqua" w:cs="Book Antiqua"/>
          <w:b/>
          <w:bCs/>
          <w:color w:val="000000"/>
        </w:rPr>
        <w:t xml:space="preserve"> D</w:t>
      </w:r>
      <w:r w:rsidRPr="008725BA">
        <w:rPr>
          <w:rFonts w:ascii="Book Antiqua" w:eastAsia="Book Antiqua" w:hAnsi="Book Antiqua" w:cs="Book Antiqua"/>
          <w:color w:val="000000"/>
        </w:rPr>
        <w:t xml:space="preserve">, Gopal PB, Kapoor D, Raya R, </w:t>
      </w:r>
      <w:proofErr w:type="spellStart"/>
      <w:r w:rsidRPr="008725BA">
        <w:rPr>
          <w:rFonts w:ascii="Book Antiqua" w:eastAsia="Book Antiqua" w:hAnsi="Book Antiqua" w:cs="Book Antiqua"/>
          <w:color w:val="000000"/>
        </w:rPr>
        <w:t>Sathyanarayanan</w:t>
      </w:r>
      <w:proofErr w:type="spellEnd"/>
      <w:r w:rsidRPr="008725BA">
        <w:rPr>
          <w:rFonts w:ascii="Book Antiqua" w:eastAsia="Book Antiqua" w:hAnsi="Book Antiqua" w:cs="Book Antiqua"/>
          <w:color w:val="000000"/>
        </w:rPr>
        <w:t xml:space="preserve"> M. Profile and outcome of patients with liver cirrhosis requiring mechanical ventilation. </w:t>
      </w:r>
      <w:r w:rsidRPr="008725BA">
        <w:rPr>
          <w:rFonts w:ascii="Book Antiqua" w:eastAsia="Book Antiqua" w:hAnsi="Book Antiqua" w:cs="Book Antiqua"/>
          <w:i/>
          <w:iCs/>
          <w:color w:val="000000"/>
        </w:rPr>
        <w:t>J Intensive Care Med</w:t>
      </w:r>
      <w:r w:rsidRPr="008725BA">
        <w:rPr>
          <w:rFonts w:ascii="Book Antiqua" w:eastAsia="Book Antiqua" w:hAnsi="Book Antiqua" w:cs="Book Antiqua"/>
          <w:color w:val="000000"/>
        </w:rPr>
        <w:t xml:space="preserve"> 2012; </w:t>
      </w:r>
      <w:r w:rsidRPr="008725BA">
        <w:rPr>
          <w:rFonts w:ascii="Book Antiqua" w:eastAsia="Book Antiqua" w:hAnsi="Book Antiqua" w:cs="Book Antiqua"/>
          <w:b/>
          <w:bCs/>
          <w:color w:val="000000"/>
        </w:rPr>
        <w:t>27</w:t>
      </w:r>
      <w:r w:rsidRPr="008725BA">
        <w:rPr>
          <w:rFonts w:ascii="Book Antiqua" w:eastAsia="Book Antiqua" w:hAnsi="Book Antiqua" w:cs="Book Antiqua"/>
          <w:color w:val="000000"/>
        </w:rPr>
        <w:t>: 373-378 [PMID: 21436171 DOI: 10.1177/0885066611400277]</w:t>
      </w:r>
    </w:p>
    <w:p w14:paraId="7C897D52"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28 </w:t>
      </w:r>
      <w:r w:rsidRPr="008725BA">
        <w:rPr>
          <w:rFonts w:ascii="Book Antiqua" w:eastAsia="Book Antiqua" w:hAnsi="Book Antiqua" w:cs="Book Antiqua"/>
          <w:b/>
          <w:bCs/>
          <w:color w:val="000000"/>
        </w:rPr>
        <w:t>Lai CC</w:t>
      </w:r>
      <w:r w:rsidRPr="008725BA">
        <w:rPr>
          <w:rFonts w:ascii="Book Antiqua" w:eastAsia="Book Antiqua" w:hAnsi="Book Antiqua" w:cs="Book Antiqua"/>
          <w:color w:val="000000"/>
        </w:rPr>
        <w:t xml:space="preserve">, Tseng KL, Ho CH, Chiang SR, Chan KS, Chao CM, </w:t>
      </w:r>
      <w:proofErr w:type="spellStart"/>
      <w:r w:rsidRPr="008725BA">
        <w:rPr>
          <w:rFonts w:ascii="Book Antiqua" w:eastAsia="Book Antiqua" w:hAnsi="Book Antiqua" w:cs="Book Antiqua"/>
          <w:color w:val="000000"/>
        </w:rPr>
        <w:t>Hsing</w:t>
      </w:r>
      <w:proofErr w:type="spellEnd"/>
      <w:r w:rsidRPr="008725BA">
        <w:rPr>
          <w:rFonts w:ascii="Book Antiqua" w:eastAsia="Book Antiqua" w:hAnsi="Book Antiqua" w:cs="Book Antiqua"/>
          <w:color w:val="000000"/>
        </w:rPr>
        <w:t xml:space="preserve"> SC, Cheng KC, Chen CM. Outcome of liver cirrhosis patients requiring prolonged mechanical ventilation. </w:t>
      </w:r>
      <w:r w:rsidRPr="008725BA">
        <w:rPr>
          <w:rFonts w:ascii="Book Antiqua" w:eastAsia="Book Antiqua" w:hAnsi="Book Antiqua" w:cs="Book Antiqua"/>
          <w:i/>
          <w:iCs/>
          <w:color w:val="000000"/>
        </w:rPr>
        <w:t>Sci Rep</w:t>
      </w:r>
      <w:r w:rsidRPr="008725BA">
        <w:rPr>
          <w:rFonts w:ascii="Book Antiqua" w:eastAsia="Book Antiqua" w:hAnsi="Book Antiqua" w:cs="Book Antiqua"/>
          <w:color w:val="000000"/>
        </w:rPr>
        <w:t xml:space="preserve"> 2020; </w:t>
      </w:r>
      <w:r w:rsidRPr="008725BA">
        <w:rPr>
          <w:rFonts w:ascii="Book Antiqua" w:eastAsia="Book Antiqua" w:hAnsi="Book Antiqua" w:cs="Book Antiqua"/>
          <w:b/>
          <w:bCs/>
          <w:color w:val="000000"/>
        </w:rPr>
        <w:t>10</w:t>
      </w:r>
      <w:r w:rsidRPr="008725BA">
        <w:rPr>
          <w:rFonts w:ascii="Book Antiqua" w:eastAsia="Book Antiqua" w:hAnsi="Book Antiqua" w:cs="Book Antiqua"/>
          <w:color w:val="000000"/>
        </w:rPr>
        <w:t>: 4980 [PMID: 32188892 DOI: 10.1038/s41598-020-61601-2]</w:t>
      </w:r>
    </w:p>
    <w:p w14:paraId="4199B53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29 </w:t>
      </w:r>
      <w:r w:rsidRPr="008725BA">
        <w:rPr>
          <w:rFonts w:ascii="Book Antiqua" w:eastAsia="Book Antiqua" w:hAnsi="Book Antiqua" w:cs="Book Antiqua"/>
          <w:b/>
          <w:bCs/>
          <w:color w:val="000000"/>
        </w:rPr>
        <w:t>Weil D</w:t>
      </w:r>
      <w:r w:rsidRPr="008725BA">
        <w:rPr>
          <w:rFonts w:ascii="Book Antiqua" w:eastAsia="Book Antiqua" w:hAnsi="Book Antiqua" w:cs="Book Antiqua"/>
          <w:color w:val="000000"/>
        </w:rPr>
        <w:t xml:space="preserve">, Levesque E, McPhail M, </w:t>
      </w:r>
      <w:proofErr w:type="spellStart"/>
      <w:r w:rsidRPr="008725BA">
        <w:rPr>
          <w:rFonts w:ascii="Book Antiqua" w:eastAsia="Book Antiqua" w:hAnsi="Book Antiqua" w:cs="Book Antiqua"/>
          <w:color w:val="000000"/>
        </w:rPr>
        <w:t>Cavallazzi</w:t>
      </w:r>
      <w:proofErr w:type="spellEnd"/>
      <w:r w:rsidRPr="008725BA">
        <w:rPr>
          <w:rFonts w:ascii="Book Antiqua" w:eastAsia="Book Antiqua" w:hAnsi="Book Antiqua" w:cs="Book Antiqua"/>
          <w:color w:val="000000"/>
        </w:rPr>
        <w:t xml:space="preserve"> R, </w:t>
      </w:r>
      <w:proofErr w:type="spellStart"/>
      <w:r w:rsidRPr="008725BA">
        <w:rPr>
          <w:rFonts w:ascii="Book Antiqua" w:eastAsia="Book Antiqua" w:hAnsi="Book Antiqua" w:cs="Book Antiqua"/>
          <w:color w:val="000000"/>
        </w:rPr>
        <w:t>Theocharidou</w:t>
      </w:r>
      <w:proofErr w:type="spellEnd"/>
      <w:r w:rsidRPr="008725BA">
        <w:rPr>
          <w:rFonts w:ascii="Book Antiqua" w:eastAsia="Book Antiqua" w:hAnsi="Book Antiqua" w:cs="Book Antiqua"/>
          <w:color w:val="000000"/>
        </w:rPr>
        <w:t xml:space="preserve"> E, </w:t>
      </w:r>
      <w:proofErr w:type="spellStart"/>
      <w:r w:rsidRPr="008725BA">
        <w:rPr>
          <w:rFonts w:ascii="Book Antiqua" w:eastAsia="Book Antiqua" w:hAnsi="Book Antiqua" w:cs="Book Antiqua"/>
          <w:color w:val="000000"/>
        </w:rPr>
        <w:t>Cholongitas</w:t>
      </w:r>
      <w:proofErr w:type="spellEnd"/>
      <w:r w:rsidRPr="008725BA">
        <w:rPr>
          <w:rFonts w:ascii="Book Antiqua" w:eastAsia="Book Antiqua" w:hAnsi="Book Antiqua" w:cs="Book Antiqua"/>
          <w:color w:val="000000"/>
        </w:rPr>
        <w:t xml:space="preserve"> E, </w:t>
      </w:r>
      <w:proofErr w:type="spellStart"/>
      <w:r w:rsidRPr="008725BA">
        <w:rPr>
          <w:rFonts w:ascii="Book Antiqua" w:eastAsia="Book Antiqua" w:hAnsi="Book Antiqua" w:cs="Book Antiqua"/>
          <w:color w:val="000000"/>
        </w:rPr>
        <w:t>Galbois</w:t>
      </w:r>
      <w:proofErr w:type="spellEnd"/>
      <w:r w:rsidRPr="008725BA">
        <w:rPr>
          <w:rFonts w:ascii="Book Antiqua" w:eastAsia="Book Antiqua" w:hAnsi="Book Antiqua" w:cs="Book Antiqua"/>
          <w:color w:val="000000"/>
        </w:rPr>
        <w:t xml:space="preserve"> A, Pan HC, </w:t>
      </w:r>
      <w:proofErr w:type="spellStart"/>
      <w:r w:rsidRPr="008725BA">
        <w:rPr>
          <w:rFonts w:ascii="Book Antiqua" w:eastAsia="Book Antiqua" w:hAnsi="Book Antiqua" w:cs="Book Antiqua"/>
          <w:color w:val="000000"/>
        </w:rPr>
        <w:t>Karvellas</w:t>
      </w:r>
      <w:proofErr w:type="spellEnd"/>
      <w:r w:rsidRPr="008725BA">
        <w:rPr>
          <w:rFonts w:ascii="Book Antiqua" w:eastAsia="Book Antiqua" w:hAnsi="Book Antiqua" w:cs="Book Antiqua"/>
          <w:color w:val="000000"/>
        </w:rPr>
        <w:t xml:space="preserve"> CJ, </w:t>
      </w:r>
      <w:proofErr w:type="spellStart"/>
      <w:r w:rsidRPr="008725BA">
        <w:rPr>
          <w:rFonts w:ascii="Book Antiqua" w:eastAsia="Book Antiqua" w:hAnsi="Book Antiqua" w:cs="Book Antiqua"/>
          <w:color w:val="000000"/>
        </w:rPr>
        <w:t>Sauneuf</w:t>
      </w:r>
      <w:proofErr w:type="spellEnd"/>
      <w:r w:rsidRPr="008725BA">
        <w:rPr>
          <w:rFonts w:ascii="Book Antiqua" w:eastAsia="Book Antiqua" w:hAnsi="Book Antiqua" w:cs="Book Antiqua"/>
          <w:color w:val="000000"/>
        </w:rPr>
        <w:t xml:space="preserve"> B, Robert R, </w:t>
      </w:r>
      <w:proofErr w:type="spellStart"/>
      <w:r w:rsidRPr="008725BA">
        <w:rPr>
          <w:rFonts w:ascii="Book Antiqua" w:eastAsia="Book Antiqua" w:hAnsi="Book Antiqua" w:cs="Book Antiqua"/>
          <w:color w:val="000000"/>
        </w:rPr>
        <w:t>Fichet</w:t>
      </w:r>
      <w:proofErr w:type="spellEnd"/>
      <w:r w:rsidRPr="008725BA">
        <w:rPr>
          <w:rFonts w:ascii="Book Antiqua" w:eastAsia="Book Antiqua" w:hAnsi="Book Antiqua" w:cs="Book Antiqua"/>
          <w:color w:val="000000"/>
        </w:rPr>
        <w:t xml:space="preserve"> J, Piton G, </w:t>
      </w:r>
      <w:proofErr w:type="spellStart"/>
      <w:r w:rsidRPr="008725BA">
        <w:rPr>
          <w:rFonts w:ascii="Book Antiqua" w:eastAsia="Book Antiqua" w:hAnsi="Book Antiqua" w:cs="Book Antiqua"/>
          <w:color w:val="000000"/>
        </w:rPr>
        <w:t>Thevenot</w:t>
      </w:r>
      <w:proofErr w:type="spellEnd"/>
      <w:r w:rsidRPr="008725BA">
        <w:rPr>
          <w:rFonts w:ascii="Book Antiqua" w:eastAsia="Book Antiqua" w:hAnsi="Book Antiqua" w:cs="Book Antiqua"/>
          <w:color w:val="000000"/>
        </w:rPr>
        <w:t xml:space="preserve"> T, </w:t>
      </w:r>
      <w:proofErr w:type="spellStart"/>
      <w:r w:rsidRPr="008725BA">
        <w:rPr>
          <w:rFonts w:ascii="Book Antiqua" w:eastAsia="Book Antiqua" w:hAnsi="Book Antiqua" w:cs="Book Antiqua"/>
          <w:color w:val="000000"/>
        </w:rPr>
        <w:t>Capellier</w:t>
      </w:r>
      <w:proofErr w:type="spellEnd"/>
      <w:r w:rsidRPr="008725BA">
        <w:rPr>
          <w:rFonts w:ascii="Book Antiqua" w:eastAsia="Book Antiqua" w:hAnsi="Book Antiqua" w:cs="Book Antiqua"/>
          <w:color w:val="000000"/>
        </w:rPr>
        <w:t xml:space="preserve"> G, Di Martino V; METAREACIR Group. Prognosis of cirrhotic patients admitted to intensive care unit: a meta-analysis. </w:t>
      </w:r>
      <w:r w:rsidRPr="008725BA">
        <w:rPr>
          <w:rFonts w:ascii="Book Antiqua" w:eastAsia="Book Antiqua" w:hAnsi="Book Antiqua" w:cs="Book Antiqua"/>
          <w:i/>
          <w:iCs/>
          <w:color w:val="000000"/>
        </w:rPr>
        <w:t>Ann Intensive Care</w:t>
      </w:r>
      <w:r w:rsidRPr="008725BA">
        <w:rPr>
          <w:rFonts w:ascii="Book Antiqua" w:eastAsia="Book Antiqua" w:hAnsi="Book Antiqua" w:cs="Book Antiqua"/>
          <w:color w:val="000000"/>
        </w:rPr>
        <w:t xml:space="preserve"> 2017; </w:t>
      </w:r>
      <w:r w:rsidRPr="008725BA">
        <w:rPr>
          <w:rFonts w:ascii="Book Antiqua" w:eastAsia="Book Antiqua" w:hAnsi="Book Antiqua" w:cs="Book Antiqua"/>
          <w:b/>
          <w:bCs/>
          <w:color w:val="000000"/>
        </w:rPr>
        <w:t>7</w:t>
      </w:r>
      <w:r w:rsidRPr="008725BA">
        <w:rPr>
          <w:rFonts w:ascii="Book Antiqua" w:eastAsia="Book Antiqua" w:hAnsi="Book Antiqua" w:cs="Book Antiqua"/>
          <w:color w:val="000000"/>
        </w:rPr>
        <w:t>: 33 [PMID: 28321803 DOI: 10.1186/s13613-017-0249-6]</w:t>
      </w:r>
    </w:p>
    <w:p w14:paraId="40CAC824"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30 </w:t>
      </w:r>
      <w:proofErr w:type="spellStart"/>
      <w:r w:rsidRPr="008725BA">
        <w:rPr>
          <w:rFonts w:ascii="Book Antiqua" w:eastAsia="Book Antiqua" w:hAnsi="Book Antiqua" w:cs="Book Antiqua"/>
          <w:b/>
          <w:bCs/>
          <w:color w:val="000000"/>
        </w:rPr>
        <w:t>Saliba</w:t>
      </w:r>
      <w:proofErr w:type="spellEnd"/>
      <w:r w:rsidRPr="008725BA">
        <w:rPr>
          <w:rFonts w:ascii="Book Antiqua" w:eastAsia="Book Antiqua" w:hAnsi="Book Antiqua" w:cs="Book Antiqua"/>
          <w:b/>
          <w:bCs/>
          <w:color w:val="000000"/>
        </w:rPr>
        <w:t xml:space="preserve"> F</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Ichai</w:t>
      </w:r>
      <w:proofErr w:type="spellEnd"/>
      <w:r w:rsidRPr="008725BA">
        <w:rPr>
          <w:rFonts w:ascii="Book Antiqua" w:eastAsia="Book Antiqua" w:hAnsi="Book Antiqua" w:cs="Book Antiqua"/>
          <w:color w:val="000000"/>
        </w:rPr>
        <w:t xml:space="preserve"> P, Levesque E, Samuel D. Cirrhotic patients in the ICU: prognostic markers and outcome. </w:t>
      </w:r>
      <w:proofErr w:type="spellStart"/>
      <w:r w:rsidRPr="008725BA">
        <w:rPr>
          <w:rFonts w:ascii="Book Antiqua" w:eastAsia="Book Antiqua" w:hAnsi="Book Antiqua" w:cs="Book Antiqua"/>
          <w:i/>
          <w:iCs/>
          <w:color w:val="000000"/>
        </w:rPr>
        <w:t>Curr</w:t>
      </w:r>
      <w:proofErr w:type="spellEnd"/>
      <w:r w:rsidRPr="008725BA">
        <w:rPr>
          <w:rFonts w:ascii="Book Antiqua" w:eastAsia="Book Antiqua" w:hAnsi="Book Antiqua" w:cs="Book Antiqua"/>
          <w:i/>
          <w:iCs/>
          <w:color w:val="000000"/>
        </w:rPr>
        <w:t xml:space="preserve"> </w:t>
      </w:r>
      <w:proofErr w:type="spellStart"/>
      <w:r w:rsidRPr="008725BA">
        <w:rPr>
          <w:rFonts w:ascii="Book Antiqua" w:eastAsia="Book Antiqua" w:hAnsi="Book Antiqua" w:cs="Book Antiqua"/>
          <w:i/>
          <w:iCs/>
          <w:color w:val="000000"/>
        </w:rPr>
        <w:t>Opin</w:t>
      </w:r>
      <w:proofErr w:type="spellEnd"/>
      <w:r w:rsidRPr="008725BA">
        <w:rPr>
          <w:rFonts w:ascii="Book Antiqua" w:eastAsia="Book Antiqua" w:hAnsi="Book Antiqua" w:cs="Book Antiqua"/>
          <w:i/>
          <w:iCs/>
          <w:color w:val="000000"/>
        </w:rPr>
        <w:t xml:space="preserve"> Crit Care</w:t>
      </w:r>
      <w:r w:rsidRPr="008725BA">
        <w:rPr>
          <w:rFonts w:ascii="Book Antiqua" w:eastAsia="Book Antiqua" w:hAnsi="Book Antiqua" w:cs="Book Antiqua"/>
          <w:color w:val="000000"/>
        </w:rPr>
        <w:t xml:space="preserve"> 2013; </w:t>
      </w:r>
      <w:r w:rsidRPr="008725BA">
        <w:rPr>
          <w:rFonts w:ascii="Book Antiqua" w:eastAsia="Book Antiqua" w:hAnsi="Book Antiqua" w:cs="Book Antiqua"/>
          <w:b/>
          <w:bCs/>
          <w:color w:val="000000"/>
        </w:rPr>
        <w:t>19</w:t>
      </w:r>
      <w:r w:rsidRPr="008725BA">
        <w:rPr>
          <w:rFonts w:ascii="Book Antiqua" w:eastAsia="Book Antiqua" w:hAnsi="Book Antiqua" w:cs="Book Antiqua"/>
          <w:color w:val="000000"/>
        </w:rPr>
        <w:t>: 154-160 [PMID: 23426137 DOI: 10.1097/MCC.0b013e32835f0c17]</w:t>
      </w:r>
    </w:p>
    <w:p w14:paraId="3E6CE4E5"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lastRenderedPageBreak/>
        <w:t xml:space="preserve">31 </w:t>
      </w:r>
      <w:proofErr w:type="spellStart"/>
      <w:r w:rsidRPr="008725BA">
        <w:rPr>
          <w:rFonts w:ascii="Book Antiqua" w:eastAsia="Book Antiqua" w:hAnsi="Book Antiqua" w:cs="Book Antiqua"/>
          <w:b/>
          <w:bCs/>
          <w:color w:val="000000"/>
        </w:rPr>
        <w:t>Cholongitas</w:t>
      </w:r>
      <w:proofErr w:type="spellEnd"/>
      <w:r w:rsidRPr="008725BA">
        <w:rPr>
          <w:rFonts w:ascii="Book Antiqua" w:eastAsia="Book Antiqua" w:hAnsi="Book Antiqua" w:cs="Book Antiqua"/>
          <w:b/>
          <w:bCs/>
          <w:color w:val="000000"/>
        </w:rPr>
        <w:t xml:space="preserve"> E</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Senzolo</w:t>
      </w:r>
      <w:proofErr w:type="spellEnd"/>
      <w:r w:rsidRPr="008725BA">
        <w:rPr>
          <w:rFonts w:ascii="Book Antiqua" w:eastAsia="Book Antiqua" w:hAnsi="Book Antiqua" w:cs="Book Antiqua"/>
          <w:color w:val="000000"/>
        </w:rPr>
        <w:t xml:space="preserve"> M, Patch D, Shaw S, Hui C, Burroughs AK. Review article: scoring systems for assessing prognosis in critically ill adult </w:t>
      </w:r>
      <w:proofErr w:type="spellStart"/>
      <w:r w:rsidRPr="008725BA">
        <w:rPr>
          <w:rFonts w:ascii="Book Antiqua" w:eastAsia="Book Antiqua" w:hAnsi="Book Antiqua" w:cs="Book Antiqua"/>
          <w:color w:val="000000"/>
        </w:rPr>
        <w:t>cirrhotics</w:t>
      </w:r>
      <w:proofErr w:type="spellEnd"/>
      <w:r w:rsidRPr="008725BA">
        <w:rPr>
          <w:rFonts w:ascii="Book Antiqua" w:eastAsia="Book Antiqua" w:hAnsi="Book Antiqua" w:cs="Book Antiqua"/>
          <w:color w:val="000000"/>
        </w:rPr>
        <w:t xml:space="preserve">. </w:t>
      </w:r>
      <w:r w:rsidRPr="008725BA">
        <w:rPr>
          <w:rFonts w:ascii="Book Antiqua" w:eastAsia="Book Antiqua" w:hAnsi="Book Antiqua" w:cs="Book Antiqua"/>
          <w:i/>
          <w:iCs/>
          <w:color w:val="000000"/>
        </w:rPr>
        <w:t xml:space="preserve">Aliment </w:t>
      </w:r>
      <w:proofErr w:type="spellStart"/>
      <w:r w:rsidRPr="008725BA">
        <w:rPr>
          <w:rFonts w:ascii="Book Antiqua" w:eastAsia="Book Antiqua" w:hAnsi="Book Antiqua" w:cs="Book Antiqua"/>
          <w:i/>
          <w:iCs/>
          <w:color w:val="000000"/>
        </w:rPr>
        <w:t>Pharmacol</w:t>
      </w:r>
      <w:proofErr w:type="spellEnd"/>
      <w:r w:rsidRPr="008725BA">
        <w:rPr>
          <w:rFonts w:ascii="Book Antiqua" w:eastAsia="Book Antiqua" w:hAnsi="Book Antiqua" w:cs="Book Antiqua"/>
          <w:i/>
          <w:iCs/>
          <w:color w:val="000000"/>
        </w:rPr>
        <w:t xml:space="preserve"> </w:t>
      </w:r>
      <w:proofErr w:type="spellStart"/>
      <w:r w:rsidRPr="008725BA">
        <w:rPr>
          <w:rFonts w:ascii="Book Antiqua" w:eastAsia="Book Antiqua" w:hAnsi="Book Antiqua" w:cs="Book Antiqua"/>
          <w:i/>
          <w:iCs/>
          <w:color w:val="000000"/>
        </w:rPr>
        <w:t>Ther</w:t>
      </w:r>
      <w:proofErr w:type="spellEnd"/>
      <w:r w:rsidRPr="008725BA">
        <w:rPr>
          <w:rFonts w:ascii="Book Antiqua" w:eastAsia="Book Antiqua" w:hAnsi="Book Antiqua" w:cs="Book Antiqua"/>
          <w:color w:val="000000"/>
        </w:rPr>
        <w:t xml:space="preserve"> 2006; </w:t>
      </w:r>
      <w:r w:rsidRPr="008725BA">
        <w:rPr>
          <w:rFonts w:ascii="Book Antiqua" w:eastAsia="Book Antiqua" w:hAnsi="Book Antiqua" w:cs="Book Antiqua"/>
          <w:b/>
          <w:bCs/>
          <w:color w:val="000000"/>
        </w:rPr>
        <w:t>24</w:t>
      </w:r>
      <w:r w:rsidRPr="008725BA">
        <w:rPr>
          <w:rFonts w:ascii="Book Antiqua" w:eastAsia="Book Antiqua" w:hAnsi="Book Antiqua" w:cs="Book Antiqua"/>
          <w:color w:val="000000"/>
        </w:rPr>
        <w:t>: 453-464 [PMID: 16886911 DOI: 10.1111/j.1365-2036.</w:t>
      </w:r>
      <w:proofErr w:type="gramStart"/>
      <w:r w:rsidRPr="008725BA">
        <w:rPr>
          <w:rFonts w:ascii="Book Antiqua" w:eastAsia="Book Antiqua" w:hAnsi="Book Antiqua" w:cs="Book Antiqua"/>
          <w:color w:val="000000"/>
        </w:rPr>
        <w:t>2006.02998.x</w:t>
      </w:r>
      <w:proofErr w:type="gramEnd"/>
      <w:r w:rsidRPr="008725BA">
        <w:rPr>
          <w:rFonts w:ascii="Book Antiqua" w:eastAsia="Book Antiqua" w:hAnsi="Book Antiqua" w:cs="Book Antiqua"/>
          <w:color w:val="000000"/>
        </w:rPr>
        <w:t>]</w:t>
      </w:r>
    </w:p>
    <w:p w14:paraId="7295FA88" w14:textId="737BF002"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32 </w:t>
      </w:r>
      <w:r w:rsidR="00EC2471" w:rsidRPr="008725BA">
        <w:rPr>
          <w:rFonts w:ascii="Book Antiqua" w:hAnsi="Book Antiqua"/>
          <w:b/>
          <w:bCs/>
          <w:color w:val="201F35"/>
        </w:rPr>
        <w:t>Pugh RN</w:t>
      </w:r>
      <w:r w:rsidR="00EC2471" w:rsidRPr="008725BA">
        <w:rPr>
          <w:rFonts w:ascii="Book Antiqua" w:hAnsi="Book Antiqua"/>
          <w:color w:val="201F35"/>
        </w:rPr>
        <w:t xml:space="preserve">, Murray-Lyon IM, Dawson JL, </w:t>
      </w:r>
      <w:proofErr w:type="spellStart"/>
      <w:r w:rsidR="00EC2471" w:rsidRPr="008725BA">
        <w:rPr>
          <w:rFonts w:ascii="Book Antiqua" w:hAnsi="Book Antiqua"/>
          <w:color w:val="201F35"/>
        </w:rPr>
        <w:t>Pietroni</w:t>
      </w:r>
      <w:proofErr w:type="spellEnd"/>
      <w:r w:rsidR="00EC2471" w:rsidRPr="008725BA">
        <w:rPr>
          <w:rFonts w:ascii="Book Antiqua" w:hAnsi="Book Antiqua"/>
          <w:color w:val="201F35"/>
        </w:rPr>
        <w:t xml:space="preserve"> MC, Williams R. Transection of the </w:t>
      </w:r>
      <w:proofErr w:type="spellStart"/>
      <w:r w:rsidR="00EC2471" w:rsidRPr="008725BA">
        <w:rPr>
          <w:rFonts w:ascii="Book Antiqua" w:hAnsi="Book Antiqua"/>
          <w:color w:val="201F35"/>
        </w:rPr>
        <w:t>oesophagus</w:t>
      </w:r>
      <w:proofErr w:type="spellEnd"/>
      <w:r w:rsidR="00EC2471" w:rsidRPr="008725BA">
        <w:rPr>
          <w:rFonts w:ascii="Book Antiqua" w:hAnsi="Book Antiqua"/>
          <w:color w:val="201F35"/>
        </w:rPr>
        <w:t xml:space="preserve"> for bleeding </w:t>
      </w:r>
      <w:proofErr w:type="spellStart"/>
      <w:r w:rsidR="00EC2471" w:rsidRPr="008725BA">
        <w:rPr>
          <w:rFonts w:ascii="Book Antiqua" w:hAnsi="Book Antiqua"/>
          <w:color w:val="201F35"/>
        </w:rPr>
        <w:t>oesophageal</w:t>
      </w:r>
      <w:proofErr w:type="spellEnd"/>
      <w:r w:rsidR="00EC2471" w:rsidRPr="008725BA">
        <w:rPr>
          <w:rFonts w:ascii="Book Antiqua" w:hAnsi="Book Antiqua"/>
          <w:color w:val="201F35"/>
        </w:rPr>
        <w:t xml:space="preserve"> varices. </w:t>
      </w:r>
      <w:r w:rsidR="00EC2471" w:rsidRPr="008725BA">
        <w:rPr>
          <w:rFonts w:ascii="Book Antiqua" w:hAnsi="Book Antiqua"/>
          <w:i/>
          <w:iCs/>
          <w:color w:val="201F35"/>
        </w:rPr>
        <w:t>Br J Surg</w:t>
      </w:r>
      <w:r w:rsidR="00EC2471" w:rsidRPr="008725BA">
        <w:rPr>
          <w:rFonts w:ascii="Book Antiqua" w:hAnsi="Book Antiqua"/>
          <w:color w:val="201F35"/>
        </w:rPr>
        <w:t> 1973; </w:t>
      </w:r>
      <w:r w:rsidR="00EC2471" w:rsidRPr="008725BA">
        <w:rPr>
          <w:rFonts w:ascii="Book Antiqua" w:hAnsi="Book Antiqua"/>
          <w:b/>
          <w:bCs/>
          <w:color w:val="201F35"/>
        </w:rPr>
        <w:t>60</w:t>
      </w:r>
      <w:r w:rsidR="00EC2471" w:rsidRPr="008725BA">
        <w:rPr>
          <w:rFonts w:ascii="Book Antiqua" w:hAnsi="Book Antiqua"/>
          <w:color w:val="201F35"/>
        </w:rPr>
        <w:t>: 646-649 [PMID: 4541913 DOI: 10.1002/bjs.1800600817]</w:t>
      </w:r>
    </w:p>
    <w:p w14:paraId="7EB92F56"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33 </w:t>
      </w:r>
      <w:proofErr w:type="spellStart"/>
      <w:r w:rsidRPr="008725BA">
        <w:rPr>
          <w:rFonts w:ascii="Book Antiqua" w:eastAsia="Book Antiqua" w:hAnsi="Book Antiqua" w:cs="Book Antiqua"/>
          <w:b/>
          <w:bCs/>
          <w:color w:val="000000"/>
        </w:rPr>
        <w:t>Malinchoc</w:t>
      </w:r>
      <w:proofErr w:type="spellEnd"/>
      <w:r w:rsidRPr="008725BA">
        <w:rPr>
          <w:rFonts w:ascii="Book Antiqua" w:eastAsia="Book Antiqua" w:hAnsi="Book Antiqua" w:cs="Book Antiqua"/>
          <w:b/>
          <w:bCs/>
          <w:color w:val="000000"/>
        </w:rPr>
        <w:t xml:space="preserve"> M</w:t>
      </w:r>
      <w:r w:rsidRPr="008725BA">
        <w:rPr>
          <w:rFonts w:ascii="Book Antiqua" w:eastAsia="Book Antiqua" w:hAnsi="Book Antiqua" w:cs="Book Antiqua"/>
          <w:color w:val="000000"/>
        </w:rPr>
        <w:t xml:space="preserve">, Kamath PS, Gordon FD, </w:t>
      </w:r>
      <w:proofErr w:type="spellStart"/>
      <w:r w:rsidRPr="008725BA">
        <w:rPr>
          <w:rFonts w:ascii="Book Antiqua" w:eastAsia="Book Antiqua" w:hAnsi="Book Antiqua" w:cs="Book Antiqua"/>
          <w:color w:val="000000"/>
        </w:rPr>
        <w:t>Peine</w:t>
      </w:r>
      <w:proofErr w:type="spellEnd"/>
      <w:r w:rsidRPr="008725BA">
        <w:rPr>
          <w:rFonts w:ascii="Book Antiqua" w:eastAsia="Book Antiqua" w:hAnsi="Book Antiqua" w:cs="Book Antiqua"/>
          <w:color w:val="000000"/>
        </w:rPr>
        <w:t xml:space="preserve"> CJ, Rank J, </w:t>
      </w:r>
      <w:proofErr w:type="spellStart"/>
      <w:r w:rsidRPr="008725BA">
        <w:rPr>
          <w:rFonts w:ascii="Book Antiqua" w:eastAsia="Book Antiqua" w:hAnsi="Book Antiqua" w:cs="Book Antiqua"/>
          <w:color w:val="000000"/>
        </w:rPr>
        <w:t>ter</w:t>
      </w:r>
      <w:proofErr w:type="spellEnd"/>
      <w:r w:rsidRPr="008725BA">
        <w:rPr>
          <w:rFonts w:ascii="Book Antiqua" w:eastAsia="Book Antiqua" w:hAnsi="Book Antiqua" w:cs="Book Antiqua"/>
          <w:color w:val="000000"/>
        </w:rPr>
        <w:t xml:space="preserve"> Borg PC. A model to predict poor survival in patients undergoing </w:t>
      </w:r>
      <w:proofErr w:type="spellStart"/>
      <w:r w:rsidRPr="008725BA">
        <w:rPr>
          <w:rFonts w:ascii="Book Antiqua" w:eastAsia="Book Antiqua" w:hAnsi="Book Antiqua" w:cs="Book Antiqua"/>
          <w:color w:val="000000"/>
        </w:rPr>
        <w:t>transjugular</w:t>
      </w:r>
      <w:proofErr w:type="spellEnd"/>
      <w:r w:rsidRPr="008725BA">
        <w:rPr>
          <w:rFonts w:ascii="Book Antiqua" w:eastAsia="Book Antiqua" w:hAnsi="Book Antiqua" w:cs="Book Antiqua"/>
          <w:color w:val="000000"/>
        </w:rPr>
        <w:t xml:space="preserve"> intrahepatic portosystemic shunts. </w:t>
      </w:r>
      <w:r w:rsidRPr="008725BA">
        <w:rPr>
          <w:rFonts w:ascii="Book Antiqua" w:eastAsia="Book Antiqua" w:hAnsi="Book Antiqua" w:cs="Book Antiqua"/>
          <w:i/>
          <w:iCs/>
          <w:color w:val="000000"/>
        </w:rPr>
        <w:t>Hepatology</w:t>
      </w:r>
      <w:r w:rsidRPr="008725BA">
        <w:rPr>
          <w:rFonts w:ascii="Book Antiqua" w:eastAsia="Book Antiqua" w:hAnsi="Book Antiqua" w:cs="Book Antiqua"/>
          <w:color w:val="000000"/>
        </w:rPr>
        <w:t xml:space="preserve"> 2000; </w:t>
      </w:r>
      <w:r w:rsidRPr="008725BA">
        <w:rPr>
          <w:rFonts w:ascii="Book Antiqua" w:eastAsia="Book Antiqua" w:hAnsi="Book Antiqua" w:cs="Book Antiqua"/>
          <w:b/>
          <w:bCs/>
          <w:color w:val="000000"/>
        </w:rPr>
        <w:t>31</w:t>
      </w:r>
      <w:r w:rsidRPr="008725BA">
        <w:rPr>
          <w:rFonts w:ascii="Book Antiqua" w:eastAsia="Book Antiqua" w:hAnsi="Book Antiqua" w:cs="Book Antiqua"/>
          <w:color w:val="000000"/>
        </w:rPr>
        <w:t>: 864-871 [PMID: 10733541 DOI: 10.1053/he.2000.5852]</w:t>
      </w:r>
    </w:p>
    <w:p w14:paraId="2159E0D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34 </w:t>
      </w:r>
      <w:r w:rsidRPr="008725BA">
        <w:rPr>
          <w:rFonts w:ascii="Book Antiqua" w:eastAsia="Book Antiqua" w:hAnsi="Book Antiqua" w:cs="Book Antiqua"/>
          <w:b/>
          <w:bCs/>
          <w:color w:val="000000"/>
        </w:rPr>
        <w:t>Kamath PS</w:t>
      </w:r>
      <w:r w:rsidRPr="008725BA">
        <w:rPr>
          <w:rFonts w:ascii="Book Antiqua" w:eastAsia="Book Antiqua" w:hAnsi="Book Antiqua" w:cs="Book Antiqua"/>
          <w:color w:val="000000"/>
        </w:rPr>
        <w:t xml:space="preserve">, Wiesner RH, </w:t>
      </w:r>
      <w:proofErr w:type="spellStart"/>
      <w:r w:rsidRPr="008725BA">
        <w:rPr>
          <w:rFonts w:ascii="Book Antiqua" w:eastAsia="Book Antiqua" w:hAnsi="Book Antiqua" w:cs="Book Antiqua"/>
          <w:color w:val="000000"/>
        </w:rPr>
        <w:t>Malinchoc</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Kremers</w:t>
      </w:r>
      <w:proofErr w:type="spellEnd"/>
      <w:r w:rsidRPr="008725BA">
        <w:rPr>
          <w:rFonts w:ascii="Book Antiqua" w:eastAsia="Book Antiqua" w:hAnsi="Book Antiqua" w:cs="Book Antiqua"/>
          <w:color w:val="000000"/>
        </w:rPr>
        <w:t xml:space="preserve"> W, </w:t>
      </w:r>
      <w:proofErr w:type="spellStart"/>
      <w:r w:rsidRPr="008725BA">
        <w:rPr>
          <w:rFonts w:ascii="Book Antiqua" w:eastAsia="Book Antiqua" w:hAnsi="Book Antiqua" w:cs="Book Antiqua"/>
          <w:color w:val="000000"/>
        </w:rPr>
        <w:t>Therneau</w:t>
      </w:r>
      <w:proofErr w:type="spellEnd"/>
      <w:r w:rsidRPr="008725BA">
        <w:rPr>
          <w:rFonts w:ascii="Book Antiqua" w:eastAsia="Book Antiqua" w:hAnsi="Book Antiqua" w:cs="Book Antiqua"/>
          <w:color w:val="000000"/>
        </w:rPr>
        <w:t xml:space="preserve"> TM, </w:t>
      </w:r>
      <w:proofErr w:type="spellStart"/>
      <w:r w:rsidRPr="008725BA">
        <w:rPr>
          <w:rFonts w:ascii="Book Antiqua" w:eastAsia="Book Antiqua" w:hAnsi="Book Antiqua" w:cs="Book Antiqua"/>
          <w:color w:val="000000"/>
        </w:rPr>
        <w:t>Kosberg</w:t>
      </w:r>
      <w:proofErr w:type="spellEnd"/>
      <w:r w:rsidRPr="008725BA">
        <w:rPr>
          <w:rFonts w:ascii="Book Antiqua" w:eastAsia="Book Antiqua" w:hAnsi="Book Antiqua" w:cs="Book Antiqua"/>
          <w:color w:val="000000"/>
        </w:rPr>
        <w:t xml:space="preserve"> CL, D'Amico G, Dickson ER, Kim WR. A model to predict survival in patients with end-stage liver disease. </w:t>
      </w:r>
      <w:r w:rsidRPr="008725BA">
        <w:rPr>
          <w:rFonts w:ascii="Book Antiqua" w:eastAsia="Book Antiqua" w:hAnsi="Book Antiqua" w:cs="Book Antiqua"/>
          <w:i/>
          <w:iCs/>
          <w:color w:val="000000"/>
        </w:rPr>
        <w:t>Hepatology</w:t>
      </w:r>
      <w:r w:rsidRPr="008725BA">
        <w:rPr>
          <w:rFonts w:ascii="Book Antiqua" w:eastAsia="Book Antiqua" w:hAnsi="Book Antiqua" w:cs="Book Antiqua"/>
          <w:color w:val="000000"/>
        </w:rPr>
        <w:t xml:space="preserve"> 2001; </w:t>
      </w:r>
      <w:r w:rsidRPr="008725BA">
        <w:rPr>
          <w:rFonts w:ascii="Book Antiqua" w:eastAsia="Book Antiqua" w:hAnsi="Book Antiqua" w:cs="Book Antiqua"/>
          <w:b/>
          <w:bCs/>
          <w:color w:val="000000"/>
        </w:rPr>
        <w:t>33</w:t>
      </w:r>
      <w:r w:rsidRPr="008725BA">
        <w:rPr>
          <w:rFonts w:ascii="Book Antiqua" w:eastAsia="Book Antiqua" w:hAnsi="Book Antiqua" w:cs="Book Antiqua"/>
          <w:color w:val="000000"/>
        </w:rPr>
        <w:t>: 464-470 [PMID: 11172350 DOI: 10.1053/jhep.2001.22172]</w:t>
      </w:r>
    </w:p>
    <w:p w14:paraId="10146A69"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35 </w:t>
      </w:r>
      <w:r w:rsidRPr="008725BA">
        <w:rPr>
          <w:rFonts w:ascii="Book Antiqua" w:eastAsia="Book Antiqua" w:hAnsi="Book Antiqua" w:cs="Book Antiqua"/>
          <w:b/>
          <w:bCs/>
          <w:color w:val="000000"/>
        </w:rPr>
        <w:t>Pool R</w:t>
      </w:r>
      <w:r w:rsidRPr="008725BA">
        <w:rPr>
          <w:rFonts w:ascii="Book Antiqua" w:eastAsia="Book Antiqua" w:hAnsi="Book Antiqua" w:cs="Book Antiqua"/>
          <w:color w:val="000000"/>
        </w:rPr>
        <w:t xml:space="preserve">, Gomez H, Kellum JA. Mechanisms of Organ Dysfunction in Sepsis. </w:t>
      </w:r>
      <w:r w:rsidRPr="008725BA">
        <w:rPr>
          <w:rFonts w:ascii="Book Antiqua" w:eastAsia="Book Antiqua" w:hAnsi="Book Antiqua" w:cs="Book Antiqua"/>
          <w:i/>
          <w:iCs/>
          <w:color w:val="000000"/>
        </w:rPr>
        <w:t>Crit Care Clin</w:t>
      </w:r>
      <w:r w:rsidRPr="008725BA">
        <w:rPr>
          <w:rFonts w:ascii="Book Antiqua" w:eastAsia="Book Antiqua" w:hAnsi="Book Antiqua" w:cs="Book Antiqua"/>
          <w:color w:val="000000"/>
        </w:rPr>
        <w:t xml:space="preserve"> 2018; </w:t>
      </w:r>
      <w:r w:rsidRPr="008725BA">
        <w:rPr>
          <w:rFonts w:ascii="Book Antiqua" w:eastAsia="Book Antiqua" w:hAnsi="Book Antiqua" w:cs="Book Antiqua"/>
          <w:b/>
          <w:bCs/>
          <w:color w:val="000000"/>
        </w:rPr>
        <w:t>34</w:t>
      </w:r>
      <w:r w:rsidRPr="008725BA">
        <w:rPr>
          <w:rFonts w:ascii="Book Antiqua" w:eastAsia="Book Antiqua" w:hAnsi="Book Antiqua" w:cs="Book Antiqua"/>
          <w:color w:val="000000"/>
        </w:rPr>
        <w:t>: 63-80 [PMID: 29149942 DOI: 10.1016/j.ccc.2017.08.003]</w:t>
      </w:r>
    </w:p>
    <w:p w14:paraId="7A42F5B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36 </w:t>
      </w:r>
      <w:proofErr w:type="spellStart"/>
      <w:r w:rsidRPr="008725BA">
        <w:rPr>
          <w:rFonts w:ascii="Book Antiqua" w:eastAsia="Book Antiqua" w:hAnsi="Book Antiqua" w:cs="Book Antiqua"/>
          <w:b/>
          <w:bCs/>
          <w:color w:val="000000"/>
        </w:rPr>
        <w:t>Sauaia</w:t>
      </w:r>
      <w:proofErr w:type="spellEnd"/>
      <w:r w:rsidRPr="008725BA">
        <w:rPr>
          <w:rFonts w:ascii="Book Antiqua" w:eastAsia="Book Antiqua" w:hAnsi="Book Antiqua" w:cs="Book Antiqua"/>
          <w:b/>
          <w:bCs/>
          <w:color w:val="000000"/>
        </w:rPr>
        <w:t xml:space="preserve"> A</w:t>
      </w:r>
      <w:r w:rsidRPr="008725BA">
        <w:rPr>
          <w:rFonts w:ascii="Book Antiqua" w:eastAsia="Book Antiqua" w:hAnsi="Book Antiqua" w:cs="Book Antiqua"/>
          <w:color w:val="000000"/>
        </w:rPr>
        <w:t xml:space="preserve">, Moore FA, Moore EE. Postinjury Inflammation and Organ Dysfunction. </w:t>
      </w:r>
      <w:r w:rsidRPr="008725BA">
        <w:rPr>
          <w:rFonts w:ascii="Book Antiqua" w:eastAsia="Book Antiqua" w:hAnsi="Book Antiqua" w:cs="Book Antiqua"/>
          <w:i/>
          <w:iCs/>
          <w:color w:val="000000"/>
        </w:rPr>
        <w:t>Crit Care Clin</w:t>
      </w:r>
      <w:r w:rsidRPr="008725BA">
        <w:rPr>
          <w:rFonts w:ascii="Book Antiqua" w:eastAsia="Book Antiqua" w:hAnsi="Book Antiqua" w:cs="Book Antiqua"/>
          <w:color w:val="000000"/>
        </w:rPr>
        <w:t xml:space="preserve"> 2017; </w:t>
      </w:r>
      <w:r w:rsidRPr="008725BA">
        <w:rPr>
          <w:rFonts w:ascii="Book Antiqua" w:eastAsia="Book Antiqua" w:hAnsi="Book Antiqua" w:cs="Book Antiqua"/>
          <w:b/>
          <w:bCs/>
          <w:color w:val="000000"/>
        </w:rPr>
        <w:t>33</w:t>
      </w:r>
      <w:r w:rsidRPr="008725BA">
        <w:rPr>
          <w:rFonts w:ascii="Book Antiqua" w:eastAsia="Book Antiqua" w:hAnsi="Book Antiqua" w:cs="Book Antiqua"/>
          <w:color w:val="000000"/>
        </w:rPr>
        <w:t>: 167-191 [PMID: 27894496 DOI: 10.1016/j.ccc.2016.08.006]</w:t>
      </w:r>
    </w:p>
    <w:p w14:paraId="75DA4B51"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37 </w:t>
      </w:r>
      <w:proofErr w:type="spellStart"/>
      <w:r w:rsidRPr="008725BA">
        <w:rPr>
          <w:rFonts w:ascii="Book Antiqua" w:eastAsia="Book Antiqua" w:hAnsi="Book Antiqua" w:cs="Book Antiqua"/>
          <w:b/>
          <w:bCs/>
          <w:color w:val="000000"/>
        </w:rPr>
        <w:t>Cavallazzi</w:t>
      </w:r>
      <w:proofErr w:type="spellEnd"/>
      <w:r w:rsidRPr="008725BA">
        <w:rPr>
          <w:rFonts w:ascii="Book Antiqua" w:eastAsia="Book Antiqua" w:hAnsi="Book Antiqua" w:cs="Book Antiqua"/>
          <w:b/>
          <w:bCs/>
          <w:color w:val="000000"/>
        </w:rPr>
        <w:t xml:space="preserve"> R</w:t>
      </w:r>
      <w:r w:rsidRPr="008725BA">
        <w:rPr>
          <w:rFonts w:ascii="Book Antiqua" w:eastAsia="Book Antiqua" w:hAnsi="Book Antiqua" w:cs="Book Antiqua"/>
          <w:color w:val="000000"/>
        </w:rPr>
        <w:t xml:space="preserve">, Awe OO, Vasu TS, Hirani A, </w:t>
      </w:r>
      <w:proofErr w:type="spellStart"/>
      <w:r w:rsidRPr="008725BA">
        <w:rPr>
          <w:rFonts w:ascii="Book Antiqua" w:eastAsia="Book Antiqua" w:hAnsi="Book Antiqua" w:cs="Book Antiqua"/>
          <w:color w:val="000000"/>
        </w:rPr>
        <w:t>Vaid</w:t>
      </w:r>
      <w:proofErr w:type="spellEnd"/>
      <w:r w:rsidRPr="008725BA">
        <w:rPr>
          <w:rFonts w:ascii="Book Antiqua" w:eastAsia="Book Antiqua" w:hAnsi="Book Antiqua" w:cs="Book Antiqua"/>
          <w:color w:val="000000"/>
        </w:rPr>
        <w:t xml:space="preserve"> U, </w:t>
      </w:r>
      <w:proofErr w:type="spellStart"/>
      <w:r w:rsidRPr="008725BA">
        <w:rPr>
          <w:rFonts w:ascii="Book Antiqua" w:eastAsia="Book Antiqua" w:hAnsi="Book Antiqua" w:cs="Book Antiqua"/>
          <w:color w:val="000000"/>
        </w:rPr>
        <w:t>Leiby</w:t>
      </w:r>
      <w:proofErr w:type="spellEnd"/>
      <w:r w:rsidRPr="008725BA">
        <w:rPr>
          <w:rFonts w:ascii="Book Antiqua" w:eastAsia="Book Antiqua" w:hAnsi="Book Antiqua" w:cs="Book Antiqua"/>
          <w:color w:val="000000"/>
        </w:rPr>
        <w:t xml:space="preserve"> BE, Kraft WK, Kane GC. Model for End-Stage Liver Disease score for predicting outcome in critically ill medical patients with liver cirrhosis. </w:t>
      </w:r>
      <w:r w:rsidRPr="008725BA">
        <w:rPr>
          <w:rFonts w:ascii="Book Antiqua" w:eastAsia="Book Antiqua" w:hAnsi="Book Antiqua" w:cs="Book Antiqua"/>
          <w:i/>
          <w:iCs/>
          <w:color w:val="000000"/>
        </w:rPr>
        <w:t>J Crit Care</w:t>
      </w:r>
      <w:r w:rsidRPr="008725BA">
        <w:rPr>
          <w:rFonts w:ascii="Book Antiqua" w:eastAsia="Book Antiqua" w:hAnsi="Book Antiqua" w:cs="Book Antiqua"/>
          <w:color w:val="000000"/>
        </w:rPr>
        <w:t xml:space="preserve"> 2012; </w:t>
      </w:r>
      <w:r w:rsidRPr="008725BA">
        <w:rPr>
          <w:rFonts w:ascii="Book Antiqua" w:eastAsia="Book Antiqua" w:hAnsi="Book Antiqua" w:cs="Book Antiqua"/>
          <w:b/>
          <w:bCs/>
          <w:color w:val="000000"/>
        </w:rPr>
        <w:t>27</w:t>
      </w:r>
      <w:r w:rsidRPr="008725BA">
        <w:rPr>
          <w:rFonts w:ascii="Book Antiqua" w:eastAsia="Book Antiqua" w:hAnsi="Book Antiqua" w:cs="Book Antiqua"/>
          <w:color w:val="000000"/>
        </w:rPr>
        <w:t>: 424.e1-424.e6 [PMID: 22227088 DOI: 10.1016/j.jcrc.2011.11.014]</w:t>
      </w:r>
    </w:p>
    <w:p w14:paraId="528865C6"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38 </w:t>
      </w:r>
      <w:proofErr w:type="spellStart"/>
      <w:r w:rsidRPr="008725BA">
        <w:rPr>
          <w:rFonts w:ascii="Book Antiqua" w:eastAsia="Book Antiqua" w:hAnsi="Book Antiqua" w:cs="Book Antiqua"/>
          <w:b/>
          <w:bCs/>
          <w:color w:val="000000"/>
        </w:rPr>
        <w:t>Ruf</w:t>
      </w:r>
      <w:proofErr w:type="spellEnd"/>
      <w:r w:rsidRPr="008725BA">
        <w:rPr>
          <w:rFonts w:ascii="Book Antiqua" w:eastAsia="Book Antiqua" w:hAnsi="Book Antiqua" w:cs="Book Antiqua"/>
          <w:b/>
          <w:bCs/>
          <w:color w:val="000000"/>
        </w:rPr>
        <w:t xml:space="preserve"> AE</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Kremers</w:t>
      </w:r>
      <w:proofErr w:type="spellEnd"/>
      <w:r w:rsidRPr="008725BA">
        <w:rPr>
          <w:rFonts w:ascii="Book Antiqua" w:eastAsia="Book Antiqua" w:hAnsi="Book Antiqua" w:cs="Book Antiqua"/>
          <w:color w:val="000000"/>
        </w:rPr>
        <w:t xml:space="preserve"> WK, Chavez LL, </w:t>
      </w:r>
      <w:proofErr w:type="spellStart"/>
      <w:r w:rsidRPr="008725BA">
        <w:rPr>
          <w:rFonts w:ascii="Book Antiqua" w:eastAsia="Book Antiqua" w:hAnsi="Book Antiqua" w:cs="Book Antiqua"/>
          <w:color w:val="000000"/>
        </w:rPr>
        <w:t>Descalzi</w:t>
      </w:r>
      <w:proofErr w:type="spellEnd"/>
      <w:r w:rsidRPr="008725BA">
        <w:rPr>
          <w:rFonts w:ascii="Book Antiqua" w:eastAsia="Book Antiqua" w:hAnsi="Book Antiqua" w:cs="Book Antiqua"/>
          <w:color w:val="000000"/>
        </w:rPr>
        <w:t xml:space="preserve"> VI, Podesta LG, </w:t>
      </w:r>
      <w:proofErr w:type="spellStart"/>
      <w:r w:rsidRPr="008725BA">
        <w:rPr>
          <w:rFonts w:ascii="Book Antiqua" w:eastAsia="Book Antiqua" w:hAnsi="Book Antiqua" w:cs="Book Antiqua"/>
          <w:color w:val="000000"/>
        </w:rPr>
        <w:t>Villamil</w:t>
      </w:r>
      <w:proofErr w:type="spellEnd"/>
      <w:r w:rsidRPr="008725BA">
        <w:rPr>
          <w:rFonts w:ascii="Book Antiqua" w:eastAsia="Book Antiqua" w:hAnsi="Book Antiqua" w:cs="Book Antiqua"/>
          <w:color w:val="000000"/>
        </w:rPr>
        <w:t xml:space="preserve"> FG. Addition of serum sodium into the MELD score predicts waiting list mortality better than MELD alone. </w:t>
      </w:r>
      <w:r w:rsidRPr="008725BA">
        <w:rPr>
          <w:rFonts w:ascii="Book Antiqua" w:eastAsia="Book Antiqua" w:hAnsi="Book Antiqua" w:cs="Book Antiqua"/>
          <w:i/>
          <w:iCs/>
          <w:color w:val="000000"/>
        </w:rPr>
        <w:t xml:space="preserve">Liver </w:t>
      </w:r>
      <w:proofErr w:type="spellStart"/>
      <w:r w:rsidRPr="008725BA">
        <w:rPr>
          <w:rFonts w:ascii="Book Antiqua" w:eastAsia="Book Antiqua" w:hAnsi="Book Antiqua" w:cs="Book Antiqua"/>
          <w:i/>
          <w:iCs/>
          <w:color w:val="000000"/>
        </w:rPr>
        <w:t>Transpl</w:t>
      </w:r>
      <w:proofErr w:type="spellEnd"/>
      <w:r w:rsidRPr="008725BA">
        <w:rPr>
          <w:rFonts w:ascii="Book Antiqua" w:eastAsia="Book Antiqua" w:hAnsi="Book Antiqua" w:cs="Book Antiqua"/>
          <w:color w:val="000000"/>
        </w:rPr>
        <w:t xml:space="preserve"> 2005; </w:t>
      </w:r>
      <w:r w:rsidRPr="008725BA">
        <w:rPr>
          <w:rFonts w:ascii="Book Antiqua" w:eastAsia="Book Antiqua" w:hAnsi="Book Antiqua" w:cs="Book Antiqua"/>
          <w:b/>
          <w:bCs/>
          <w:color w:val="000000"/>
        </w:rPr>
        <w:t>11</w:t>
      </w:r>
      <w:r w:rsidRPr="008725BA">
        <w:rPr>
          <w:rFonts w:ascii="Book Antiqua" w:eastAsia="Book Antiqua" w:hAnsi="Book Antiqua" w:cs="Book Antiqua"/>
          <w:color w:val="000000"/>
        </w:rPr>
        <w:t>: 336-343 [PMID: 15719386 DOI: 10.1002/Lt.20329]</w:t>
      </w:r>
    </w:p>
    <w:p w14:paraId="55B546C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39 </w:t>
      </w:r>
      <w:proofErr w:type="spellStart"/>
      <w:r w:rsidRPr="008725BA">
        <w:rPr>
          <w:rFonts w:ascii="Book Antiqua" w:eastAsia="Book Antiqua" w:hAnsi="Book Antiqua" w:cs="Book Antiqua"/>
          <w:b/>
          <w:bCs/>
          <w:color w:val="000000"/>
        </w:rPr>
        <w:t>Mazumder</w:t>
      </w:r>
      <w:proofErr w:type="spellEnd"/>
      <w:r w:rsidRPr="008725BA">
        <w:rPr>
          <w:rFonts w:ascii="Book Antiqua" w:eastAsia="Book Antiqua" w:hAnsi="Book Antiqua" w:cs="Book Antiqua"/>
          <w:b/>
          <w:bCs/>
          <w:color w:val="000000"/>
        </w:rPr>
        <w:t xml:space="preserve"> NR</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Atiemo</w:t>
      </w:r>
      <w:proofErr w:type="spellEnd"/>
      <w:r w:rsidRPr="008725BA">
        <w:rPr>
          <w:rFonts w:ascii="Book Antiqua" w:eastAsia="Book Antiqua" w:hAnsi="Book Antiqua" w:cs="Book Antiqua"/>
          <w:color w:val="000000"/>
        </w:rPr>
        <w:t xml:space="preserve"> K, </w:t>
      </w:r>
      <w:proofErr w:type="spellStart"/>
      <w:r w:rsidRPr="008725BA">
        <w:rPr>
          <w:rFonts w:ascii="Book Antiqua" w:eastAsia="Book Antiqua" w:hAnsi="Book Antiqua" w:cs="Book Antiqua"/>
          <w:color w:val="000000"/>
        </w:rPr>
        <w:t>Kappus</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Cullaro</w:t>
      </w:r>
      <w:proofErr w:type="spellEnd"/>
      <w:r w:rsidRPr="008725BA">
        <w:rPr>
          <w:rFonts w:ascii="Book Antiqua" w:eastAsia="Book Antiqua" w:hAnsi="Book Antiqua" w:cs="Book Antiqua"/>
          <w:color w:val="000000"/>
        </w:rPr>
        <w:t xml:space="preserve"> G, </w:t>
      </w:r>
      <w:proofErr w:type="spellStart"/>
      <w:r w:rsidRPr="008725BA">
        <w:rPr>
          <w:rFonts w:ascii="Book Antiqua" w:eastAsia="Book Antiqua" w:hAnsi="Book Antiqua" w:cs="Book Antiqua"/>
          <w:color w:val="000000"/>
        </w:rPr>
        <w:t>Harinstein</w:t>
      </w:r>
      <w:proofErr w:type="spellEnd"/>
      <w:r w:rsidRPr="008725BA">
        <w:rPr>
          <w:rFonts w:ascii="Book Antiqua" w:eastAsia="Book Antiqua" w:hAnsi="Book Antiqua" w:cs="Book Antiqua"/>
          <w:color w:val="000000"/>
        </w:rPr>
        <w:t xml:space="preserve"> ME, Ladner D, Verna E, Lai J, </w:t>
      </w:r>
      <w:proofErr w:type="spellStart"/>
      <w:r w:rsidRPr="008725BA">
        <w:rPr>
          <w:rFonts w:ascii="Book Antiqua" w:eastAsia="Book Antiqua" w:hAnsi="Book Antiqua" w:cs="Book Antiqua"/>
          <w:color w:val="000000"/>
        </w:rPr>
        <w:t>Levitsky</w:t>
      </w:r>
      <w:proofErr w:type="spellEnd"/>
      <w:r w:rsidRPr="008725BA">
        <w:rPr>
          <w:rFonts w:ascii="Book Antiqua" w:eastAsia="Book Antiqua" w:hAnsi="Book Antiqua" w:cs="Book Antiqua"/>
          <w:color w:val="000000"/>
        </w:rPr>
        <w:t xml:space="preserve"> J. A Comprehensive Review of Outcome Predictors in Low MELD Patients. </w:t>
      </w:r>
      <w:r w:rsidRPr="008725BA">
        <w:rPr>
          <w:rFonts w:ascii="Book Antiqua" w:eastAsia="Book Antiqua" w:hAnsi="Book Antiqua" w:cs="Book Antiqua"/>
          <w:i/>
          <w:iCs/>
          <w:color w:val="000000"/>
        </w:rPr>
        <w:t>Transplantation</w:t>
      </w:r>
      <w:r w:rsidRPr="008725BA">
        <w:rPr>
          <w:rFonts w:ascii="Book Antiqua" w:eastAsia="Book Antiqua" w:hAnsi="Book Antiqua" w:cs="Book Antiqua"/>
          <w:color w:val="000000"/>
        </w:rPr>
        <w:t xml:space="preserve"> 2020; </w:t>
      </w:r>
      <w:r w:rsidRPr="008725BA">
        <w:rPr>
          <w:rFonts w:ascii="Book Antiqua" w:eastAsia="Book Antiqua" w:hAnsi="Book Antiqua" w:cs="Book Antiqua"/>
          <w:b/>
          <w:bCs/>
          <w:color w:val="000000"/>
        </w:rPr>
        <w:t>104</w:t>
      </w:r>
      <w:r w:rsidRPr="008725BA">
        <w:rPr>
          <w:rFonts w:ascii="Book Antiqua" w:eastAsia="Book Antiqua" w:hAnsi="Book Antiqua" w:cs="Book Antiqua"/>
          <w:color w:val="000000"/>
        </w:rPr>
        <w:t>: 242-250 [PMID: 31517785 DOI: 10.1097/TP.0000000000002956]</w:t>
      </w:r>
    </w:p>
    <w:p w14:paraId="266A1990"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lastRenderedPageBreak/>
        <w:t xml:space="preserve">40 </w:t>
      </w:r>
      <w:r w:rsidRPr="008725BA">
        <w:rPr>
          <w:rFonts w:ascii="Book Antiqua" w:eastAsia="Book Antiqua" w:hAnsi="Book Antiqua" w:cs="Book Antiqua"/>
          <w:b/>
          <w:bCs/>
          <w:color w:val="000000"/>
        </w:rPr>
        <w:t>Luca A</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Angermayr</w:t>
      </w:r>
      <w:proofErr w:type="spellEnd"/>
      <w:r w:rsidRPr="008725BA">
        <w:rPr>
          <w:rFonts w:ascii="Book Antiqua" w:eastAsia="Book Antiqua" w:hAnsi="Book Antiqua" w:cs="Book Antiqua"/>
          <w:color w:val="000000"/>
        </w:rPr>
        <w:t xml:space="preserve"> B, </w:t>
      </w:r>
      <w:proofErr w:type="spellStart"/>
      <w:r w:rsidRPr="008725BA">
        <w:rPr>
          <w:rFonts w:ascii="Book Antiqua" w:eastAsia="Book Antiqua" w:hAnsi="Book Antiqua" w:cs="Book Antiqua"/>
          <w:color w:val="000000"/>
        </w:rPr>
        <w:t>Bertolini</w:t>
      </w:r>
      <w:proofErr w:type="spellEnd"/>
      <w:r w:rsidRPr="008725BA">
        <w:rPr>
          <w:rFonts w:ascii="Book Antiqua" w:eastAsia="Book Antiqua" w:hAnsi="Book Antiqua" w:cs="Book Antiqua"/>
          <w:color w:val="000000"/>
        </w:rPr>
        <w:t xml:space="preserve"> G, Koenig F, </w:t>
      </w:r>
      <w:proofErr w:type="spellStart"/>
      <w:r w:rsidRPr="008725BA">
        <w:rPr>
          <w:rFonts w:ascii="Book Antiqua" w:eastAsia="Book Antiqua" w:hAnsi="Book Antiqua" w:cs="Book Antiqua"/>
          <w:color w:val="000000"/>
        </w:rPr>
        <w:t>Vizzini</w:t>
      </w:r>
      <w:proofErr w:type="spellEnd"/>
      <w:r w:rsidRPr="008725BA">
        <w:rPr>
          <w:rFonts w:ascii="Book Antiqua" w:eastAsia="Book Antiqua" w:hAnsi="Book Antiqua" w:cs="Book Antiqua"/>
          <w:color w:val="000000"/>
        </w:rPr>
        <w:t xml:space="preserve"> G, </w:t>
      </w:r>
      <w:proofErr w:type="spellStart"/>
      <w:r w:rsidRPr="008725BA">
        <w:rPr>
          <w:rFonts w:ascii="Book Antiqua" w:eastAsia="Book Antiqua" w:hAnsi="Book Antiqua" w:cs="Book Antiqua"/>
          <w:color w:val="000000"/>
        </w:rPr>
        <w:t>Ploner</w:t>
      </w:r>
      <w:proofErr w:type="spellEnd"/>
      <w:r w:rsidRPr="008725BA">
        <w:rPr>
          <w:rFonts w:ascii="Book Antiqua" w:eastAsia="Book Antiqua" w:hAnsi="Book Antiqua" w:cs="Book Antiqua"/>
          <w:color w:val="000000"/>
        </w:rPr>
        <w:t xml:space="preserve"> M, Peck-Radosavljevic M, </w:t>
      </w:r>
      <w:proofErr w:type="spellStart"/>
      <w:r w:rsidRPr="008725BA">
        <w:rPr>
          <w:rFonts w:ascii="Book Antiqua" w:eastAsia="Book Antiqua" w:hAnsi="Book Antiqua" w:cs="Book Antiqua"/>
          <w:color w:val="000000"/>
        </w:rPr>
        <w:t>Gridelli</w:t>
      </w:r>
      <w:proofErr w:type="spellEnd"/>
      <w:r w:rsidRPr="008725BA">
        <w:rPr>
          <w:rFonts w:ascii="Book Antiqua" w:eastAsia="Book Antiqua" w:hAnsi="Book Antiqua" w:cs="Book Antiqua"/>
          <w:color w:val="000000"/>
        </w:rPr>
        <w:t xml:space="preserve"> B, Bosch J. An integrated MELD model including serum sodium and age improves the prediction of early mortality in patients with cirrhosis. </w:t>
      </w:r>
      <w:r w:rsidRPr="008725BA">
        <w:rPr>
          <w:rFonts w:ascii="Book Antiqua" w:eastAsia="Book Antiqua" w:hAnsi="Book Antiqua" w:cs="Book Antiqua"/>
          <w:i/>
          <w:iCs/>
          <w:color w:val="000000"/>
        </w:rPr>
        <w:t xml:space="preserve">Liver </w:t>
      </w:r>
      <w:proofErr w:type="spellStart"/>
      <w:r w:rsidRPr="008725BA">
        <w:rPr>
          <w:rFonts w:ascii="Book Antiqua" w:eastAsia="Book Antiqua" w:hAnsi="Book Antiqua" w:cs="Book Antiqua"/>
          <w:i/>
          <w:iCs/>
          <w:color w:val="000000"/>
        </w:rPr>
        <w:t>Transpl</w:t>
      </w:r>
      <w:proofErr w:type="spellEnd"/>
      <w:r w:rsidRPr="008725BA">
        <w:rPr>
          <w:rFonts w:ascii="Book Antiqua" w:eastAsia="Book Antiqua" w:hAnsi="Book Antiqua" w:cs="Book Antiqua"/>
          <w:color w:val="000000"/>
        </w:rPr>
        <w:t xml:space="preserve"> 2007; </w:t>
      </w:r>
      <w:r w:rsidRPr="008725BA">
        <w:rPr>
          <w:rFonts w:ascii="Book Antiqua" w:eastAsia="Book Antiqua" w:hAnsi="Book Antiqua" w:cs="Book Antiqua"/>
          <w:b/>
          <w:bCs/>
          <w:color w:val="000000"/>
        </w:rPr>
        <w:t>13</w:t>
      </w:r>
      <w:r w:rsidRPr="008725BA">
        <w:rPr>
          <w:rFonts w:ascii="Book Antiqua" w:eastAsia="Book Antiqua" w:hAnsi="Book Antiqua" w:cs="Book Antiqua"/>
          <w:color w:val="000000"/>
        </w:rPr>
        <w:t>: 1174-1180 [PMID: 17663415 DOI: 10.1002/Lt.21197]</w:t>
      </w:r>
    </w:p>
    <w:p w14:paraId="4F638327"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41 </w:t>
      </w:r>
      <w:r w:rsidRPr="008725BA">
        <w:rPr>
          <w:rFonts w:ascii="Book Antiqua" w:eastAsia="Book Antiqua" w:hAnsi="Book Antiqua" w:cs="Book Antiqua"/>
          <w:b/>
          <w:bCs/>
          <w:color w:val="000000"/>
        </w:rPr>
        <w:t>Das V</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Boelle</w:t>
      </w:r>
      <w:proofErr w:type="spellEnd"/>
      <w:r w:rsidRPr="008725BA">
        <w:rPr>
          <w:rFonts w:ascii="Book Antiqua" w:eastAsia="Book Antiqua" w:hAnsi="Book Antiqua" w:cs="Book Antiqua"/>
          <w:color w:val="000000"/>
        </w:rPr>
        <w:t xml:space="preserve"> PY, </w:t>
      </w:r>
      <w:proofErr w:type="spellStart"/>
      <w:r w:rsidRPr="008725BA">
        <w:rPr>
          <w:rFonts w:ascii="Book Antiqua" w:eastAsia="Book Antiqua" w:hAnsi="Book Antiqua" w:cs="Book Antiqua"/>
          <w:color w:val="000000"/>
        </w:rPr>
        <w:t>Galbois</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Guidet</w:t>
      </w:r>
      <w:proofErr w:type="spellEnd"/>
      <w:r w:rsidRPr="008725BA">
        <w:rPr>
          <w:rFonts w:ascii="Book Antiqua" w:eastAsia="Book Antiqua" w:hAnsi="Book Antiqua" w:cs="Book Antiqua"/>
          <w:color w:val="000000"/>
        </w:rPr>
        <w:t xml:space="preserve"> B, Maury E, </w:t>
      </w:r>
      <w:proofErr w:type="spellStart"/>
      <w:r w:rsidRPr="008725BA">
        <w:rPr>
          <w:rFonts w:ascii="Book Antiqua" w:eastAsia="Book Antiqua" w:hAnsi="Book Antiqua" w:cs="Book Antiqua"/>
          <w:color w:val="000000"/>
        </w:rPr>
        <w:t>Carbonell</w:t>
      </w:r>
      <w:proofErr w:type="spellEnd"/>
      <w:r w:rsidRPr="008725BA">
        <w:rPr>
          <w:rFonts w:ascii="Book Antiqua" w:eastAsia="Book Antiqua" w:hAnsi="Book Antiqua" w:cs="Book Antiqua"/>
          <w:color w:val="000000"/>
        </w:rPr>
        <w:t xml:space="preserve"> N, Moreau R, </w:t>
      </w:r>
      <w:proofErr w:type="spellStart"/>
      <w:r w:rsidRPr="008725BA">
        <w:rPr>
          <w:rFonts w:ascii="Book Antiqua" w:eastAsia="Book Antiqua" w:hAnsi="Book Antiqua" w:cs="Book Antiqua"/>
          <w:color w:val="000000"/>
        </w:rPr>
        <w:t>Offenstadt</w:t>
      </w:r>
      <w:proofErr w:type="spellEnd"/>
      <w:r w:rsidRPr="008725BA">
        <w:rPr>
          <w:rFonts w:ascii="Book Antiqua" w:eastAsia="Book Antiqua" w:hAnsi="Book Antiqua" w:cs="Book Antiqua"/>
          <w:color w:val="000000"/>
        </w:rPr>
        <w:t xml:space="preserve"> G. Cirrhotic patients in the medical intensive care unit: early prognosis and long-term survival. </w:t>
      </w:r>
      <w:r w:rsidRPr="008725BA">
        <w:rPr>
          <w:rFonts w:ascii="Book Antiqua" w:eastAsia="Book Antiqua" w:hAnsi="Book Antiqua" w:cs="Book Antiqua"/>
          <w:i/>
          <w:iCs/>
          <w:color w:val="000000"/>
        </w:rPr>
        <w:t>Crit Care Med</w:t>
      </w:r>
      <w:r w:rsidRPr="008725BA">
        <w:rPr>
          <w:rFonts w:ascii="Book Antiqua" w:eastAsia="Book Antiqua" w:hAnsi="Book Antiqua" w:cs="Book Antiqua"/>
          <w:color w:val="000000"/>
        </w:rPr>
        <w:t xml:space="preserve"> 2010; </w:t>
      </w:r>
      <w:r w:rsidRPr="008725BA">
        <w:rPr>
          <w:rFonts w:ascii="Book Antiqua" w:eastAsia="Book Antiqua" w:hAnsi="Book Antiqua" w:cs="Book Antiqua"/>
          <w:b/>
          <w:bCs/>
          <w:color w:val="000000"/>
        </w:rPr>
        <w:t>38</w:t>
      </w:r>
      <w:r w:rsidRPr="008725BA">
        <w:rPr>
          <w:rFonts w:ascii="Book Antiqua" w:eastAsia="Book Antiqua" w:hAnsi="Book Antiqua" w:cs="Book Antiqua"/>
          <w:color w:val="000000"/>
        </w:rPr>
        <w:t>: 2108-2116 [PMID: 20802324 DOI: 10.1097/CCM.0b013e3181f3dea9]</w:t>
      </w:r>
    </w:p>
    <w:p w14:paraId="37AB40D7"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42 </w:t>
      </w:r>
      <w:r w:rsidRPr="008725BA">
        <w:rPr>
          <w:rFonts w:ascii="Book Antiqua" w:eastAsia="Book Antiqua" w:hAnsi="Book Antiqua" w:cs="Book Antiqua"/>
          <w:b/>
          <w:bCs/>
          <w:color w:val="000000"/>
        </w:rPr>
        <w:t>Levesque E</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Hoti</w:t>
      </w:r>
      <w:proofErr w:type="spellEnd"/>
      <w:r w:rsidRPr="008725BA">
        <w:rPr>
          <w:rFonts w:ascii="Book Antiqua" w:eastAsia="Book Antiqua" w:hAnsi="Book Antiqua" w:cs="Book Antiqua"/>
          <w:color w:val="000000"/>
        </w:rPr>
        <w:t xml:space="preserve"> E, </w:t>
      </w:r>
      <w:proofErr w:type="spellStart"/>
      <w:r w:rsidRPr="008725BA">
        <w:rPr>
          <w:rFonts w:ascii="Book Antiqua" w:eastAsia="Book Antiqua" w:hAnsi="Book Antiqua" w:cs="Book Antiqua"/>
          <w:color w:val="000000"/>
        </w:rPr>
        <w:t>Azoulay</w:t>
      </w:r>
      <w:proofErr w:type="spellEnd"/>
      <w:r w:rsidRPr="008725BA">
        <w:rPr>
          <w:rFonts w:ascii="Book Antiqua" w:eastAsia="Book Antiqua" w:hAnsi="Book Antiqua" w:cs="Book Antiqua"/>
          <w:color w:val="000000"/>
        </w:rPr>
        <w:t xml:space="preserve"> D, </w:t>
      </w:r>
      <w:proofErr w:type="spellStart"/>
      <w:r w:rsidRPr="008725BA">
        <w:rPr>
          <w:rFonts w:ascii="Book Antiqua" w:eastAsia="Book Antiqua" w:hAnsi="Book Antiqua" w:cs="Book Antiqua"/>
          <w:color w:val="000000"/>
        </w:rPr>
        <w:t>Ichaï</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Habouchi</w:t>
      </w:r>
      <w:proofErr w:type="spellEnd"/>
      <w:r w:rsidRPr="008725BA">
        <w:rPr>
          <w:rFonts w:ascii="Book Antiqua" w:eastAsia="Book Antiqua" w:hAnsi="Book Antiqua" w:cs="Book Antiqua"/>
          <w:color w:val="000000"/>
        </w:rPr>
        <w:t xml:space="preserve"> H, </w:t>
      </w:r>
      <w:proofErr w:type="spellStart"/>
      <w:r w:rsidRPr="008725BA">
        <w:rPr>
          <w:rFonts w:ascii="Book Antiqua" w:eastAsia="Book Antiqua" w:hAnsi="Book Antiqua" w:cs="Book Antiqua"/>
          <w:color w:val="000000"/>
        </w:rPr>
        <w:t>Castaing</w:t>
      </w:r>
      <w:proofErr w:type="spellEnd"/>
      <w:r w:rsidRPr="008725BA">
        <w:rPr>
          <w:rFonts w:ascii="Book Antiqua" w:eastAsia="Book Antiqua" w:hAnsi="Book Antiqua" w:cs="Book Antiqua"/>
          <w:color w:val="000000"/>
        </w:rPr>
        <w:t xml:space="preserve"> D, Samuel D, </w:t>
      </w:r>
      <w:proofErr w:type="spellStart"/>
      <w:r w:rsidRPr="008725BA">
        <w:rPr>
          <w:rFonts w:ascii="Book Antiqua" w:eastAsia="Book Antiqua" w:hAnsi="Book Antiqua" w:cs="Book Antiqua"/>
          <w:color w:val="000000"/>
        </w:rPr>
        <w:t>Saliba</w:t>
      </w:r>
      <w:proofErr w:type="spellEnd"/>
      <w:r w:rsidRPr="008725BA">
        <w:rPr>
          <w:rFonts w:ascii="Book Antiqua" w:eastAsia="Book Antiqua" w:hAnsi="Book Antiqua" w:cs="Book Antiqua"/>
          <w:color w:val="000000"/>
        </w:rPr>
        <w:t xml:space="preserve"> F. Prospective evaluation of the prognostic scores for cirrhotic patients admitted to an intensive care unit. </w:t>
      </w:r>
      <w:r w:rsidRPr="008725BA">
        <w:rPr>
          <w:rFonts w:ascii="Book Antiqua" w:eastAsia="Book Antiqua" w:hAnsi="Book Antiqua" w:cs="Book Antiqua"/>
          <w:i/>
          <w:iCs/>
          <w:color w:val="000000"/>
        </w:rPr>
        <w:t>J Hepatol</w:t>
      </w:r>
      <w:r w:rsidRPr="008725BA">
        <w:rPr>
          <w:rFonts w:ascii="Book Antiqua" w:eastAsia="Book Antiqua" w:hAnsi="Book Antiqua" w:cs="Book Antiqua"/>
          <w:color w:val="000000"/>
        </w:rPr>
        <w:t xml:space="preserve"> 2012; </w:t>
      </w:r>
      <w:r w:rsidRPr="008725BA">
        <w:rPr>
          <w:rFonts w:ascii="Book Antiqua" w:eastAsia="Book Antiqua" w:hAnsi="Book Antiqua" w:cs="Book Antiqua"/>
          <w:b/>
          <w:bCs/>
          <w:color w:val="000000"/>
        </w:rPr>
        <w:t>56</w:t>
      </w:r>
      <w:r w:rsidRPr="008725BA">
        <w:rPr>
          <w:rFonts w:ascii="Book Antiqua" w:eastAsia="Book Antiqua" w:hAnsi="Book Antiqua" w:cs="Book Antiqua"/>
          <w:color w:val="000000"/>
        </w:rPr>
        <w:t>: 95-102 [PMID: 21835136 DOI: 10.1016/j.jhep.2011.06.024]</w:t>
      </w:r>
    </w:p>
    <w:p w14:paraId="3FE3517F" w14:textId="46024696" w:rsidR="00A77B3E" w:rsidRPr="008725BA" w:rsidRDefault="00034438" w:rsidP="008725BA">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8725BA">
        <w:rPr>
          <w:rFonts w:ascii="Book Antiqua" w:eastAsia="Book Antiqua" w:hAnsi="Book Antiqua" w:cs="Book Antiqua"/>
          <w:color w:val="000000"/>
        </w:rPr>
        <w:t>43</w:t>
      </w:r>
      <w:r w:rsidR="00EC2471" w:rsidRPr="008725BA">
        <w:rPr>
          <w:rFonts w:ascii="Book Antiqua" w:eastAsia="Book Antiqua" w:hAnsi="Book Antiqua" w:cs="Book Antiqua"/>
          <w:color w:val="000000"/>
        </w:rPr>
        <w:t xml:space="preserve"> </w:t>
      </w:r>
      <w:proofErr w:type="spellStart"/>
      <w:r w:rsidR="00EC2471" w:rsidRPr="008725BA">
        <w:rPr>
          <w:rFonts w:ascii="Book Antiqua" w:hAnsi="Book Antiqua"/>
          <w:b/>
          <w:bCs/>
          <w:color w:val="201F35"/>
        </w:rPr>
        <w:t>Theocharidou</w:t>
      </w:r>
      <w:proofErr w:type="spellEnd"/>
      <w:r w:rsidR="00EC2471" w:rsidRPr="008725BA">
        <w:rPr>
          <w:rFonts w:ascii="Book Antiqua" w:hAnsi="Book Antiqua"/>
          <w:b/>
          <w:bCs/>
          <w:color w:val="201F35"/>
        </w:rPr>
        <w:t xml:space="preserve"> E</w:t>
      </w:r>
      <w:r w:rsidR="00EC2471" w:rsidRPr="008725BA">
        <w:rPr>
          <w:rFonts w:ascii="Book Antiqua" w:hAnsi="Book Antiqua"/>
          <w:color w:val="201F35"/>
        </w:rPr>
        <w:t xml:space="preserve">, </w:t>
      </w:r>
      <w:proofErr w:type="spellStart"/>
      <w:r w:rsidR="00EC2471" w:rsidRPr="008725BA">
        <w:rPr>
          <w:rFonts w:ascii="Book Antiqua" w:hAnsi="Book Antiqua"/>
          <w:color w:val="201F35"/>
        </w:rPr>
        <w:t>Pieri</w:t>
      </w:r>
      <w:proofErr w:type="spellEnd"/>
      <w:r w:rsidR="00EC2471" w:rsidRPr="008725BA">
        <w:rPr>
          <w:rFonts w:ascii="Book Antiqua" w:hAnsi="Book Antiqua"/>
          <w:color w:val="201F35"/>
        </w:rPr>
        <w:t xml:space="preserve"> G, Mohammad AO, Cheung M, </w:t>
      </w:r>
      <w:proofErr w:type="spellStart"/>
      <w:r w:rsidR="00EC2471" w:rsidRPr="008725BA">
        <w:rPr>
          <w:rFonts w:ascii="Book Antiqua" w:hAnsi="Book Antiqua"/>
          <w:color w:val="201F35"/>
        </w:rPr>
        <w:t>Cholongitas</w:t>
      </w:r>
      <w:proofErr w:type="spellEnd"/>
      <w:r w:rsidR="00EC2471" w:rsidRPr="008725BA">
        <w:rPr>
          <w:rFonts w:ascii="Book Antiqua" w:hAnsi="Book Antiqua"/>
          <w:color w:val="201F35"/>
        </w:rPr>
        <w:t xml:space="preserve"> E, Agarwal B, Burroughs AK. The Royal Free Hospital score: a calibrated prognostic model for patients with cirrhosis admitted to intensive care unit. Comparison with current models and CLIF-SOFA score. </w:t>
      </w:r>
      <w:r w:rsidR="00EC2471" w:rsidRPr="008725BA">
        <w:rPr>
          <w:rFonts w:ascii="Book Antiqua" w:hAnsi="Book Antiqua"/>
          <w:i/>
          <w:iCs/>
          <w:color w:val="201F35"/>
        </w:rPr>
        <w:t>Am J Gastroenterol</w:t>
      </w:r>
      <w:r w:rsidR="00EC2471" w:rsidRPr="008725BA">
        <w:rPr>
          <w:rFonts w:ascii="Book Antiqua" w:hAnsi="Book Antiqua"/>
          <w:color w:val="201F35"/>
        </w:rPr>
        <w:t> 2014; </w:t>
      </w:r>
      <w:r w:rsidR="00EC2471" w:rsidRPr="008725BA">
        <w:rPr>
          <w:rFonts w:ascii="Book Antiqua" w:hAnsi="Book Antiqua"/>
          <w:b/>
          <w:bCs/>
          <w:color w:val="201F35"/>
        </w:rPr>
        <w:t>109</w:t>
      </w:r>
      <w:r w:rsidR="00EC2471" w:rsidRPr="008725BA">
        <w:rPr>
          <w:rFonts w:ascii="Book Antiqua" w:hAnsi="Book Antiqua"/>
          <w:color w:val="201F35"/>
        </w:rPr>
        <w:t>: 554-562 [PMID: 24492755 DOI: 10.1038/ajg.2013.466]</w:t>
      </w:r>
    </w:p>
    <w:p w14:paraId="0EBA435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44 </w:t>
      </w:r>
      <w:proofErr w:type="spellStart"/>
      <w:r w:rsidRPr="008725BA">
        <w:rPr>
          <w:rFonts w:ascii="Book Antiqua" w:eastAsia="Book Antiqua" w:hAnsi="Book Antiqua" w:cs="Book Antiqua"/>
          <w:b/>
          <w:bCs/>
          <w:color w:val="000000"/>
        </w:rPr>
        <w:t>Cholongitas</w:t>
      </w:r>
      <w:proofErr w:type="spellEnd"/>
      <w:r w:rsidRPr="008725BA">
        <w:rPr>
          <w:rFonts w:ascii="Book Antiqua" w:eastAsia="Book Antiqua" w:hAnsi="Book Antiqua" w:cs="Book Antiqua"/>
          <w:b/>
          <w:bCs/>
          <w:color w:val="000000"/>
        </w:rPr>
        <w:t xml:space="preserve"> E</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Betrosian</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Senzolo</w:t>
      </w:r>
      <w:proofErr w:type="spellEnd"/>
      <w:r w:rsidRPr="008725BA">
        <w:rPr>
          <w:rFonts w:ascii="Book Antiqua" w:eastAsia="Book Antiqua" w:hAnsi="Book Antiqua" w:cs="Book Antiqua"/>
          <w:color w:val="000000"/>
        </w:rPr>
        <w:t xml:space="preserve"> M, Shaw S, Patch D, </w:t>
      </w:r>
      <w:proofErr w:type="spellStart"/>
      <w:r w:rsidRPr="008725BA">
        <w:rPr>
          <w:rFonts w:ascii="Book Antiqua" w:eastAsia="Book Antiqua" w:hAnsi="Book Antiqua" w:cs="Book Antiqua"/>
          <w:color w:val="000000"/>
        </w:rPr>
        <w:t>Manousou</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O'Beirne</w:t>
      </w:r>
      <w:proofErr w:type="spellEnd"/>
      <w:r w:rsidRPr="008725BA">
        <w:rPr>
          <w:rFonts w:ascii="Book Antiqua" w:eastAsia="Book Antiqua" w:hAnsi="Book Antiqua" w:cs="Book Antiqua"/>
          <w:color w:val="000000"/>
        </w:rPr>
        <w:t xml:space="preserve"> J, Burroughs AK. Prognostic models in </w:t>
      </w:r>
      <w:proofErr w:type="spellStart"/>
      <w:r w:rsidRPr="008725BA">
        <w:rPr>
          <w:rFonts w:ascii="Book Antiqua" w:eastAsia="Book Antiqua" w:hAnsi="Book Antiqua" w:cs="Book Antiqua"/>
          <w:color w:val="000000"/>
        </w:rPr>
        <w:t>cirrhotics</w:t>
      </w:r>
      <w:proofErr w:type="spellEnd"/>
      <w:r w:rsidRPr="008725BA">
        <w:rPr>
          <w:rFonts w:ascii="Book Antiqua" w:eastAsia="Book Antiqua" w:hAnsi="Book Antiqua" w:cs="Book Antiqua"/>
          <w:color w:val="000000"/>
        </w:rPr>
        <w:t xml:space="preserve"> admitted to intensive care units better predict outcome when assessed at 48 h after admission. </w:t>
      </w:r>
      <w:r w:rsidRPr="008725BA">
        <w:rPr>
          <w:rFonts w:ascii="Book Antiqua" w:eastAsia="Book Antiqua" w:hAnsi="Book Antiqua" w:cs="Book Antiqua"/>
          <w:i/>
          <w:iCs/>
          <w:color w:val="000000"/>
        </w:rPr>
        <w:t>J Gastroenterol Hepatol</w:t>
      </w:r>
      <w:r w:rsidRPr="008725BA">
        <w:rPr>
          <w:rFonts w:ascii="Book Antiqua" w:eastAsia="Book Antiqua" w:hAnsi="Book Antiqua" w:cs="Book Antiqua"/>
          <w:color w:val="000000"/>
        </w:rPr>
        <w:t xml:space="preserve"> 2008; </w:t>
      </w:r>
      <w:r w:rsidRPr="008725BA">
        <w:rPr>
          <w:rFonts w:ascii="Book Antiqua" w:eastAsia="Book Antiqua" w:hAnsi="Book Antiqua" w:cs="Book Antiqua"/>
          <w:b/>
          <w:bCs/>
          <w:color w:val="000000"/>
        </w:rPr>
        <w:t>23</w:t>
      </w:r>
      <w:r w:rsidRPr="008725BA">
        <w:rPr>
          <w:rFonts w:ascii="Book Antiqua" w:eastAsia="Book Antiqua" w:hAnsi="Book Antiqua" w:cs="Book Antiqua"/>
          <w:color w:val="000000"/>
        </w:rPr>
        <w:t>: 1223-1227 [PMID: 18086109 DOI: 10.1111/j.1440-1746.</w:t>
      </w:r>
      <w:proofErr w:type="gramStart"/>
      <w:r w:rsidRPr="008725BA">
        <w:rPr>
          <w:rFonts w:ascii="Book Antiqua" w:eastAsia="Book Antiqua" w:hAnsi="Book Antiqua" w:cs="Book Antiqua"/>
          <w:color w:val="000000"/>
        </w:rPr>
        <w:t>2007.05269.x</w:t>
      </w:r>
      <w:proofErr w:type="gramEnd"/>
      <w:r w:rsidRPr="008725BA">
        <w:rPr>
          <w:rFonts w:ascii="Book Antiqua" w:eastAsia="Book Antiqua" w:hAnsi="Book Antiqua" w:cs="Book Antiqua"/>
          <w:color w:val="000000"/>
        </w:rPr>
        <w:t>]</w:t>
      </w:r>
    </w:p>
    <w:p w14:paraId="1AB7128A"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45 </w:t>
      </w:r>
      <w:r w:rsidRPr="008725BA">
        <w:rPr>
          <w:rFonts w:ascii="Book Antiqua" w:eastAsia="Book Antiqua" w:hAnsi="Book Antiqua" w:cs="Book Antiqua"/>
          <w:b/>
          <w:bCs/>
          <w:color w:val="000000"/>
        </w:rPr>
        <w:t>Emerson P</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McPeake</w:t>
      </w:r>
      <w:proofErr w:type="spellEnd"/>
      <w:r w:rsidRPr="008725BA">
        <w:rPr>
          <w:rFonts w:ascii="Book Antiqua" w:eastAsia="Book Antiqua" w:hAnsi="Book Antiqua" w:cs="Book Antiqua"/>
          <w:color w:val="000000"/>
        </w:rPr>
        <w:t xml:space="preserve"> J, O'Neill A, Gilmour H, Forrest E, </w:t>
      </w:r>
      <w:proofErr w:type="spellStart"/>
      <w:r w:rsidRPr="008725BA">
        <w:rPr>
          <w:rFonts w:ascii="Book Antiqua" w:eastAsia="Book Antiqua" w:hAnsi="Book Antiqua" w:cs="Book Antiqua"/>
          <w:color w:val="000000"/>
        </w:rPr>
        <w:t>Puxty</w:t>
      </w:r>
      <w:proofErr w:type="spellEnd"/>
      <w:r w:rsidRPr="008725BA">
        <w:rPr>
          <w:rFonts w:ascii="Book Antiqua" w:eastAsia="Book Antiqua" w:hAnsi="Book Antiqua" w:cs="Book Antiqua"/>
          <w:color w:val="000000"/>
        </w:rPr>
        <w:t xml:space="preserve"> A, Kinsella J, Shaw M. The utility of scoring systems in critically ill cirrhotic patients admitted to a general intensive care unit. </w:t>
      </w:r>
      <w:r w:rsidRPr="008725BA">
        <w:rPr>
          <w:rFonts w:ascii="Book Antiqua" w:eastAsia="Book Antiqua" w:hAnsi="Book Antiqua" w:cs="Book Antiqua"/>
          <w:i/>
          <w:iCs/>
          <w:color w:val="000000"/>
        </w:rPr>
        <w:t>J Crit Care</w:t>
      </w:r>
      <w:r w:rsidRPr="008725BA">
        <w:rPr>
          <w:rFonts w:ascii="Book Antiqua" w:eastAsia="Book Antiqua" w:hAnsi="Book Antiqua" w:cs="Book Antiqua"/>
          <w:color w:val="000000"/>
        </w:rPr>
        <w:t xml:space="preserve"> 2014; </w:t>
      </w:r>
      <w:r w:rsidRPr="008725BA">
        <w:rPr>
          <w:rFonts w:ascii="Book Antiqua" w:eastAsia="Book Antiqua" w:hAnsi="Book Antiqua" w:cs="Book Antiqua"/>
          <w:b/>
          <w:bCs/>
          <w:color w:val="000000"/>
        </w:rPr>
        <w:t>29</w:t>
      </w:r>
      <w:r w:rsidRPr="008725BA">
        <w:rPr>
          <w:rFonts w:ascii="Book Antiqua" w:eastAsia="Book Antiqua" w:hAnsi="Book Antiqua" w:cs="Book Antiqua"/>
          <w:color w:val="000000"/>
        </w:rPr>
        <w:t>: 1131.e1-1131.e6 [PMID: 25175945 DOI: 10.1016/j.jcrc.2014.06.027]</w:t>
      </w:r>
    </w:p>
    <w:p w14:paraId="7C4F041B"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46 </w:t>
      </w:r>
      <w:r w:rsidRPr="008725BA">
        <w:rPr>
          <w:rFonts w:ascii="Book Antiqua" w:eastAsia="Book Antiqua" w:hAnsi="Book Antiqua" w:cs="Book Antiqua"/>
          <w:b/>
          <w:bCs/>
          <w:color w:val="000000"/>
        </w:rPr>
        <w:t>Campbell J</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McPeake</w:t>
      </w:r>
      <w:proofErr w:type="spellEnd"/>
      <w:r w:rsidRPr="008725BA">
        <w:rPr>
          <w:rFonts w:ascii="Book Antiqua" w:eastAsia="Book Antiqua" w:hAnsi="Book Antiqua" w:cs="Book Antiqua"/>
          <w:color w:val="000000"/>
        </w:rPr>
        <w:t xml:space="preserve"> J, Shaw M, </w:t>
      </w:r>
      <w:proofErr w:type="spellStart"/>
      <w:r w:rsidRPr="008725BA">
        <w:rPr>
          <w:rFonts w:ascii="Book Antiqua" w:eastAsia="Book Antiqua" w:hAnsi="Book Antiqua" w:cs="Book Antiqua"/>
          <w:color w:val="000000"/>
        </w:rPr>
        <w:t>Puxty</w:t>
      </w:r>
      <w:proofErr w:type="spellEnd"/>
      <w:r w:rsidRPr="008725BA">
        <w:rPr>
          <w:rFonts w:ascii="Book Antiqua" w:eastAsia="Book Antiqua" w:hAnsi="Book Antiqua" w:cs="Book Antiqua"/>
          <w:color w:val="000000"/>
        </w:rPr>
        <w:t xml:space="preserve"> A, Forrest E, </w:t>
      </w:r>
      <w:proofErr w:type="spellStart"/>
      <w:r w:rsidRPr="008725BA">
        <w:rPr>
          <w:rFonts w:ascii="Book Antiqua" w:eastAsia="Book Antiqua" w:hAnsi="Book Antiqua" w:cs="Book Antiqua"/>
          <w:color w:val="000000"/>
        </w:rPr>
        <w:t>Soulsby</w:t>
      </w:r>
      <w:proofErr w:type="spellEnd"/>
      <w:r w:rsidRPr="008725BA">
        <w:rPr>
          <w:rFonts w:ascii="Book Antiqua" w:eastAsia="Book Antiqua" w:hAnsi="Book Antiqua" w:cs="Book Antiqua"/>
          <w:color w:val="000000"/>
        </w:rPr>
        <w:t xml:space="preserve"> C, Emerson P, Thomson SJ, Rahman TM, </w:t>
      </w:r>
      <w:proofErr w:type="spellStart"/>
      <w:r w:rsidRPr="008725BA">
        <w:rPr>
          <w:rFonts w:ascii="Book Antiqua" w:eastAsia="Book Antiqua" w:hAnsi="Book Antiqua" w:cs="Book Antiqua"/>
          <w:color w:val="000000"/>
        </w:rPr>
        <w:t>Quasim</w:t>
      </w:r>
      <w:proofErr w:type="spellEnd"/>
      <w:r w:rsidRPr="008725BA">
        <w:rPr>
          <w:rFonts w:ascii="Book Antiqua" w:eastAsia="Book Antiqua" w:hAnsi="Book Antiqua" w:cs="Book Antiqua"/>
          <w:color w:val="000000"/>
        </w:rPr>
        <w:t xml:space="preserve"> T, Kinsella J. Validation and analysis of prognostic scoring systems for critically ill patients with cirrhosis admitted to ICU. </w:t>
      </w:r>
      <w:r w:rsidRPr="008725BA">
        <w:rPr>
          <w:rFonts w:ascii="Book Antiqua" w:eastAsia="Book Antiqua" w:hAnsi="Book Antiqua" w:cs="Book Antiqua"/>
          <w:i/>
          <w:iCs/>
          <w:color w:val="000000"/>
        </w:rPr>
        <w:t>Crit Care</w:t>
      </w:r>
      <w:r w:rsidRPr="008725BA">
        <w:rPr>
          <w:rFonts w:ascii="Book Antiqua" w:eastAsia="Book Antiqua" w:hAnsi="Book Antiqua" w:cs="Book Antiqua"/>
          <w:color w:val="000000"/>
        </w:rPr>
        <w:t xml:space="preserve"> 2015; </w:t>
      </w:r>
      <w:r w:rsidRPr="008725BA">
        <w:rPr>
          <w:rFonts w:ascii="Book Antiqua" w:eastAsia="Book Antiqua" w:hAnsi="Book Antiqua" w:cs="Book Antiqua"/>
          <w:b/>
          <w:bCs/>
          <w:color w:val="000000"/>
        </w:rPr>
        <w:t>19</w:t>
      </w:r>
      <w:r w:rsidRPr="008725BA">
        <w:rPr>
          <w:rFonts w:ascii="Book Antiqua" w:eastAsia="Book Antiqua" w:hAnsi="Book Antiqua" w:cs="Book Antiqua"/>
          <w:color w:val="000000"/>
        </w:rPr>
        <w:t>: 364 [PMID: 26462911 DOI: 10.1186/s13054-015-1070-y]</w:t>
      </w:r>
    </w:p>
    <w:p w14:paraId="7E5D870D" w14:textId="339F6F17" w:rsidR="00A77B3E" w:rsidRPr="008725BA" w:rsidRDefault="00034438" w:rsidP="008725BA">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8725BA">
        <w:rPr>
          <w:rFonts w:ascii="Book Antiqua" w:eastAsia="Book Antiqua" w:hAnsi="Book Antiqua" w:cs="Book Antiqua"/>
          <w:color w:val="000000"/>
        </w:rPr>
        <w:lastRenderedPageBreak/>
        <w:t xml:space="preserve">47 </w:t>
      </w:r>
      <w:proofErr w:type="spellStart"/>
      <w:r w:rsidR="00EC2471" w:rsidRPr="008725BA">
        <w:rPr>
          <w:rFonts w:ascii="Book Antiqua" w:hAnsi="Book Antiqua"/>
          <w:b/>
          <w:bCs/>
          <w:color w:val="201F35"/>
        </w:rPr>
        <w:t>Knaus</w:t>
      </w:r>
      <w:proofErr w:type="spellEnd"/>
      <w:r w:rsidR="00EC2471" w:rsidRPr="008725BA">
        <w:rPr>
          <w:rFonts w:ascii="Book Antiqua" w:hAnsi="Book Antiqua"/>
          <w:b/>
          <w:bCs/>
          <w:color w:val="201F35"/>
        </w:rPr>
        <w:t xml:space="preserve"> WA</w:t>
      </w:r>
      <w:r w:rsidR="00EC2471" w:rsidRPr="008725BA">
        <w:rPr>
          <w:rFonts w:ascii="Book Antiqua" w:hAnsi="Book Antiqua"/>
          <w:color w:val="201F35"/>
        </w:rPr>
        <w:t>, Draper EA, Wagner DP, Zimmerman JE. APACHE II: a severity of disease classification system. </w:t>
      </w:r>
      <w:r w:rsidR="00EC2471" w:rsidRPr="008725BA">
        <w:rPr>
          <w:rFonts w:ascii="Book Antiqua" w:hAnsi="Book Antiqua"/>
          <w:i/>
          <w:iCs/>
          <w:color w:val="201F35"/>
        </w:rPr>
        <w:t>Crit Care Med</w:t>
      </w:r>
      <w:r w:rsidR="00EC2471" w:rsidRPr="008725BA">
        <w:rPr>
          <w:rFonts w:ascii="Book Antiqua" w:hAnsi="Book Antiqua"/>
          <w:color w:val="201F35"/>
        </w:rPr>
        <w:t> 1985; </w:t>
      </w:r>
      <w:r w:rsidR="00EC2471" w:rsidRPr="008725BA">
        <w:rPr>
          <w:rFonts w:ascii="Book Antiqua" w:hAnsi="Book Antiqua"/>
          <w:b/>
          <w:bCs/>
          <w:color w:val="201F35"/>
        </w:rPr>
        <w:t>13</w:t>
      </w:r>
      <w:r w:rsidR="00EC2471" w:rsidRPr="008725BA">
        <w:rPr>
          <w:rFonts w:ascii="Book Antiqua" w:hAnsi="Book Antiqua"/>
          <w:color w:val="201F35"/>
        </w:rPr>
        <w:t>: 818-829 [PMID: 3928249]</w:t>
      </w:r>
    </w:p>
    <w:p w14:paraId="6512F8A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48 </w:t>
      </w:r>
      <w:r w:rsidRPr="008725BA">
        <w:rPr>
          <w:rFonts w:ascii="Book Antiqua" w:eastAsia="Book Antiqua" w:hAnsi="Book Antiqua" w:cs="Book Antiqua"/>
          <w:b/>
          <w:bCs/>
          <w:color w:val="000000"/>
        </w:rPr>
        <w:t>Vincent JL</w:t>
      </w:r>
      <w:r w:rsidRPr="008725BA">
        <w:rPr>
          <w:rFonts w:ascii="Book Antiqua" w:eastAsia="Book Antiqua" w:hAnsi="Book Antiqua" w:cs="Book Antiqua"/>
          <w:color w:val="000000"/>
        </w:rPr>
        <w:t xml:space="preserve">, Moreno R, </w:t>
      </w:r>
      <w:proofErr w:type="spellStart"/>
      <w:r w:rsidRPr="008725BA">
        <w:rPr>
          <w:rFonts w:ascii="Book Antiqua" w:eastAsia="Book Antiqua" w:hAnsi="Book Antiqua" w:cs="Book Antiqua"/>
          <w:color w:val="000000"/>
        </w:rPr>
        <w:t>Takala</w:t>
      </w:r>
      <w:proofErr w:type="spellEnd"/>
      <w:r w:rsidRPr="008725BA">
        <w:rPr>
          <w:rFonts w:ascii="Book Antiqua" w:eastAsia="Book Antiqua" w:hAnsi="Book Antiqua" w:cs="Book Antiqua"/>
          <w:color w:val="000000"/>
        </w:rPr>
        <w:t xml:space="preserve"> J, </w:t>
      </w:r>
      <w:proofErr w:type="spellStart"/>
      <w:r w:rsidRPr="008725BA">
        <w:rPr>
          <w:rFonts w:ascii="Book Antiqua" w:eastAsia="Book Antiqua" w:hAnsi="Book Antiqua" w:cs="Book Antiqua"/>
          <w:color w:val="000000"/>
        </w:rPr>
        <w:t>Willatts</w:t>
      </w:r>
      <w:proofErr w:type="spellEnd"/>
      <w:r w:rsidRPr="008725BA">
        <w:rPr>
          <w:rFonts w:ascii="Book Antiqua" w:eastAsia="Book Antiqua" w:hAnsi="Book Antiqua" w:cs="Book Antiqua"/>
          <w:color w:val="000000"/>
        </w:rPr>
        <w:t xml:space="preserve"> S, De </w:t>
      </w:r>
      <w:proofErr w:type="spellStart"/>
      <w:r w:rsidRPr="008725BA">
        <w:rPr>
          <w:rFonts w:ascii="Book Antiqua" w:eastAsia="Book Antiqua" w:hAnsi="Book Antiqua" w:cs="Book Antiqua"/>
          <w:color w:val="000000"/>
        </w:rPr>
        <w:t>Mendonça</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Bruining</w:t>
      </w:r>
      <w:proofErr w:type="spellEnd"/>
      <w:r w:rsidRPr="008725BA">
        <w:rPr>
          <w:rFonts w:ascii="Book Antiqua" w:eastAsia="Book Antiqua" w:hAnsi="Book Antiqua" w:cs="Book Antiqua"/>
          <w:color w:val="000000"/>
        </w:rPr>
        <w:t xml:space="preserve"> H, Reinhart CK, Suter PM, Thijs LG. The SOFA (Sepsis-related Organ Failure Assessment) score to describe organ dysfunction/failure. On behalf of the Working Group on Sepsis-Related Problems of the European Society of Intensive Care Medicine. </w:t>
      </w:r>
      <w:r w:rsidRPr="008725BA">
        <w:rPr>
          <w:rFonts w:ascii="Book Antiqua" w:eastAsia="Book Antiqua" w:hAnsi="Book Antiqua" w:cs="Book Antiqua"/>
          <w:i/>
          <w:iCs/>
          <w:color w:val="000000"/>
        </w:rPr>
        <w:t>Intensive Care Med</w:t>
      </w:r>
      <w:r w:rsidRPr="008725BA">
        <w:rPr>
          <w:rFonts w:ascii="Book Antiqua" w:eastAsia="Book Antiqua" w:hAnsi="Book Antiqua" w:cs="Book Antiqua"/>
          <w:color w:val="000000"/>
        </w:rPr>
        <w:t xml:space="preserve"> 1996; </w:t>
      </w:r>
      <w:r w:rsidRPr="008725BA">
        <w:rPr>
          <w:rFonts w:ascii="Book Antiqua" w:eastAsia="Book Antiqua" w:hAnsi="Book Antiqua" w:cs="Book Antiqua"/>
          <w:b/>
          <w:bCs/>
          <w:color w:val="000000"/>
        </w:rPr>
        <w:t>22</w:t>
      </w:r>
      <w:r w:rsidRPr="008725BA">
        <w:rPr>
          <w:rFonts w:ascii="Book Antiqua" w:eastAsia="Book Antiqua" w:hAnsi="Book Antiqua" w:cs="Book Antiqua"/>
          <w:color w:val="000000"/>
        </w:rPr>
        <w:t>: 707-710 [PMID: 8844239 DOI: 10.1007/BF01709751]</w:t>
      </w:r>
    </w:p>
    <w:p w14:paraId="23DB07E6"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49 </w:t>
      </w:r>
      <w:r w:rsidRPr="008725BA">
        <w:rPr>
          <w:rFonts w:ascii="Book Antiqua" w:eastAsia="Book Antiqua" w:hAnsi="Book Antiqua" w:cs="Book Antiqua"/>
          <w:b/>
          <w:bCs/>
          <w:color w:val="000000"/>
        </w:rPr>
        <w:t>Boone MD</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Celi</w:t>
      </w:r>
      <w:proofErr w:type="spellEnd"/>
      <w:r w:rsidRPr="008725BA">
        <w:rPr>
          <w:rFonts w:ascii="Book Antiqua" w:eastAsia="Book Antiqua" w:hAnsi="Book Antiqua" w:cs="Book Antiqua"/>
          <w:color w:val="000000"/>
        </w:rPr>
        <w:t xml:space="preserve"> LA, Ho BG, </w:t>
      </w:r>
      <w:proofErr w:type="spellStart"/>
      <w:r w:rsidRPr="008725BA">
        <w:rPr>
          <w:rFonts w:ascii="Book Antiqua" w:eastAsia="Book Antiqua" w:hAnsi="Book Antiqua" w:cs="Book Antiqua"/>
          <w:color w:val="000000"/>
        </w:rPr>
        <w:t>Pencina</w:t>
      </w:r>
      <w:proofErr w:type="spellEnd"/>
      <w:r w:rsidRPr="008725BA">
        <w:rPr>
          <w:rFonts w:ascii="Book Antiqua" w:eastAsia="Book Antiqua" w:hAnsi="Book Antiqua" w:cs="Book Antiqua"/>
          <w:color w:val="000000"/>
        </w:rPr>
        <w:t xml:space="preserve"> M, Curry MP, </w:t>
      </w:r>
      <w:proofErr w:type="spellStart"/>
      <w:r w:rsidRPr="008725BA">
        <w:rPr>
          <w:rFonts w:ascii="Book Antiqua" w:eastAsia="Book Antiqua" w:hAnsi="Book Antiqua" w:cs="Book Antiqua"/>
          <w:color w:val="000000"/>
        </w:rPr>
        <w:t>Lior</w:t>
      </w:r>
      <w:proofErr w:type="spellEnd"/>
      <w:r w:rsidRPr="008725BA">
        <w:rPr>
          <w:rFonts w:ascii="Book Antiqua" w:eastAsia="Book Antiqua" w:hAnsi="Book Antiqua" w:cs="Book Antiqua"/>
          <w:color w:val="000000"/>
        </w:rPr>
        <w:t xml:space="preserve"> Y, Talmor D, Novack V. Model for End-Stage Liver Disease score predicts mortality in critically ill cirrhotic patients. </w:t>
      </w:r>
      <w:r w:rsidRPr="008725BA">
        <w:rPr>
          <w:rFonts w:ascii="Book Antiqua" w:eastAsia="Book Antiqua" w:hAnsi="Book Antiqua" w:cs="Book Antiqua"/>
          <w:i/>
          <w:iCs/>
          <w:color w:val="000000"/>
        </w:rPr>
        <w:t>J Crit Care</w:t>
      </w:r>
      <w:r w:rsidRPr="008725BA">
        <w:rPr>
          <w:rFonts w:ascii="Book Antiqua" w:eastAsia="Book Antiqua" w:hAnsi="Book Antiqua" w:cs="Book Antiqua"/>
          <w:color w:val="000000"/>
        </w:rPr>
        <w:t xml:space="preserve"> 2014; </w:t>
      </w:r>
      <w:r w:rsidRPr="008725BA">
        <w:rPr>
          <w:rFonts w:ascii="Book Antiqua" w:eastAsia="Book Antiqua" w:hAnsi="Book Antiqua" w:cs="Book Antiqua"/>
          <w:b/>
          <w:bCs/>
          <w:color w:val="000000"/>
        </w:rPr>
        <w:t>29</w:t>
      </w:r>
      <w:r w:rsidRPr="008725BA">
        <w:rPr>
          <w:rFonts w:ascii="Book Antiqua" w:eastAsia="Book Antiqua" w:hAnsi="Book Antiqua" w:cs="Book Antiqua"/>
          <w:color w:val="000000"/>
        </w:rPr>
        <w:t>: 881.e7-881.13 [PMID: 24974049 DOI: 10.1016/j.jcrc.2014.05.013]</w:t>
      </w:r>
    </w:p>
    <w:p w14:paraId="24CAD07B" w14:textId="2EA56BA5"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50 </w:t>
      </w:r>
      <w:r w:rsidRPr="008725BA">
        <w:rPr>
          <w:rFonts w:ascii="Book Antiqua" w:eastAsia="Book Antiqua" w:hAnsi="Book Antiqua" w:cs="Book Antiqua"/>
          <w:b/>
          <w:bCs/>
          <w:color w:val="000000"/>
        </w:rPr>
        <w:t>Moreau R</w:t>
      </w:r>
      <w:r w:rsidRPr="008725BA">
        <w:rPr>
          <w:rFonts w:ascii="Book Antiqua" w:eastAsia="Book Antiqua" w:hAnsi="Book Antiqua" w:cs="Book Antiqua"/>
          <w:color w:val="000000"/>
        </w:rPr>
        <w:t xml:space="preserve">, Jalan R, </w:t>
      </w:r>
      <w:proofErr w:type="spellStart"/>
      <w:r w:rsidRPr="008725BA">
        <w:rPr>
          <w:rFonts w:ascii="Book Antiqua" w:eastAsia="Book Antiqua" w:hAnsi="Book Antiqua" w:cs="Book Antiqua"/>
          <w:color w:val="000000"/>
        </w:rPr>
        <w:t>Gines</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Pavesi</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Angeli</w:t>
      </w:r>
      <w:proofErr w:type="spellEnd"/>
      <w:r w:rsidRPr="008725BA">
        <w:rPr>
          <w:rFonts w:ascii="Book Antiqua" w:eastAsia="Book Antiqua" w:hAnsi="Book Antiqua" w:cs="Book Antiqua"/>
          <w:color w:val="000000"/>
        </w:rPr>
        <w:t xml:space="preserve"> P, Cordoba J, Durand F, </w:t>
      </w:r>
      <w:proofErr w:type="spellStart"/>
      <w:r w:rsidRPr="008725BA">
        <w:rPr>
          <w:rFonts w:ascii="Book Antiqua" w:eastAsia="Book Antiqua" w:hAnsi="Book Antiqua" w:cs="Book Antiqua"/>
          <w:color w:val="000000"/>
        </w:rPr>
        <w:t>Gustot</w:t>
      </w:r>
      <w:proofErr w:type="spellEnd"/>
      <w:r w:rsidRPr="008725BA">
        <w:rPr>
          <w:rFonts w:ascii="Book Antiqua" w:eastAsia="Book Antiqua" w:hAnsi="Book Antiqua" w:cs="Book Antiqua"/>
          <w:color w:val="000000"/>
        </w:rPr>
        <w:t xml:space="preserve"> T, </w:t>
      </w:r>
      <w:proofErr w:type="spellStart"/>
      <w:r w:rsidRPr="008725BA">
        <w:rPr>
          <w:rFonts w:ascii="Book Antiqua" w:eastAsia="Book Antiqua" w:hAnsi="Book Antiqua" w:cs="Book Antiqua"/>
          <w:color w:val="000000"/>
        </w:rPr>
        <w:t>Saliba</w:t>
      </w:r>
      <w:proofErr w:type="spellEnd"/>
      <w:r w:rsidRPr="008725BA">
        <w:rPr>
          <w:rFonts w:ascii="Book Antiqua" w:eastAsia="Book Antiqua" w:hAnsi="Book Antiqua" w:cs="Book Antiqua"/>
          <w:color w:val="000000"/>
        </w:rPr>
        <w:t xml:space="preserve"> F, </w:t>
      </w:r>
      <w:proofErr w:type="spellStart"/>
      <w:r w:rsidRPr="008725BA">
        <w:rPr>
          <w:rFonts w:ascii="Book Antiqua" w:eastAsia="Book Antiqua" w:hAnsi="Book Antiqua" w:cs="Book Antiqua"/>
          <w:color w:val="000000"/>
        </w:rPr>
        <w:t>Domenicali</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Gerbes</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Wendon</w:t>
      </w:r>
      <w:proofErr w:type="spellEnd"/>
      <w:r w:rsidRPr="008725BA">
        <w:rPr>
          <w:rFonts w:ascii="Book Antiqua" w:eastAsia="Book Antiqua" w:hAnsi="Book Antiqua" w:cs="Book Antiqua"/>
          <w:color w:val="000000"/>
        </w:rPr>
        <w:t xml:space="preserve"> J, Alessandria C, </w:t>
      </w:r>
      <w:proofErr w:type="spellStart"/>
      <w:r w:rsidRPr="008725BA">
        <w:rPr>
          <w:rFonts w:ascii="Book Antiqua" w:eastAsia="Book Antiqua" w:hAnsi="Book Antiqua" w:cs="Book Antiqua"/>
          <w:color w:val="000000"/>
        </w:rPr>
        <w:t>Laleman</w:t>
      </w:r>
      <w:proofErr w:type="spellEnd"/>
      <w:r w:rsidRPr="008725BA">
        <w:rPr>
          <w:rFonts w:ascii="Book Antiqua" w:eastAsia="Book Antiqua" w:hAnsi="Book Antiqua" w:cs="Book Antiqua"/>
          <w:color w:val="000000"/>
        </w:rPr>
        <w:t xml:space="preserve"> W, </w:t>
      </w:r>
      <w:proofErr w:type="spellStart"/>
      <w:r w:rsidRPr="008725BA">
        <w:rPr>
          <w:rFonts w:ascii="Book Antiqua" w:eastAsia="Book Antiqua" w:hAnsi="Book Antiqua" w:cs="Book Antiqua"/>
          <w:color w:val="000000"/>
        </w:rPr>
        <w:t>Zeuzem</w:t>
      </w:r>
      <w:proofErr w:type="spellEnd"/>
      <w:r w:rsidRPr="008725BA">
        <w:rPr>
          <w:rFonts w:ascii="Book Antiqua" w:eastAsia="Book Antiqua" w:hAnsi="Book Antiqua" w:cs="Book Antiqua"/>
          <w:color w:val="000000"/>
        </w:rPr>
        <w:t xml:space="preserve"> S, </w:t>
      </w:r>
      <w:proofErr w:type="spellStart"/>
      <w:r w:rsidRPr="008725BA">
        <w:rPr>
          <w:rFonts w:ascii="Book Antiqua" w:eastAsia="Book Antiqua" w:hAnsi="Book Antiqua" w:cs="Book Antiqua"/>
          <w:color w:val="000000"/>
        </w:rPr>
        <w:t>Trebicka</w:t>
      </w:r>
      <w:proofErr w:type="spellEnd"/>
      <w:r w:rsidRPr="008725BA">
        <w:rPr>
          <w:rFonts w:ascii="Book Antiqua" w:eastAsia="Book Antiqua" w:hAnsi="Book Antiqua" w:cs="Book Antiqua"/>
          <w:color w:val="000000"/>
        </w:rPr>
        <w:t xml:space="preserve"> J, </w:t>
      </w:r>
      <w:proofErr w:type="spellStart"/>
      <w:r w:rsidRPr="008725BA">
        <w:rPr>
          <w:rFonts w:ascii="Book Antiqua" w:eastAsia="Book Antiqua" w:hAnsi="Book Antiqua" w:cs="Book Antiqua"/>
          <w:color w:val="000000"/>
        </w:rPr>
        <w:t>Bernardi</w:t>
      </w:r>
      <w:proofErr w:type="spellEnd"/>
      <w:r w:rsidRPr="008725BA">
        <w:rPr>
          <w:rFonts w:ascii="Book Antiqua" w:eastAsia="Book Antiqua" w:hAnsi="Book Antiqua" w:cs="Book Antiqua"/>
          <w:color w:val="000000"/>
        </w:rPr>
        <w:t xml:space="preserve"> M, Arroyo V; CANONIC Study Investigators of the EASL–CLIF Consortium. Acute-on-chronic liver failure is a distinct syndrome that develops in patients with acute decompensation of cirrhosis. </w:t>
      </w:r>
      <w:r w:rsidRPr="008725BA">
        <w:rPr>
          <w:rFonts w:ascii="Book Antiqua" w:eastAsia="Book Antiqua" w:hAnsi="Book Antiqua" w:cs="Book Antiqua"/>
          <w:i/>
          <w:iCs/>
          <w:color w:val="000000"/>
        </w:rPr>
        <w:t>Gastroenterology</w:t>
      </w:r>
      <w:r w:rsidRPr="008725BA">
        <w:rPr>
          <w:rFonts w:ascii="Book Antiqua" w:eastAsia="Book Antiqua" w:hAnsi="Book Antiqua" w:cs="Book Antiqua"/>
          <w:color w:val="000000"/>
        </w:rPr>
        <w:t xml:space="preserve"> 2013; </w:t>
      </w:r>
      <w:r w:rsidRPr="008725BA">
        <w:rPr>
          <w:rFonts w:ascii="Book Antiqua" w:eastAsia="Book Antiqua" w:hAnsi="Book Antiqua" w:cs="Book Antiqua"/>
          <w:b/>
          <w:bCs/>
          <w:color w:val="000000"/>
        </w:rPr>
        <w:t>144</w:t>
      </w:r>
      <w:r w:rsidRPr="008725BA">
        <w:rPr>
          <w:rFonts w:ascii="Book Antiqua" w:eastAsia="Book Antiqua" w:hAnsi="Book Antiqua" w:cs="Book Antiqua"/>
          <w:color w:val="000000"/>
        </w:rPr>
        <w:t>: 1426-1437 [PMID: 23474284 DOI: 10.1053/j.gastro.2013.02.042]</w:t>
      </w:r>
    </w:p>
    <w:p w14:paraId="13ACD4E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51 </w:t>
      </w:r>
      <w:r w:rsidRPr="008725BA">
        <w:rPr>
          <w:rFonts w:ascii="Book Antiqua" w:eastAsia="Book Antiqua" w:hAnsi="Book Antiqua" w:cs="Book Antiqua"/>
          <w:b/>
          <w:bCs/>
          <w:color w:val="000000"/>
        </w:rPr>
        <w:t>McPhail MJ</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Shawcross</w:t>
      </w:r>
      <w:proofErr w:type="spellEnd"/>
      <w:r w:rsidRPr="008725BA">
        <w:rPr>
          <w:rFonts w:ascii="Book Antiqua" w:eastAsia="Book Antiqua" w:hAnsi="Book Antiqua" w:cs="Book Antiqua"/>
          <w:color w:val="000000"/>
        </w:rPr>
        <w:t xml:space="preserve"> DL, Abeles RD, Chang A, Patel V, Lee GH, Abdulla M, Sizer E, </w:t>
      </w:r>
      <w:proofErr w:type="spellStart"/>
      <w:r w:rsidRPr="008725BA">
        <w:rPr>
          <w:rFonts w:ascii="Book Antiqua" w:eastAsia="Book Antiqua" w:hAnsi="Book Antiqua" w:cs="Book Antiqua"/>
          <w:color w:val="000000"/>
        </w:rPr>
        <w:t>Willars</w:t>
      </w:r>
      <w:proofErr w:type="spellEnd"/>
      <w:r w:rsidRPr="008725BA">
        <w:rPr>
          <w:rFonts w:ascii="Book Antiqua" w:eastAsia="Book Antiqua" w:hAnsi="Book Antiqua" w:cs="Book Antiqua"/>
          <w:color w:val="000000"/>
        </w:rPr>
        <w:t xml:space="preserve"> C, </w:t>
      </w:r>
      <w:proofErr w:type="spellStart"/>
      <w:r w:rsidRPr="008725BA">
        <w:rPr>
          <w:rFonts w:ascii="Book Antiqua" w:eastAsia="Book Antiqua" w:hAnsi="Book Antiqua" w:cs="Book Antiqua"/>
          <w:color w:val="000000"/>
        </w:rPr>
        <w:t>Auzinger</w:t>
      </w:r>
      <w:proofErr w:type="spellEnd"/>
      <w:r w:rsidRPr="008725BA">
        <w:rPr>
          <w:rFonts w:ascii="Book Antiqua" w:eastAsia="Book Antiqua" w:hAnsi="Book Antiqua" w:cs="Book Antiqua"/>
          <w:color w:val="000000"/>
        </w:rPr>
        <w:t xml:space="preserve"> G, Bernal W, </w:t>
      </w:r>
      <w:proofErr w:type="spellStart"/>
      <w:r w:rsidRPr="008725BA">
        <w:rPr>
          <w:rFonts w:ascii="Book Antiqua" w:eastAsia="Book Antiqua" w:hAnsi="Book Antiqua" w:cs="Book Antiqua"/>
          <w:color w:val="000000"/>
        </w:rPr>
        <w:t>Wendon</w:t>
      </w:r>
      <w:proofErr w:type="spellEnd"/>
      <w:r w:rsidRPr="008725BA">
        <w:rPr>
          <w:rFonts w:ascii="Book Antiqua" w:eastAsia="Book Antiqua" w:hAnsi="Book Antiqua" w:cs="Book Antiqua"/>
          <w:color w:val="000000"/>
        </w:rPr>
        <w:t xml:space="preserve"> JA. Increased Survival for Patients </w:t>
      </w:r>
      <w:proofErr w:type="gramStart"/>
      <w:r w:rsidRPr="008725BA">
        <w:rPr>
          <w:rFonts w:ascii="Book Antiqua" w:eastAsia="Book Antiqua" w:hAnsi="Book Antiqua" w:cs="Book Antiqua"/>
          <w:color w:val="000000"/>
        </w:rPr>
        <w:t>With</w:t>
      </w:r>
      <w:proofErr w:type="gramEnd"/>
      <w:r w:rsidRPr="008725BA">
        <w:rPr>
          <w:rFonts w:ascii="Book Antiqua" w:eastAsia="Book Antiqua" w:hAnsi="Book Antiqua" w:cs="Book Antiqua"/>
          <w:color w:val="000000"/>
        </w:rPr>
        <w:t xml:space="preserve"> Cirrhosis and Organ Failure in Liver Intensive Care and Validation of the Chronic Liver Failure-Sequential Organ Failure Scoring System. </w:t>
      </w:r>
      <w:r w:rsidRPr="008725BA">
        <w:rPr>
          <w:rFonts w:ascii="Book Antiqua" w:eastAsia="Book Antiqua" w:hAnsi="Book Antiqua" w:cs="Book Antiqua"/>
          <w:i/>
          <w:iCs/>
          <w:color w:val="000000"/>
        </w:rPr>
        <w:t>Clin Gastroenterol Hepatol</w:t>
      </w:r>
      <w:r w:rsidRPr="008725BA">
        <w:rPr>
          <w:rFonts w:ascii="Book Antiqua" w:eastAsia="Book Antiqua" w:hAnsi="Book Antiqua" w:cs="Book Antiqua"/>
          <w:color w:val="000000"/>
        </w:rPr>
        <w:t xml:space="preserve"> 2015; </w:t>
      </w:r>
      <w:r w:rsidRPr="008725BA">
        <w:rPr>
          <w:rFonts w:ascii="Book Antiqua" w:eastAsia="Book Antiqua" w:hAnsi="Book Antiqua" w:cs="Book Antiqua"/>
          <w:b/>
          <w:bCs/>
          <w:color w:val="000000"/>
        </w:rPr>
        <w:t>13</w:t>
      </w:r>
      <w:r w:rsidRPr="008725BA">
        <w:rPr>
          <w:rFonts w:ascii="Book Antiqua" w:eastAsia="Book Antiqua" w:hAnsi="Book Antiqua" w:cs="Book Antiqua"/>
          <w:color w:val="000000"/>
        </w:rPr>
        <w:t>: 1353-1360.e8 [PMID: 25240417 DOI: 10.1016/j.cgh.2014.08.041]</w:t>
      </w:r>
    </w:p>
    <w:p w14:paraId="6871648F"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52 </w:t>
      </w:r>
      <w:r w:rsidRPr="008725BA">
        <w:rPr>
          <w:rFonts w:ascii="Book Antiqua" w:eastAsia="Book Antiqua" w:hAnsi="Book Antiqua" w:cs="Book Antiqua"/>
          <w:b/>
          <w:bCs/>
          <w:color w:val="000000"/>
        </w:rPr>
        <w:t>Jalan R</w:t>
      </w:r>
      <w:r w:rsidRPr="008725BA">
        <w:rPr>
          <w:rFonts w:ascii="Book Antiqua" w:eastAsia="Book Antiqua" w:hAnsi="Book Antiqua" w:cs="Book Antiqua"/>
          <w:color w:val="000000"/>
        </w:rPr>
        <w:t xml:space="preserve">, </w:t>
      </w:r>
      <w:proofErr w:type="spellStart"/>
      <w:r w:rsidRPr="008725BA">
        <w:rPr>
          <w:rFonts w:ascii="Book Antiqua" w:eastAsia="Book Antiqua" w:hAnsi="Book Antiqua" w:cs="Book Antiqua"/>
          <w:color w:val="000000"/>
        </w:rPr>
        <w:t>Saliba</w:t>
      </w:r>
      <w:proofErr w:type="spellEnd"/>
      <w:r w:rsidRPr="008725BA">
        <w:rPr>
          <w:rFonts w:ascii="Book Antiqua" w:eastAsia="Book Antiqua" w:hAnsi="Book Antiqua" w:cs="Book Antiqua"/>
          <w:color w:val="000000"/>
        </w:rPr>
        <w:t xml:space="preserve"> F, </w:t>
      </w:r>
      <w:proofErr w:type="spellStart"/>
      <w:r w:rsidRPr="008725BA">
        <w:rPr>
          <w:rFonts w:ascii="Book Antiqua" w:eastAsia="Book Antiqua" w:hAnsi="Book Antiqua" w:cs="Book Antiqua"/>
          <w:color w:val="000000"/>
        </w:rPr>
        <w:t>Pavesi</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Amoros</w:t>
      </w:r>
      <w:proofErr w:type="spellEnd"/>
      <w:r w:rsidRPr="008725BA">
        <w:rPr>
          <w:rFonts w:ascii="Book Antiqua" w:eastAsia="Book Antiqua" w:hAnsi="Book Antiqua" w:cs="Book Antiqua"/>
          <w:color w:val="000000"/>
        </w:rPr>
        <w:t xml:space="preserve"> A, Moreau R, </w:t>
      </w:r>
      <w:proofErr w:type="spellStart"/>
      <w:r w:rsidRPr="008725BA">
        <w:rPr>
          <w:rFonts w:ascii="Book Antiqua" w:eastAsia="Book Antiqua" w:hAnsi="Book Antiqua" w:cs="Book Antiqua"/>
          <w:color w:val="000000"/>
        </w:rPr>
        <w:t>Ginès</w:t>
      </w:r>
      <w:proofErr w:type="spellEnd"/>
      <w:r w:rsidRPr="008725BA">
        <w:rPr>
          <w:rFonts w:ascii="Book Antiqua" w:eastAsia="Book Antiqua" w:hAnsi="Book Antiqua" w:cs="Book Antiqua"/>
          <w:color w:val="000000"/>
        </w:rPr>
        <w:t xml:space="preserve"> P, Levesque E, Durand F, </w:t>
      </w:r>
      <w:proofErr w:type="spellStart"/>
      <w:r w:rsidRPr="008725BA">
        <w:rPr>
          <w:rFonts w:ascii="Book Antiqua" w:eastAsia="Book Antiqua" w:hAnsi="Book Antiqua" w:cs="Book Antiqua"/>
          <w:color w:val="000000"/>
        </w:rPr>
        <w:t>Angeli</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Caraceni</w:t>
      </w:r>
      <w:proofErr w:type="spellEnd"/>
      <w:r w:rsidRPr="008725BA">
        <w:rPr>
          <w:rFonts w:ascii="Book Antiqua" w:eastAsia="Book Antiqua" w:hAnsi="Book Antiqua" w:cs="Book Antiqua"/>
          <w:color w:val="000000"/>
        </w:rPr>
        <w:t xml:space="preserve"> P, </w:t>
      </w:r>
      <w:proofErr w:type="spellStart"/>
      <w:r w:rsidRPr="008725BA">
        <w:rPr>
          <w:rFonts w:ascii="Book Antiqua" w:eastAsia="Book Antiqua" w:hAnsi="Book Antiqua" w:cs="Book Antiqua"/>
          <w:color w:val="000000"/>
        </w:rPr>
        <w:t>Hopf</w:t>
      </w:r>
      <w:proofErr w:type="spellEnd"/>
      <w:r w:rsidRPr="008725BA">
        <w:rPr>
          <w:rFonts w:ascii="Book Antiqua" w:eastAsia="Book Antiqua" w:hAnsi="Book Antiqua" w:cs="Book Antiqua"/>
          <w:color w:val="000000"/>
        </w:rPr>
        <w:t xml:space="preserve"> C, Alessandria C, Rodriguez E, Solis-Muñoz P, </w:t>
      </w:r>
      <w:proofErr w:type="spellStart"/>
      <w:r w:rsidRPr="008725BA">
        <w:rPr>
          <w:rFonts w:ascii="Book Antiqua" w:eastAsia="Book Antiqua" w:hAnsi="Book Antiqua" w:cs="Book Antiqua"/>
          <w:color w:val="000000"/>
        </w:rPr>
        <w:t>Laleman</w:t>
      </w:r>
      <w:proofErr w:type="spellEnd"/>
      <w:r w:rsidRPr="008725BA">
        <w:rPr>
          <w:rFonts w:ascii="Book Antiqua" w:eastAsia="Book Antiqua" w:hAnsi="Book Antiqua" w:cs="Book Antiqua"/>
          <w:color w:val="000000"/>
        </w:rPr>
        <w:t xml:space="preserve"> W, </w:t>
      </w:r>
      <w:proofErr w:type="spellStart"/>
      <w:r w:rsidRPr="008725BA">
        <w:rPr>
          <w:rFonts w:ascii="Book Antiqua" w:eastAsia="Book Antiqua" w:hAnsi="Book Antiqua" w:cs="Book Antiqua"/>
          <w:color w:val="000000"/>
        </w:rPr>
        <w:t>Trebicka</w:t>
      </w:r>
      <w:proofErr w:type="spellEnd"/>
      <w:r w:rsidRPr="008725BA">
        <w:rPr>
          <w:rFonts w:ascii="Book Antiqua" w:eastAsia="Book Antiqua" w:hAnsi="Book Antiqua" w:cs="Book Antiqua"/>
          <w:color w:val="000000"/>
        </w:rPr>
        <w:t xml:space="preserve"> J, </w:t>
      </w:r>
      <w:proofErr w:type="spellStart"/>
      <w:r w:rsidRPr="008725BA">
        <w:rPr>
          <w:rFonts w:ascii="Book Antiqua" w:eastAsia="Book Antiqua" w:hAnsi="Book Antiqua" w:cs="Book Antiqua"/>
          <w:color w:val="000000"/>
        </w:rPr>
        <w:t>Zeuzem</w:t>
      </w:r>
      <w:proofErr w:type="spellEnd"/>
      <w:r w:rsidRPr="008725BA">
        <w:rPr>
          <w:rFonts w:ascii="Book Antiqua" w:eastAsia="Book Antiqua" w:hAnsi="Book Antiqua" w:cs="Book Antiqua"/>
          <w:color w:val="000000"/>
        </w:rPr>
        <w:t xml:space="preserve"> S, </w:t>
      </w:r>
      <w:proofErr w:type="spellStart"/>
      <w:r w:rsidRPr="008725BA">
        <w:rPr>
          <w:rFonts w:ascii="Book Antiqua" w:eastAsia="Book Antiqua" w:hAnsi="Book Antiqua" w:cs="Book Antiqua"/>
          <w:color w:val="000000"/>
        </w:rPr>
        <w:t>Gustot</w:t>
      </w:r>
      <w:proofErr w:type="spellEnd"/>
      <w:r w:rsidRPr="008725BA">
        <w:rPr>
          <w:rFonts w:ascii="Book Antiqua" w:eastAsia="Book Antiqua" w:hAnsi="Book Antiqua" w:cs="Book Antiqua"/>
          <w:color w:val="000000"/>
        </w:rPr>
        <w:t xml:space="preserve"> T, Mookerjee R, </w:t>
      </w:r>
      <w:proofErr w:type="spellStart"/>
      <w:r w:rsidRPr="008725BA">
        <w:rPr>
          <w:rFonts w:ascii="Book Antiqua" w:eastAsia="Book Antiqua" w:hAnsi="Book Antiqua" w:cs="Book Antiqua"/>
          <w:color w:val="000000"/>
        </w:rPr>
        <w:t>Elkrief</w:t>
      </w:r>
      <w:proofErr w:type="spellEnd"/>
      <w:r w:rsidRPr="008725BA">
        <w:rPr>
          <w:rFonts w:ascii="Book Antiqua" w:eastAsia="Book Antiqua" w:hAnsi="Book Antiqua" w:cs="Book Antiqua"/>
          <w:color w:val="000000"/>
        </w:rPr>
        <w:t xml:space="preserve"> L, Soriano G, Cordoba J, Morando F, </w:t>
      </w:r>
      <w:proofErr w:type="spellStart"/>
      <w:r w:rsidRPr="008725BA">
        <w:rPr>
          <w:rFonts w:ascii="Book Antiqua" w:eastAsia="Book Antiqua" w:hAnsi="Book Antiqua" w:cs="Book Antiqua"/>
          <w:color w:val="000000"/>
        </w:rPr>
        <w:t>Gerbes</w:t>
      </w:r>
      <w:proofErr w:type="spellEnd"/>
      <w:r w:rsidRPr="008725BA">
        <w:rPr>
          <w:rFonts w:ascii="Book Antiqua" w:eastAsia="Book Antiqua" w:hAnsi="Book Antiqua" w:cs="Book Antiqua"/>
          <w:color w:val="000000"/>
        </w:rPr>
        <w:t xml:space="preserve"> A, Agarwal B, Samuel D, </w:t>
      </w:r>
      <w:proofErr w:type="spellStart"/>
      <w:r w:rsidRPr="008725BA">
        <w:rPr>
          <w:rFonts w:ascii="Book Antiqua" w:eastAsia="Book Antiqua" w:hAnsi="Book Antiqua" w:cs="Book Antiqua"/>
          <w:color w:val="000000"/>
        </w:rPr>
        <w:t>Bernardi</w:t>
      </w:r>
      <w:proofErr w:type="spellEnd"/>
      <w:r w:rsidRPr="008725BA">
        <w:rPr>
          <w:rFonts w:ascii="Book Antiqua" w:eastAsia="Book Antiqua" w:hAnsi="Book Antiqua" w:cs="Book Antiqua"/>
          <w:color w:val="000000"/>
        </w:rPr>
        <w:t xml:space="preserve"> M, Arroyo V; CANONIC study investigators of the EASL-CLIF Consortium. Development and validation of a prognostic score to predict mortality in patients with acute-on-chronic liver failure. </w:t>
      </w:r>
      <w:r w:rsidRPr="008725BA">
        <w:rPr>
          <w:rFonts w:ascii="Book Antiqua" w:eastAsia="Book Antiqua" w:hAnsi="Book Antiqua" w:cs="Book Antiqua"/>
          <w:i/>
          <w:iCs/>
          <w:color w:val="000000"/>
        </w:rPr>
        <w:t>J Hepatol</w:t>
      </w:r>
      <w:r w:rsidRPr="008725BA">
        <w:rPr>
          <w:rFonts w:ascii="Book Antiqua" w:eastAsia="Book Antiqua" w:hAnsi="Book Antiqua" w:cs="Book Antiqua"/>
          <w:color w:val="000000"/>
        </w:rPr>
        <w:t xml:space="preserve"> 2014; </w:t>
      </w:r>
      <w:r w:rsidRPr="008725BA">
        <w:rPr>
          <w:rFonts w:ascii="Book Antiqua" w:eastAsia="Book Antiqua" w:hAnsi="Book Antiqua" w:cs="Book Antiqua"/>
          <w:b/>
          <w:bCs/>
          <w:color w:val="000000"/>
        </w:rPr>
        <w:t>61</w:t>
      </w:r>
      <w:r w:rsidRPr="008725BA">
        <w:rPr>
          <w:rFonts w:ascii="Book Antiqua" w:eastAsia="Book Antiqua" w:hAnsi="Book Antiqua" w:cs="Book Antiqua"/>
          <w:color w:val="000000"/>
        </w:rPr>
        <w:t>: 1038-1047 [PMID: 24950482 DOI: 10.1016/j.jhep.2014.06.012]</w:t>
      </w:r>
    </w:p>
    <w:p w14:paraId="612BA155" w14:textId="3B21BDE6" w:rsidR="00A77B3E" w:rsidRPr="008725BA" w:rsidRDefault="00034438" w:rsidP="008725BA">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8725BA">
        <w:rPr>
          <w:rFonts w:ascii="Book Antiqua" w:eastAsia="Book Antiqua" w:hAnsi="Book Antiqua" w:cs="Book Antiqua"/>
          <w:color w:val="000000"/>
        </w:rPr>
        <w:lastRenderedPageBreak/>
        <w:t xml:space="preserve">53 </w:t>
      </w:r>
      <w:proofErr w:type="spellStart"/>
      <w:r w:rsidR="00EC2471" w:rsidRPr="008725BA">
        <w:rPr>
          <w:rFonts w:ascii="Book Antiqua" w:hAnsi="Book Antiqua"/>
          <w:b/>
          <w:bCs/>
          <w:color w:val="201F35"/>
        </w:rPr>
        <w:t>Feltracco</w:t>
      </w:r>
      <w:proofErr w:type="spellEnd"/>
      <w:r w:rsidR="00EC2471" w:rsidRPr="008725BA">
        <w:rPr>
          <w:rFonts w:ascii="Book Antiqua" w:hAnsi="Book Antiqua"/>
          <w:b/>
          <w:bCs/>
          <w:color w:val="201F35"/>
        </w:rPr>
        <w:t xml:space="preserve"> P</w:t>
      </w:r>
      <w:r w:rsidR="00EC2471" w:rsidRPr="008725BA">
        <w:rPr>
          <w:rFonts w:ascii="Book Antiqua" w:hAnsi="Book Antiqua"/>
          <w:color w:val="201F35"/>
        </w:rPr>
        <w:t xml:space="preserve">, </w:t>
      </w:r>
      <w:proofErr w:type="spellStart"/>
      <w:r w:rsidR="00EC2471" w:rsidRPr="008725BA">
        <w:rPr>
          <w:rFonts w:ascii="Book Antiqua" w:hAnsi="Book Antiqua"/>
          <w:color w:val="201F35"/>
        </w:rPr>
        <w:t>Brezzi</w:t>
      </w:r>
      <w:proofErr w:type="spellEnd"/>
      <w:r w:rsidR="00EC2471" w:rsidRPr="008725BA">
        <w:rPr>
          <w:rFonts w:ascii="Book Antiqua" w:hAnsi="Book Antiqua"/>
          <w:color w:val="201F35"/>
        </w:rPr>
        <w:t xml:space="preserve"> M, Barbieri S, </w:t>
      </w:r>
      <w:proofErr w:type="spellStart"/>
      <w:r w:rsidR="00EC2471" w:rsidRPr="008725BA">
        <w:rPr>
          <w:rFonts w:ascii="Book Antiqua" w:hAnsi="Book Antiqua"/>
          <w:color w:val="201F35"/>
        </w:rPr>
        <w:t>Milevoj</w:t>
      </w:r>
      <w:proofErr w:type="spellEnd"/>
      <w:r w:rsidR="00EC2471" w:rsidRPr="008725BA">
        <w:rPr>
          <w:rFonts w:ascii="Book Antiqua" w:hAnsi="Book Antiqua"/>
          <w:color w:val="201F35"/>
        </w:rPr>
        <w:t xml:space="preserve"> M, </w:t>
      </w:r>
      <w:proofErr w:type="spellStart"/>
      <w:r w:rsidR="00EC2471" w:rsidRPr="008725BA">
        <w:rPr>
          <w:rFonts w:ascii="Book Antiqua" w:hAnsi="Book Antiqua"/>
          <w:color w:val="201F35"/>
        </w:rPr>
        <w:t>Galligioni</w:t>
      </w:r>
      <w:proofErr w:type="spellEnd"/>
      <w:r w:rsidR="00EC2471" w:rsidRPr="008725BA">
        <w:rPr>
          <w:rFonts w:ascii="Book Antiqua" w:hAnsi="Book Antiqua"/>
          <w:color w:val="201F35"/>
        </w:rPr>
        <w:t xml:space="preserve"> H, </w:t>
      </w:r>
      <w:proofErr w:type="spellStart"/>
      <w:r w:rsidR="00EC2471" w:rsidRPr="008725BA">
        <w:rPr>
          <w:rFonts w:ascii="Book Antiqua" w:hAnsi="Book Antiqua"/>
          <w:color w:val="201F35"/>
        </w:rPr>
        <w:t>Cillo</w:t>
      </w:r>
      <w:proofErr w:type="spellEnd"/>
      <w:r w:rsidR="00EC2471" w:rsidRPr="008725BA">
        <w:rPr>
          <w:rFonts w:ascii="Book Antiqua" w:hAnsi="Book Antiqua"/>
          <w:color w:val="201F35"/>
        </w:rPr>
        <w:t xml:space="preserve"> U, </w:t>
      </w:r>
      <w:proofErr w:type="spellStart"/>
      <w:r w:rsidR="00EC2471" w:rsidRPr="008725BA">
        <w:rPr>
          <w:rFonts w:ascii="Book Antiqua" w:hAnsi="Book Antiqua"/>
          <w:color w:val="201F35"/>
        </w:rPr>
        <w:t>Zanus</w:t>
      </w:r>
      <w:proofErr w:type="spellEnd"/>
      <w:r w:rsidR="00EC2471" w:rsidRPr="008725BA">
        <w:rPr>
          <w:rFonts w:ascii="Book Antiqua" w:hAnsi="Book Antiqua"/>
          <w:color w:val="201F35"/>
        </w:rPr>
        <w:t xml:space="preserve"> G, Vitale A, Ori C. Intensive care unit admission of decompensated cirrhotic patients: prognostic scoring systems. </w:t>
      </w:r>
      <w:r w:rsidR="00EC2471" w:rsidRPr="008725BA">
        <w:rPr>
          <w:rFonts w:ascii="Book Antiqua" w:hAnsi="Book Antiqua"/>
          <w:i/>
          <w:iCs/>
          <w:color w:val="201F35"/>
        </w:rPr>
        <w:t>Transplant Proc</w:t>
      </w:r>
      <w:r w:rsidR="00EC2471" w:rsidRPr="008725BA">
        <w:rPr>
          <w:rFonts w:ascii="Book Antiqua" w:hAnsi="Book Antiqua"/>
          <w:color w:val="201F35"/>
        </w:rPr>
        <w:t> 2011; </w:t>
      </w:r>
      <w:r w:rsidR="00EC2471" w:rsidRPr="008725BA">
        <w:rPr>
          <w:rFonts w:ascii="Book Antiqua" w:hAnsi="Book Antiqua"/>
          <w:b/>
          <w:bCs/>
          <w:color w:val="201F35"/>
        </w:rPr>
        <w:t>43</w:t>
      </w:r>
      <w:r w:rsidR="00EC2471" w:rsidRPr="008725BA">
        <w:rPr>
          <w:rFonts w:ascii="Book Antiqua" w:hAnsi="Book Antiqua"/>
          <w:color w:val="201F35"/>
        </w:rPr>
        <w:t>: 1079-1084 [PMID: 21620058 DOI: 10.1016/j.transproceed.2011.01.153]</w:t>
      </w:r>
    </w:p>
    <w:p w14:paraId="61D91C7C"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54 </w:t>
      </w:r>
      <w:r w:rsidRPr="008725BA">
        <w:rPr>
          <w:rFonts w:ascii="Book Antiqua" w:eastAsia="Book Antiqua" w:hAnsi="Book Antiqua" w:cs="Book Antiqua"/>
          <w:b/>
          <w:bCs/>
          <w:color w:val="000000"/>
        </w:rPr>
        <w:t>Ferreira FL</w:t>
      </w:r>
      <w:r w:rsidRPr="008725BA">
        <w:rPr>
          <w:rFonts w:ascii="Book Antiqua" w:eastAsia="Book Antiqua" w:hAnsi="Book Antiqua" w:cs="Book Antiqua"/>
          <w:color w:val="000000"/>
        </w:rPr>
        <w:t xml:space="preserve">, Bota DP, </w:t>
      </w:r>
      <w:proofErr w:type="spellStart"/>
      <w:r w:rsidRPr="008725BA">
        <w:rPr>
          <w:rFonts w:ascii="Book Antiqua" w:eastAsia="Book Antiqua" w:hAnsi="Book Antiqua" w:cs="Book Antiqua"/>
          <w:color w:val="000000"/>
        </w:rPr>
        <w:t>Bross</w:t>
      </w:r>
      <w:proofErr w:type="spellEnd"/>
      <w:r w:rsidRPr="008725BA">
        <w:rPr>
          <w:rFonts w:ascii="Book Antiqua" w:eastAsia="Book Antiqua" w:hAnsi="Book Antiqua" w:cs="Book Antiqua"/>
          <w:color w:val="000000"/>
        </w:rPr>
        <w:t xml:space="preserve"> A, </w:t>
      </w:r>
      <w:proofErr w:type="spellStart"/>
      <w:r w:rsidRPr="008725BA">
        <w:rPr>
          <w:rFonts w:ascii="Book Antiqua" w:eastAsia="Book Antiqua" w:hAnsi="Book Antiqua" w:cs="Book Antiqua"/>
          <w:color w:val="000000"/>
        </w:rPr>
        <w:t>Mélot</w:t>
      </w:r>
      <w:proofErr w:type="spellEnd"/>
      <w:r w:rsidRPr="008725BA">
        <w:rPr>
          <w:rFonts w:ascii="Book Antiqua" w:eastAsia="Book Antiqua" w:hAnsi="Book Antiqua" w:cs="Book Antiqua"/>
          <w:color w:val="000000"/>
        </w:rPr>
        <w:t xml:space="preserve"> C, Vincent JL. Serial evaluation of the SOFA score to predict outcome in critically ill patients. </w:t>
      </w:r>
      <w:r w:rsidRPr="008725BA">
        <w:rPr>
          <w:rFonts w:ascii="Book Antiqua" w:eastAsia="Book Antiqua" w:hAnsi="Book Antiqua" w:cs="Book Antiqua"/>
          <w:i/>
          <w:iCs/>
          <w:color w:val="000000"/>
        </w:rPr>
        <w:t>JAMA</w:t>
      </w:r>
      <w:r w:rsidRPr="008725BA">
        <w:rPr>
          <w:rFonts w:ascii="Book Antiqua" w:eastAsia="Book Antiqua" w:hAnsi="Book Antiqua" w:cs="Book Antiqua"/>
          <w:color w:val="000000"/>
        </w:rPr>
        <w:t xml:space="preserve"> 2001; </w:t>
      </w:r>
      <w:r w:rsidRPr="008725BA">
        <w:rPr>
          <w:rFonts w:ascii="Book Antiqua" w:eastAsia="Book Antiqua" w:hAnsi="Book Antiqua" w:cs="Book Antiqua"/>
          <w:b/>
          <w:bCs/>
          <w:color w:val="000000"/>
        </w:rPr>
        <w:t>286</w:t>
      </w:r>
      <w:r w:rsidRPr="008725BA">
        <w:rPr>
          <w:rFonts w:ascii="Book Antiqua" w:eastAsia="Book Antiqua" w:hAnsi="Book Antiqua" w:cs="Book Antiqua"/>
          <w:color w:val="000000"/>
        </w:rPr>
        <w:t>: 1754-1758 [PMID: 11594901 DOI: 10.1001/jama.286.14.1754]</w:t>
      </w:r>
    </w:p>
    <w:p w14:paraId="61269C62"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55 </w:t>
      </w:r>
      <w:proofErr w:type="spellStart"/>
      <w:r w:rsidRPr="008725BA">
        <w:rPr>
          <w:rFonts w:ascii="Book Antiqua" w:eastAsia="Book Antiqua" w:hAnsi="Book Antiqua" w:cs="Book Antiqua"/>
          <w:b/>
          <w:bCs/>
          <w:color w:val="000000"/>
        </w:rPr>
        <w:t>Karvellas</w:t>
      </w:r>
      <w:proofErr w:type="spellEnd"/>
      <w:r w:rsidRPr="008725BA">
        <w:rPr>
          <w:rFonts w:ascii="Book Antiqua" w:eastAsia="Book Antiqua" w:hAnsi="Book Antiqua" w:cs="Book Antiqua"/>
          <w:b/>
          <w:bCs/>
          <w:color w:val="000000"/>
        </w:rPr>
        <w:t xml:space="preserve"> CJ</w:t>
      </w:r>
      <w:r w:rsidRPr="008725BA">
        <w:rPr>
          <w:rFonts w:ascii="Book Antiqua" w:eastAsia="Book Antiqua" w:hAnsi="Book Antiqua" w:cs="Book Antiqua"/>
          <w:color w:val="000000"/>
        </w:rPr>
        <w:t xml:space="preserve">, Garcia-Lopez E, Fernandez J, </w:t>
      </w:r>
      <w:proofErr w:type="spellStart"/>
      <w:r w:rsidRPr="008725BA">
        <w:rPr>
          <w:rFonts w:ascii="Book Antiqua" w:eastAsia="Book Antiqua" w:hAnsi="Book Antiqua" w:cs="Book Antiqua"/>
          <w:color w:val="000000"/>
        </w:rPr>
        <w:t>Saliba</w:t>
      </w:r>
      <w:proofErr w:type="spellEnd"/>
      <w:r w:rsidRPr="008725BA">
        <w:rPr>
          <w:rFonts w:ascii="Book Antiqua" w:eastAsia="Book Antiqua" w:hAnsi="Book Antiqua" w:cs="Book Antiqua"/>
          <w:color w:val="000000"/>
        </w:rPr>
        <w:t xml:space="preserve"> F, Sy E, Jalan R, </w:t>
      </w:r>
      <w:proofErr w:type="spellStart"/>
      <w:r w:rsidRPr="008725BA">
        <w:rPr>
          <w:rFonts w:ascii="Book Antiqua" w:eastAsia="Book Antiqua" w:hAnsi="Book Antiqua" w:cs="Book Antiqua"/>
          <w:color w:val="000000"/>
        </w:rPr>
        <w:t>Pavesi</w:t>
      </w:r>
      <w:proofErr w:type="spellEnd"/>
      <w:r w:rsidRPr="008725BA">
        <w:rPr>
          <w:rFonts w:ascii="Book Antiqua" w:eastAsia="Book Antiqua" w:hAnsi="Book Antiqua" w:cs="Book Antiqua"/>
          <w:color w:val="000000"/>
        </w:rPr>
        <w:t xml:space="preserve"> M, </w:t>
      </w:r>
      <w:proofErr w:type="spellStart"/>
      <w:r w:rsidRPr="008725BA">
        <w:rPr>
          <w:rFonts w:ascii="Book Antiqua" w:eastAsia="Book Antiqua" w:hAnsi="Book Antiqua" w:cs="Book Antiqua"/>
          <w:color w:val="000000"/>
        </w:rPr>
        <w:t>Gustot</w:t>
      </w:r>
      <w:proofErr w:type="spellEnd"/>
      <w:r w:rsidRPr="008725BA">
        <w:rPr>
          <w:rFonts w:ascii="Book Antiqua" w:eastAsia="Book Antiqua" w:hAnsi="Book Antiqua" w:cs="Book Antiqua"/>
          <w:color w:val="000000"/>
        </w:rPr>
        <w:t xml:space="preserve"> T, </w:t>
      </w:r>
      <w:proofErr w:type="spellStart"/>
      <w:r w:rsidRPr="008725BA">
        <w:rPr>
          <w:rFonts w:ascii="Book Antiqua" w:eastAsia="Book Antiqua" w:hAnsi="Book Antiqua" w:cs="Book Antiqua"/>
          <w:color w:val="000000"/>
        </w:rPr>
        <w:t>Ronco</w:t>
      </w:r>
      <w:proofErr w:type="spellEnd"/>
      <w:r w:rsidRPr="008725BA">
        <w:rPr>
          <w:rFonts w:ascii="Book Antiqua" w:eastAsia="Book Antiqua" w:hAnsi="Book Antiqua" w:cs="Book Antiqua"/>
          <w:color w:val="000000"/>
        </w:rPr>
        <w:t xml:space="preserve"> JJ, Arroyo V; Chronic Liver Failure Consortium and European Foundation for the Study of Chronic Liver Failure. Dynamic Prognostication in Critically Ill Cirrhotic Patients </w:t>
      </w:r>
      <w:proofErr w:type="gramStart"/>
      <w:r w:rsidRPr="008725BA">
        <w:rPr>
          <w:rFonts w:ascii="Book Antiqua" w:eastAsia="Book Antiqua" w:hAnsi="Book Antiqua" w:cs="Book Antiqua"/>
          <w:color w:val="000000"/>
        </w:rPr>
        <w:t>With</w:t>
      </w:r>
      <w:proofErr w:type="gramEnd"/>
      <w:r w:rsidRPr="008725BA">
        <w:rPr>
          <w:rFonts w:ascii="Book Antiqua" w:eastAsia="Book Antiqua" w:hAnsi="Book Antiqua" w:cs="Book Antiqua"/>
          <w:color w:val="000000"/>
        </w:rPr>
        <w:t xml:space="preserve"> Multiorgan Failure in ICUs in Europe and North America: A Multicenter Analysis. </w:t>
      </w:r>
      <w:r w:rsidRPr="008725BA">
        <w:rPr>
          <w:rFonts w:ascii="Book Antiqua" w:eastAsia="Book Antiqua" w:hAnsi="Book Antiqua" w:cs="Book Antiqua"/>
          <w:i/>
          <w:iCs/>
          <w:color w:val="000000"/>
        </w:rPr>
        <w:t>Crit Care Med</w:t>
      </w:r>
      <w:r w:rsidRPr="008725BA">
        <w:rPr>
          <w:rFonts w:ascii="Book Antiqua" w:eastAsia="Book Antiqua" w:hAnsi="Book Antiqua" w:cs="Book Antiqua"/>
          <w:color w:val="000000"/>
        </w:rPr>
        <w:t xml:space="preserve"> 2018; </w:t>
      </w:r>
      <w:r w:rsidRPr="008725BA">
        <w:rPr>
          <w:rFonts w:ascii="Book Antiqua" w:eastAsia="Book Antiqua" w:hAnsi="Book Antiqua" w:cs="Book Antiqua"/>
          <w:b/>
          <w:bCs/>
          <w:color w:val="000000"/>
        </w:rPr>
        <w:t>46</w:t>
      </w:r>
      <w:r w:rsidRPr="008725BA">
        <w:rPr>
          <w:rFonts w:ascii="Book Antiqua" w:eastAsia="Book Antiqua" w:hAnsi="Book Antiqua" w:cs="Book Antiqua"/>
          <w:color w:val="000000"/>
        </w:rPr>
        <w:t>: 1783-1791 [PMID: 30106759 DOI: 10.1097/CCM.0000000000003369]</w:t>
      </w:r>
    </w:p>
    <w:p w14:paraId="214A458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56 </w:t>
      </w:r>
      <w:r w:rsidRPr="008725BA">
        <w:rPr>
          <w:rFonts w:ascii="Book Antiqua" w:eastAsia="Book Antiqua" w:hAnsi="Book Antiqua" w:cs="Book Antiqua"/>
          <w:b/>
          <w:bCs/>
          <w:color w:val="000000"/>
        </w:rPr>
        <w:t>Mookerjee RP</w:t>
      </w:r>
      <w:r w:rsidRPr="008725BA">
        <w:rPr>
          <w:rFonts w:ascii="Book Antiqua" w:eastAsia="Book Antiqua" w:hAnsi="Book Antiqua" w:cs="Book Antiqua"/>
          <w:color w:val="000000"/>
        </w:rPr>
        <w:t xml:space="preserve">. Prognosis and Biomarkers in Acute-on-Chronic Liver Failure. </w:t>
      </w:r>
      <w:r w:rsidRPr="008725BA">
        <w:rPr>
          <w:rFonts w:ascii="Book Antiqua" w:eastAsia="Book Antiqua" w:hAnsi="Book Antiqua" w:cs="Book Antiqua"/>
          <w:i/>
          <w:iCs/>
          <w:color w:val="000000"/>
        </w:rPr>
        <w:t>Semin Liver Dis</w:t>
      </w:r>
      <w:r w:rsidRPr="008725BA">
        <w:rPr>
          <w:rFonts w:ascii="Book Antiqua" w:eastAsia="Book Antiqua" w:hAnsi="Book Antiqua" w:cs="Book Antiqua"/>
          <w:color w:val="000000"/>
        </w:rPr>
        <w:t xml:space="preserve"> 2016; </w:t>
      </w:r>
      <w:r w:rsidRPr="008725BA">
        <w:rPr>
          <w:rFonts w:ascii="Book Antiqua" w:eastAsia="Book Antiqua" w:hAnsi="Book Antiqua" w:cs="Book Antiqua"/>
          <w:b/>
          <w:bCs/>
          <w:color w:val="000000"/>
        </w:rPr>
        <w:t>36</w:t>
      </w:r>
      <w:r w:rsidRPr="008725BA">
        <w:rPr>
          <w:rFonts w:ascii="Book Antiqua" w:eastAsia="Book Antiqua" w:hAnsi="Book Antiqua" w:cs="Book Antiqua"/>
          <w:color w:val="000000"/>
        </w:rPr>
        <w:t>: 127-132 [PMID: 27172354 DOI: 10.1055/s-0036-1583200]</w:t>
      </w:r>
    </w:p>
    <w:p w14:paraId="395B05EB"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 xml:space="preserve">57 </w:t>
      </w:r>
      <w:r w:rsidRPr="008725BA">
        <w:rPr>
          <w:rFonts w:ascii="Book Antiqua" w:eastAsia="Book Antiqua" w:hAnsi="Book Antiqua" w:cs="Book Antiqua"/>
          <w:b/>
          <w:bCs/>
          <w:color w:val="000000"/>
        </w:rPr>
        <w:t>O'Brien AJ</w:t>
      </w:r>
      <w:r w:rsidRPr="008725BA">
        <w:rPr>
          <w:rFonts w:ascii="Book Antiqua" w:eastAsia="Book Antiqua" w:hAnsi="Book Antiqua" w:cs="Book Antiqua"/>
          <w:color w:val="000000"/>
        </w:rPr>
        <w:t xml:space="preserve">, Welch CA, Singer M, Harrison DA. Prevalence and outcome of cirrhosis patients admitted to UK intensive care: a comparison against dialysis-dependent chronic renal failure patients. </w:t>
      </w:r>
      <w:r w:rsidRPr="008725BA">
        <w:rPr>
          <w:rFonts w:ascii="Book Antiqua" w:eastAsia="Book Antiqua" w:hAnsi="Book Antiqua" w:cs="Book Antiqua"/>
          <w:i/>
          <w:iCs/>
          <w:color w:val="000000"/>
        </w:rPr>
        <w:t>Intensive Care Med</w:t>
      </w:r>
      <w:r w:rsidRPr="008725BA">
        <w:rPr>
          <w:rFonts w:ascii="Book Antiqua" w:eastAsia="Book Antiqua" w:hAnsi="Book Antiqua" w:cs="Book Antiqua"/>
          <w:color w:val="000000"/>
        </w:rPr>
        <w:t xml:space="preserve"> 2012; </w:t>
      </w:r>
      <w:r w:rsidRPr="008725BA">
        <w:rPr>
          <w:rFonts w:ascii="Book Antiqua" w:eastAsia="Book Antiqua" w:hAnsi="Book Antiqua" w:cs="Book Antiqua"/>
          <w:b/>
          <w:bCs/>
          <w:color w:val="000000"/>
        </w:rPr>
        <w:t>38</w:t>
      </w:r>
      <w:r w:rsidRPr="008725BA">
        <w:rPr>
          <w:rFonts w:ascii="Book Antiqua" w:eastAsia="Book Antiqua" w:hAnsi="Book Antiqua" w:cs="Book Antiqua"/>
          <w:color w:val="000000"/>
        </w:rPr>
        <w:t>: 991-1000 [PMID: 22456768 DOI: 10.1007/s00134-012-2523-2]</w:t>
      </w:r>
    </w:p>
    <w:p w14:paraId="73FEDE16" w14:textId="77777777" w:rsidR="00A77B3E" w:rsidRPr="008725BA" w:rsidRDefault="00A77B3E" w:rsidP="008725BA">
      <w:pPr>
        <w:adjustRightInd w:val="0"/>
        <w:snapToGrid w:val="0"/>
        <w:spacing w:line="360" w:lineRule="auto"/>
        <w:jc w:val="both"/>
        <w:rPr>
          <w:rFonts w:ascii="Book Antiqua" w:hAnsi="Book Antiqua"/>
        </w:rPr>
        <w:sectPr w:rsidR="00A77B3E" w:rsidRPr="008725BA">
          <w:footerReference w:type="default" r:id="rId6"/>
          <w:pgSz w:w="12240" w:h="15840"/>
          <w:pgMar w:top="1440" w:right="1440" w:bottom="1440" w:left="1440" w:header="720" w:footer="720" w:gutter="0"/>
          <w:cols w:space="720"/>
          <w:docGrid w:linePitch="360"/>
        </w:sectPr>
      </w:pPr>
    </w:p>
    <w:p w14:paraId="139AEA68"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lastRenderedPageBreak/>
        <w:t>Footnotes</w:t>
      </w:r>
    </w:p>
    <w:p w14:paraId="391F475D"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Conflict-of-interest statement: </w:t>
      </w:r>
      <w:r w:rsidRPr="008725BA">
        <w:rPr>
          <w:rFonts w:ascii="Book Antiqua" w:eastAsia="Book Antiqua" w:hAnsi="Book Antiqua" w:cs="Book Antiqua"/>
          <w:color w:val="000000"/>
        </w:rPr>
        <w:t>There is no conflict of interest in writing this manuscript.</w:t>
      </w:r>
    </w:p>
    <w:p w14:paraId="00017B61" w14:textId="77777777" w:rsidR="00A77B3E" w:rsidRPr="008725BA" w:rsidRDefault="00A77B3E" w:rsidP="008725BA">
      <w:pPr>
        <w:adjustRightInd w:val="0"/>
        <w:snapToGrid w:val="0"/>
        <w:spacing w:line="360" w:lineRule="auto"/>
        <w:jc w:val="both"/>
        <w:rPr>
          <w:rFonts w:ascii="Book Antiqua" w:hAnsi="Book Antiqua"/>
        </w:rPr>
      </w:pPr>
    </w:p>
    <w:p w14:paraId="53E6DB61"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bCs/>
          <w:color w:val="000000"/>
        </w:rPr>
        <w:t xml:space="preserve">Open-Access: </w:t>
      </w:r>
      <w:r w:rsidRPr="008725B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25BA">
        <w:rPr>
          <w:rFonts w:ascii="Book Antiqua" w:eastAsia="Book Antiqua" w:hAnsi="Book Antiqua" w:cs="Book Antiqua"/>
          <w:color w:val="000000"/>
        </w:rPr>
        <w:t>NonCommercial</w:t>
      </w:r>
      <w:proofErr w:type="spellEnd"/>
      <w:r w:rsidRPr="008725B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7AF958" w14:textId="77777777" w:rsidR="00A77B3E" w:rsidRPr="008725BA" w:rsidRDefault="00A77B3E" w:rsidP="008725BA">
      <w:pPr>
        <w:adjustRightInd w:val="0"/>
        <w:snapToGrid w:val="0"/>
        <w:spacing w:line="360" w:lineRule="auto"/>
        <w:jc w:val="both"/>
        <w:rPr>
          <w:rFonts w:ascii="Book Antiqua" w:hAnsi="Book Antiqua"/>
        </w:rPr>
      </w:pPr>
    </w:p>
    <w:p w14:paraId="3ABC9C41" w14:textId="686C81E0"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Manuscript source: </w:t>
      </w:r>
      <w:r w:rsidRPr="008725BA">
        <w:rPr>
          <w:rFonts w:ascii="Book Antiqua" w:eastAsia="Book Antiqua" w:hAnsi="Book Antiqua" w:cs="Book Antiqua"/>
          <w:color w:val="000000"/>
        </w:rPr>
        <w:t xml:space="preserve">Invited </w:t>
      </w:r>
      <w:r w:rsidR="00EC2471" w:rsidRPr="008725BA">
        <w:rPr>
          <w:rFonts w:ascii="Book Antiqua" w:eastAsia="Book Antiqua" w:hAnsi="Book Antiqua" w:cs="Book Antiqua"/>
          <w:color w:val="000000"/>
        </w:rPr>
        <w:t>m</w:t>
      </w:r>
      <w:r w:rsidRPr="008725BA">
        <w:rPr>
          <w:rFonts w:ascii="Book Antiqua" w:eastAsia="Book Antiqua" w:hAnsi="Book Antiqua" w:cs="Book Antiqua"/>
          <w:color w:val="000000"/>
        </w:rPr>
        <w:t>anuscript</w:t>
      </w:r>
    </w:p>
    <w:p w14:paraId="70C34A0B" w14:textId="77777777" w:rsidR="00A77B3E" w:rsidRPr="008725BA" w:rsidRDefault="00A77B3E" w:rsidP="008725BA">
      <w:pPr>
        <w:adjustRightInd w:val="0"/>
        <w:snapToGrid w:val="0"/>
        <w:spacing w:line="360" w:lineRule="auto"/>
        <w:jc w:val="both"/>
        <w:rPr>
          <w:rFonts w:ascii="Book Antiqua" w:hAnsi="Book Antiqua"/>
        </w:rPr>
      </w:pPr>
    </w:p>
    <w:p w14:paraId="0EFC7F6F"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Peer-review started: </w:t>
      </w:r>
      <w:r w:rsidRPr="008725BA">
        <w:rPr>
          <w:rFonts w:ascii="Book Antiqua" w:eastAsia="Book Antiqua" w:hAnsi="Book Antiqua" w:cs="Book Antiqua"/>
          <w:color w:val="000000"/>
        </w:rPr>
        <w:t>February 25, 2021</w:t>
      </w:r>
    </w:p>
    <w:p w14:paraId="07B18D7C"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First decision: </w:t>
      </w:r>
      <w:r w:rsidRPr="008725BA">
        <w:rPr>
          <w:rFonts w:ascii="Book Antiqua" w:eastAsia="Book Antiqua" w:hAnsi="Book Antiqua" w:cs="Book Antiqua"/>
          <w:color w:val="000000"/>
        </w:rPr>
        <w:t>May 3, 2021</w:t>
      </w:r>
    </w:p>
    <w:p w14:paraId="418D7E73"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Article in press: </w:t>
      </w:r>
    </w:p>
    <w:p w14:paraId="6C38E8A7" w14:textId="77777777" w:rsidR="00A77B3E" w:rsidRPr="008725BA" w:rsidRDefault="00A77B3E" w:rsidP="008725BA">
      <w:pPr>
        <w:adjustRightInd w:val="0"/>
        <w:snapToGrid w:val="0"/>
        <w:spacing w:line="360" w:lineRule="auto"/>
        <w:jc w:val="both"/>
        <w:rPr>
          <w:rFonts w:ascii="Book Antiqua" w:hAnsi="Book Antiqua"/>
        </w:rPr>
      </w:pPr>
    </w:p>
    <w:p w14:paraId="5E423791" w14:textId="39B4AFF3"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Specialty type: </w:t>
      </w:r>
      <w:r w:rsidRPr="008725BA">
        <w:rPr>
          <w:rFonts w:ascii="Book Antiqua" w:eastAsia="Book Antiqua" w:hAnsi="Book Antiqua" w:cs="Book Antiqua"/>
          <w:color w:val="000000"/>
        </w:rPr>
        <w:t>Critic</w:t>
      </w:r>
      <w:r w:rsidR="00EC2471" w:rsidRPr="008725BA">
        <w:rPr>
          <w:rFonts w:ascii="Book Antiqua" w:eastAsia="Book Antiqua" w:hAnsi="Book Antiqua" w:cs="Book Antiqua"/>
          <w:color w:val="000000"/>
        </w:rPr>
        <w:t>al care med</w:t>
      </w:r>
      <w:r w:rsidRPr="008725BA">
        <w:rPr>
          <w:rFonts w:ascii="Book Antiqua" w:eastAsia="Book Antiqua" w:hAnsi="Book Antiqua" w:cs="Book Antiqua"/>
          <w:color w:val="000000"/>
        </w:rPr>
        <w:t>icine</w:t>
      </w:r>
    </w:p>
    <w:p w14:paraId="2D5A9AE8"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 xml:space="preserve">Country/Territory of origin: </w:t>
      </w:r>
      <w:r w:rsidRPr="008725BA">
        <w:rPr>
          <w:rFonts w:ascii="Book Antiqua" w:eastAsia="Book Antiqua" w:hAnsi="Book Antiqua" w:cs="Book Antiqua"/>
          <w:color w:val="000000"/>
        </w:rPr>
        <w:t>Brazil</w:t>
      </w:r>
    </w:p>
    <w:p w14:paraId="07F578F9"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b/>
          <w:color w:val="000000"/>
        </w:rPr>
        <w:t>Peer-review report’s scientific quality classification</w:t>
      </w:r>
    </w:p>
    <w:p w14:paraId="6F2E8EE5"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Grade A (Excellent): 0</w:t>
      </w:r>
    </w:p>
    <w:p w14:paraId="682CC7FF"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Grade B (Very good): B</w:t>
      </w:r>
    </w:p>
    <w:p w14:paraId="1901758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Grade C (Good): C</w:t>
      </w:r>
    </w:p>
    <w:p w14:paraId="68077BFC"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Grade D (Fair): 0</w:t>
      </w:r>
    </w:p>
    <w:p w14:paraId="022C639E" w14:textId="77777777" w:rsidR="00A77B3E" w:rsidRPr="008725BA" w:rsidRDefault="00034438" w:rsidP="008725BA">
      <w:pPr>
        <w:adjustRightInd w:val="0"/>
        <w:snapToGrid w:val="0"/>
        <w:spacing w:line="360" w:lineRule="auto"/>
        <w:jc w:val="both"/>
        <w:rPr>
          <w:rFonts w:ascii="Book Antiqua" w:hAnsi="Book Antiqua"/>
        </w:rPr>
      </w:pPr>
      <w:r w:rsidRPr="008725BA">
        <w:rPr>
          <w:rFonts w:ascii="Book Antiqua" w:eastAsia="Book Antiqua" w:hAnsi="Book Antiqua" w:cs="Book Antiqua"/>
          <w:color w:val="000000"/>
        </w:rPr>
        <w:t>Grade E (Poor): 0</w:t>
      </w:r>
    </w:p>
    <w:p w14:paraId="7BF65B8B" w14:textId="77777777" w:rsidR="00A77B3E" w:rsidRPr="008725BA" w:rsidRDefault="00A77B3E" w:rsidP="008725BA">
      <w:pPr>
        <w:adjustRightInd w:val="0"/>
        <w:snapToGrid w:val="0"/>
        <w:spacing w:line="360" w:lineRule="auto"/>
        <w:jc w:val="both"/>
        <w:rPr>
          <w:rFonts w:ascii="Book Antiqua" w:hAnsi="Book Antiqua"/>
        </w:rPr>
      </w:pPr>
    </w:p>
    <w:p w14:paraId="59857543" w14:textId="77E17F4A" w:rsidR="00A77B3E" w:rsidRPr="00865F10" w:rsidRDefault="00034438" w:rsidP="008725BA">
      <w:pPr>
        <w:adjustRightInd w:val="0"/>
        <w:snapToGrid w:val="0"/>
        <w:spacing w:line="360" w:lineRule="auto"/>
        <w:jc w:val="both"/>
        <w:rPr>
          <w:rFonts w:ascii="Book Antiqua" w:eastAsia="Book Antiqua" w:hAnsi="Book Antiqua" w:cs="Book Antiqua"/>
          <w:b/>
          <w:i/>
          <w:iCs/>
          <w:color w:val="000000"/>
        </w:rPr>
      </w:pPr>
      <w:r w:rsidRPr="008725BA">
        <w:rPr>
          <w:rFonts w:ascii="Book Antiqua" w:eastAsia="Book Antiqua" w:hAnsi="Book Antiqua" w:cs="Book Antiqua"/>
          <w:b/>
          <w:color w:val="000000"/>
        </w:rPr>
        <w:t xml:space="preserve">P-Reviewer: </w:t>
      </w:r>
      <w:proofErr w:type="spellStart"/>
      <w:r w:rsidRPr="008725BA">
        <w:rPr>
          <w:rFonts w:ascii="Book Antiqua" w:eastAsia="Book Antiqua" w:hAnsi="Book Antiqua" w:cs="Book Antiqua"/>
          <w:color w:val="000000"/>
        </w:rPr>
        <w:t>Ferraioli</w:t>
      </w:r>
      <w:proofErr w:type="spellEnd"/>
      <w:r w:rsidRPr="008725BA">
        <w:rPr>
          <w:rFonts w:ascii="Book Antiqua" w:eastAsia="Book Antiqua" w:hAnsi="Book Antiqua" w:cs="Book Antiqua"/>
          <w:color w:val="000000"/>
        </w:rPr>
        <w:t xml:space="preserve"> G, </w:t>
      </w:r>
      <w:proofErr w:type="spellStart"/>
      <w:r w:rsidRPr="008725BA">
        <w:rPr>
          <w:rFonts w:ascii="Book Antiqua" w:eastAsia="Book Antiqua" w:hAnsi="Book Antiqua" w:cs="Book Antiqua"/>
          <w:color w:val="000000"/>
        </w:rPr>
        <w:t>Risso</w:t>
      </w:r>
      <w:proofErr w:type="spellEnd"/>
      <w:r w:rsidRPr="008725BA">
        <w:rPr>
          <w:rFonts w:ascii="Book Antiqua" w:eastAsia="Book Antiqua" w:hAnsi="Book Antiqua" w:cs="Book Antiqua"/>
          <w:color w:val="000000"/>
        </w:rPr>
        <w:t xml:space="preserve"> A</w:t>
      </w:r>
      <w:r w:rsidRPr="008725BA">
        <w:rPr>
          <w:rFonts w:ascii="Book Antiqua" w:eastAsia="Book Antiqua" w:hAnsi="Book Antiqua" w:cs="Book Antiqua"/>
          <w:b/>
          <w:color w:val="000000"/>
        </w:rPr>
        <w:t xml:space="preserve"> S-Editor: </w:t>
      </w:r>
      <w:r w:rsidRPr="008725BA">
        <w:rPr>
          <w:rFonts w:ascii="Book Antiqua" w:eastAsia="Book Antiqua" w:hAnsi="Book Antiqua" w:cs="Book Antiqua"/>
          <w:color w:val="000000"/>
        </w:rPr>
        <w:t>Liu M</w:t>
      </w:r>
      <w:r w:rsidRPr="008725BA">
        <w:rPr>
          <w:rFonts w:ascii="Book Antiqua" w:eastAsia="Book Antiqua" w:hAnsi="Book Antiqua" w:cs="Book Antiqua"/>
          <w:b/>
          <w:color w:val="000000"/>
        </w:rPr>
        <w:t xml:space="preserve"> L-Editor: </w:t>
      </w:r>
      <w:r w:rsidR="00865F10" w:rsidRPr="00865F10">
        <w:rPr>
          <w:rFonts w:ascii="Book Antiqua" w:eastAsia="Book Antiqua" w:hAnsi="Book Antiqua" w:cs="Book Antiqua"/>
          <w:bCs/>
          <w:color w:val="000000"/>
        </w:rPr>
        <w:t>A</w:t>
      </w:r>
      <w:r w:rsidRPr="008725BA">
        <w:rPr>
          <w:rFonts w:ascii="Book Antiqua" w:eastAsia="Book Antiqua" w:hAnsi="Book Antiqua" w:cs="Book Antiqua"/>
          <w:b/>
          <w:color w:val="000000"/>
        </w:rPr>
        <w:t xml:space="preserve"> P-Editor:</w:t>
      </w:r>
      <w:r w:rsidR="00865F10">
        <w:rPr>
          <w:rFonts w:ascii="Book Antiqua" w:eastAsia="Book Antiqua" w:hAnsi="Book Antiqua" w:cs="Book Antiqua"/>
          <w:b/>
          <w:color w:val="000000"/>
        </w:rPr>
        <w:t xml:space="preserve"> </w:t>
      </w:r>
      <w:r w:rsidR="00865F10" w:rsidRPr="00865F10">
        <w:rPr>
          <w:rFonts w:ascii="Book Antiqua" w:eastAsia="Book Antiqua" w:hAnsi="Book Antiqua" w:cs="Book Antiqua"/>
          <w:bCs/>
          <w:color w:val="000000"/>
        </w:rPr>
        <w:t>Liu M</w:t>
      </w:r>
    </w:p>
    <w:p w14:paraId="3522D7B7" w14:textId="132A5181" w:rsidR="00865F10" w:rsidRPr="008725BA" w:rsidRDefault="00865F10" w:rsidP="008725BA">
      <w:pPr>
        <w:adjustRightInd w:val="0"/>
        <w:snapToGrid w:val="0"/>
        <w:spacing w:line="360" w:lineRule="auto"/>
        <w:jc w:val="both"/>
        <w:rPr>
          <w:rFonts w:ascii="Book Antiqua" w:hAnsi="Book Antiqua"/>
        </w:rPr>
        <w:sectPr w:rsidR="00865F10" w:rsidRPr="008725BA">
          <w:pgSz w:w="12240" w:h="15840"/>
          <w:pgMar w:top="1440" w:right="1440" w:bottom="1440" w:left="1440" w:header="720" w:footer="720" w:gutter="0"/>
          <w:cols w:space="720"/>
          <w:docGrid w:linePitch="360"/>
        </w:sectPr>
      </w:pPr>
    </w:p>
    <w:p w14:paraId="14BA4766" w14:textId="63CED77D" w:rsidR="00A77B3E" w:rsidRPr="008725BA" w:rsidRDefault="00034438" w:rsidP="008725BA">
      <w:pPr>
        <w:adjustRightInd w:val="0"/>
        <w:snapToGrid w:val="0"/>
        <w:spacing w:line="360" w:lineRule="auto"/>
        <w:jc w:val="both"/>
        <w:rPr>
          <w:rFonts w:ascii="Book Antiqua" w:eastAsia="Book Antiqua" w:hAnsi="Book Antiqua" w:cs="Book Antiqua"/>
          <w:b/>
          <w:color w:val="000000"/>
        </w:rPr>
      </w:pPr>
      <w:r w:rsidRPr="008725BA">
        <w:rPr>
          <w:rFonts w:ascii="Book Antiqua" w:eastAsia="Book Antiqua" w:hAnsi="Book Antiqua" w:cs="Book Antiqua"/>
          <w:b/>
          <w:color w:val="000000"/>
        </w:rPr>
        <w:lastRenderedPageBreak/>
        <w:t>Figure Legends</w:t>
      </w:r>
    </w:p>
    <w:p w14:paraId="112DCAED" w14:textId="00E19DCF" w:rsidR="00EC2471" w:rsidRPr="008725BA" w:rsidRDefault="00B72241" w:rsidP="008725BA">
      <w:pPr>
        <w:adjustRightInd w:val="0"/>
        <w:snapToGrid w:val="0"/>
        <w:spacing w:line="360" w:lineRule="auto"/>
        <w:jc w:val="both"/>
        <w:rPr>
          <w:rFonts w:ascii="Book Antiqua" w:hAnsi="Book Antiqua"/>
        </w:rPr>
      </w:pPr>
      <w:r w:rsidRPr="008725BA">
        <w:rPr>
          <w:rFonts w:ascii="Book Antiqua" w:hAnsi="Book Antiqua"/>
          <w:noProof/>
        </w:rPr>
        <w:drawing>
          <wp:inline distT="0" distB="0" distL="0" distR="0" wp14:anchorId="38769813" wp14:editId="4E81B409">
            <wp:extent cx="4395224"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8434" cy="3660272"/>
                    </a:xfrm>
                    <a:prstGeom prst="rect">
                      <a:avLst/>
                    </a:prstGeom>
                    <a:noFill/>
                  </pic:spPr>
                </pic:pic>
              </a:graphicData>
            </a:graphic>
          </wp:inline>
        </w:drawing>
      </w:r>
    </w:p>
    <w:p w14:paraId="6227BEC1" w14:textId="77777777" w:rsidR="008725BA" w:rsidRDefault="00034438" w:rsidP="008725BA">
      <w:pPr>
        <w:adjustRightInd w:val="0"/>
        <w:snapToGrid w:val="0"/>
        <w:spacing w:line="360" w:lineRule="auto"/>
        <w:jc w:val="both"/>
        <w:rPr>
          <w:rFonts w:ascii="Book Antiqua" w:eastAsia="Book Antiqua" w:hAnsi="Book Antiqua" w:cs="Book Antiqua"/>
          <w:color w:val="000000"/>
        </w:rPr>
        <w:sectPr w:rsidR="008725BA">
          <w:pgSz w:w="12240" w:h="15840"/>
          <w:pgMar w:top="1440" w:right="1440" w:bottom="1440" w:left="1440" w:header="720" w:footer="720" w:gutter="0"/>
          <w:cols w:space="720"/>
          <w:docGrid w:linePitch="360"/>
        </w:sectPr>
      </w:pPr>
      <w:r w:rsidRPr="008725BA">
        <w:rPr>
          <w:rFonts w:ascii="Book Antiqua" w:eastAsia="Book Antiqua" w:hAnsi="Book Antiqua" w:cs="Book Antiqua"/>
          <w:b/>
          <w:bCs/>
          <w:color w:val="000000"/>
        </w:rPr>
        <w:t>Figure 1 Proposed algorithm for</w:t>
      </w:r>
      <w:r w:rsidR="00B45178" w:rsidRPr="008725BA">
        <w:rPr>
          <w:rFonts w:ascii="Book Antiqua" w:eastAsia="Book Antiqua" w:hAnsi="Book Antiqua" w:cs="Book Antiqua"/>
          <w:b/>
          <w:bCs/>
          <w:color w:val="000000"/>
        </w:rPr>
        <w:t xml:space="preserve"> </w:t>
      </w:r>
      <w:r w:rsidRPr="008725BA">
        <w:rPr>
          <w:rFonts w:ascii="Book Antiqua" w:eastAsia="Book Antiqua" w:hAnsi="Book Antiqua" w:cs="Book Antiqua"/>
          <w:b/>
          <w:bCs/>
          <w:color w:val="000000"/>
        </w:rPr>
        <w:t>prognostic scores in critically-ill cirrhotic patients</w:t>
      </w:r>
      <w:r w:rsidR="00EC2471" w:rsidRPr="008725BA">
        <w:rPr>
          <w:rFonts w:ascii="Book Antiqua" w:eastAsia="Book Antiqua" w:hAnsi="Book Antiqua" w:cs="Book Antiqua"/>
          <w:b/>
          <w:bCs/>
          <w:color w:val="000000"/>
        </w:rPr>
        <w:t>.</w:t>
      </w:r>
      <w:r w:rsidR="00B45178" w:rsidRPr="008725BA">
        <w:rPr>
          <w:rFonts w:ascii="Book Antiqua" w:eastAsia="Book Antiqua" w:hAnsi="Book Antiqua" w:cs="Book Antiqua"/>
          <w:b/>
          <w:bCs/>
          <w:color w:val="000000"/>
        </w:rPr>
        <w:t xml:space="preserve"> </w:t>
      </w:r>
      <w:r w:rsidR="00B45178" w:rsidRPr="008725BA">
        <w:rPr>
          <w:rFonts w:ascii="Book Antiqua" w:eastAsia="Book Antiqua" w:hAnsi="Book Antiqua" w:cs="Book Antiqua"/>
          <w:color w:val="000000"/>
        </w:rPr>
        <w:t>ACLF: Acute-on-chronic liver failure; CLIF: Chronic Liver Failure Consortium; SOFA: Sequential Organ Failure Assessment.</w:t>
      </w:r>
    </w:p>
    <w:p w14:paraId="259339A1" w14:textId="035A21D9" w:rsidR="00D171AA" w:rsidRPr="008725BA" w:rsidRDefault="00D171AA" w:rsidP="008725BA">
      <w:pPr>
        <w:adjustRightInd w:val="0"/>
        <w:snapToGrid w:val="0"/>
        <w:spacing w:line="360" w:lineRule="auto"/>
        <w:jc w:val="both"/>
        <w:rPr>
          <w:rFonts w:ascii="Book Antiqua" w:hAnsi="Book Antiqua"/>
          <w:b/>
          <w:bCs/>
        </w:rPr>
      </w:pPr>
      <w:r w:rsidRPr="008725BA">
        <w:rPr>
          <w:rFonts w:ascii="Book Antiqua" w:eastAsia="Book Antiqua" w:hAnsi="Book Antiqua" w:cs="Book Antiqua"/>
          <w:b/>
          <w:bCs/>
          <w:color w:val="000000"/>
        </w:rPr>
        <w:lastRenderedPageBreak/>
        <w:t xml:space="preserve">Table 1 Accuracy of prognostic scores in </w:t>
      </w:r>
      <w:r w:rsidR="008725BA" w:rsidRPr="008725BA">
        <w:rPr>
          <w:rFonts w:ascii="Book Antiqua" w:eastAsia="Book Antiqua" w:hAnsi="Book Antiqua" w:cs="Book Antiqua"/>
          <w:b/>
          <w:bCs/>
          <w:color w:val="000000"/>
        </w:rPr>
        <w:t xml:space="preserve">intensive care </w:t>
      </w:r>
      <w:proofErr w:type="gramStart"/>
      <w:r w:rsidR="008725BA" w:rsidRPr="008725BA">
        <w:rPr>
          <w:rFonts w:ascii="Book Antiqua" w:eastAsia="Book Antiqua" w:hAnsi="Book Antiqua" w:cs="Book Antiqua"/>
          <w:b/>
          <w:bCs/>
          <w:color w:val="000000"/>
        </w:rPr>
        <w:t>units</w:t>
      </w:r>
      <w:proofErr w:type="gramEnd"/>
      <w:r w:rsidRPr="008725BA">
        <w:rPr>
          <w:rFonts w:ascii="Book Antiqua" w:eastAsia="Book Antiqua" w:hAnsi="Book Antiqua" w:cs="Book Antiqua"/>
          <w:b/>
          <w:bCs/>
          <w:color w:val="000000"/>
        </w:rPr>
        <w:t xml:space="preserve"> cirrhotic patients </w:t>
      </w:r>
    </w:p>
    <w:tbl>
      <w:tblPr>
        <w:tblStyle w:val="10"/>
        <w:tblW w:w="137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992"/>
        <w:gridCol w:w="784"/>
        <w:gridCol w:w="1578"/>
        <w:gridCol w:w="1607"/>
        <w:gridCol w:w="993"/>
        <w:gridCol w:w="850"/>
        <w:gridCol w:w="851"/>
        <w:gridCol w:w="874"/>
        <w:gridCol w:w="1077"/>
        <w:gridCol w:w="1049"/>
        <w:gridCol w:w="1418"/>
      </w:tblGrid>
      <w:tr w:rsidR="008725BA" w:rsidRPr="008725BA" w14:paraId="4B910E40" w14:textId="77777777" w:rsidTr="008725BA">
        <w:trPr>
          <w:jc w:val="center"/>
        </w:trPr>
        <w:tc>
          <w:tcPr>
            <w:tcW w:w="1702" w:type="dxa"/>
            <w:noWrap/>
            <w:vAlign w:val="center"/>
            <w:hideMark/>
          </w:tcPr>
          <w:p w14:paraId="38941111" w14:textId="07812D9D"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Ref.</w:t>
            </w:r>
          </w:p>
        </w:tc>
        <w:tc>
          <w:tcPr>
            <w:tcW w:w="992" w:type="dxa"/>
            <w:noWrap/>
            <w:vAlign w:val="center"/>
            <w:hideMark/>
          </w:tcPr>
          <w:p w14:paraId="235F7F89"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Year</w:t>
            </w:r>
          </w:p>
        </w:tc>
        <w:tc>
          <w:tcPr>
            <w:tcW w:w="784" w:type="dxa"/>
            <w:noWrap/>
            <w:vAlign w:val="center"/>
            <w:hideMark/>
          </w:tcPr>
          <w:p w14:paraId="21AC73C0" w14:textId="2DB9B6AB"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i/>
                <w:iCs/>
                <w:color w:val="000000"/>
              </w:rPr>
            </w:pPr>
            <w:r w:rsidRPr="008725BA">
              <w:rPr>
                <w:rFonts w:ascii="Book Antiqua" w:eastAsia="Times New Roman" w:hAnsi="Book Antiqua" w:cs="Calibri"/>
                <w:b/>
                <w:bCs/>
                <w:i/>
                <w:iCs/>
                <w:color w:val="000000"/>
              </w:rPr>
              <w:t>n</w:t>
            </w:r>
          </w:p>
        </w:tc>
        <w:tc>
          <w:tcPr>
            <w:tcW w:w="1578" w:type="dxa"/>
            <w:noWrap/>
            <w:vAlign w:val="center"/>
            <w:hideMark/>
          </w:tcPr>
          <w:p w14:paraId="6FE16370"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ICU/hospital mortality</w:t>
            </w:r>
          </w:p>
        </w:tc>
        <w:tc>
          <w:tcPr>
            <w:tcW w:w="1607" w:type="dxa"/>
            <w:noWrap/>
            <w:vAlign w:val="center"/>
            <w:hideMark/>
          </w:tcPr>
          <w:p w14:paraId="34B0C5F6"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APACHE II</w:t>
            </w:r>
          </w:p>
        </w:tc>
        <w:tc>
          <w:tcPr>
            <w:tcW w:w="993" w:type="dxa"/>
            <w:noWrap/>
            <w:vAlign w:val="center"/>
            <w:hideMark/>
          </w:tcPr>
          <w:p w14:paraId="7CA73505"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SAPS II</w:t>
            </w:r>
          </w:p>
        </w:tc>
        <w:tc>
          <w:tcPr>
            <w:tcW w:w="850" w:type="dxa"/>
            <w:noWrap/>
            <w:vAlign w:val="center"/>
            <w:hideMark/>
          </w:tcPr>
          <w:p w14:paraId="35AA0C09"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SOFA</w:t>
            </w:r>
          </w:p>
        </w:tc>
        <w:tc>
          <w:tcPr>
            <w:tcW w:w="851" w:type="dxa"/>
            <w:noWrap/>
            <w:vAlign w:val="center"/>
            <w:hideMark/>
          </w:tcPr>
          <w:p w14:paraId="579C7BA0"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CP</w:t>
            </w:r>
          </w:p>
        </w:tc>
        <w:tc>
          <w:tcPr>
            <w:tcW w:w="850" w:type="dxa"/>
            <w:noWrap/>
            <w:vAlign w:val="center"/>
            <w:hideMark/>
          </w:tcPr>
          <w:p w14:paraId="293F9878"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MELD</w:t>
            </w:r>
          </w:p>
        </w:tc>
        <w:tc>
          <w:tcPr>
            <w:tcW w:w="1077" w:type="dxa"/>
            <w:noWrap/>
            <w:vAlign w:val="center"/>
            <w:hideMark/>
          </w:tcPr>
          <w:p w14:paraId="07C90A4A"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MELD-Na</w:t>
            </w:r>
          </w:p>
        </w:tc>
        <w:tc>
          <w:tcPr>
            <w:tcW w:w="1049" w:type="dxa"/>
            <w:noWrap/>
            <w:vAlign w:val="center"/>
            <w:hideMark/>
          </w:tcPr>
          <w:p w14:paraId="469C726D"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RFH</w:t>
            </w:r>
          </w:p>
        </w:tc>
        <w:tc>
          <w:tcPr>
            <w:tcW w:w="1418" w:type="dxa"/>
            <w:noWrap/>
            <w:vAlign w:val="center"/>
            <w:hideMark/>
          </w:tcPr>
          <w:p w14:paraId="7ADEAC9D"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b/>
                <w:bCs/>
                <w:color w:val="000000"/>
              </w:rPr>
            </w:pPr>
            <w:r w:rsidRPr="008725BA">
              <w:rPr>
                <w:rFonts w:ascii="Book Antiqua" w:eastAsia="Times New Roman" w:hAnsi="Book Antiqua" w:cs="Calibri"/>
                <w:b/>
                <w:bCs/>
                <w:color w:val="000000"/>
              </w:rPr>
              <w:t>CLIF-SOFA</w:t>
            </w:r>
          </w:p>
        </w:tc>
      </w:tr>
      <w:tr w:rsidR="008725BA" w:rsidRPr="008725BA" w14:paraId="1886A4F4" w14:textId="77777777" w:rsidTr="008725BA">
        <w:trPr>
          <w:jc w:val="center"/>
        </w:trPr>
        <w:tc>
          <w:tcPr>
            <w:tcW w:w="1702" w:type="dxa"/>
            <w:noWrap/>
            <w:vAlign w:val="center"/>
            <w:hideMark/>
          </w:tcPr>
          <w:p w14:paraId="16DC99F9" w14:textId="4272B712"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roofErr w:type="spellStart"/>
            <w:r w:rsidRPr="008725BA">
              <w:rPr>
                <w:rFonts w:ascii="Book Antiqua" w:eastAsia="Times New Roman" w:hAnsi="Book Antiqua" w:cs="Calibri"/>
                <w:color w:val="000000"/>
              </w:rPr>
              <w:t>Cholongitas</w:t>
            </w:r>
            <w:proofErr w:type="spellEnd"/>
            <w:r>
              <w:rPr>
                <w:rFonts w:ascii="Book Antiqua" w:eastAsia="Times New Roman" w:hAnsi="Book Antiqua" w:cs="Calibri"/>
                <w:color w:val="000000"/>
              </w:rPr>
              <w:t xml:space="preserve"> </w:t>
            </w:r>
            <w:r w:rsidRPr="009F6767">
              <w:rPr>
                <w:rFonts w:ascii="Book Antiqua" w:hAnsi="Book Antiqua" w:cs="Calibri" w:hint="eastAsia"/>
                <w:i/>
                <w:iCs/>
                <w:color w:val="000000"/>
              </w:rPr>
              <w:t>e</w:t>
            </w:r>
            <w:r w:rsidRPr="009F6767">
              <w:rPr>
                <w:rFonts w:ascii="Book Antiqua" w:hAnsi="Book Antiqua" w:cs="Calibri"/>
                <w:i/>
                <w:iCs/>
                <w:color w:val="000000"/>
              </w:rPr>
              <w:t xml:space="preserve">t </w:t>
            </w:r>
            <w:proofErr w:type="gramStart"/>
            <w:r w:rsidRPr="009F6767">
              <w:rPr>
                <w:rFonts w:ascii="Book Antiqua" w:hAnsi="Book Antiqua" w:cs="Calibri"/>
                <w:i/>
                <w:iCs/>
                <w:color w:val="000000"/>
              </w:rPr>
              <w:t>al</w:t>
            </w:r>
            <w:r w:rsidR="009F6767" w:rsidRPr="009F6767">
              <w:rPr>
                <w:rFonts w:ascii="Book Antiqua" w:hAnsi="Book Antiqua" w:cs="Calibri"/>
                <w:color w:val="000000"/>
                <w:vertAlign w:val="superscript"/>
              </w:rPr>
              <w:t>[</w:t>
            </w:r>
            <w:proofErr w:type="gramEnd"/>
            <w:r w:rsidR="009F6767" w:rsidRPr="009F6767">
              <w:rPr>
                <w:rFonts w:ascii="Book Antiqua" w:hAnsi="Book Antiqua" w:cs="Calibri"/>
                <w:color w:val="000000"/>
                <w:vertAlign w:val="superscript"/>
              </w:rPr>
              <w:t>31]</w:t>
            </w:r>
            <w:r w:rsidR="009F6767">
              <w:rPr>
                <w:rFonts w:ascii="Book Antiqua" w:hAnsi="Book Antiqua" w:cs="Calibri"/>
                <w:color w:val="000000"/>
              </w:rPr>
              <w:t>, 2006</w:t>
            </w:r>
          </w:p>
        </w:tc>
        <w:tc>
          <w:tcPr>
            <w:tcW w:w="992" w:type="dxa"/>
            <w:noWrap/>
            <w:vAlign w:val="center"/>
            <w:hideMark/>
          </w:tcPr>
          <w:p w14:paraId="280BAE70"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2006</w:t>
            </w:r>
          </w:p>
        </w:tc>
        <w:tc>
          <w:tcPr>
            <w:tcW w:w="784" w:type="dxa"/>
            <w:noWrap/>
            <w:vAlign w:val="center"/>
            <w:hideMark/>
          </w:tcPr>
          <w:p w14:paraId="632FD561"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312</w:t>
            </w:r>
          </w:p>
        </w:tc>
        <w:tc>
          <w:tcPr>
            <w:tcW w:w="1578" w:type="dxa"/>
            <w:noWrap/>
            <w:vAlign w:val="center"/>
            <w:hideMark/>
          </w:tcPr>
          <w:p w14:paraId="3D19CA26"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65%</w:t>
            </w:r>
          </w:p>
        </w:tc>
        <w:tc>
          <w:tcPr>
            <w:tcW w:w="1607" w:type="dxa"/>
            <w:noWrap/>
            <w:vAlign w:val="center"/>
            <w:hideMark/>
          </w:tcPr>
          <w:p w14:paraId="216CDA77" w14:textId="6F16FD8A"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78</w:t>
            </w:r>
          </w:p>
        </w:tc>
        <w:tc>
          <w:tcPr>
            <w:tcW w:w="993" w:type="dxa"/>
            <w:noWrap/>
            <w:vAlign w:val="center"/>
          </w:tcPr>
          <w:p w14:paraId="6805C5B8"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850" w:type="dxa"/>
            <w:noWrap/>
            <w:vAlign w:val="center"/>
            <w:hideMark/>
          </w:tcPr>
          <w:p w14:paraId="407F106A" w14:textId="7D8E303F"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83</w:t>
            </w:r>
          </w:p>
        </w:tc>
        <w:tc>
          <w:tcPr>
            <w:tcW w:w="851" w:type="dxa"/>
            <w:noWrap/>
            <w:vAlign w:val="center"/>
            <w:hideMark/>
          </w:tcPr>
          <w:p w14:paraId="65A593EA" w14:textId="1083126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72</w:t>
            </w:r>
          </w:p>
        </w:tc>
        <w:tc>
          <w:tcPr>
            <w:tcW w:w="850" w:type="dxa"/>
            <w:noWrap/>
            <w:vAlign w:val="center"/>
            <w:hideMark/>
          </w:tcPr>
          <w:p w14:paraId="1C2856F2" w14:textId="6EA37CDF"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81</w:t>
            </w:r>
          </w:p>
        </w:tc>
        <w:tc>
          <w:tcPr>
            <w:tcW w:w="1077" w:type="dxa"/>
            <w:noWrap/>
            <w:vAlign w:val="center"/>
          </w:tcPr>
          <w:p w14:paraId="529C3AB5"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1049" w:type="dxa"/>
            <w:noWrap/>
            <w:vAlign w:val="center"/>
            <w:hideMark/>
          </w:tcPr>
          <w:p w14:paraId="4E8525D1" w14:textId="2C4C63A1"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83</w:t>
            </w:r>
          </w:p>
        </w:tc>
        <w:tc>
          <w:tcPr>
            <w:tcW w:w="1418" w:type="dxa"/>
            <w:noWrap/>
            <w:vAlign w:val="center"/>
          </w:tcPr>
          <w:p w14:paraId="6508AAA0"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r>
      <w:tr w:rsidR="008725BA" w:rsidRPr="008725BA" w14:paraId="78D1976E" w14:textId="77777777" w:rsidTr="008725BA">
        <w:trPr>
          <w:jc w:val="center"/>
        </w:trPr>
        <w:tc>
          <w:tcPr>
            <w:tcW w:w="1702" w:type="dxa"/>
            <w:noWrap/>
            <w:vAlign w:val="center"/>
            <w:hideMark/>
          </w:tcPr>
          <w:p w14:paraId="0072DC8B" w14:textId="78C720C6"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Das</w:t>
            </w:r>
            <w:r w:rsidR="009F6767">
              <w:rPr>
                <w:rFonts w:ascii="Book Antiqua" w:hAnsi="Book Antiqua" w:cs="Calibri" w:hint="eastAsia"/>
                <w:color w:val="000000"/>
              </w:rPr>
              <w:t xml:space="preserve"> </w:t>
            </w:r>
            <w:r w:rsidR="009F6767" w:rsidRPr="009F6767">
              <w:rPr>
                <w:rFonts w:ascii="Book Antiqua" w:hAnsi="Book Antiqua" w:cs="Calibri" w:hint="eastAsia"/>
                <w:i/>
                <w:color w:val="000000"/>
              </w:rPr>
              <w:t xml:space="preserve">et </w:t>
            </w:r>
            <w:proofErr w:type="gramStart"/>
            <w:r w:rsidR="009F6767" w:rsidRPr="009F6767">
              <w:rPr>
                <w:rFonts w:ascii="Book Antiqua" w:hAnsi="Book Antiqua" w:cs="Calibri" w:hint="eastAsia"/>
                <w:i/>
                <w:color w:val="000000"/>
              </w:rPr>
              <w:t>al</w:t>
            </w:r>
            <w:r w:rsidR="009F6767" w:rsidRPr="009F6767">
              <w:rPr>
                <w:rFonts w:ascii="Book Antiqua" w:hAnsi="Book Antiqua" w:cs="Calibri"/>
                <w:color w:val="000000"/>
                <w:vertAlign w:val="superscript"/>
              </w:rPr>
              <w:t>[</w:t>
            </w:r>
            <w:proofErr w:type="gramEnd"/>
            <w:r w:rsidR="009F6767" w:rsidRPr="009F6767">
              <w:rPr>
                <w:rFonts w:ascii="Book Antiqua" w:hAnsi="Book Antiqua" w:cs="Calibri"/>
                <w:color w:val="000000"/>
                <w:vertAlign w:val="superscript"/>
              </w:rPr>
              <w:t>41]</w:t>
            </w:r>
            <w:r w:rsidR="009F6767">
              <w:rPr>
                <w:rFonts w:ascii="Book Antiqua" w:hAnsi="Book Antiqua" w:cs="Calibri"/>
                <w:color w:val="000000"/>
              </w:rPr>
              <w:t>, 2010</w:t>
            </w:r>
          </w:p>
        </w:tc>
        <w:tc>
          <w:tcPr>
            <w:tcW w:w="992" w:type="dxa"/>
            <w:noWrap/>
            <w:vAlign w:val="center"/>
            <w:hideMark/>
          </w:tcPr>
          <w:p w14:paraId="518360F0"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2010</w:t>
            </w:r>
          </w:p>
        </w:tc>
        <w:tc>
          <w:tcPr>
            <w:tcW w:w="784" w:type="dxa"/>
            <w:noWrap/>
            <w:vAlign w:val="center"/>
            <w:hideMark/>
          </w:tcPr>
          <w:p w14:paraId="382AC9FB"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138</w:t>
            </w:r>
          </w:p>
        </w:tc>
        <w:tc>
          <w:tcPr>
            <w:tcW w:w="1578" w:type="dxa"/>
            <w:noWrap/>
            <w:vAlign w:val="center"/>
            <w:hideMark/>
          </w:tcPr>
          <w:p w14:paraId="5C936B9D"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54%</w:t>
            </w:r>
          </w:p>
        </w:tc>
        <w:tc>
          <w:tcPr>
            <w:tcW w:w="1607" w:type="dxa"/>
            <w:noWrap/>
            <w:vAlign w:val="center"/>
          </w:tcPr>
          <w:p w14:paraId="1E94402D"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993" w:type="dxa"/>
            <w:noWrap/>
            <w:vAlign w:val="center"/>
            <w:hideMark/>
          </w:tcPr>
          <w:p w14:paraId="386EC588" w14:textId="2FD5E04C"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78</w:t>
            </w:r>
          </w:p>
        </w:tc>
        <w:tc>
          <w:tcPr>
            <w:tcW w:w="850" w:type="dxa"/>
            <w:noWrap/>
            <w:vAlign w:val="center"/>
            <w:hideMark/>
          </w:tcPr>
          <w:p w14:paraId="0C9CBB51" w14:textId="5F287E43"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84</w:t>
            </w:r>
          </w:p>
        </w:tc>
        <w:tc>
          <w:tcPr>
            <w:tcW w:w="851" w:type="dxa"/>
            <w:noWrap/>
            <w:vAlign w:val="center"/>
            <w:hideMark/>
          </w:tcPr>
          <w:p w14:paraId="73CABBC9" w14:textId="4BE89061"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76</w:t>
            </w:r>
          </w:p>
        </w:tc>
        <w:tc>
          <w:tcPr>
            <w:tcW w:w="850" w:type="dxa"/>
            <w:noWrap/>
            <w:vAlign w:val="center"/>
            <w:hideMark/>
          </w:tcPr>
          <w:p w14:paraId="4392F20D" w14:textId="70DF4BA1"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77</w:t>
            </w:r>
          </w:p>
        </w:tc>
        <w:tc>
          <w:tcPr>
            <w:tcW w:w="1077" w:type="dxa"/>
            <w:noWrap/>
            <w:vAlign w:val="center"/>
            <w:hideMark/>
          </w:tcPr>
          <w:p w14:paraId="775CA314" w14:textId="025C7B60"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75</w:t>
            </w:r>
          </w:p>
        </w:tc>
        <w:tc>
          <w:tcPr>
            <w:tcW w:w="1049" w:type="dxa"/>
            <w:noWrap/>
            <w:vAlign w:val="center"/>
          </w:tcPr>
          <w:p w14:paraId="37E9259C"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1418" w:type="dxa"/>
            <w:noWrap/>
            <w:vAlign w:val="center"/>
          </w:tcPr>
          <w:p w14:paraId="0654A885" w14:textId="77777777" w:rsidR="008725BA" w:rsidRPr="008725BA" w:rsidRDefault="008725BA" w:rsidP="008725BA">
            <w:pPr>
              <w:pStyle w:val="1"/>
              <w:adjustRightInd w:val="0"/>
              <w:snapToGrid w:val="0"/>
              <w:spacing w:before="0" w:beforeAutospacing="0" w:line="360" w:lineRule="auto"/>
              <w:jc w:val="both"/>
              <w:rPr>
                <w:rFonts w:ascii="Book Antiqua" w:hAnsi="Book Antiqua"/>
              </w:rPr>
            </w:pPr>
          </w:p>
        </w:tc>
      </w:tr>
      <w:tr w:rsidR="008725BA" w:rsidRPr="008725BA" w14:paraId="1F998FCB" w14:textId="77777777" w:rsidTr="008725BA">
        <w:trPr>
          <w:jc w:val="center"/>
        </w:trPr>
        <w:tc>
          <w:tcPr>
            <w:tcW w:w="1702" w:type="dxa"/>
            <w:noWrap/>
            <w:vAlign w:val="center"/>
            <w:hideMark/>
          </w:tcPr>
          <w:p w14:paraId="1BAB621B" w14:textId="0343E66F" w:rsidR="008725BA" w:rsidRPr="008725BA" w:rsidRDefault="009F6767" w:rsidP="008725BA">
            <w:pPr>
              <w:pStyle w:val="1"/>
              <w:adjustRightInd w:val="0"/>
              <w:snapToGrid w:val="0"/>
              <w:spacing w:before="0" w:beforeAutospacing="0" w:line="360" w:lineRule="auto"/>
              <w:jc w:val="both"/>
              <w:rPr>
                <w:rFonts w:ascii="Book Antiqua" w:eastAsia="Times New Roman" w:hAnsi="Book Antiqua" w:cs="Calibri"/>
                <w:color w:val="000000"/>
              </w:rPr>
            </w:pPr>
            <w:r w:rsidRPr="009F6767">
              <w:rPr>
                <w:rFonts w:ascii="Book Antiqua" w:eastAsia="Times New Roman" w:hAnsi="Book Antiqua" w:cs="Calibri"/>
                <w:color w:val="000000"/>
              </w:rPr>
              <w:t>Levesque</w:t>
            </w:r>
            <w:r>
              <w:rPr>
                <w:rFonts w:ascii="Book Antiqua" w:hAnsi="Book Antiqua" w:cs="Calibri" w:hint="eastAsia"/>
                <w:color w:val="000000"/>
              </w:rPr>
              <w:t xml:space="preserve"> </w:t>
            </w:r>
            <w:r w:rsidRPr="009F6767">
              <w:rPr>
                <w:rFonts w:ascii="Book Antiqua" w:hAnsi="Book Antiqua" w:cs="Calibri" w:hint="eastAsia"/>
                <w:i/>
                <w:color w:val="000000"/>
              </w:rPr>
              <w:t xml:space="preserve">et </w:t>
            </w:r>
            <w:proofErr w:type="gramStart"/>
            <w:r w:rsidRPr="009F6767">
              <w:rPr>
                <w:rFonts w:ascii="Book Antiqua" w:hAnsi="Book Antiqua" w:cs="Calibri" w:hint="eastAsia"/>
                <w:i/>
                <w:color w:val="000000"/>
              </w:rPr>
              <w:t>al</w:t>
            </w:r>
            <w:r w:rsidRPr="009F6767">
              <w:rPr>
                <w:rFonts w:ascii="Book Antiqua" w:hAnsi="Book Antiqua" w:cs="Calibri"/>
                <w:color w:val="000000"/>
                <w:vertAlign w:val="superscript"/>
              </w:rPr>
              <w:t>[</w:t>
            </w:r>
            <w:proofErr w:type="gramEnd"/>
            <w:r w:rsidRPr="009F6767">
              <w:rPr>
                <w:rFonts w:ascii="Book Antiqua" w:hAnsi="Book Antiqua" w:cs="Calibri"/>
                <w:color w:val="000000"/>
                <w:vertAlign w:val="superscript"/>
              </w:rPr>
              <w:t>42]</w:t>
            </w:r>
            <w:r>
              <w:rPr>
                <w:rFonts w:ascii="Book Antiqua" w:hAnsi="Book Antiqua" w:cs="Calibri"/>
                <w:color w:val="000000"/>
              </w:rPr>
              <w:t>, 2012</w:t>
            </w:r>
          </w:p>
        </w:tc>
        <w:tc>
          <w:tcPr>
            <w:tcW w:w="992" w:type="dxa"/>
            <w:noWrap/>
            <w:vAlign w:val="center"/>
            <w:hideMark/>
          </w:tcPr>
          <w:p w14:paraId="18DF6520"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2012</w:t>
            </w:r>
          </w:p>
        </w:tc>
        <w:tc>
          <w:tcPr>
            <w:tcW w:w="784" w:type="dxa"/>
            <w:noWrap/>
            <w:vAlign w:val="center"/>
            <w:hideMark/>
          </w:tcPr>
          <w:p w14:paraId="4D3742C2"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377</w:t>
            </w:r>
          </w:p>
        </w:tc>
        <w:tc>
          <w:tcPr>
            <w:tcW w:w="1578" w:type="dxa"/>
            <w:noWrap/>
            <w:vAlign w:val="center"/>
            <w:hideMark/>
          </w:tcPr>
          <w:p w14:paraId="5C08E6EA"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43%</w:t>
            </w:r>
          </w:p>
        </w:tc>
        <w:tc>
          <w:tcPr>
            <w:tcW w:w="1607" w:type="dxa"/>
            <w:noWrap/>
            <w:vAlign w:val="center"/>
          </w:tcPr>
          <w:p w14:paraId="5C8F8210"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993" w:type="dxa"/>
            <w:noWrap/>
            <w:vAlign w:val="center"/>
            <w:hideMark/>
          </w:tcPr>
          <w:p w14:paraId="087D7E9A" w14:textId="1D956100"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89</w:t>
            </w:r>
          </w:p>
        </w:tc>
        <w:tc>
          <w:tcPr>
            <w:tcW w:w="850" w:type="dxa"/>
            <w:noWrap/>
            <w:vAlign w:val="center"/>
            <w:hideMark/>
          </w:tcPr>
          <w:p w14:paraId="516E84CE" w14:textId="285F83F0"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92</w:t>
            </w:r>
          </w:p>
        </w:tc>
        <w:tc>
          <w:tcPr>
            <w:tcW w:w="851" w:type="dxa"/>
            <w:noWrap/>
            <w:vAlign w:val="center"/>
            <w:hideMark/>
          </w:tcPr>
          <w:p w14:paraId="17E9A8C8" w14:textId="405E9AC8"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79</w:t>
            </w:r>
          </w:p>
        </w:tc>
        <w:tc>
          <w:tcPr>
            <w:tcW w:w="850" w:type="dxa"/>
            <w:noWrap/>
            <w:vAlign w:val="center"/>
            <w:hideMark/>
          </w:tcPr>
          <w:p w14:paraId="79FCC13E" w14:textId="6585A41E"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82</w:t>
            </w:r>
          </w:p>
        </w:tc>
        <w:tc>
          <w:tcPr>
            <w:tcW w:w="1077" w:type="dxa"/>
            <w:noWrap/>
            <w:vAlign w:val="center"/>
            <w:hideMark/>
          </w:tcPr>
          <w:p w14:paraId="708E5764" w14:textId="3729C0CE"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79</w:t>
            </w:r>
          </w:p>
        </w:tc>
        <w:tc>
          <w:tcPr>
            <w:tcW w:w="1049" w:type="dxa"/>
            <w:noWrap/>
            <w:vAlign w:val="center"/>
          </w:tcPr>
          <w:p w14:paraId="1FBB7883"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1418" w:type="dxa"/>
            <w:noWrap/>
            <w:vAlign w:val="center"/>
          </w:tcPr>
          <w:p w14:paraId="760B03B1" w14:textId="77777777" w:rsidR="008725BA" w:rsidRPr="008725BA" w:rsidRDefault="008725BA" w:rsidP="008725BA">
            <w:pPr>
              <w:pStyle w:val="1"/>
              <w:adjustRightInd w:val="0"/>
              <w:snapToGrid w:val="0"/>
              <w:spacing w:before="0" w:beforeAutospacing="0" w:line="360" w:lineRule="auto"/>
              <w:jc w:val="both"/>
              <w:rPr>
                <w:rFonts w:ascii="Book Antiqua" w:hAnsi="Book Antiqua"/>
              </w:rPr>
            </w:pPr>
          </w:p>
        </w:tc>
      </w:tr>
      <w:tr w:rsidR="008725BA" w:rsidRPr="008725BA" w14:paraId="48F9CC69" w14:textId="77777777" w:rsidTr="008725BA">
        <w:trPr>
          <w:jc w:val="center"/>
        </w:trPr>
        <w:tc>
          <w:tcPr>
            <w:tcW w:w="1702" w:type="dxa"/>
            <w:noWrap/>
            <w:vAlign w:val="center"/>
            <w:hideMark/>
          </w:tcPr>
          <w:p w14:paraId="612E2733" w14:textId="1AB45F78"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roofErr w:type="spellStart"/>
            <w:r w:rsidRPr="008725BA">
              <w:rPr>
                <w:rFonts w:ascii="Book Antiqua" w:eastAsia="Times New Roman" w:hAnsi="Book Antiqua" w:cs="Calibri"/>
                <w:color w:val="000000"/>
              </w:rPr>
              <w:t>Cholongitas</w:t>
            </w:r>
            <w:proofErr w:type="spellEnd"/>
            <w:r w:rsidR="009F6767">
              <w:rPr>
                <w:rFonts w:ascii="Book Antiqua" w:hAnsi="Book Antiqua" w:cs="Calibri" w:hint="eastAsia"/>
                <w:color w:val="000000"/>
              </w:rPr>
              <w:t xml:space="preserve"> </w:t>
            </w:r>
            <w:r w:rsidR="009F6767" w:rsidRPr="009F6767">
              <w:rPr>
                <w:rFonts w:ascii="Book Antiqua" w:hAnsi="Book Antiqua" w:cs="Calibri" w:hint="eastAsia"/>
                <w:i/>
                <w:color w:val="000000"/>
              </w:rPr>
              <w:t xml:space="preserve">et </w:t>
            </w:r>
            <w:proofErr w:type="gramStart"/>
            <w:r w:rsidR="009F6767" w:rsidRPr="009F6767">
              <w:rPr>
                <w:rFonts w:ascii="Book Antiqua" w:hAnsi="Book Antiqua" w:cs="Calibri" w:hint="eastAsia"/>
                <w:i/>
                <w:color w:val="000000"/>
              </w:rPr>
              <w:t>al</w:t>
            </w:r>
            <w:r w:rsidR="009F6767" w:rsidRPr="009F6767">
              <w:rPr>
                <w:rFonts w:ascii="Book Antiqua" w:hAnsi="Book Antiqua" w:cs="Calibri"/>
                <w:color w:val="000000"/>
                <w:vertAlign w:val="superscript"/>
              </w:rPr>
              <w:t>[</w:t>
            </w:r>
            <w:proofErr w:type="gramEnd"/>
            <w:r w:rsidR="009F6767" w:rsidRPr="009F6767">
              <w:rPr>
                <w:rFonts w:ascii="Book Antiqua" w:hAnsi="Book Antiqua" w:cs="Calibri"/>
                <w:color w:val="000000"/>
                <w:vertAlign w:val="superscript"/>
              </w:rPr>
              <w:t>44]</w:t>
            </w:r>
            <w:r w:rsidR="009F6767">
              <w:rPr>
                <w:rFonts w:ascii="Book Antiqua" w:hAnsi="Book Antiqua" w:cs="Calibri" w:hint="eastAsia"/>
                <w:color w:val="000000"/>
              </w:rPr>
              <w:t>,</w:t>
            </w:r>
            <w:r w:rsidR="009F6767">
              <w:rPr>
                <w:rFonts w:ascii="Book Antiqua" w:hAnsi="Book Antiqua" w:cs="Calibri"/>
                <w:color w:val="000000"/>
              </w:rPr>
              <w:t xml:space="preserve"> 2008</w:t>
            </w:r>
          </w:p>
        </w:tc>
        <w:tc>
          <w:tcPr>
            <w:tcW w:w="992" w:type="dxa"/>
            <w:noWrap/>
            <w:vAlign w:val="center"/>
            <w:hideMark/>
          </w:tcPr>
          <w:p w14:paraId="42A2C22B"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2012</w:t>
            </w:r>
          </w:p>
        </w:tc>
        <w:tc>
          <w:tcPr>
            <w:tcW w:w="784" w:type="dxa"/>
            <w:noWrap/>
            <w:vAlign w:val="center"/>
            <w:hideMark/>
          </w:tcPr>
          <w:p w14:paraId="78FFC203"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412</w:t>
            </w:r>
          </w:p>
        </w:tc>
        <w:tc>
          <w:tcPr>
            <w:tcW w:w="1578" w:type="dxa"/>
            <w:noWrap/>
            <w:vAlign w:val="center"/>
            <w:hideMark/>
          </w:tcPr>
          <w:p w14:paraId="06C2D77E"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61%</w:t>
            </w:r>
          </w:p>
        </w:tc>
        <w:tc>
          <w:tcPr>
            <w:tcW w:w="1607" w:type="dxa"/>
            <w:noWrap/>
            <w:vAlign w:val="center"/>
            <w:hideMark/>
          </w:tcPr>
          <w:p w14:paraId="7BD1AD8C" w14:textId="67CF34B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74</w:t>
            </w:r>
          </w:p>
        </w:tc>
        <w:tc>
          <w:tcPr>
            <w:tcW w:w="993" w:type="dxa"/>
            <w:noWrap/>
            <w:vAlign w:val="center"/>
          </w:tcPr>
          <w:p w14:paraId="35FBDD94"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850" w:type="dxa"/>
            <w:noWrap/>
            <w:vAlign w:val="center"/>
            <w:hideMark/>
          </w:tcPr>
          <w:p w14:paraId="1A704B36" w14:textId="2A6E554B"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85</w:t>
            </w:r>
          </w:p>
        </w:tc>
        <w:tc>
          <w:tcPr>
            <w:tcW w:w="851" w:type="dxa"/>
            <w:noWrap/>
            <w:vAlign w:val="center"/>
            <w:hideMark/>
          </w:tcPr>
          <w:p w14:paraId="6102254A" w14:textId="1ED87688"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67</w:t>
            </w:r>
          </w:p>
        </w:tc>
        <w:tc>
          <w:tcPr>
            <w:tcW w:w="850" w:type="dxa"/>
            <w:noWrap/>
            <w:vAlign w:val="center"/>
            <w:hideMark/>
          </w:tcPr>
          <w:p w14:paraId="2A5D7D72" w14:textId="41DAE590"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80</w:t>
            </w:r>
          </w:p>
        </w:tc>
        <w:tc>
          <w:tcPr>
            <w:tcW w:w="1077" w:type="dxa"/>
            <w:noWrap/>
            <w:vAlign w:val="center"/>
            <w:hideMark/>
          </w:tcPr>
          <w:p w14:paraId="5FA25807" w14:textId="6B4E30CE"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75</w:t>
            </w:r>
          </w:p>
        </w:tc>
        <w:tc>
          <w:tcPr>
            <w:tcW w:w="1049" w:type="dxa"/>
            <w:noWrap/>
            <w:vAlign w:val="center"/>
          </w:tcPr>
          <w:p w14:paraId="7217E7AC"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1418" w:type="dxa"/>
            <w:noWrap/>
            <w:vAlign w:val="center"/>
          </w:tcPr>
          <w:p w14:paraId="1A1F973D" w14:textId="77777777" w:rsidR="008725BA" w:rsidRPr="008725BA" w:rsidRDefault="008725BA" w:rsidP="008725BA">
            <w:pPr>
              <w:pStyle w:val="1"/>
              <w:adjustRightInd w:val="0"/>
              <w:snapToGrid w:val="0"/>
              <w:spacing w:before="0" w:beforeAutospacing="0" w:line="360" w:lineRule="auto"/>
              <w:jc w:val="both"/>
              <w:rPr>
                <w:rFonts w:ascii="Book Antiqua" w:hAnsi="Book Antiqua"/>
              </w:rPr>
            </w:pPr>
          </w:p>
        </w:tc>
      </w:tr>
      <w:tr w:rsidR="008725BA" w:rsidRPr="008725BA" w14:paraId="0DE798CB" w14:textId="77777777" w:rsidTr="008725BA">
        <w:trPr>
          <w:jc w:val="center"/>
        </w:trPr>
        <w:tc>
          <w:tcPr>
            <w:tcW w:w="1702" w:type="dxa"/>
            <w:noWrap/>
            <w:vAlign w:val="center"/>
            <w:hideMark/>
          </w:tcPr>
          <w:p w14:paraId="3223BC66" w14:textId="070A618A"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Emerson</w:t>
            </w:r>
            <w:r w:rsidR="009F6767">
              <w:rPr>
                <w:rFonts w:ascii="Book Antiqua" w:hAnsi="Book Antiqua" w:cs="Calibri" w:hint="eastAsia"/>
                <w:color w:val="000000"/>
              </w:rPr>
              <w:t xml:space="preserve"> </w:t>
            </w:r>
            <w:r w:rsidR="009F6767" w:rsidRPr="009F6767">
              <w:rPr>
                <w:rFonts w:ascii="Book Antiqua" w:hAnsi="Book Antiqua" w:cs="Calibri" w:hint="eastAsia"/>
                <w:i/>
                <w:color w:val="000000"/>
              </w:rPr>
              <w:t xml:space="preserve">et </w:t>
            </w:r>
            <w:proofErr w:type="gramStart"/>
            <w:r w:rsidR="009F6767" w:rsidRPr="009F6767">
              <w:rPr>
                <w:rFonts w:ascii="Book Antiqua" w:hAnsi="Book Antiqua" w:cs="Calibri" w:hint="eastAsia"/>
                <w:i/>
                <w:color w:val="000000"/>
              </w:rPr>
              <w:t>al</w:t>
            </w:r>
            <w:r w:rsidR="009F6767" w:rsidRPr="009F6767">
              <w:rPr>
                <w:rFonts w:ascii="Book Antiqua" w:hAnsi="Book Antiqua" w:cs="Calibri"/>
                <w:color w:val="000000"/>
                <w:vertAlign w:val="superscript"/>
              </w:rPr>
              <w:t>[</w:t>
            </w:r>
            <w:proofErr w:type="gramEnd"/>
            <w:r w:rsidR="009F6767" w:rsidRPr="009F6767">
              <w:rPr>
                <w:rFonts w:ascii="Book Antiqua" w:hAnsi="Book Antiqua" w:cs="Calibri"/>
                <w:color w:val="000000"/>
                <w:vertAlign w:val="superscript"/>
              </w:rPr>
              <w:t>45]</w:t>
            </w:r>
            <w:r w:rsidR="009F6767">
              <w:rPr>
                <w:rFonts w:ascii="Book Antiqua" w:hAnsi="Book Antiqua" w:cs="Calibri" w:hint="eastAsia"/>
                <w:color w:val="000000"/>
              </w:rPr>
              <w:t xml:space="preserve">, </w:t>
            </w:r>
            <w:r w:rsidR="009F6767">
              <w:rPr>
                <w:rFonts w:ascii="Book Antiqua" w:hAnsi="Book Antiqua" w:cs="Calibri"/>
                <w:color w:val="000000"/>
              </w:rPr>
              <w:t>2014</w:t>
            </w:r>
          </w:p>
        </w:tc>
        <w:tc>
          <w:tcPr>
            <w:tcW w:w="992" w:type="dxa"/>
            <w:noWrap/>
            <w:vAlign w:val="center"/>
            <w:hideMark/>
          </w:tcPr>
          <w:p w14:paraId="1FFF703F"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2014</w:t>
            </w:r>
          </w:p>
        </w:tc>
        <w:tc>
          <w:tcPr>
            <w:tcW w:w="784" w:type="dxa"/>
            <w:noWrap/>
            <w:vAlign w:val="center"/>
            <w:hideMark/>
          </w:tcPr>
          <w:p w14:paraId="2581D68A"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59</w:t>
            </w:r>
          </w:p>
        </w:tc>
        <w:tc>
          <w:tcPr>
            <w:tcW w:w="1578" w:type="dxa"/>
            <w:noWrap/>
            <w:vAlign w:val="center"/>
            <w:hideMark/>
          </w:tcPr>
          <w:p w14:paraId="011021B6"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48%</w:t>
            </w:r>
          </w:p>
        </w:tc>
        <w:tc>
          <w:tcPr>
            <w:tcW w:w="1607" w:type="dxa"/>
            <w:noWrap/>
            <w:vAlign w:val="center"/>
            <w:hideMark/>
          </w:tcPr>
          <w:p w14:paraId="62E9F1B9" w14:textId="572E0DD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72</w:t>
            </w:r>
          </w:p>
        </w:tc>
        <w:tc>
          <w:tcPr>
            <w:tcW w:w="993" w:type="dxa"/>
            <w:noWrap/>
            <w:vAlign w:val="center"/>
          </w:tcPr>
          <w:p w14:paraId="43EB1F4C"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850" w:type="dxa"/>
            <w:noWrap/>
            <w:vAlign w:val="center"/>
            <w:hideMark/>
          </w:tcPr>
          <w:p w14:paraId="2E1C8ACA" w14:textId="316671AC"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76</w:t>
            </w:r>
          </w:p>
        </w:tc>
        <w:tc>
          <w:tcPr>
            <w:tcW w:w="851" w:type="dxa"/>
            <w:noWrap/>
            <w:vAlign w:val="center"/>
            <w:hideMark/>
          </w:tcPr>
          <w:p w14:paraId="18053B9B" w14:textId="73FDAE93"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70</w:t>
            </w:r>
          </w:p>
        </w:tc>
        <w:tc>
          <w:tcPr>
            <w:tcW w:w="850" w:type="dxa"/>
            <w:noWrap/>
            <w:vAlign w:val="center"/>
            <w:hideMark/>
          </w:tcPr>
          <w:p w14:paraId="1BCC6315" w14:textId="3C6A5D44"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74</w:t>
            </w:r>
          </w:p>
        </w:tc>
        <w:tc>
          <w:tcPr>
            <w:tcW w:w="1077" w:type="dxa"/>
            <w:noWrap/>
            <w:vAlign w:val="center"/>
          </w:tcPr>
          <w:p w14:paraId="0B01D1D5"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1049" w:type="dxa"/>
            <w:noWrap/>
            <w:vAlign w:val="center"/>
          </w:tcPr>
          <w:p w14:paraId="5FDB8A81" w14:textId="77777777" w:rsidR="008725BA" w:rsidRPr="008725BA" w:rsidRDefault="008725BA" w:rsidP="008725BA">
            <w:pPr>
              <w:pStyle w:val="1"/>
              <w:adjustRightInd w:val="0"/>
              <w:snapToGrid w:val="0"/>
              <w:spacing w:before="0" w:beforeAutospacing="0" w:line="360" w:lineRule="auto"/>
              <w:jc w:val="both"/>
              <w:rPr>
                <w:rFonts w:ascii="Book Antiqua" w:hAnsi="Book Antiqua"/>
              </w:rPr>
            </w:pPr>
          </w:p>
        </w:tc>
        <w:tc>
          <w:tcPr>
            <w:tcW w:w="1418" w:type="dxa"/>
            <w:noWrap/>
            <w:vAlign w:val="center"/>
            <w:hideMark/>
          </w:tcPr>
          <w:p w14:paraId="045D6490" w14:textId="7A06D7CA"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75</w:t>
            </w:r>
          </w:p>
        </w:tc>
      </w:tr>
      <w:tr w:rsidR="008725BA" w:rsidRPr="008725BA" w14:paraId="66C9EE90" w14:textId="77777777" w:rsidTr="008725BA">
        <w:trPr>
          <w:jc w:val="center"/>
        </w:trPr>
        <w:tc>
          <w:tcPr>
            <w:tcW w:w="1702" w:type="dxa"/>
            <w:noWrap/>
            <w:vAlign w:val="center"/>
            <w:hideMark/>
          </w:tcPr>
          <w:p w14:paraId="08DD6B3B" w14:textId="7D13F9D2"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Campbell</w:t>
            </w:r>
            <w:r w:rsidR="009F6767">
              <w:rPr>
                <w:rFonts w:ascii="Book Antiqua" w:hAnsi="Book Antiqua" w:cs="Calibri" w:hint="eastAsia"/>
                <w:color w:val="000000"/>
              </w:rPr>
              <w:t xml:space="preserve"> </w:t>
            </w:r>
            <w:r w:rsidR="009F6767" w:rsidRPr="009F6767">
              <w:rPr>
                <w:rFonts w:ascii="Book Antiqua" w:hAnsi="Book Antiqua" w:cs="Calibri" w:hint="eastAsia"/>
                <w:i/>
                <w:color w:val="000000"/>
              </w:rPr>
              <w:t xml:space="preserve">et </w:t>
            </w:r>
            <w:proofErr w:type="gramStart"/>
            <w:r w:rsidR="009F6767" w:rsidRPr="009F6767">
              <w:rPr>
                <w:rFonts w:ascii="Book Antiqua" w:hAnsi="Book Antiqua" w:cs="Calibri" w:hint="eastAsia"/>
                <w:i/>
                <w:color w:val="000000"/>
              </w:rPr>
              <w:t>al</w:t>
            </w:r>
            <w:r w:rsidR="009F6767" w:rsidRPr="009F6767">
              <w:rPr>
                <w:rFonts w:ascii="Book Antiqua" w:hAnsi="Book Antiqua" w:cs="Calibri"/>
                <w:color w:val="000000"/>
                <w:vertAlign w:val="superscript"/>
              </w:rPr>
              <w:t>[</w:t>
            </w:r>
            <w:proofErr w:type="gramEnd"/>
            <w:r w:rsidR="009F6767" w:rsidRPr="009F6767">
              <w:rPr>
                <w:rFonts w:ascii="Book Antiqua" w:hAnsi="Book Antiqua" w:cs="Calibri"/>
                <w:color w:val="000000"/>
                <w:vertAlign w:val="superscript"/>
              </w:rPr>
              <w:t>46]</w:t>
            </w:r>
            <w:r w:rsidR="009F6767">
              <w:rPr>
                <w:rFonts w:ascii="Book Antiqua" w:hAnsi="Book Antiqua" w:cs="Calibri" w:hint="eastAsia"/>
                <w:color w:val="000000"/>
              </w:rPr>
              <w:t xml:space="preserve">, </w:t>
            </w:r>
            <w:r w:rsidR="009F6767">
              <w:rPr>
                <w:rFonts w:ascii="Book Antiqua" w:hAnsi="Book Antiqua" w:cs="Calibri"/>
                <w:color w:val="000000"/>
              </w:rPr>
              <w:t>2015</w:t>
            </w:r>
          </w:p>
        </w:tc>
        <w:tc>
          <w:tcPr>
            <w:tcW w:w="992" w:type="dxa"/>
            <w:noWrap/>
            <w:vAlign w:val="center"/>
            <w:hideMark/>
          </w:tcPr>
          <w:p w14:paraId="316774DA"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2015</w:t>
            </w:r>
          </w:p>
        </w:tc>
        <w:tc>
          <w:tcPr>
            <w:tcW w:w="784" w:type="dxa"/>
            <w:noWrap/>
            <w:vAlign w:val="center"/>
            <w:hideMark/>
          </w:tcPr>
          <w:p w14:paraId="68FA8E6F"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115</w:t>
            </w:r>
          </w:p>
        </w:tc>
        <w:tc>
          <w:tcPr>
            <w:tcW w:w="1578" w:type="dxa"/>
            <w:noWrap/>
            <w:vAlign w:val="center"/>
            <w:hideMark/>
          </w:tcPr>
          <w:p w14:paraId="6F371DD9"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46%</w:t>
            </w:r>
          </w:p>
        </w:tc>
        <w:tc>
          <w:tcPr>
            <w:tcW w:w="1607" w:type="dxa"/>
            <w:noWrap/>
            <w:vAlign w:val="center"/>
            <w:hideMark/>
          </w:tcPr>
          <w:p w14:paraId="308112C2" w14:textId="3CC7C6AF"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71</w:t>
            </w:r>
          </w:p>
        </w:tc>
        <w:tc>
          <w:tcPr>
            <w:tcW w:w="993" w:type="dxa"/>
            <w:noWrap/>
            <w:vAlign w:val="center"/>
          </w:tcPr>
          <w:p w14:paraId="62B958F1"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850" w:type="dxa"/>
            <w:noWrap/>
            <w:vAlign w:val="center"/>
            <w:hideMark/>
          </w:tcPr>
          <w:p w14:paraId="7B9605CA" w14:textId="6CC5E5F2"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71</w:t>
            </w:r>
          </w:p>
        </w:tc>
        <w:tc>
          <w:tcPr>
            <w:tcW w:w="851" w:type="dxa"/>
            <w:noWrap/>
            <w:vAlign w:val="center"/>
            <w:hideMark/>
          </w:tcPr>
          <w:p w14:paraId="45691A55" w14:textId="582C2DD0"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68</w:t>
            </w:r>
          </w:p>
        </w:tc>
        <w:tc>
          <w:tcPr>
            <w:tcW w:w="850" w:type="dxa"/>
            <w:noWrap/>
            <w:vAlign w:val="center"/>
            <w:hideMark/>
          </w:tcPr>
          <w:p w14:paraId="6C2403C5" w14:textId="3509059D"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70</w:t>
            </w:r>
          </w:p>
        </w:tc>
        <w:tc>
          <w:tcPr>
            <w:tcW w:w="1077" w:type="dxa"/>
            <w:noWrap/>
            <w:vAlign w:val="center"/>
          </w:tcPr>
          <w:p w14:paraId="3CB1950D"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1049" w:type="dxa"/>
            <w:noWrap/>
            <w:vAlign w:val="center"/>
            <w:hideMark/>
          </w:tcPr>
          <w:p w14:paraId="03AFF090" w14:textId="66B82FA1"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77</w:t>
            </w:r>
          </w:p>
        </w:tc>
        <w:tc>
          <w:tcPr>
            <w:tcW w:w="1418" w:type="dxa"/>
            <w:noWrap/>
            <w:vAlign w:val="center"/>
            <w:hideMark/>
          </w:tcPr>
          <w:p w14:paraId="0FAC79D1" w14:textId="2C529F4F"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74</w:t>
            </w:r>
          </w:p>
        </w:tc>
      </w:tr>
      <w:tr w:rsidR="008725BA" w:rsidRPr="008725BA" w14:paraId="0B92A0D9" w14:textId="77777777" w:rsidTr="008725BA">
        <w:trPr>
          <w:jc w:val="center"/>
        </w:trPr>
        <w:tc>
          <w:tcPr>
            <w:tcW w:w="1702" w:type="dxa"/>
            <w:noWrap/>
            <w:vAlign w:val="center"/>
            <w:hideMark/>
          </w:tcPr>
          <w:p w14:paraId="6BD1E785" w14:textId="4C842493"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McPhail</w:t>
            </w:r>
            <w:r w:rsidR="009F6767">
              <w:rPr>
                <w:rFonts w:ascii="Book Antiqua" w:hAnsi="Book Antiqua" w:cs="Calibri" w:hint="eastAsia"/>
                <w:color w:val="000000"/>
              </w:rPr>
              <w:t xml:space="preserve"> </w:t>
            </w:r>
            <w:r w:rsidR="009F6767" w:rsidRPr="009F6767">
              <w:rPr>
                <w:rFonts w:ascii="Book Antiqua" w:hAnsi="Book Antiqua" w:cs="Calibri" w:hint="eastAsia"/>
                <w:i/>
                <w:color w:val="000000"/>
              </w:rPr>
              <w:t xml:space="preserve">et </w:t>
            </w:r>
            <w:proofErr w:type="gramStart"/>
            <w:r w:rsidR="009F6767" w:rsidRPr="009F6767">
              <w:rPr>
                <w:rFonts w:ascii="Book Antiqua" w:hAnsi="Book Antiqua" w:cs="Calibri" w:hint="eastAsia"/>
                <w:i/>
                <w:color w:val="000000"/>
              </w:rPr>
              <w:t>al</w:t>
            </w:r>
            <w:r w:rsidR="009F6767" w:rsidRPr="009F6767">
              <w:rPr>
                <w:rFonts w:ascii="Book Antiqua" w:hAnsi="Book Antiqua" w:cs="Calibri"/>
                <w:color w:val="000000"/>
                <w:vertAlign w:val="superscript"/>
              </w:rPr>
              <w:t>[</w:t>
            </w:r>
            <w:proofErr w:type="gramEnd"/>
            <w:r w:rsidR="009F6767" w:rsidRPr="009F6767">
              <w:rPr>
                <w:rFonts w:ascii="Book Antiqua" w:hAnsi="Book Antiqua" w:cs="Calibri"/>
                <w:color w:val="000000"/>
                <w:vertAlign w:val="superscript"/>
              </w:rPr>
              <w:t>51]</w:t>
            </w:r>
            <w:r w:rsidR="009F6767">
              <w:rPr>
                <w:rFonts w:ascii="Book Antiqua" w:hAnsi="Book Antiqua" w:cs="Calibri" w:hint="eastAsia"/>
                <w:color w:val="000000"/>
              </w:rPr>
              <w:t xml:space="preserve">, </w:t>
            </w:r>
            <w:r w:rsidR="009F6767">
              <w:rPr>
                <w:rFonts w:ascii="Book Antiqua" w:hAnsi="Book Antiqua" w:cs="Calibri"/>
                <w:color w:val="000000"/>
              </w:rPr>
              <w:t>2015</w:t>
            </w:r>
          </w:p>
        </w:tc>
        <w:tc>
          <w:tcPr>
            <w:tcW w:w="992" w:type="dxa"/>
            <w:noWrap/>
            <w:vAlign w:val="center"/>
            <w:hideMark/>
          </w:tcPr>
          <w:p w14:paraId="6EABD805"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2015</w:t>
            </w:r>
          </w:p>
        </w:tc>
        <w:tc>
          <w:tcPr>
            <w:tcW w:w="784" w:type="dxa"/>
            <w:noWrap/>
            <w:vAlign w:val="center"/>
            <w:hideMark/>
          </w:tcPr>
          <w:p w14:paraId="518B17A6"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971</w:t>
            </w:r>
          </w:p>
        </w:tc>
        <w:tc>
          <w:tcPr>
            <w:tcW w:w="1578" w:type="dxa"/>
            <w:noWrap/>
            <w:vAlign w:val="center"/>
            <w:hideMark/>
          </w:tcPr>
          <w:p w14:paraId="6017216E"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52%</w:t>
            </w:r>
          </w:p>
        </w:tc>
        <w:tc>
          <w:tcPr>
            <w:tcW w:w="1607" w:type="dxa"/>
            <w:noWrap/>
            <w:vAlign w:val="center"/>
            <w:hideMark/>
          </w:tcPr>
          <w:p w14:paraId="726A68E7" w14:textId="1CD5D7AF"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76</w:t>
            </w:r>
          </w:p>
        </w:tc>
        <w:tc>
          <w:tcPr>
            <w:tcW w:w="993" w:type="dxa"/>
            <w:noWrap/>
            <w:vAlign w:val="center"/>
            <w:hideMark/>
          </w:tcPr>
          <w:p w14:paraId="77474DFE" w14:textId="351A1423"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78</w:t>
            </w:r>
          </w:p>
        </w:tc>
        <w:tc>
          <w:tcPr>
            <w:tcW w:w="850" w:type="dxa"/>
            <w:noWrap/>
            <w:vAlign w:val="center"/>
            <w:hideMark/>
          </w:tcPr>
          <w:p w14:paraId="0587EEA8" w14:textId="240E84DC"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79</w:t>
            </w:r>
          </w:p>
        </w:tc>
        <w:tc>
          <w:tcPr>
            <w:tcW w:w="851" w:type="dxa"/>
            <w:noWrap/>
            <w:vAlign w:val="center"/>
          </w:tcPr>
          <w:p w14:paraId="4ADB4D5E"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850" w:type="dxa"/>
            <w:noWrap/>
            <w:vAlign w:val="center"/>
            <w:hideMark/>
          </w:tcPr>
          <w:p w14:paraId="5A33DAAD" w14:textId="6157BEFE"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78</w:t>
            </w:r>
          </w:p>
        </w:tc>
        <w:tc>
          <w:tcPr>
            <w:tcW w:w="1077" w:type="dxa"/>
            <w:noWrap/>
            <w:vAlign w:val="center"/>
          </w:tcPr>
          <w:p w14:paraId="1258FC49" w14:textId="77777777"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p>
        </w:tc>
        <w:tc>
          <w:tcPr>
            <w:tcW w:w="1049" w:type="dxa"/>
            <w:noWrap/>
            <w:vAlign w:val="center"/>
          </w:tcPr>
          <w:p w14:paraId="7AD34366" w14:textId="77777777" w:rsidR="008725BA" w:rsidRPr="008725BA" w:rsidRDefault="008725BA" w:rsidP="008725BA">
            <w:pPr>
              <w:pStyle w:val="1"/>
              <w:adjustRightInd w:val="0"/>
              <w:snapToGrid w:val="0"/>
              <w:spacing w:before="0" w:beforeAutospacing="0" w:line="360" w:lineRule="auto"/>
              <w:jc w:val="both"/>
              <w:rPr>
                <w:rFonts w:ascii="Book Antiqua" w:hAnsi="Book Antiqua"/>
              </w:rPr>
            </w:pPr>
          </w:p>
        </w:tc>
        <w:tc>
          <w:tcPr>
            <w:tcW w:w="1418" w:type="dxa"/>
            <w:noWrap/>
            <w:vAlign w:val="center"/>
            <w:hideMark/>
          </w:tcPr>
          <w:p w14:paraId="15CD99D1" w14:textId="0733EC92" w:rsidR="008725BA" w:rsidRPr="008725BA" w:rsidRDefault="008725BA" w:rsidP="008725BA">
            <w:pPr>
              <w:pStyle w:val="1"/>
              <w:adjustRightInd w:val="0"/>
              <w:snapToGrid w:val="0"/>
              <w:spacing w:before="0" w:beforeAutospacing="0" w:line="360" w:lineRule="auto"/>
              <w:jc w:val="both"/>
              <w:rPr>
                <w:rFonts w:ascii="Book Antiqua" w:eastAsia="Times New Roman" w:hAnsi="Book Antiqua" w:cs="Calibri"/>
                <w:color w:val="000000"/>
              </w:rPr>
            </w:pPr>
            <w:r w:rsidRPr="008725BA">
              <w:rPr>
                <w:rFonts w:ascii="Book Antiqua" w:eastAsia="Times New Roman" w:hAnsi="Book Antiqua" w:cs="Calibri"/>
                <w:color w:val="000000"/>
              </w:rPr>
              <w:t>0</w:t>
            </w:r>
            <w:r>
              <w:rPr>
                <w:rFonts w:ascii="Book Antiqua" w:eastAsia="Times New Roman" w:hAnsi="Book Antiqua" w:cs="Calibri"/>
                <w:color w:val="000000"/>
              </w:rPr>
              <w:t>.</w:t>
            </w:r>
            <w:r w:rsidRPr="008725BA">
              <w:rPr>
                <w:rFonts w:ascii="Book Antiqua" w:eastAsia="Times New Roman" w:hAnsi="Book Antiqua" w:cs="Calibri"/>
                <w:color w:val="000000"/>
              </w:rPr>
              <w:t>81</w:t>
            </w:r>
          </w:p>
        </w:tc>
      </w:tr>
    </w:tbl>
    <w:p w14:paraId="03571BCC" w14:textId="57E608FB" w:rsidR="00D171AA" w:rsidRPr="008725BA" w:rsidRDefault="008725BA" w:rsidP="008725BA">
      <w:pPr>
        <w:pStyle w:val="1"/>
        <w:adjustRightInd w:val="0"/>
        <w:snapToGrid w:val="0"/>
        <w:spacing w:before="0" w:beforeAutospacing="0" w:line="360" w:lineRule="auto"/>
        <w:jc w:val="both"/>
        <w:rPr>
          <w:rFonts w:ascii="Book Antiqua" w:eastAsia="Times New Roman" w:hAnsi="Book Antiqua" w:cs="Arial"/>
        </w:rPr>
      </w:pPr>
      <w:r w:rsidRPr="008725BA">
        <w:rPr>
          <w:rFonts w:ascii="Book Antiqua" w:eastAsia="Times New Roman" w:hAnsi="Book Antiqua" w:cs="Arial"/>
        </w:rPr>
        <w:t xml:space="preserve"> </w:t>
      </w:r>
      <w:r>
        <w:rPr>
          <w:rFonts w:ascii="Book Antiqua" w:eastAsiaTheme="minorEastAsia" w:hAnsi="Book Antiqua" w:cs="Arial" w:hint="eastAsia"/>
        </w:rPr>
        <w:t>I</w:t>
      </w:r>
      <w:r>
        <w:rPr>
          <w:rFonts w:ascii="Book Antiqua" w:eastAsiaTheme="minorEastAsia" w:hAnsi="Book Antiqua" w:cs="Arial"/>
        </w:rPr>
        <w:t>CU:</w:t>
      </w:r>
      <w:r w:rsidR="00D171AA" w:rsidRPr="008725BA">
        <w:rPr>
          <w:rFonts w:ascii="Book Antiqua" w:eastAsia="Times New Roman" w:hAnsi="Book Antiqua" w:cs="Arial"/>
        </w:rPr>
        <w:t xml:space="preserve"> </w:t>
      </w:r>
      <w:r>
        <w:rPr>
          <w:rFonts w:ascii="Book Antiqua" w:eastAsia="Times New Roman" w:hAnsi="Book Antiqua" w:cs="Arial"/>
        </w:rPr>
        <w:t>I</w:t>
      </w:r>
      <w:r w:rsidRPr="008725BA">
        <w:rPr>
          <w:rFonts w:ascii="Book Antiqua" w:eastAsia="Times New Roman" w:hAnsi="Book Antiqua" w:cs="Arial"/>
        </w:rPr>
        <w:t>ntensive care units</w:t>
      </w:r>
      <w:r w:rsidR="0038062F">
        <w:rPr>
          <w:rFonts w:ascii="Book Antiqua" w:eastAsia="Times New Roman" w:hAnsi="Book Antiqua" w:cs="Arial"/>
        </w:rPr>
        <w:t>.</w:t>
      </w:r>
    </w:p>
    <w:p w14:paraId="634E1155" w14:textId="05B90220" w:rsidR="00A77B3E" w:rsidRPr="008725BA" w:rsidRDefault="00A77B3E" w:rsidP="008725BA">
      <w:pPr>
        <w:adjustRightInd w:val="0"/>
        <w:snapToGrid w:val="0"/>
        <w:spacing w:line="360" w:lineRule="auto"/>
        <w:jc w:val="both"/>
        <w:rPr>
          <w:rFonts w:ascii="Book Antiqua" w:hAnsi="Book Antiqua"/>
          <w:b/>
          <w:bCs/>
        </w:rPr>
      </w:pPr>
    </w:p>
    <w:sectPr w:rsidR="00A77B3E" w:rsidRPr="008725BA" w:rsidSect="008725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5977" w14:textId="77777777" w:rsidR="00FA6024" w:rsidRDefault="00FA6024" w:rsidP="00027ECD">
      <w:r>
        <w:separator/>
      </w:r>
    </w:p>
  </w:endnote>
  <w:endnote w:type="continuationSeparator" w:id="0">
    <w:p w14:paraId="305829D2" w14:textId="77777777" w:rsidR="00FA6024" w:rsidRDefault="00FA6024" w:rsidP="0002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2195"/>
      <w:docPartObj>
        <w:docPartGallery w:val="Page Numbers (Bottom of Page)"/>
        <w:docPartUnique/>
      </w:docPartObj>
    </w:sdtPr>
    <w:sdtEndPr>
      <w:rPr>
        <w:rFonts w:ascii="Book Antiqua" w:hAnsi="Book Antiqua"/>
        <w:sz w:val="24"/>
        <w:szCs w:val="24"/>
      </w:rPr>
    </w:sdtEndPr>
    <w:sdtContent>
      <w:p w14:paraId="5F62772D" w14:textId="2C665D1B" w:rsidR="00CB228B" w:rsidRPr="00CB228B" w:rsidRDefault="00CB228B" w:rsidP="00CB228B">
        <w:pPr>
          <w:pStyle w:val="a5"/>
          <w:jc w:val="right"/>
          <w:rPr>
            <w:rFonts w:ascii="Book Antiqua" w:hAnsi="Book Antiqua"/>
            <w:sz w:val="24"/>
            <w:szCs w:val="24"/>
          </w:rPr>
        </w:pPr>
        <w:r w:rsidRPr="00CB228B">
          <w:rPr>
            <w:rFonts w:ascii="Book Antiqua" w:hAnsi="Book Antiqua"/>
            <w:sz w:val="24"/>
            <w:szCs w:val="24"/>
          </w:rPr>
          <w:fldChar w:fldCharType="begin"/>
        </w:r>
        <w:r w:rsidRPr="00CB228B">
          <w:rPr>
            <w:rFonts w:ascii="Book Antiqua" w:hAnsi="Book Antiqua"/>
            <w:sz w:val="24"/>
            <w:szCs w:val="24"/>
          </w:rPr>
          <w:instrText>PAGE   \* MERGEFORMAT</w:instrText>
        </w:r>
        <w:r w:rsidRPr="00CB228B">
          <w:rPr>
            <w:rFonts w:ascii="Book Antiqua" w:hAnsi="Book Antiqua"/>
            <w:sz w:val="24"/>
            <w:szCs w:val="24"/>
          </w:rPr>
          <w:fldChar w:fldCharType="separate"/>
        </w:r>
        <w:r w:rsidRPr="00CB228B">
          <w:rPr>
            <w:rFonts w:ascii="Book Antiqua" w:hAnsi="Book Antiqua"/>
            <w:sz w:val="24"/>
            <w:szCs w:val="24"/>
            <w:lang w:val="zh-CN" w:eastAsia="zh-CN"/>
          </w:rPr>
          <w:t>2</w:t>
        </w:r>
        <w:r w:rsidRPr="00CB228B">
          <w:rPr>
            <w:rFonts w:ascii="Book Antiqua" w:hAnsi="Book Antiqua"/>
            <w:sz w:val="24"/>
            <w:szCs w:val="24"/>
          </w:rPr>
          <w:fldChar w:fldCharType="end"/>
        </w:r>
        <w:r w:rsidRPr="00CB228B">
          <w:rPr>
            <w:rFonts w:ascii="Book Antiqua" w:hAnsi="Book Antiqua"/>
            <w:sz w:val="24"/>
            <w:szCs w:val="24"/>
          </w:rPr>
          <w:t xml:space="preserve"> </w:t>
        </w:r>
        <w:r w:rsidRPr="00CB228B">
          <w:rPr>
            <w:rFonts w:ascii="Book Antiqua" w:hAnsi="Book Antiqua"/>
            <w:sz w:val="24"/>
            <w:szCs w:val="24"/>
            <w:lang w:eastAsia="zh-CN"/>
          </w:rPr>
          <w:t>/ 2</w:t>
        </w:r>
        <w:r w:rsidR="00570565">
          <w:rPr>
            <w:rFonts w:ascii="Book Antiqua" w:hAnsi="Book Antiqua"/>
            <w:sz w:val="24"/>
            <w:szCs w:val="24"/>
            <w:lang w:eastAsia="zh-CN"/>
          </w:rPr>
          <w:t>4</w:t>
        </w:r>
      </w:p>
    </w:sdtContent>
  </w:sdt>
  <w:p w14:paraId="3F5155B3" w14:textId="77777777" w:rsidR="00CB228B" w:rsidRDefault="00CB22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2FCB" w14:textId="77777777" w:rsidR="00FA6024" w:rsidRDefault="00FA6024" w:rsidP="00027ECD">
      <w:r>
        <w:separator/>
      </w:r>
    </w:p>
  </w:footnote>
  <w:footnote w:type="continuationSeparator" w:id="0">
    <w:p w14:paraId="4A8DDF86" w14:textId="77777777" w:rsidR="00FA6024" w:rsidRDefault="00FA6024" w:rsidP="0002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ECD"/>
    <w:rsid w:val="00034438"/>
    <w:rsid w:val="00041B7C"/>
    <w:rsid w:val="000C17FA"/>
    <w:rsid w:val="000F3EAA"/>
    <w:rsid w:val="002D08B2"/>
    <w:rsid w:val="0038062F"/>
    <w:rsid w:val="004641C9"/>
    <w:rsid w:val="004A2564"/>
    <w:rsid w:val="004C0BF9"/>
    <w:rsid w:val="00570565"/>
    <w:rsid w:val="005E2194"/>
    <w:rsid w:val="006314B8"/>
    <w:rsid w:val="00725202"/>
    <w:rsid w:val="007A350E"/>
    <w:rsid w:val="007E6017"/>
    <w:rsid w:val="00865F10"/>
    <w:rsid w:val="008725BA"/>
    <w:rsid w:val="009F6767"/>
    <w:rsid w:val="00A77B3E"/>
    <w:rsid w:val="00AF524C"/>
    <w:rsid w:val="00B45178"/>
    <w:rsid w:val="00B72241"/>
    <w:rsid w:val="00B74CAE"/>
    <w:rsid w:val="00C34BD9"/>
    <w:rsid w:val="00CA2A55"/>
    <w:rsid w:val="00CB228B"/>
    <w:rsid w:val="00D171AA"/>
    <w:rsid w:val="00D31696"/>
    <w:rsid w:val="00E16058"/>
    <w:rsid w:val="00E374A0"/>
    <w:rsid w:val="00E4520A"/>
    <w:rsid w:val="00E75C84"/>
    <w:rsid w:val="00EC2471"/>
    <w:rsid w:val="00FA3ADC"/>
    <w:rsid w:val="00FA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E562C"/>
  <w15:docId w15:val="{3B194A74-3ADB-472C-B5B8-3171CFB6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7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7ECD"/>
    <w:rPr>
      <w:sz w:val="18"/>
      <w:szCs w:val="18"/>
    </w:rPr>
  </w:style>
  <w:style w:type="paragraph" w:styleId="a5">
    <w:name w:val="footer"/>
    <w:basedOn w:val="a"/>
    <w:link w:val="a6"/>
    <w:uiPriority w:val="99"/>
    <w:unhideWhenUsed/>
    <w:rsid w:val="00027ECD"/>
    <w:pPr>
      <w:tabs>
        <w:tab w:val="center" w:pos="4153"/>
        <w:tab w:val="right" w:pos="8306"/>
      </w:tabs>
      <w:snapToGrid w:val="0"/>
    </w:pPr>
    <w:rPr>
      <w:sz w:val="18"/>
      <w:szCs w:val="18"/>
    </w:rPr>
  </w:style>
  <w:style w:type="character" w:customStyle="1" w:styleId="a6">
    <w:name w:val="页脚 字符"/>
    <w:basedOn w:val="a0"/>
    <w:link w:val="a5"/>
    <w:uiPriority w:val="99"/>
    <w:rsid w:val="00027ECD"/>
    <w:rPr>
      <w:sz w:val="18"/>
      <w:szCs w:val="18"/>
    </w:rPr>
  </w:style>
  <w:style w:type="paragraph" w:styleId="a7">
    <w:name w:val="Normal (Web)"/>
    <w:basedOn w:val="a"/>
    <w:uiPriority w:val="99"/>
    <w:unhideWhenUsed/>
    <w:rsid w:val="004A2564"/>
    <w:pPr>
      <w:spacing w:before="100" w:beforeAutospacing="1" w:after="100" w:afterAutospacing="1"/>
    </w:pPr>
    <w:rPr>
      <w:rFonts w:ascii="宋体" w:eastAsia="宋体" w:hAnsi="宋体" w:cs="宋体"/>
      <w:lang w:eastAsia="zh-CN"/>
    </w:rPr>
  </w:style>
  <w:style w:type="paragraph" w:customStyle="1" w:styleId="1">
    <w:name w:val="正文1"/>
    <w:rsid w:val="00D171AA"/>
    <w:pPr>
      <w:spacing w:before="100" w:beforeAutospacing="1"/>
    </w:pPr>
    <w:rPr>
      <w:rFonts w:eastAsia="宋体"/>
      <w:sz w:val="24"/>
      <w:szCs w:val="24"/>
      <w:lang w:eastAsia="zh-CN"/>
    </w:rPr>
  </w:style>
  <w:style w:type="table" w:customStyle="1" w:styleId="10">
    <w:name w:val="普通表格1"/>
    <w:semiHidden/>
    <w:rsid w:val="00D171AA"/>
    <w:rPr>
      <w:rFonts w:eastAsia="Times New Roman"/>
      <w:lang w:eastAsia="zh-C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132">
      <w:bodyDiv w:val="1"/>
      <w:marLeft w:val="0"/>
      <w:marRight w:val="0"/>
      <w:marTop w:val="0"/>
      <w:marBottom w:val="0"/>
      <w:divBdr>
        <w:top w:val="none" w:sz="0" w:space="0" w:color="auto"/>
        <w:left w:val="none" w:sz="0" w:space="0" w:color="auto"/>
        <w:bottom w:val="none" w:sz="0" w:space="0" w:color="auto"/>
        <w:right w:val="none" w:sz="0" w:space="0" w:color="auto"/>
      </w:divBdr>
    </w:div>
    <w:div w:id="357967430">
      <w:bodyDiv w:val="1"/>
      <w:marLeft w:val="0"/>
      <w:marRight w:val="0"/>
      <w:marTop w:val="0"/>
      <w:marBottom w:val="0"/>
      <w:divBdr>
        <w:top w:val="none" w:sz="0" w:space="0" w:color="auto"/>
        <w:left w:val="none" w:sz="0" w:space="0" w:color="auto"/>
        <w:bottom w:val="none" w:sz="0" w:space="0" w:color="auto"/>
        <w:right w:val="none" w:sz="0" w:space="0" w:color="auto"/>
      </w:divBdr>
    </w:div>
    <w:div w:id="805201287">
      <w:bodyDiv w:val="1"/>
      <w:marLeft w:val="0"/>
      <w:marRight w:val="0"/>
      <w:marTop w:val="0"/>
      <w:marBottom w:val="0"/>
      <w:divBdr>
        <w:top w:val="none" w:sz="0" w:space="0" w:color="auto"/>
        <w:left w:val="none" w:sz="0" w:space="0" w:color="auto"/>
        <w:bottom w:val="none" w:sz="0" w:space="0" w:color="auto"/>
        <w:right w:val="none" w:sz="0" w:space="0" w:color="auto"/>
      </w:divBdr>
    </w:div>
    <w:div w:id="848181052">
      <w:bodyDiv w:val="1"/>
      <w:marLeft w:val="0"/>
      <w:marRight w:val="0"/>
      <w:marTop w:val="0"/>
      <w:marBottom w:val="0"/>
      <w:divBdr>
        <w:top w:val="none" w:sz="0" w:space="0" w:color="auto"/>
        <w:left w:val="none" w:sz="0" w:space="0" w:color="auto"/>
        <w:bottom w:val="none" w:sz="0" w:space="0" w:color="auto"/>
        <w:right w:val="none" w:sz="0" w:space="0" w:color="auto"/>
      </w:divBdr>
    </w:div>
    <w:div w:id="1292521313">
      <w:bodyDiv w:val="1"/>
      <w:marLeft w:val="0"/>
      <w:marRight w:val="0"/>
      <w:marTop w:val="0"/>
      <w:marBottom w:val="0"/>
      <w:divBdr>
        <w:top w:val="none" w:sz="0" w:space="0" w:color="auto"/>
        <w:left w:val="none" w:sz="0" w:space="0" w:color="auto"/>
        <w:bottom w:val="none" w:sz="0" w:space="0" w:color="auto"/>
        <w:right w:val="none" w:sz="0" w:space="0" w:color="auto"/>
      </w:divBdr>
    </w:div>
    <w:div w:id="1302733157">
      <w:bodyDiv w:val="1"/>
      <w:marLeft w:val="0"/>
      <w:marRight w:val="0"/>
      <w:marTop w:val="0"/>
      <w:marBottom w:val="0"/>
      <w:divBdr>
        <w:top w:val="none" w:sz="0" w:space="0" w:color="auto"/>
        <w:left w:val="none" w:sz="0" w:space="0" w:color="auto"/>
        <w:bottom w:val="none" w:sz="0" w:space="0" w:color="auto"/>
        <w:right w:val="none" w:sz="0" w:space="0" w:color="auto"/>
      </w:divBdr>
    </w:div>
    <w:div w:id="1581327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2021-09-27T06:24:00Z</dcterms:created>
  <dcterms:modified xsi:type="dcterms:W3CDTF">2021-09-27T06:24:00Z</dcterms:modified>
</cp:coreProperties>
</file>