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0578E" w14:textId="77777777" w:rsidR="00A77B3E" w:rsidRDefault="00E0441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107BCA37" w14:textId="77777777" w:rsidR="00A77B3E" w:rsidRDefault="00E0441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65021</w:t>
      </w:r>
    </w:p>
    <w:p w14:paraId="78095B78" w14:textId="77777777" w:rsidR="00A77B3E" w:rsidRDefault="00E0441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A071357" w14:textId="77777777" w:rsidR="00A77B3E" w:rsidRDefault="00A77B3E">
      <w:pPr>
        <w:spacing w:line="360" w:lineRule="auto"/>
        <w:jc w:val="both"/>
      </w:pPr>
    </w:p>
    <w:p w14:paraId="1C7DB71E" w14:textId="77777777" w:rsidR="00A77B3E" w:rsidRDefault="00E0441B">
      <w:pPr>
        <w:spacing w:line="360" w:lineRule="auto"/>
        <w:jc w:val="both"/>
      </w:pPr>
      <w:bookmarkStart w:id="0" w:name="OLE_LINK5"/>
      <w:r>
        <w:rPr>
          <w:rFonts w:ascii="Book Antiqua" w:eastAsia="Book Antiqua" w:hAnsi="Book Antiqua" w:cs="Book Antiqua"/>
          <w:b/>
          <w:bCs/>
          <w:color w:val="000000"/>
        </w:rPr>
        <w:t>Chemotherapy-induced neurotoxicity in the treatment of gynecological cancers: State of art and an innovative approach for prevention</w:t>
      </w:r>
    </w:p>
    <w:bookmarkEnd w:id="0"/>
    <w:p w14:paraId="1DE6AA74" w14:textId="77777777" w:rsidR="00A77B3E" w:rsidRDefault="00A77B3E">
      <w:pPr>
        <w:spacing w:line="360" w:lineRule="auto"/>
        <w:jc w:val="both"/>
      </w:pPr>
    </w:p>
    <w:p w14:paraId="3525F297" w14:textId="5D03EC8C" w:rsidR="00A77B3E" w:rsidRPr="006D3EBE" w:rsidRDefault="00F40B9F">
      <w:pPr>
        <w:spacing w:line="360" w:lineRule="auto"/>
        <w:jc w:val="both"/>
      </w:pPr>
      <w:r w:rsidRPr="006D3EBE">
        <w:rPr>
          <w:rFonts w:ascii="Book Antiqua" w:eastAsia="Book Antiqua" w:hAnsi="Book Antiqua" w:cs="Book Antiqua"/>
          <w:color w:val="000000"/>
        </w:rPr>
        <w:t xml:space="preserve">Oneda E </w:t>
      </w:r>
      <w:r w:rsidRPr="006D3EBE">
        <w:rPr>
          <w:rFonts w:ascii="Book Antiqua" w:eastAsia="Book Antiqua" w:hAnsi="Book Antiqua" w:cs="Book Antiqua"/>
          <w:i/>
          <w:iCs/>
          <w:color w:val="000000"/>
        </w:rPr>
        <w:t>et al</w:t>
      </w:r>
      <w:r w:rsidRPr="006D3EBE">
        <w:rPr>
          <w:rFonts w:ascii="Book Antiqua" w:eastAsia="Book Antiqua" w:hAnsi="Book Antiqua" w:cs="Book Antiqua"/>
          <w:color w:val="000000"/>
        </w:rPr>
        <w:t>.</w:t>
      </w:r>
      <w:r w:rsidRPr="006D3EBE">
        <w:rPr>
          <w:rFonts w:ascii="Book Antiqua" w:eastAsia="Book Antiqua" w:hAnsi="Book Antiqua" w:cs="Book Antiqua"/>
          <w:color w:val="000000"/>
          <w:lang w:val="it-IT"/>
        </w:rPr>
        <w:t xml:space="preserve"> </w:t>
      </w:r>
      <w:r w:rsidR="00E0441B" w:rsidRPr="006D3EBE">
        <w:rPr>
          <w:rFonts w:ascii="Book Antiqua" w:eastAsia="Book Antiqua" w:hAnsi="Book Antiqua" w:cs="Book Antiqua"/>
          <w:color w:val="000000"/>
          <w:lang w:val="it-IT"/>
        </w:rPr>
        <w:t xml:space="preserve">CIPN </w:t>
      </w:r>
      <w:r w:rsidR="00207CFE" w:rsidRPr="006D3EBE">
        <w:rPr>
          <w:rFonts w:ascii="Book Antiqua" w:eastAsia="Book Antiqua" w:hAnsi="Book Antiqua" w:cs="Book Antiqua"/>
          <w:color w:val="000000"/>
          <w:lang w:val="it-IT"/>
        </w:rPr>
        <w:t xml:space="preserve">prevention </w:t>
      </w:r>
      <w:r w:rsidR="00E0441B" w:rsidRPr="006D3EBE">
        <w:rPr>
          <w:rFonts w:ascii="Book Antiqua" w:eastAsia="Book Antiqua" w:hAnsi="Book Antiqua" w:cs="Book Antiqua"/>
          <w:color w:val="000000"/>
          <w:lang w:val="it-IT"/>
        </w:rPr>
        <w:t>in gynecological cancer</w:t>
      </w:r>
    </w:p>
    <w:p w14:paraId="0BD86B84" w14:textId="77777777" w:rsidR="00A77B3E" w:rsidRPr="006D3EBE" w:rsidRDefault="00A77B3E">
      <w:pPr>
        <w:spacing w:line="360" w:lineRule="auto"/>
        <w:jc w:val="both"/>
      </w:pPr>
    </w:p>
    <w:p w14:paraId="08A16692" w14:textId="77777777" w:rsidR="00A77B3E" w:rsidRPr="006D3EBE" w:rsidRDefault="00E0441B">
      <w:pPr>
        <w:spacing w:line="360" w:lineRule="auto"/>
        <w:jc w:val="both"/>
      </w:pPr>
      <w:r w:rsidRPr="006D3EBE">
        <w:rPr>
          <w:rFonts w:ascii="Book Antiqua" w:eastAsia="Book Antiqua" w:hAnsi="Book Antiqua" w:cs="Book Antiqua"/>
          <w:color w:val="000000"/>
        </w:rPr>
        <w:t>Ester Oneda, Chiara Abeni, Laura Zanotti, Elisabetta Zaina, Sara Bighè, Alberto Zaniboni</w:t>
      </w:r>
    </w:p>
    <w:p w14:paraId="32E8AAAF" w14:textId="77777777" w:rsidR="00A77B3E" w:rsidRPr="006D3EBE" w:rsidRDefault="00A77B3E">
      <w:pPr>
        <w:spacing w:line="360" w:lineRule="auto"/>
        <w:jc w:val="both"/>
      </w:pPr>
    </w:p>
    <w:p w14:paraId="22E8C588" w14:textId="77777777" w:rsidR="00A77B3E" w:rsidRPr="006D3EBE" w:rsidRDefault="00E0441B">
      <w:pPr>
        <w:spacing w:line="360" w:lineRule="auto"/>
        <w:jc w:val="both"/>
      </w:pPr>
      <w:r w:rsidRPr="006D3EBE">
        <w:rPr>
          <w:rFonts w:ascii="Book Antiqua" w:eastAsia="Book Antiqua" w:hAnsi="Book Antiqua" w:cs="Book Antiqua"/>
          <w:b/>
          <w:bCs/>
          <w:color w:val="000000"/>
        </w:rPr>
        <w:t xml:space="preserve">Ester Oneda, Chiara Abeni, Laura Zanotti, Elisabetta Zaina, Sara Bighè, Alberto Zaniboni, </w:t>
      </w:r>
      <w:r w:rsidRPr="006D3EBE">
        <w:rPr>
          <w:rFonts w:ascii="Book Antiqua" w:eastAsia="Book Antiqua" w:hAnsi="Book Antiqua" w:cs="Book Antiqua"/>
          <w:color w:val="000000"/>
        </w:rPr>
        <w:t>Department of Clinical Oncology, Fondazione Poliambulanza, Brescia 25124, Italy</w:t>
      </w:r>
    </w:p>
    <w:p w14:paraId="56EEB098" w14:textId="77777777" w:rsidR="00A77B3E" w:rsidRPr="006D3EBE" w:rsidRDefault="00A77B3E">
      <w:pPr>
        <w:spacing w:line="360" w:lineRule="auto"/>
        <w:jc w:val="both"/>
      </w:pPr>
    </w:p>
    <w:p w14:paraId="0E9FCBB0" w14:textId="798870A7" w:rsidR="00A77B3E" w:rsidRDefault="00E0441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Oneda E wrote the paper</w:t>
      </w:r>
      <w:r w:rsidR="00D43D6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Abeni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Zanina</w:t>
      </w:r>
      <w:proofErr w:type="spellEnd"/>
      <w:r>
        <w:rPr>
          <w:rFonts w:ascii="Book Antiqua" w:eastAsia="Book Antiqua" w:hAnsi="Book Antiqua" w:cs="Book Antiqua"/>
          <w:color w:val="000000"/>
        </w:rPr>
        <w:t xml:space="preserve"> E</w:t>
      </w:r>
      <w:r w:rsidR="00D43D6B">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Bighè</w:t>
      </w:r>
      <w:proofErr w:type="spellEnd"/>
      <w:r>
        <w:rPr>
          <w:rFonts w:ascii="Book Antiqua" w:eastAsia="Book Antiqua" w:hAnsi="Book Antiqua" w:cs="Book Antiqua"/>
          <w:color w:val="000000"/>
        </w:rPr>
        <w:t xml:space="preserve"> S collected data</w:t>
      </w:r>
      <w:r w:rsidR="00D43D6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Zanotti</w:t>
      </w:r>
      <w:proofErr w:type="spellEnd"/>
      <w:r>
        <w:rPr>
          <w:rFonts w:ascii="Book Antiqua" w:eastAsia="Book Antiqua" w:hAnsi="Book Antiqua" w:cs="Book Antiqua"/>
          <w:color w:val="000000"/>
        </w:rPr>
        <w:t xml:space="preserve"> L analyzed the data</w:t>
      </w:r>
      <w:r w:rsidR="00D43D6B">
        <w:rPr>
          <w:rFonts w:ascii="Book Antiqua" w:eastAsia="Book Antiqua" w:hAnsi="Book Antiqua" w:cs="Book Antiqua"/>
          <w:color w:val="000000"/>
        </w:rPr>
        <w:t xml:space="preserve">; </w:t>
      </w:r>
      <w:r>
        <w:rPr>
          <w:rFonts w:ascii="Book Antiqua" w:eastAsia="Book Antiqua" w:hAnsi="Book Antiqua" w:cs="Book Antiqua"/>
          <w:color w:val="000000"/>
        </w:rPr>
        <w:t>Zaniboni A revised the paper.</w:t>
      </w:r>
    </w:p>
    <w:p w14:paraId="2355D603" w14:textId="77777777" w:rsidR="00A77B3E" w:rsidRDefault="00A77B3E">
      <w:pPr>
        <w:spacing w:line="360" w:lineRule="auto"/>
        <w:jc w:val="both"/>
      </w:pPr>
    </w:p>
    <w:p w14:paraId="2EFFF7F9" w14:textId="77777777" w:rsidR="00A77B3E" w:rsidRDefault="00E0441B">
      <w:pPr>
        <w:spacing w:line="360" w:lineRule="auto"/>
        <w:jc w:val="both"/>
      </w:pPr>
      <w:r>
        <w:rPr>
          <w:rFonts w:ascii="Book Antiqua" w:eastAsia="Book Antiqua" w:hAnsi="Book Antiqua" w:cs="Book Antiqua"/>
          <w:b/>
          <w:bCs/>
          <w:color w:val="000000"/>
        </w:rPr>
        <w:t xml:space="preserve">Corresponding author: Ester Oneda, MD, Doctor, </w:t>
      </w:r>
      <w:r>
        <w:rPr>
          <w:rFonts w:ascii="Book Antiqua" w:eastAsia="Book Antiqua" w:hAnsi="Book Antiqua" w:cs="Book Antiqua"/>
          <w:color w:val="000000"/>
        </w:rPr>
        <w:t xml:space="preserve">Department of Clinical Oncology, Fondazione </w:t>
      </w:r>
      <w:proofErr w:type="spellStart"/>
      <w:r>
        <w:rPr>
          <w:rFonts w:ascii="Book Antiqua" w:eastAsia="Book Antiqua" w:hAnsi="Book Antiqua" w:cs="Book Antiqua"/>
          <w:color w:val="000000"/>
        </w:rPr>
        <w:t>Poliambulanza</w:t>
      </w:r>
      <w:proofErr w:type="spellEnd"/>
      <w:r>
        <w:rPr>
          <w:rFonts w:ascii="Book Antiqua" w:eastAsia="Book Antiqua" w:hAnsi="Book Antiqua" w:cs="Book Antiqua"/>
          <w:color w:val="000000"/>
        </w:rPr>
        <w:t xml:space="preserve">, Via </w:t>
      </w:r>
      <w:proofErr w:type="spellStart"/>
      <w:r>
        <w:rPr>
          <w:rFonts w:ascii="Book Antiqua" w:eastAsia="Book Antiqua" w:hAnsi="Book Antiqua" w:cs="Book Antiqua"/>
          <w:color w:val="000000"/>
        </w:rPr>
        <w:t>Bissolati</w:t>
      </w:r>
      <w:proofErr w:type="spellEnd"/>
      <w:r>
        <w:rPr>
          <w:rFonts w:ascii="Book Antiqua" w:eastAsia="Book Antiqua" w:hAnsi="Book Antiqua" w:cs="Book Antiqua"/>
          <w:color w:val="000000"/>
        </w:rPr>
        <w:t xml:space="preserve"> 57, Brescia 25124, Italy. dott.ester.oneda@gmail.com</w:t>
      </w:r>
    </w:p>
    <w:p w14:paraId="2CD8DEDB" w14:textId="77777777" w:rsidR="00A77B3E" w:rsidRDefault="00A77B3E">
      <w:pPr>
        <w:spacing w:line="360" w:lineRule="auto"/>
        <w:jc w:val="both"/>
      </w:pPr>
    </w:p>
    <w:p w14:paraId="16EA3168" w14:textId="77777777" w:rsidR="00A77B3E" w:rsidRDefault="00E0441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26, 2021</w:t>
      </w:r>
    </w:p>
    <w:p w14:paraId="31761EF3" w14:textId="77777777" w:rsidR="00A77B3E" w:rsidRDefault="00E0441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29, 2021</w:t>
      </w:r>
    </w:p>
    <w:p w14:paraId="1B8E24A6" w14:textId="105F801A" w:rsidR="00A77B3E" w:rsidRDefault="00E0441B">
      <w:pPr>
        <w:spacing w:line="360" w:lineRule="auto"/>
        <w:jc w:val="both"/>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A33B59">
        <w:rPr>
          <w:rFonts w:ascii="Book Antiqua" w:eastAsia="宋体" w:hAnsi="Book Antiqua"/>
          <w:color w:val="000000" w:themeColor="text1"/>
        </w:rPr>
        <w:t>J</w:t>
      </w:r>
      <w:r w:rsidR="00A33B59">
        <w:rPr>
          <w:rFonts w:ascii="Book Antiqua" w:eastAsia="宋体" w:hAnsi="Book Antiqua" w:hint="eastAsia"/>
          <w:color w:val="000000" w:themeColor="text1"/>
        </w:rPr>
        <w:t>une</w:t>
      </w:r>
      <w:r w:rsidR="00A33B59" w:rsidRPr="00F06907">
        <w:rPr>
          <w:rFonts w:ascii="Book Antiqua" w:eastAsia="宋体" w:hAnsi="Book Antiqua"/>
          <w:color w:val="000000" w:themeColor="text1"/>
        </w:rPr>
        <w:t xml:space="preserve"> </w:t>
      </w:r>
      <w:r w:rsidR="00A33B59">
        <w:rPr>
          <w:rFonts w:ascii="Book Antiqua" w:eastAsia="宋体" w:hAnsi="Book Antiqua"/>
          <w:color w:val="000000" w:themeColor="text1"/>
        </w:rPr>
        <w:t>4</w:t>
      </w:r>
      <w:r w:rsidR="00A33B59" w:rsidRPr="00F06907">
        <w:rPr>
          <w:rFonts w:ascii="Book Antiqua" w:eastAsia="宋体" w:hAnsi="Book Antiqua"/>
          <w:color w:val="000000" w:themeColor="text1"/>
        </w:rPr>
        <w:t>, 2021</w:t>
      </w:r>
      <w:bookmarkEnd w:id="1"/>
      <w:bookmarkEnd w:id="2"/>
      <w:bookmarkEnd w:id="3"/>
    </w:p>
    <w:p w14:paraId="3720BC03" w14:textId="77777777" w:rsidR="00A77B3E" w:rsidRDefault="00E0441B">
      <w:pPr>
        <w:spacing w:line="360" w:lineRule="auto"/>
        <w:jc w:val="both"/>
      </w:pPr>
      <w:r>
        <w:rPr>
          <w:rFonts w:ascii="Book Antiqua" w:eastAsia="Book Antiqua" w:hAnsi="Book Antiqua" w:cs="Book Antiqua"/>
          <w:b/>
          <w:bCs/>
          <w:color w:val="000000"/>
        </w:rPr>
        <w:t xml:space="preserve">Published online: </w:t>
      </w:r>
    </w:p>
    <w:p w14:paraId="7DD9926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ED29F63" w14:textId="77777777" w:rsidR="00A77B3E" w:rsidRDefault="00E0441B">
      <w:pPr>
        <w:spacing w:line="360" w:lineRule="auto"/>
        <w:jc w:val="both"/>
      </w:pPr>
      <w:r>
        <w:rPr>
          <w:rFonts w:ascii="Book Antiqua" w:eastAsia="Book Antiqua" w:hAnsi="Book Antiqua" w:cs="Book Antiqua"/>
          <w:b/>
          <w:color w:val="000000"/>
        </w:rPr>
        <w:lastRenderedPageBreak/>
        <w:t>Abstract</w:t>
      </w:r>
    </w:p>
    <w:p w14:paraId="6024C67A" w14:textId="19FFAD54" w:rsidR="00A77B3E" w:rsidRDefault="00E0441B">
      <w:pPr>
        <w:spacing w:line="360" w:lineRule="auto"/>
        <w:jc w:val="both"/>
      </w:pPr>
      <w:bookmarkStart w:id="4" w:name="_Hlk73612348"/>
      <w:r>
        <w:rPr>
          <w:rFonts w:ascii="Book Antiqua" w:eastAsia="Book Antiqua" w:hAnsi="Book Antiqua" w:cs="Book Antiqua"/>
          <w:color w:val="000000"/>
        </w:rPr>
        <w:t>Chemotherapy-induced peripheral neuropathy</w:t>
      </w:r>
      <w:bookmarkEnd w:id="4"/>
      <w:r>
        <w:rPr>
          <w:rFonts w:ascii="Book Antiqua" w:eastAsia="Book Antiqua" w:hAnsi="Book Antiqua" w:cs="Book Antiqua"/>
          <w:color w:val="000000"/>
        </w:rPr>
        <w:t xml:space="preserve"> (CIPN) is a common side effect that occurs in 20% of ovarian cancer patients treated with the combination of carboplatin</w:t>
      </w:r>
      <w:r w:rsidR="00D43D6B">
        <w:rPr>
          <w:rFonts w:ascii="Book Antiqua" w:eastAsia="Book Antiqua" w:hAnsi="Book Antiqua" w:cs="Book Antiqua"/>
          <w:color w:val="000000"/>
        </w:rPr>
        <w:t>/</w:t>
      </w:r>
      <w:r>
        <w:rPr>
          <w:rFonts w:ascii="Book Antiqua" w:eastAsia="Book Antiqua" w:hAnsi="Book Antiqua" w:cs="Book Antiqua"/>
          <w:color w:val="000000"/>
        </w:rPr>
        <w:t xml:space="preserve">paclitaxel (CP). This toxicity is directly correlated with the dose of paclitaxel administered. Several studies have investigated whether different formulations of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can induce this side effect at a lower rate, but, unfortunately, no significant improvement was obtained. CIPN can be disabling in the daily lives of patients and can cause dose reduction or early termination of the treatment. Neuropathy can last for months and even years after its onset. Moreover, patients responsive to CP treatment are candidates for a reintroduction of the same drugs when disease relapse occurs, and residual neuropathy can affect the continuation of treatment. There are no approved drugs that mitigate or prevent the onset of CIPN.</w:t>
      </w:r>
      <w:r w:rsidR="00D43D6B">
        <w:rPr>
          <w:rFonts w:ascii="Book Antiqua" w:eastAsia="Book Antiqua" w:hAnsi="Book Antiqua" w:cs="Book Antiqua"/>
          <w:color w:val="000000"/>
        </w:rPr>
        <w:t xml:space="preserve"> </w:t>
      </w:r>
      <w:r>
        <w:rPr>
          <w:rFonts w:ascii="Book Antiqua" w:eastAsia="Book Antiqua" w:hAnsi="Book Antiqua" w:cs="Book Antiqua"/>
          <w:color w:val="000000"/>
        </w:rPr>
        <w:t xml:space="preserve">In this review, we summarize the evidence regarding the incidence of CIPN with different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formulations, regimen schedules and prevention systems. In particular, the </w:t>
      </w:r>
      <w:proofErr w:type="spellStart"/>
      <w:r>
        <w:rPr>
          <w:rFonts w:ascii="Book Antiqua" w:eastAsia="Book Antiqua" w:hAnsi="Book Antiqua" w:cs="Book Antiqua"/>
          <w:color w:val="000000"/>
        </w:rPr>
        <w:t>Hilotherm</w:t>
      </w:r>
      <w:proofErr w:type="spellEnd"/>
      <w:r w:rsidRPr="00D43D6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Chemo care device is a regional cooling system that lowers the temperature of the hands and feet to reduce the flow of chemotherapy into the capillaries. We used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xml:space="preserve"> during chemotherapy infusion to prevent the onset of CIPN. Updated data from 44 ovarian cancer patients treated with 6 cycle of CP show that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xml:space="preserve"> was well tolerated; only two patients (4.5%) stopped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xml:space="preserve"> because of cold intolerance, and only one patient (2.2%) experienced grade ≥ 2 CIPN.</w:t>
      </w:r>
    </w:p>
    <w:p w14:paraId="7DDF23C9" w14:textId="77777777" w:rsidR="00A77B3E" w:rsidRDefault="00A77B3E">
      <w:pPr>
        <w:spacing w:line="360" w:lineRule="auto"/>
        <w:jc w:val="both"/>
      </w:pPr>
    </w:p>
    <w:p w14:paraId="746CE4AE" w14:textId="6BBA3D75" w:rsidR="00A77B3E" w:rsidRDefault="00E0441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Peripheral neuropathy; </w:t>
      </w:r>
      <w:r w:rsidR="00D43D6B">
        <w:rPr>
          <w:rFonts w:ascii="Book Antiqua" w:eastAsia="Book Antiqua" w:hAnsi="Book Antiqua" w:cs="Book Antiqua"/>
          <w:color w:val="000000"/>
        </w:rPr>
        <w:t>O</w:t>
      </w:r>
      <w:r>
        <w:rPr>
          <w:rFonts w:ascii="Book Antiqua" w:eastAsia="Book Antiqua" w:hAnsi="Book Antiqua" w:cs="Book Antiqua"/>
          <w:color w:val="000000"/>
        </w:rPr>
        <w:t xml:space="preserve">varian cancer; </w:t>
      </w:r>
      <w:r w:rsidR="00D43D6B">
        <w:rPr>
          <w:rFonts w:ascii="Book Antiqua" w:eastAsia="Book Antiqua" w:hAnsi="Book Antiqua" w:cs="Book Antiqua"/>
          <w:color w:val="000000"/>
        </w:rPr>
        <w:t>P</w:t>
      </w:r>
      <w:r>
        <w:rPr>
          <w:rFonts w:ascii="Book Antiqua" w:eastAsia="Book Antiqua" w:hAnsi="Book Antiqua" w:cs="Book Antiqua"/>
          <w:color w:val="000000"/>
        </w:rPr>
        <w:t xml:space="preserve">aclitaxel; </w:t>
      </w:r>
      <w:r w:rsidR="00D43D6B">
        <w:rPr>
          <w:rFonts w:ascii="Book Antiqua" w:eastAsia="Book Antiqua" w:hAnsi="Book Antiqua" w:cs="Book Antiqua"/>
          <w:color w:val="000000"/>
        </w:rPr>
        <w:t>Chemotherapy-induced peripheral neuropathy</w:t>
      </w:r>
      <w:r>
        <w:rPr>
          <w:rFonts w:ascii="Book Antiqua" w:eastAsia="Book Antiqua" w:hAnsi="Book Antiqua" w:cs="Book Antiqua"/>
          <w:color w:val="000000"/>
        </w:rPr>
        <w:t xml:space="preserve"> prevention; </w:t>
      </w:r>
      <w:proofErr w:type="spellStart"/>
      <w:r w:rsidR="00D43D6B">
        <w:rPr>
          <w:rFonts w:ascii="Book Antiqua" w:eastAsia="Book Antiqua" w:hAnsi="Book Antiqua" w:cs="Book Antiqua"/>
          <w:color w:val="000000"/>
        </w:rPr>
        <w:t>H</w:t>
      </w:r>
      <w:r>
        <w:rPr>
          <w:rFonts w:ascii="Book Antiqua" w:eastAsia="Book Antiqua" w:hAnsi="Book Antiqua" w:cs="Book Antiqua"/>
          <w:color w:val="000000"/>
        </w:rPr>
        <w:t>ilotherapy</w:t>
      </w:r>
      <w:proofErr w:type="spellEnd"/>
    </w:p>
    <w:p w14:paraId="108DE16C" w14:textId="77777777" w:rsidR="00A77B3E" w:rsidRDefault="00A77B3E">
      <w:pPr>
        <w:spacing w:line="360" w:lineRule="auto"/>
        <w:jc w:val="both"/>
      </w:pPr>
    </w:p>
    <w:p w14:paraId="2E0DA99A" w14:textId="77777777" w:rsidR="00A77B3E" w:rsidRDefault="00E0441B">
      <w:pPr>
        <w:spacing w:line="360" w:lineRule="auto"/>
        <w:jc w:val="both"/>
      </w:pPr>
      <w:proofErr w:type="spellStart"/>
      <w:r>
        <w:rPr>
          <w:rFonts w:ascii="Book Antiqua" w:eastAsia="Book Antiqua" w:hAnsi="Book Antiqua" w:cs="Book Antiqua"/>
          <w:color w:val="000000"/>
        </w:rPr>
        <w:t>Oneda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Abeni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Zanotti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Zaina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Bighè</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Zaniboni</w:t>
      </w:r>
      <w:proofErr w:type="spellEnd"/>
      <w:r>
        <w:rPr>
          <w:rFonts w:ascii="Book Antiqua" w:eastAsia="Book Antiqua" w:hAnsi="Book Antiqua" w:cs="Book Antiqua"/>
          <w:color w:val="000000"/>
        </w:rPr>
        <w:t xml:space="preserve"> A. Chemotherapy-induced neurotoxicity in the treatment of gynecological cancers: State of art and an innovative approach for prevention .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2021; In press</w:t>
      </w:r>
    </w:p>
    <w:p w14:paraId="5D3049B7" w14:textId="77777777" w:rsidR="00A77B3E" w:rsidRDefault="00A77B3E">
      <w:pPr>
        <w:spacing w:line="360" w:lineRule="auto"/>
        <w:jc w:val="both"/>
      </w:pPr>
    </w:p>
    <w:p w14:paraId="2088EA58" w14:textId="77777777" w:rsidR="00A77B3E" w:rsidRDefault="00E0441B">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The association of carboplatin and paclitaxel is the standard chemotherapy regimen for ovarian cancer women. One of the most common and disabling side effect of this treatment is the peripheral neuropathy caused by paclitaxel, it can occur in 20% of patients and can last months and even years after the end of chemotherapy. In this review we collected the evidence from several studies with different schedules or formulation of paclitaxel and the systems of prevention and propose a mechanical way of prevention adopted in our center through the use of the cooling system of the </w:t>
      </w:r>
      <w:proofErr w:type="spellStart"/>
      <w:r>
        <w:rPr>
          <w:rFonts w:ascii="Book Antiqua" w:eastAsia="Book Antiqua" w:hAnsi="Book Antiqua" w:cs="Book Antiqua"/>
          <w:color w:val="000000"/>
        </w:rPr>
        <w:t>hilotherm</w:t>
      </w:r>
      <w:proofErr w:type="spellEnd"/>
      <w:r>
        <w:rPr>
          <w:rFonts w:ascii="Book Antiqua" w:eastAsia="Book Antiqua" w:hAnsi="Book Antiqua" w:cs="Book Antiqua"/>
          <w:color w:val="000000"/>
        </w:rPr>
        <w:t xml:space="preserve"> device.</w:t>
      </w:r>
    </w:p>
    <w:p w14:paraId="0164F8FF" w14:textId="11E39ED6" w:rsidR="00A77B3E" w:rsidRDefault="00D43D6B">
      <w:pPr>
        <w:spacing w:line="360" w:lineRule="auto"/>
        <w:jc w:val="both"/>
      </w:pPr>
      <w:r>
        <w:br w:type="page"/>
      </w:r>
      <w:r w:rsidR="00E0441B">
        <w:rPr>
          <w:rFonts w:ascii="Book Antiqua" w:eastAsia="Book Antiqua" w:hAnsi="Book Antiqua" w:cs="Book Antiqua"/>
          <w:b/>
          <w:caps/>
          <w:color w:val="000000"/>
          <w:u w:val="single"/>
        </w:rPr>
        <w:lastRenderedPageBreak/>
        <w:t>INTRODUCTION</w:t>
      </w:r>
    </w:p>
    <w:p w14:paraId="19B0F826" w14:textId="612D2321" w:rsidR="00A77B3E" w:rsidRDefault="00E0441B">
      <w:pPr>
        <w:spacing w:line="360" w:lineRule="auto"/>
        <w:jc w:val="both"/>
      </w:pPr>
      <w:r>
        <w:rPr>
          <w:rFonts w:ascii="Book Antiqua" w:eastAsia="Book Antiqua" w:hAnsi="Book Antiqua" w:cs="Book Antiqua"/>
          <w:color w:val="000000"/>
        </w:rPr>
        <w:t xml:space="preserve">Carboplatin/paclitaxel (CP) is the chemotherapy of choice for ovarian cancer, in neo/adjuvant, first-line and in platinum-sensitive recurrence, and moreover, in advance stage a reintroduction of paclitaxel </w:t>
      </w:r>
      <w:r w:rsidR="00D43D6B">
        <w:rPr>
          <w:rFonts w:ascii="Book Antiqua" w:eastAsia="Book Antiqua" w:hAnsi="Book Antiqua" w:cs="Book Antiqua"/>
          <w:color w:val="000000"/>
        </w:rPr>
        <w:t xml:space="preserve">(PTX) </w:t>
      </w:r>
      <w:r>
        <w:rPr>
          <w:rFonts w:ascii="Book Antiqua" w:eastAsia="Book Antiqua" w:hAnsi="Book Antiqua" w:cs="Book Antiqua"/>
          <w:color w:val="000000"/>
        </w:rPr>
        <w:t>monotherapy can be considered</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 significant proportion of recurring patients, with a platinum-free interval longer than 6</w:t>
      </w:r>
      <w:r w:rsidR="00D43D6B">
        <w:rPr>
          <w:rFonts w:ascii="Book Antiqua" w:eastAsia="Book Antiqua" w:hAnsi="Book Antiqua" w:cs="Book Antiqua"/>
          <w:color w:val="000000"/>
        </w:rPr>
        <w:t>-</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are classified as platinum-sensitive and are candidates for retreatment with the same drugs used in first-line therapy</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Chemotherapy-induced peripheral neuropathy (CIPN) is one of the most life altering chemotherapy side effects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and it is frequently related to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treatment. The prevalence of CIPN ranges from 11% to over 87%</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In an online survey, 78% of 1360 women with ovarian cancer experienced CIPN 2.3 years after completing chemotherapy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CIPN leads to peripheral nerve dysfunction or damage of varying intensity, duration and permanence. Symptoms range from acute transient </w:t>
      </w:r>
      <w:proofErr w:type="spellStart"/>
      <w:r>
        <w:rPr>
          <w:rFonts w:ascii="Book Antiqua" w:eastAsia="Book Antiqua" w:hAnsi="Book Antiqua" w:cs="Book Antiqua"/>
          <w:color w:val="000000"/>
        </w:rPr>
        <w:t>paraesthesia</w:t>
      </w:r>
      <w:proofErr w:type="spellEnd"/>
      <w:r>
        <w:rPr>
          <w:rFonts w:ascii="Book Antiqua" w:eastAsia="Book Antiqua" w:hAnsi="Book Antiqua" w:cs="Book Antiqua"/>
          <w:color w:val="000000"/>
        </w:rPr>
        <w:t xml:space="preserve"> or chronic pain to permanent peripheral nerve damage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CIPN can occurs days after chemotherapy and gradually progresses to cumulative doses. Symptoms typically present as a "glove and stocking" neuropathy, with tingling, loss of dexterity in the fingers, hypoesthesia of the feet, and </w:t>
      </w:r>
      <w:proofErr w:type="spellStart"/>
      <w:r>
        <w:rPr>
          <w:rFonts w:ascii="Book Antiqua" w:eastAsia="Book Antiqua" w:hAnsi="Book Antiqua" w:cs="Book Antiqua"/>
          <w:color w:val="000000"/>
        </w:rPr>
        <w:t>paraesthesia</w:t>
      </w:r>
      <w:proofErr w:type="spellEnd"/>
      <w:r>
        <w:rPr>
          <w:rFonts w:ascii="Book Antiqua" w:eastAsia="Book Antiqua" w:hAnsi="Book Antiqua" w:cs="Book Antiqua"/>
          <w:color w:val="000000"/>
        </w:rPr>
        <w:t xml:space="preserve"> in the limbs. In addition, skin burns, electric shocks, as well as altered perception of pain to touch or heat may be felt</w:t>
      </w:r>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In the worst case, sensory perception can be completely lost. CIPN can also manifest with motor symptoms with distal weakness, gait and balance disturbances, and impaired movements. Daily physical functioning can be impaired such as firmly grasping objects, unfastening jacket buttons, climbing steps or driving, it affects patient’s the quality of life (QoL)</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Health-related QoL can be impaired</w:t>
      </w:r>
      <w:r>
        <w:rPr>
          <w:rFonts w:ascii="Book Antiqua" w:eastAsia="Book Antiqua" w:hAnsi="Book Antiqua" w:cs="Book Antiqua"/>
          <w:color w:val="000000"/>
          <w:szCs w:val="30"/>
          <w:vertAlign w:val="superscript"/>
        </w:rPr>
        <w:t xml:space="preserve">[6,11,13] </w:t>
      </w:r>
      <w:r>
        <w:rPr>
          <w:rFonts w:ascii="Book Antiqua" w:eastAsia="Book Antiqua" w:hAnsi="Book Antiqua" w:cs="Book Antiqua"/>
          <w:color w:val="000000"/>
        </w:rPr>
        <w:t>whit psychological consequences</w:t>
      </w:r>
      <w:r>
        <w:rPr>
          <w:rFonts w:ascii="Book Antiqua" w:eastAsia="Book Antiqua" w:hAnsi="Book Antiqua" w:cs="Book Antiqua"/>
          <w:color w:val="000000"/>
          <w:szCs w:val="30"/>
          <w:vertAlign w:val="superscript"/>
        </w:rPr>
        <w:t>[14]</w:t>
      </w:r>
      <w:r w:rsidRPr="007717F3">
        <w:rPr>
          <w:rFonts w:ascii="Book Antiqua" w:eastAsia="Book Antiqua" w:hAnsi="Book Antiqua" w:cs="Book Antiqua"/>
          <w:color w:val="000000"/>
          <w:szCs w:val="30"/>
        </w:rPr>
        <w:t xml:space="preserve"> </w:t>
      </w:r>
      <w:r>
        <w:rPr>
          <w:rFonts w:ascii="Book Antiqua" w:eastAsia="Book Antiqua" w:hAnsi="Book Antiqua" w:cs="Book Antiqua"/>
          <w:color w:val="000000"/>
        </w:rPr>
        <w:t>such as major depression</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352C9569" w14:textId="2FB5C02C" w:rsidR="00A77B3E" w:rsidRDefault="00E0441B" w:rsidP="00D43D6B">
      <w:pPr>
        <w:spacing w:line="360" w:lineRule="auto"/>
        <w:ind w:firstLineChars="100" w:firstLine="240"/>
        <w:jc w:val="both"/>
      </w:pPr>
      <w:r>
        <w:rPr>
          <w:rFonts w:ascii="Book Antiqua" w:eastAsia="Book Antiqua" w:hAnsi="Book Antiqua" w:cs="Book Antiqua"/>
          <w:color w:val="000000"/>
        </w:rPr>
        <w:t xml:space="preserve">Due to this adverse event, treatment must unfortunately be interrupted or continued at a reduced dose, limiting the effectiveness of chemotherapy. To date, none of the numerous drugs tested to prevent or relieve the symptoms of CIPN has obtained evidence of efficacy. Antidepressants (such as nortriptyline), duloxetine, gabapentin, baclofen-containing gel, amitriptyline, ketamine, lidocaine, tramadol, </w:t>
      </w:r>
      <w:proofErr w:type="spellStart"/>
      <w:r>
        <w:rPr>
          <w:rFonts w:ascii="Book Antiqua" w:eastAsia="Book Antiqua" w:hAnsi="Book Antiqua" w:cs="Book Antiqua"/>
          <w:color w:val="000000"/>
        </w:rPr>
        <w:t>tapentadol</w:t>
      </w:r>
      <w:proofErr w:type="spellEnd"/>
      <w:r>
        <w:rPr>
          <w:rFonts w:ascii="Book Antiqua" w:eastAsia="Book Antiqua" w:hAnsi="Book Antiqua" w:cs="Book Antiqua"/>
          <w:color w:val="000000"/>
        </w:rPr>
        <w:t>, buprenorphine, and lithium were ineffective</w:t>
      </w:r>
      <w:r>
        <w:rPr>
          <w:rFonts w:ascii="Book Antiqua" w:eastAsia="Book Antiqua" w:hAnsi="Book Antiqua" w:cs="Book Antiqua"/>
          <w:color w:val="000000"/>
          <w:szCs w:val="20"/>
          <w:vertAlign w:val="superscript"/>
        </w:rPr>
        <w:t>[16-25]</w:t>
      </w:r>
      <w:r>
        <w:rPr>
          <w:rFonts w:ascii="Book Antiqua" w:eastAsia="Book Antiqua" w:hAnsi="Book Antiqua" w:cs="Book Antiqua"/>
          <w:color w:val="000000"/>
        </w:rPr>
        <w:t xml:space="preserve">. These agents have a record of efficacy </w:t>
      </w:r>
      <w:r>
        <w:rPr>
          <w:rFonts w:ascii="Book Antiqua" w:eastAsia="Book Antiqua" w:hAnsi="Book Antiqua" w:cs="Book Antiqua"/>
          <w:color w:val="000000"/>
        </w:rPr>
        <w:lastRenderedPageBreak/>
        <w:t>for other common neuropathic pain conditions, but CIPN has a different pathological origin. The American Society of Clinical Oncology (ASCO) does not recommend any agent for the prevention of CIPN</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 number of nonpharmacologic interventions, such as acupuncture, limb hypothermia, surgical glove </w:t>
      </w:r>
      <w:r w:rsidR="00D50100">
        <w:rPr>
          <w:rFonts w:ascii="Book Antiqua" w:eastAsia="Book Antiqua" w:hAnsi="Book Antiqua" w:cs="Book Antiqua"/>
          <w:color w:val="000000"/>
        </w:rPr>
        <w:t xml:space="preserve">(SG) </w:t>
      </w:r>
      <w:r>
        <w:rPr>
          <w:rFonts w:ascii="Book Antiqua" w:eastAsia="Book Antiqua" w:hAnsi="Book Antiqua" w:cs="Book Antiqua"/>
          <w:color w:val="000000"/>
        </w:rPr>
        <w:t xml:space="preserve">compression and </w:t>
      </w:r>
      <w:proofErr w:type="spellStart"/>
      <w:r>
        <w:rPr>
          <w:rFonts w:ascii="Book Antiqua" w:eastAsia="Book Antiqua" w:hAnsi="Book Antiqua" w:cs="Book Antiqua"/>
          <w:color w:val="000000"/>
        </w:rPr>
        <w:t>electrocutaneous</w:t>
      </w:r>
      <w:proofErr w:type="spellEnd"/>
      <w:r>
        <w:rPr>
          <w:rFonts w:ascii="Book Antiqua" w:eastAsia="Book Antiqua" w:hAnsi="Book Antiqua" w:cs="Book Antiqua"/>
          <w:color w:val="000000"/>
        </w:rPr>
        <w:t xml:space="preserve"> nerve stimulation, have also been investigated. However, the paucity of randomized controlled trial evidence prohibited the inclusion of those studies in this systematic review</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0A6CA6B1" w14:textId="6BDFC84E" w:rsidR="00A77B3E" w:rsidRDefault="00E0441B" w:rsidP="00D43D6B">
      <w:pPr>
        <w:spacing w:line="360" w:lineRule="auto"/>
        <w:ind w:firstLineChars="100" w:firstLine="240"/>
        <w:jc w:val="both"/>
      </w:pPr>
      <w:r>
        <w:rPr>
          <w:rFonts w:ascii="Book Antiqua" w:eastAsia="Book Antiqua" w:hAnsi="Book Antiqua" w:cs="Book Antiqua"/>
          <w:color w:val="000000"/>
        </w:rPr>
        <w:t>Reducing the penetration of chemotherapeutic agents into the capillaries of hands and feet and lowering the temperature of the patient’s extremities can be a way to slow blood circulation and cell metabolism in order to prevent the onset of CIPN. In fact, the tissue metabolic rate can be reduced by 50% dropping the tissue temperature by up to 10</w:t>
      </w:r>
      <w:r w:rsidR="00D43D6B">
        <w:rPr>
          <w:rFonts w:ascii="Book Antiqua" w:eastAsia="Book Antiqua" w:hAnsi="Book Antiqua" w:cs="Book Antiqua"/>
          <w:color w:val="000000"/>
        </w:rPr>
        <w:t xml:space="preserve"> </w:t>
      </w:r>
      <w:r>
        <w:rPr>
          <w:rFonts w:ascii="Book Antiqua" w:eastAsia="Book Antiqua" w:hAnsi="Book Antiqua" w:cs="Book Antiqua"/>
          <w:color w:val="000000"/>
        </w:rPr>
        <w:t xml:space="preserve">°C.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xml:space="preserve"> is an effective method to constantly cool the temperature of the hands and feet during treatment and prevents the development of CIPN and polyneuropathy, giving patients a better QoL. In this review, we will discuss the incidence of CIPN in gynecologic cancer patients, the clinical features related to the treatment and the way to minimize or to prevent its onset.</w:t>
      </w:r>
    </w:p>
    <w:p w14:paraId="05437F5A" w14:textId="77777777" w:rsidR="00A77B3E" w:rsidRDefault="00A77B3E">
      <w:pPr>
        <w:spacing w:line="360" w:lineRule="auto"/>
        <w:jc w:val="both"/>
      </w:pPr>
    </w:p>
    <w:p w14:paraId="09794D85" w14:textId="77777777" w:rsidR="00A77B3E" w:rsidRDefault="00E0441B">
      <w:pPr>
        <w:spacing w:line="360" w:lineRule="auto"/>
        <w:jc w:val="both"/>
      </w:pPr>
      <w:r>
        <w:rPr>
          <w:rFonts w:ascii="Book Antiqua" w:eastAsia="Book Antiqua" w:hAnsi="Book Antiqua" w:cs="Book Antiqua"/>
          <w:b/>
          <w:bCs/>
          <w:caps/>
          <w:color w:val="000000"/>
          <w:szCs w:val="16"/>
          <w:u w:val="single"/>
          <w:shd w:val="clear" w:color="auto" w:fill="FFFFFF"/>
        </w:rPr>
        <w:t>TAXANE-RELATED CIPN</w:t>
      </w:r>
    </w:p>
    <w:p w14:paraId="0D9F8A6C" w14:textId="6FFFAF78" w:rsidR="00A77B3E" w:rsidRDefault="00E0441B">
      <w:pPr>
        <w:spacing w:line="360" w:lineRule="auto"/>
        <w:jc w:val="both"/>
      </w:pP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-induced CIPN is predominantly sensory (SPN) and rarely presents with motor and autonomic changes</w:t>
      </w:r>
      <w:r>
        <w:rPr>
          <w:rFonts w:ascii="Book Antiqua" w:eastAsia="Book Antiqua" w:hAnsi="Book Antiqua" w:cs="Book Antiqua"/>
          <w:color w:val="000000"/>
          <w:vertAlign w:val="superscript"/>
        </w:rPr>
        <w:t>[4]</w:t>
      </w:r>
      <w:r>
        <w:rPr>
          <w:rFonts w:ascii="Book Antiqua" w:eastAsia="Book Antiqua" w:hAnsi="Book Antiqua" w:cs="Book Antiqua"/>
          <w:color w:val="000000"/>
        </w:rPr>
        <w:t>. Symptoms may arise early and even after the first administration, they are dose dependent, but tend to improve after discontinuation of treatment. However, the onset and severity are highly variable from individual to individual; no anticipatory signal can suggest a dose reduction, and there are no indications of a de-escalation of therapy to mitigate the symptoms once they arise. Furthermore, CIPN even after the end of chemotherapy can persist for months or years afterwards and in rare cases be permanent</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D43D6B">
        <w:rPr>
          <w:rFonts w:ascii="Book Antiqua" w:eastAsia="Book Antiqua" w:hAnsi="Book Antiqua" w:cs="Book Antiqua"/>
          <w:color w:val="000000"/>
        </w:rPr>
        <w:t xml:space="preserve"> </w:t>
      </w:r>
      <w:r>
        <w:rPr>
          <w:rFonts w:ascii="Book Antiqua" w:eastAsia="Book Antiqua" w:hAnsi="Book Antiqua" w:cs="Book Antiqua"/>
          <w:color w:val="000000"/>
        </w:rPr>
        <w:t>The only certain risk factor is the dose administered, with increases in risk proportional to the cumulative dose</w:t>
      </w:r>
      <w:r>
        <w:rPr>
          <w:rFonts w:ascii="Book Antiqua" w:eastAsia="Book Antiqua" w:hAnsi="Book Antiqua" w:cs="Book Antiqua"/>
          <w:color w:val="000000"/>
          <w:szCs w:val="30"/>
          <w:vertAlign w:val="superscript"/>
        </w:rPr>
        <w:t>[4]</w:t>
      </w:r>
      <w:r w:rsidRPr="00D43D6B">
        <w:rPr>
          <w:rFonts w:ascii="Book Antiqua" w:eastAsia="Book Antiqua" w:hAnsi="Book Antiqua" w:cs="Book Antiqua"/>
          <w:color w:val="000000"/>
          <w:szCs w:val="3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Pignata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found that approximately three fourths of patients treated with CP experienced peripheral neuropathy, and 7% had ≥ grade 3 CIPN. Residual neurotoxicity occurs </w:t>
      </w:r>
      <w:r>
        <w:rPr>
          <w:rFonts w:ascii="Book Antiqua" w:eastAsia="Book Antiqua" w:hAnsi="Book Antiqua" w:cs="Book Antiqua"/>
          <w:color w:val="000000"/>
        </w:rPr>
        <w:lastRenderedPageBreak/>
        <w:t>frequently in patients after completion of CP, with a long-lasting pattern of recovery and 14% of patients still suffer residual neuropathy 1 year after treatment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Such toxicity still persists in a significant proportion of patients who experience relapse and therefore, affects second-line treatment choice.</w:t>
      </w:r>
    </w:p>
    <w:p w14:paraId="3C8E1BAD" w14:textId="7FB2583E" w:rsidR="00A77B3E" w:rsidRDefault="00E0441B" w:rsidP="00D43D6B">
      <w:pPr>
        <w:spacing w:line="360" w:lineRule="auto"/>
        <w:ind w:firstLineChars="100" w:firstLine="240"/>
        <w:jc w:val="both"/>
      </w:pPr>
      <w:r>
        <w:rPr>
          <w:rFonts w:ascii="Book Antiqua" w:eastAsia="Book Antiqua" w:hAnsi="Book Antiqua" w:cs="Book Antiqua"/>
          <w:color w:val="000000"/>
        </w:rPr>
        <w:t>The Gynecologic Oncology Group (GOG) reported that approximately 20% of ovarian cancer, patients treated with the combination of carboplatin and PTX at 175 mg/</w:t>
      </w:r>
      <w:proofErr w:type="spellStart"/>
      <w:r>
        <w:rPr>
          <w:rFonts w:ascii="Book Antiqua" w:eastAsia="Book Antiqua" w:hAnsi="Book Antiqua" w:cs="Book Antiqua"/>
          <w:color w:val="000000"/>
        </w:rPr>
        <w:t>mq</w:t>
      </w:r>
      <w:proofErr w:type="spellEnd"/>
      <w:r>
        <w:rPr>
          <w:rFonts w:ascii="Book Antiqua" w:eastAsia="Book Antiqua" w:hAnsi="Book Antiqua" w:cs="Book Antiqua"/>
          <w:color w:val="000000"/>
        </w:rPr>
        <w:t xml:space="preserve"> every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first-line therapy experienced grade 2 or higher neuropathy, and this percentage was increased among older patients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Considering a similar total dose, the MITO-7 study showed that in patients with advanced ovarian cancer the regimen with carboplatin</w:t>
      </w:r>
      <w:r w:rsidR="00207CFE">
        <w:rPr>
          <w:rFonts w:ascii="Book Antiqua" w:eastAsia="Book Antiqua" w:hAnsi="Book Antiqua" w:cs="Book Antiqua"/>
          <w:color w:val="000000"/>
        </w:rPr>
        <w:t xml:space="preserve"> </w:t>
      </w:r>
      <w:r w:rsidR="006D3EBE">
        <w:rPr>
          <w:rFonts w:ascii="Book Antiqua" w:eastAsia="Book Antiqua" w:hAnsi="Book Antiqua" w:cs="Book Antiqua"/>
          <w:color w:val="000000"/>
        </w:rPr>
        <w:t>area under the c</w:t>
      </w:r>
      <w:r w:rsidR="00207CFE">
        <w:rPr>
          <w:rFonts w:ascii="Book Antiqua" w:eastAsia="Book Antiqua" w:hAnsi="Book Antiqua" w:cs="Book Antiqua"/>
          <w:color w:val="000000"/>
        </w:rPr>
        <w:t>urve</w:t>
      </w:r>
      <w:r>
        <w:rPr>
          <w:rFonts w:ascii="Book Antiqua" w:eastAsia="Book Antiqua" w:hAnsi="Book Antiqua" w:cs="Book Antiqua"/>
          <w:color w:val="000000"/>
        </w:rPr>
        <w:t xml:space="preserve"> </w:t>
      </w:r>
      <w:r w:rsidR="00207CFE">
        <w:rPr>
          <w:rFonts w:ascii="Book Antiqua" w:eastAsia="Book Antiqua" w:hAnsi="Book Antiqua" w:cs="Book Antiqua"/>
          <w:color w:val="000000"/>
        </w:rPr>
        <w:t>(</w:t>
      </w:r>
      <w:r>
        <w:rPr>
          <w:rFonts w:ascii="Book Antiqua" w:eastAsia="Book Antiqua" w:hAnsi="Book Antiqua" w:cs="Book Antiqua"/>
          <w:color w:val="000000"/>
        </w:rPr>
        <w:t>AUC</w:t>
      </w:r>
      <w:r w:rsidR="00207CFE">
        <w:rPr>
          <w:rFonts w:ascii="Book Antiqua" w:eastAsia="Book Antiqua" w:hAnsi="Book Antiqua" w:cs="Book Antiqua"/>
          <w:color w:val="000000"/>
        </w:rPr>
        <w:t>)</w:t>
      </w:r>
      <w:r>
        <w:rPr>
          <w:rFonts w:ascii="Book Antiqua" w:eastAsia="Book Antiqua" w:hAnsi="Book Antiqua" w:cs="Book Antiqua"/>
          <w:color w:val="000000"/>
        </w:rPr>
        <w:t xml:space="preserve"> 2 mg/mL per min plus weekly PTX at 60 mg/</w:t>
      </w:r>
      <w:proofErr w:type="spellStart"/>
      <w:r>
        <w:rPr>
          <w:rFonts w:ascii="Book Antiqua" w:eastAsia="Book Antiqua" w:hAnsi="Book Antiqua" w:cs="Book Antiqua"/>
          <w:color w:val="000000"/>
        </w:rPr>
        <w:t>mq</w:t>
      </w:r>
      <w:proofErr w:type="spellEnd"/>
      <w:r>
        <w:rPr>
          <w:rFonts w:ascii="Book Antiqua" w:eastAsia="Book Antiqua" w:hAnsi="Book Antiqua" w:cs="Book Antiqua"/>
          <w:color w:val="000000"/>
        </w:rPr>
        <w:t xml:space="preserve"> was less neurotoxic than carboplatin AUC 6 mg/mL per min plus PTX at 175 mg/</w:t>
      </w:r>
      <w:proofErr w:type="spellStart"/>
      <w:r>
        <w:rPr>
          <w:rFonts w:ascii="Book Antiqua" w:eastAsia="Book Antiqua" w:hAnsi="Book Antiqua" w:cs="Book Antiqua"/>
          <w:color w:val="000000"/>
        </w:rPr>
        <w:t>mq</w:t>
      </w:r>
      <w:proofErr w:type="spellEnd"/>
      <w:r>
        <w:rPr>
          <w:rFonts w:ascii="Book Antiqua" w:eastAsia="Book Antiqua" w:hAnsi="Book Antiqua" w:cs="Book Antiqua"/>
          <w:color w:val="000000"/>
        </w:rPr>
        <w:t xml:space="preserve"> every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(grade 2 or higher neuropathy of 6% </w:t>
      </w:r>
      <w:r>
        <w:rPr>
          <w:rFonts w:ascii="Book Antiqua" w:eastAsia="Book Antiqua" w:hAnsi="Book Antiqua" w:cs="Book Antiqua"/>
          <w:i/>
          <w:iCs/>
          <w:color w:val="000000"/>
        </w:rPr>
        <w:t>vs</w:t>
      </w:r>
      <w:r>
        <w:rPr>
          <w:rFonts w:ascii="Book Antiqua" w:eastAsia="Book Antiqua" w:hAnsi="Book Antiqua" w:cs="Book Antiqua"/>
          <w:color w:val="000000"/>
        </w:rPr>
        <w:t xml:space="preserve"> 17%, respectively). However, despite the better toxicity profile and the incremented QoL, the weekly regimen did not prolong progression free-survival (PFS)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 Japanese Gynecologic Oncology Group (JGOG) randomized patients to receive carboplatin AUC 6 mg/mL per min every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plus dose dense PTX at 80 mg/</w:t>
      </w:r>
      <w:proofErr w:type="spellStart"/>
      <w:r>
        <w:rPr>
          <w:rFonts w:ascii="Book Antiqua" w:eastAsia="Book Antiqua" w:hAnsi="Book Antiqua" w:cs="Book Antiqua"/>
          <w:color w:val="000000"/>
        </w:rPr>
        <w:t>mq</w:t>
      </w:r>
      <w:proofErr w:type="spellEnd"/>
      <w:r>
        <w:rPr>
          <w:rFonts w:ascii="Book Antiqua" w:eastAsia="Book Antiqua" w:hAnsi="Book Antiqua" w:cs="Book Antiqua"/>
          <w:color w:val="000000"/>
        </w:rPr>
        <w:t xml:space="preserve"> (on days 1,</w:t>
      </w:r>
      <w:r w:rsidR="005F49FB">
        <w:rPr>
          <w:rFonts w:ascii="Book Antiqua" w:eastAsia="Book Antiqua" w:hAnsi="Book Antiqua" w:cs="Book Antiqua"/>
          <w:color w:val="000000"/>
        </w:rPr>
        <w:t xml:space="preserve"> </w:t>
      </w:r>
      <w:r>
        <w:rPr>
          <w:rFonts w:ascii="Book Antiqua" w:eastAsia="Book Antiqua" w:hAnsi="Book Antiqua" w:cs="Book Antiqua"/>
          <w:color w:val="000000"/>
        </w:rPr>
        <w:t>8,</w:t>
      </w:r>
      <w:r w:rsidR="005F49FB">
        <w:rPr>
          <w:rFonts w:ascii="Book Antiqua" w:eastAsia="Book Antiqua" w:hAnsi="Book Antiqua" w:cs="Book Antiqua"/>
          <w:color w:val="000000"/>
        </w:rPr>
        <w:t xml:space="preserve"> </w:t>
      </w:r>
      <w:r>
        <w:rPr>
          <w:rFonts w:ascii="Book Antiqua" w:eastAsia="Book Antiqua" w:hAnsi="Book Antiqua" w:cs="Book Antiqua"/>
          <w:color w:val="000000"/>
        </w:rPr>
        <w:t>15) or plus PTX at 180 mg/</w:t>
      </w:r>
      <w:proofErr w:type="spellStart"/>
      <w:r>
        <w:rPr>
          <w:rFonts w:ascii="Book Antiqua" w:eastAsia="Book Antiqua" w:hAnsi="Book Antiqua" w:cs="Book Antiqua"/>
          <w:color w:val="000000"/>
        </w:rPr>
        <w:t>mq</w:t>
      </w:r>
      <w:proofErr w:type="spellEnd"/>
      <w:r>
        <w:rPr>
          <w:rFonts w:ascii="Book Antiqua" w:eastAsia="Book Antiqua" w:hAnsi="Book Antiqua" w:cs="Book Antiqua"/>
          <w:color w:val="000000"/>
        </w:rPr>
        <w:t xml:space="preserve"> every 3 wk. The study showed that the 7% of patients treated with the dose-dense scheme had grade 3 or higher SPN and 5% had grade 3 or higher motor peripheral neuropathy (MPN), while 6% of patients treated with the standard regimen reported grade 3 or higher SPN and 4% grade 3 or higher MPN</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Despite a better median PFS benefit of 28.0 </w:t>
      </w:r>
      <w:proofErr w:type="spellStart"/>
      <w:r w:rsidR="005F49FB">
        <w:rPr>
          <w:rFonts w:ascii="Book Antiqua" w:eastAsia="Book Antiqua" w:hAnsi="Book Antiqua" w:cs="Book Antiqua"/>
          <w:color w:val="000000"/>
        </w:rPr>
        <w:t>mo</w:t>
      </w:r>
      <w:proofErr w:type="spellEnd"/>
      <w:r w:rsidR="005F49FB">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17.2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an overall survival benefit at 3 years of 72.1% </w:t>
      </w:r>
      <w:r>
        <w:rPr>
          <w:rFonts w:ascii="Book Antiqua" w:eastAsia="Book Antiqua" w:hAnsi="Book Antiqua" w:cs="Book Antiqua"/>
          <w:i/>
          <w:iCs/>
          <w:color w:val="000000"/>
        </w:rPr>
        <w:t>vs</w:t>
      </w:r>
      <w:r>
        <w:rPr>
          <w:rFonts w:ascii="Book Antiqua" w:eastAsia="Book Antiqua" w:hAnsi="Book Antiqua" w:cs="Book Antiqua"/>
          <w:color w:val="000000"/>
        </w:rPr>
        <w:t xml:space="preserve"> 65.1% in the dose-dense treatment group compared to the conventional treatment group, more patients in the dose-dense group discontinued the treatment due to hematologic toxicity</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In contrast, in the JGOG-3016</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and GOG-0262</w:t>
      </w:r>
      <w:r>
        <w:rPr>
          <w:rFonts w:ascii="Book Antiqua" w:eastAsia="Book Antiqua" w:hAnsi="Book Antiqua" w:cs="Book Antiqua"/>
          <w:color w:val="000000"/>
          <w:szCs w:val="30"/>
          <w:vertAlign w:val="superscript"/>
        </w:rPr>
        <w:t>[31]</w:t>
      </w:r>
      <w:r w:rsidRPr="007717F3">
        <w:rPr>
          <w:rFonts w:ascii="Book Antiqua" w:eastAsia="Book Antiqua" w:hAnsi="Book Antiqua" w:cs="Book Antiqua"/>
          <w:color w:val="000000"/>
          <w:szCs w:val="30"/>
        </w:rPr>
        <w:t xml:space="preserve"> </w:t>
      </w:r>
      <w:r>
        <w:rPr>
          <w:rFonts w:ascii="Book Antiqua" w:eastAsia="Book Antiqua" w:hAnsi="Book Antiqua" w:cs="Book Antiqua"/>
          <w:color w:val="000000"/>
        </w:rPr>
        <w:t>studies, patients in groups 2 and 3 of ICON8</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received up to 80 mg/</w:t>
      </w:r>
      <w:proofErr w:type="spellStart"/>
      <w:r>
        <w:rPr>
          <w:rFonts w:ascii="Book Antiqua" w:eastAsia="Book Antiqua" w:hAnsi="Book Antiqua" w:cs="Book Antiqua"/>
          <w:color w:val="000000"/>
        </w:rPr>
        <w:t>mq</w:t>
      </w:r>
      <w:proofErr w:type="spellEnd"/>
      <w:r>
        <w:rPr>
          <w:rFonts w:ascii="Book Antiqua" w:eastAsia="Book Antiqua" w:hAnsi="Book Antiqua" w:cs="Book Antiqua"/>
          <w:color w:val="000000"/>
        </w:rPr>
        <w:t xml:space="preserve"> of PTX per week and showed worse SPN in the weekly treatment group than in the every 3-wk treatment group. These findings suggest that SNP could be caused by cumulative PTX exposure rather than its dosing intensity</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The Scottish </w:t>
      </w:r>
      <w:proofErr w:type="spellStart"/>
      <w:r>
        <w:rPr>
          <w:rFonts w:ascii="Book Antiqua" w:eastAsia="Book Antiqua" w:hAnsi="Book Antiqua" w:cs="Book Antiqua"/>
          <w:color w:val="000000"/>
        </w:rPr>
        <w:t>Ginecological</w:t>
      </w:r>
      <w:proofErr w:type="spellEnd"/>
      <w:r>
        <w:rPr>
          <w:rFonts w:ascii="Book Antiqua" w:eastAsia="Book Antiqua" w:hAnsi="Book Antiqua" w:cs="Book Antiqua"/>
          <w:color w:val="000000"/>
        </w:rPr>
        <w:t xml:space="preserve"> Cancer Trials Group suggested that docetaxel could be less neurotoxic than PTX, and they reported a rate of 11% grade 2 or higher </w:t>
      </w:r>
      <w:r>
        <w:rPr>
          <w:rFonts w:ascii="Book Antiqua" w:eastAsia="Book Antiqua" w:hAnsi="Book Antiqua" w:cs="Book Antiqua"/>
          <w:color w:val="000000"/>
        </w:rPr>
        <w:lastRenderedPageBreak/>
        <w:t>SPN with carboplatin AUC 5 mg/mL per min plus docetaxel 75 mg/</w:t>
      </w:r>
      <w:proofErr w:type="spellStart"/>
      <w:r>
        <w:rPr>
          <w:rFonts w:ascii="Book Antiqua" w:eastAsia="Book Antiqua" w:hAnsi="Book Antiqua" w:cs="Book Antiqua"/>
          <w:color w:val="000000"/>
        </w:rPr>
        <w:t>mq</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a rate of 30% with carboplatin AUC 5 mg/mL plus PTX 175 mg/</w:t>
      </w:r>
      <w:proofErr w:type="spellStart"/>
      <w:r>
        <w:rPr>
          <w:rFonts w:ascii="Book Antiqua" w:eastAsia="Book Antiqua" w:hAnsi="Book Antiqua" w:cs="Book Antiqua"/>
          <w:color w:val="000000"/>
        </w:rPr>
        <w:t>mq</w:t>
      </w:r>
      <w:proofErr w:type="spellEnd"/>
      <w:r>
        <w:rPr>
          <w:rFonts w:ascii="Book Antiqua" w:eastAsia="Book Antiqua" w:hAnsi="Book Antiqua" w:cs="Book Antiqua"/>
          <w:color w:val="000000"/>
        </w:rPr>
        <w:t xml:space="preserve"> every three weeks in first-line ovarian cancer; however, this research did not demonstrate any survival benefit</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Unfortunately, platinum-sensitive patients who relapse are candidates for retreatment with CP, so residual peripheral neuropathy can be a limiting factor. However, studies that have evaluated the incidence of neuropathy in this setting report a 20% incidence of CIPN</w:t>
      </w:r>
      <w:r w:rsidR="005F49FB">
        <w:rPr>
          <w:rFonts w:ascii="Book Antiqua" w:eastAsia="Book Antiqua" w:hAnsi="Book Antiqua" w:cs="Book Antiqua"/>
          <w:color w:val="000000"/>
        </w:rPr>
        <w:t xml:space="preserve"> </w:t>
      </w:r>
      <w:r>
        <w:rPr>
          <w:rFonts w:ascii="Book Antiqua" w:eastAsia="Book Antiqua" w:hAnsi="Book Antiqua" w:cs="Book Antiqua"/>
          <w:color w:val="000000"/>
        </w:rPr>
        <w:t>&gt;</w:t>
      </w:r>
      <w:r w:rsidR="005F49FB">
        <w:rPr>
          <w:rFonts w:ascii="Book Antiqua" w:eastAsia="Book Antiqua" w:hAnsi="Book Antiqua" w:cs="Book Antiqua"/>
          <w:color w:val="000000"/>
        </w:rPr>
        <w:t xml:space="preserve"> </w:t>
      </w:r>
      <w:r>
        <w:rPr>
          <w:rFonts w:ascii="Book Antiqua" w:eastAsia="Book Antiqua" w:hAnsi="Book Antiqua" w:cs="Book Antiqua"/>
          <w:color w:val="000000"/>
        </w:rPr>
        <w:t>2 grade</w:t>
      </w:r>
      <w:r>
        <w:rPr>
          <w:rFonts w:ascii="Book Antiqua" w:eastAsia="Book Antiqua" w:hAnsi="Book Antiqua" w:cs="Book Antiqua"/>
          <w:color w:val="000000"/>
          <w:szCs w:val="30"/>
          <w:vertAlign w:val="superscript"/>
        </w:rPr>
        <w:t>[2,34]</w:t>
      </w:r>
      <w:r>
        <w:rPr>
          <w:rFonts w:ascii="Book Antiqua" w:eastAsia="Book Antiqua" w:hAnsi="Book Antiqua" w:cs="Book Antiqua"/>
          <w:color w:val="000000"/>
        </w:rPr>
        <w:t>. This proportion is lower than expected, which is a bias that is due to poor recruitment of patients with residual CIPN</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32C89427" w14:textId="42179AB8" w:rsidR="00A77B3E" w:rsidRDefault="00E0441B" w:rsidP="005F49FB">
      <w:pPr>
        <w:spacing w:line="360" w:lineRule="auto"/>
        <w:ind w:firstLineChars="100" w:firstLine="240"/>
        <w:jc w:val="both"/>
      </w:pPr>
      <w:r>
        <w:rPr>
          <w:rFonts w:ascii="Book Antiqua" w:eastAsia="Book Antiqua" w:hAnsi="Book Antiqua" w:cs="Book Antiqua"/>
          <w:color w:val="000000"/>
        </w:rPr>
        <w:t xml:space="preserve">Symptom improvement or resolution after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at the end of standard treatment can be achieved by most of patient; however, in some cases, symptoms can last years, with a probability of 15% of patients still having neuropathy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completion of chemotherapy and an 11% probability of still experiencing neuropathy at 2 years after completion of chemotherapy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 the secondary analyses of the ROGY care trial among ovarian cancer patients, the course of SPN among chemotherapy-treated patients remained stable over the course of 2 years, while MPN symptoms declined at 12 mo. Furthermore, at 2 years, 13% still reported high levels of SPN</w:t>
      </w:r>
      <w:r>
        <w:rPr>
          <w:rFonts w:ascii="Book Antiqua" w:eastAsia="Book Antiqua" w:hAnsi="Book Antiqua" w:cs="Book Antiqua"/>
          <w:color w:val="000000"/>
          <w:szCs w:val="30"/>
          <w:vertAlign w:val="superscript"/>
        </w:rPr>
        <w:t>[3]</w:t>
      </w:r>
      <w:r w:rsidRPr="005F49FB">
        <w:rPr>
          <w:rFonts w:ascii="Book Antiqua" w:eastAsia="Book Antiqua" w:hAnsi="Book Antiqua" w:cs="Book Antiqua"/>
          <w:color w:val="000000"/>
          <w:szCs w:val="30"/>
        </w:rPr>
        <w:t>.</w:t>
      </w:r>
      <w:r>
        <w:rPr>
          <w:rFonts w:ascii="Book Antiqua" w:eastAsia="Book Antiqua" w:hAnsi="Book Antiqua" w:cs="Book Antiqua"/>
          <w:color w:val="000000"/>
        </w:rPr>
        <w:t xml:space="preserve"> Similar findings were seen in the previous PROFILE study with a prevalence of 6</w:t>
      </w:r>
      <w:r w:rsidR="005F49FB">
        <w:rPr>
          <w:rFonts w:ascii="Book Antiqua" w:eastAsia="Book Antiqua" w:hAnsi="Book Antiqua" w:cs="Book Antiqua"/>
          <w:color w:val="000000"/>
        </w:rPr>
        <w:t>%</w:t>
      </w:r>
      <w:r>
        <w:rPr>
          <w:rFonts w:ascii="Book Antiqua" w:eastAsia="Book Antiqua" w:hAnsi="Book Antiqua" w:cs="Book Antiqua"/>
          <w:color w:val="000000"/>
        </w:rPr>
        <w:t>-9% of SPN and 14% of MPN at 2-12 years after treatment, and a decreased in CIPN symptoms three years after the end of treatment</w:t>
      </w:r>
      <w:r>
        <w:rPr>
          <w:rFonts w:ascii="Book Antiqua" w:eastAsia="Book Antiqua" w:hAnsi="Book Antiqua" w:cs="Book Antiqua"/>
          <w:color w:val="000000"/>
          <w:szCs w:val="30"/>
          <w:vertAlign w:val="superscript"/>
        </w:rPr>
        <w:t>[6]</w:t>
      </w:r>
      <w:r w:rsidR="005F49FB">
        <w:rPr>
          <w:rFonts w:ascii="Book Antiqua" w:eastAsia="Book Antiqua" w:hAnsi="Book Antiqua" w:cs="Book Antiqua"/>
          <w:color w:val="000000"/>
          <w:szCs w:val="30"/>
        </w:rPr>
        <w:t xml:space="preserve"> (Table 1)</w:t>
      </w:r>
      <w:r>
        <w:rPr>
          <w:rFonts w:ascii="Book Antiqua" w:eastAsia="Book Antiqua" w:hAnsi="Book Antiqua" w:cs="Book Antiqua"/>
          <w:color w:val="000000"/>
        </w:rPr>
        <w:t>.</w:t>
      </w:r>
    </w:p>
    <w:p w14:paraId="1582F93E" w14:textId="77777777" w:rsidR="00A77B3E" w:rsidRDefault="00A77B3E">
      <w:pPr>
        <w:spacing w:line="360" w:lineRule="auto"/>
        <w:jc w:val="both"/>
      </w:pPr>
    </w:p>
    <w:p w14:paraId="5CA070D3" w14:textId="77777777" w:rsidR="00A77B3E" w:rsidRDefault="00E0441B">
      <w:pPr>
        <w:spacing w:line="360" w:lineRule="auto"/>
        <w:jc w:val="both"/>
      </w:pPr>
      <w:r>
        <w:rPr>
          <w:rFonts w:ascii="Book Antiqua" w:eastAsia="Book Antiqua" w:hAnsi="Book Antiqua" w:cs="Book Antiqua"/>
          <w:b/>
          <w:bCs/>
          <w:caps/>
          <w:color w:val="000000"/>
          <w:u w:val="single"/>
        </w:rPr>
        <w:t>Mechanical systems of CIPN prevention</w:t>
      </w:r>
    </w:p>
    <w:p w14:paraId="12153C6D" w14:textId="27AC1848" w:rsidR="00A77B3E" w:rsidRDefault="00E0441B">
      <w:pPr>
        <w:spacing w:line="360" w:lineRule="auto"/>
        <w:jc w:val="both"/>
      </w:pPr>
      <w:r>
        <w:rPr>
          <w:rFonts w:ascii="Book Antiqua" w:eastAsia="Book Antiqua" w:hAnsi="Book Antiqua" w:cs="Book Antiqua"/>
          <w:color w:val="000000"/>
        </w:rPr>
        <w:t>Many studies have investigated the potential use of non-invasive approaches to prevent CIPN. The different mechanical systems tested include: acupuncture, scrambler therapy, hypothermia and compression therapy which aim to reduce damage to the peripheral nerves of the extremities. Acupuncture technique showed grade 3 symptom regression or stability in patients experiencing grade</w:t>
      </w:r>
      <w:r w:rsidR="005F49FB">
        <w:rPr>
          <w:rFonts w:ascii="Book Antiqua" w:eastAsia="Book Antiqua" w:hAnsi="Book Antiqua" w:cs="Book Antiqua"/>
          <w:color w:val="000000"/>
        </w:rPr>
        <w:t xml:space="preserve"> </w:t>
      </w:r>
      <w:r>
        <w:rPr>
          <w:rFonts w:ascii="Book Antiqua" w:eastAsia="Book Antiqua" w:hAnsi="Book Antiqua" w:cs="Book Antiqua"/>
          <w:color w:val="000000"/>
        </w:rPr>
        <w:t>&gt; 2 CIPN with weekly PTX for breast cancer</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Transcutaneous electrical nerve stimulation (scrambler therapy) was observed to relieve CIPN symptoms in several trials</w:t>
      </w:r>
      <w:r>
        <w:rPr>
          <w:rFonts w:ascii="Book Antiqua" w:eastAsia="Book Antiqua" w:hAnsi="Book Antiqua" w:cs="Book Antiqua"/>
          <w:color w:val="000000"/>
          <w:szCs w:val="30"/>
          <w:vertAlign w:val="superscript"/>
        </w:rPr>
        <w:t>[36-41]</w:t>
      </w:r>
      <w:r>
        <w:rPr>
          <w:rFonts w:ascii="Book Antiqua" w:eastAsia="Book Antiqua" w:hAnsi="Book Antiqua" w:cs="Book Antiqua"/>
          <w:color w:val="000000"/>
        </w:rPr>
        <w:t xml:space="preserve"> (53% reduction in pain, 44% reduction in tingling and 37% reduction in numbness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and these effects were </w:t>
      </w:r>
      <w:r>
        <w:rPr>
          <w:rFonts w:ascii="Book Antiqua" w:eastAsia="Book Antiqua" w:hAnsi="Book Antiqua" w:cs="Book Antiqua"/>
          <w:color w:val="000000"/>
        </w:rPr>
        <w:lastRenderedPageBreak/>
        <w:t>maintained for 3</w:t>
      </w:r>
      <w:r w:rsidR="005F49F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5F49FB">
        <w:rPr>
          <w:rFonts w:ascii="Book Antiqua" w:eastAsia="Book Antiqua" w:hAnsi="Book Antiqua" w:cs="Book Antiqua"/>
          <w:color w:val="000000"/>
        </w:rPr>
        <w:t xml:space="preserve"> </w:t>
      </w:r>
      <w:r>
        <w:rPr>
          <w:rFonts w:ascii="Book Antiqua" w:eastAsia="Book Antiqua" w:hAnsi="Book Antiqua" w:cs="Book Antiqua"/>
          <w:color w:val="000000"/>
        </w:rPr>
        <w:t>of follow-up</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The use of SG compression therapy was investigated by </w:t>
      </w:r>
      <w:proofErr w:type="spellStart"/>
      <w:r>
        <w:rPr>
          <w:rFonts w:ascii="Book Antiqua" w:eastAsia="Book Antiqua" w:hAnsi="Book Antiqua" w:cs="Book Antiqua"/>
          <w:color w:val="000000"/>
        </w:rPr>
        <w:t>Tsuyuki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50100">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the reduction of microvascular flow to the hands during PTX administration allows to reduce the incidence of grade 2 or higher CIPN. The incidence of grade 2 or higher sensory CIPN, according to </w:t>
      </w:r>
      <w:bookmarkStart w:id="5" w:name="_Hlk73612901"/>
      <w:r w:rsidR="00D50100" w:rsidRPr="00D50100">
        <w:rPr>
          <w:rFonts w:ascii="Book Antiqua" w:eastAsia="Book Antiqua" w:hAnsi="Book Antiqua" w:cs="Book Antiqua"/>
          <w:color w:val="000000"/>
        </w:rPr>
        <w:t>Common Terminology Criteria for Adverse Events</w:t>
      </w:r>
      <w:bookmarkEnd w:id="5"/>
      <w:r w:rsidR="00D50100" w:rsidRPr="00D50100">
        <w:rPr>
          <w:rFonts w:ascii="Book Antiqua" w:eastAsia="Book Antiqua" w:hAnsi="Book Antiqua" w:cs="Book Antiqua"/>
          <w:color w:val="000000"/>
        </w:rPr>
        <w:t xml:space="preserve"> </w:t>
      </w:r>
      <w:r w:rsidR="00D50100">
        <w:rPr>
          <w:rFonts w:ascii="Book Antiqua" w:eastAsia="Book Antiqua" w:hAnsi="Book Antiqua" w:cs="Book Antiqua"/>
          <w:color w:val="000000"/>
        </w:rPr>
        <w:t>(</w:t>
      </w:r>
      <w:r>
        <w:rPr>
          <w:rFonts w:ascii="Book Antiqua" w:eastAsia="Book Antiqua" w:hAnsi="Book Antiqua" w:cs="Book Antiqua"/>
          <w:color w:val="000000"/>
        </w:rPr>
        <w:t>CTCAE</w:t>
      </w:r>
      <w:r w:rsidR="00D50100">
        <w:rPr>
          <w:rFonts w:ascii="Book Antiqua" w:eastAsia="Book Antiqua" w:hAnsi="Book Antiqua" w:cs="Book Antiqua"/>
          <w:color w:val="000000"/>
        </w:rPr>
        <w:t>)</w:t>
      </w:r>
      <w:r>
        <w:rPr>
          <w:rFonts w:ascii="Book Antiqua" w:eastAsia="Book Antiqua" w:hAnsi="Book Antiqua" w:cs="Book Antiqua"/>
          <w:color w:val="000000"/>
        </w:rPr>
        <w:t xml:space="preserve">, with SG compression therapy was low at 13.8% </w:t>
      </w:r>
      <w:r>
        <w:rPr>
          <w:rFonts w:ascii="Book Antiqua" w:eastAsia="Book Antiqua" w:hAnsi="Book Antiqua" w:cs="Book Antiqua"/>
          <w:i/>
          <w:iCs/>
          <w:color w:val="000000"/>
        </w:rPr>
        <w:t>vs</w:t>
      </w:r>
      <w:r>
        <w:rPr>
          <w:rFonts w:ascii="Book Antiqua" w:eastAsia="Book Antiqua" w:hAnsi="Book Antiqua" w:cs="Book Antiqua"/>
          <w:color w:val="000000"/>
        </w:rPr>
        <w:t xml:space="preserve"> the incidence in the historical control group (44.1%)</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53BBD90B" w14:textId="54D6B770" w:rsidR="00A77B3E" w:rsidRDefault="00E0441B" w:rsidP="00D50100">
      <w:pPr>
        <w:spacing w:line="360" w:lineRule="auto"/>
        <w:ind w:firstLineChars="100" w:firstLine="240"/>
        <w:jc w:val="both"/>
      </w:pPr>
      <w:r>
        <w:rPr>
          <w:rFonts w:ascii="Book Antiqua" w:eastAsia="Book Antiqua" w:hAnsi="Book Antiqua" w:cs="Book Antiqua"/>
          <w:color w:val="000000"/>
        </w:rPr>
        <w:t>Cold temperature is known to reduce tissue microvascular perfusion, “therapeutic regional hypothermia” or “cryotherapy” using different limb cooling modalities (</w:t>
      </w:r>
      <w:r w:rsidRPr="00D50100">
        <w:rPr>
          <w:rFonts w:ascii="Book Antiqua" w:eastAsia="Book Antiqua" w:hAnsi="Book Antiqua" w:cs="Book Antiqua"/>
          <w:i/>
          <w:iCs/>
          <w:color w:val="000000"/>
        </w:rPr>
        <w:t>e.</w:t>
      </w:r>
      <w:r w:rsidR="00D50100" w:rsidRPr="00D50100">
        <w:rPr>
          <w:rFonts w:ascii="Book Antiqua" w:eastAsia="Book Antiqua" w:hAnsi="Book Antiqua" w:cs="Book Antiqua"/>
          <w:i/>
          <w:iCs/>
          <w:color w:val="000000"/>
        </w:rPr>
        <w:t>g.</w:t>
      </w:r>
      <w:r w:rsidR="00D50100">
        <w:rPr>
          <w:rFonts w:ascii="Book Antiqua" w:eastAsia="Book Antiqua" w:hAnsi="Book Antiqua" w:cs="Book Antiqua"/>
          <w:color w:val="000000"/>
        </w:rPr>
        <w:t>,</w:t>
      </w:r>
      <w:r>
        <w:rPr>
          <w:rFonts w:ascii="Book Antiqua" w:eastAsia="Book Antiqua" w:hAnsi="Book Antiqua" w:cs="Book Antiqua"/>
          <w:color w:val="000000"/>
        </w:rPr>
        <w:t xml:space="preserve"> direct application of ice or frozen gloves) and has been use in attempt to prevent chemotherapy-induced nail and skin toxicity, but the mechanism of the large cooling gradients of these modalities permits only intermittent coolant application and are limited by substantial intolerance and sometimes frostbite</w:t>
      </w:r>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Rosenbaek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 xml:space="preserve">[45] </w:t>
      </w:r>
      <w:r>
        <w:rPr>
          <w:rFonts w:ascii="Book Antiqua" w:eastAsia="Book Antiqua" w:hAnsi="Book Antiqua" w:cs="Book Antiqua"/>
          <w:color w:val="000000"/>
        </w:rPr>
        <w:t>demonstrated that cryotherapy associated with PTX treatment in the adjuvant treatment of breast cancer reduces the risk of dose-limiting CIPN, and increases the number of patients receiving the full chemotherapy dose (77% of patients). However, the comparison study between cryotherapy and preventive compression therapy during treatment with nab-PTX showed no benefit for either system</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 recent randomized controlled trial that investigated the effect of cryotherapy administered on all four limbs during </w:t>
      </w:r>
      <w:r w:rsidR="00D43D6B">
        <w:rPr>
          <w:rFonts w:ascii="Book Antiqua" w:eastAsia="Book Antiqua" w:hAnsi="Book Antiqua" w:cs="Book Antiqua"/>
          <w:color w:val="000000"/>
        </w:rPr>
        <w:t>PTX</w:t>
      </w:r>
      <w:r>
        <w:rPr>
          <w:rFonts w:ascii="Book Antiqua" w:eastAsia="Book Antiqua" w:hAnsi="Book Antiqua" w:cs="Book Antiqua"/>
          <w:color w:val="000000"/>
        </w:rPr>
        <w:t xml:space="preserve"> treatment among early and locally advanced breast cancer patients did not decrease the incidence and severity of sensory symptoms</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This study was unable to conclude that cryotherapy prevents sensory neuropathy probably because of the high rates of cryotherapy interruption</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688264B8" w14:textId="77777777" w:rsidR="00A77B3E" w:rsidRDefault="00A77B3E">
      <w:pPr>
        <w:spacing w:line="360" w:lineRule="auto"/>
        <w:jc w:val="both"/>
      </w:pPr>
    </w:p>
    <w:p w14:paraId="6D5ECBFF" w14:textId="4C481DFA" w:rsidR="00A77B3E" w:rsidRDefault="00E0441B">
      <w:pPr>
        <w:spacing w:line="360" w:lineRule="auto"/>
        <w:jc w:val="both"/>
      </w:pPr>
      <w:r>
        <w:rPr>
          <w:rFonts w:ascii="Book Antiqua" w:eastAsia="Book Antiqua" w:hAnsi="Book Antiqua" w:cs="Book Antiqua"/>
          <w:b/>
          <w:bCs/>
          <w:caps/>
          <w:color w:val="000000"/>
          <w:u w:val="single"/>
        </w:rPr>
        <w:t>Hilotherapy a new preventive approach</w:t>
      </w:r>
    </w:p>
    <w:p w14:paraId="68C4D7B7" w14:textId="047B1B5C" w:rsidR="00A77B3E" w:rsidRDefault="00E0441B">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Hilotherm</w:t>
      </w:r>
      <w:proofErr w:type="spellEnd"/>
      <w:r w:rsidRPr="00D5010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Chemo care device is a regional cooling system that uses cuffs and piping for the hands and feet through which the coolant flows at a temperature of 10</w:t>
      </w:r>
      <w:r w:rsidR="00D50100">
        <w:rPr>
          <w:rFonts w:ascii="Book Antiqua" w:eastAsia="Book Antiqua" w:hAnsi="Book Antiqua" w:cs="Book Antiqua"/>
          <w:color w:val="000000"/>
        </w:rPr>
        <w:t xml:space="preserve"> </w:t>
      </w:r>
      <w:r>
        <w:rPr>
          <w:rFonts w:ascii="Book Antiqua" w:eastAsia="Book Antiqua" w:hAnsi="Book Antiqua" w:cs="Book Antiqua"/>
          <w:color w:val="000000"/>
        </w:rPr>
        <w:t>°C. The insulators were fitted on both the hands and feet for 30 min</w:t>
      </w:r>
      <w:r w:rsidR="00D50100">
        <w:rPr>
          <w:rFonts w:ascii="Book Antiqua" w:eastAsia="Book Antiqua" w:hAnsi="Book Antiqua" w:cs="Book Antiqua"/>
          <w:color w:val="000000"/>
        </w:rPr>
        <w:t xml:space="preserve"> </w:t>
      </w:r>
      <w:r>
        <w:rPr>
          <w:rFonts w:ascii="Book Antiqua" w:eastAsia="Book Antiqua" w:hAnsi="Book Antiqua" w:cs="Book Antiqua"/>
          <w:color w:val="000000"/>
        </w:rPr>
        <w:t>before the start to 60 min</w:t>
      </w:r>
      <w:r w:rsidR="00D50100">
        <w:rPr>
          <w:rFonts w:ascii="Book Antiqua" w:eastAsia="Book Antiqua" w:hAnsi="Book Antiqua" w:cs="Book Antiqua"/>
          <w:color w:val="000000"/>
        </w:rPr>
        <w:t xml:space="preserve"> </w:t>
      </w:r>
      <w:r>
        <w:rPr>
          <w:rFonts w:ascii="Book Antiqua" w:eastAsia="Book Antiqua" w:hAnsi="Book Antiqua" w:cs="Book Antiqua"/>
          <w:color w:val="000000"/>
        </w:rPr>
        <w:t xml:space="preserve">after chemotherapy administration. A recent study in Germany evaluated the use of this device in 20 cancer patients treated with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-based chemotherapy as a </w:t>
      </w:r>
      <w:r>
        <w:rPr>
          <w:rFonts w:ascii="Book Antiqua" w:eastAsia="Book Antiqua" w:hAnsi="Book Antiqua" w:cs="Book Antiqua"/>
          <w:color w:val="000000"/>
        </w:rPr>
        <w:lastRenderedPageBreak/>
        <w:t xml:space="preserve">preventative method. No patients developed grade 2 or 3 symptoms of CIPN. Four weeks after their chemotherapy ended, 70% of patients who used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xml:space="preserve"> had no symptoms at all. The other 30% of patients were found to have grade 1 symptoms. Although cooling from the start of treatment achieved the best outcome, the group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36) who started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xml:space="preserve"> when CIPN symptoms occurred showed a reduction in severe symptoms of CIPN. The use of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xml:space="preserve"> was found to be comfortable and safe</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62947ED7" w14:textId="77777777" w:rsidR="00A77B3E" w:rsidRDefault="00A77B3E">
      <w:pPr>
        <w:spacing w:line="360" w:lineRule="auto"/>
        <w:jc w:val="both"/>
      </w:pPr>
    </w:p>
    <w:p w14:paraId="75D2E581" w14:textId="77777777" w:rsidR="00A77B3E" w:rsidRDefault="00E0441B">
      <w:pPr>
        <w:spacing w:line="360" w:lineRule="auto"/>
        <w:jc w:val="both"/>
      </w:pPr>
      <w:r>
        <w:rPr>
          <w:rFonts w:ascii="Book Antiqua" w:eastAsia="Book Antiqua" w:hAnsi="Book Antiqua" w:cs="Book Antiqua"/>
          <w:b/>
          <w:bCs/>
          <w:caps/>
          <w:color w:val="000000"/>
          <w:u w:val="single"/>
        </w:rPr>
        <w:t>Our personal experience</w:t>
      </w:r>
    </w:p>
    <w:p w14:paraId="36BB792E" w14:textId="57E183A0" w:rsidR="00A77B3E" w:rsidRDefault="00E0441B">
      <w:pPr>
        <w:spacing w:line="360" w:lineRule="auto"/>
        <w:jc w:val="both"/>
      </w:pPr>
      <w:r>
        <w:rPr>
          <w:rFonts w:ascii="Book Antiqua" w:eastAsia="Book Antiqua" w:hAnsi="Book Antiqua" w:cs="Book Antiqua"/>
          <w:color w:val="000000"/>
        </w:rPr>
        <w:t xml:space="preserve">In the published small retrospective trial from our center we enrolled 64 patients with breast, gynecologic and pancreatic cancer to wear </w:t>
      </w:r>
      <w:proofErr w:type="spellStart"/>
      <w:r>
        <w:rPr>
          <w:rFonts w:ascii="Book Antiqua" w:eastAsia="Book Antiqua" w:hAnsi="Book Antiqua" w:cs="Book Antiqua"/>
          <w:color w:val="000000"/>
        </w:rPr>
        <w:t>Hilotherm</w:t>
      </w:r>
      <w:proofErr w:type="spellEnd"/>
      <w:r>
        <w:rPr>
          <w:rFonts w:ascii="Book Antiqua" w:eastAsia="Book Antiqua" w:hAnsi="Book Antiqua" w:cs="Book Antiqua"/>
          <w:color w:val="000000"/>
        </w:rPr>
        <w:t xml:space="preserve"> cuffs and piping on their hands and feet. Fifty-four (84%) of these patients completed all cooling cycles during their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-based chemotherapy. Continuous cooling was well tolerated by all patients. No patients had grade &gt; 2 CIPN or had serious or lasting side effects as a result of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The median time to CIPN onset was 77 d for the entire population</w:t>
      </w:r>
      <w:r w:rsidR="00D5010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49</w:t>
      </w:r>
      <w:r w:rsidR="00D50100">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56E17E7" w14:textId="35572147" w:rsidR="00A77B3E" w:rsidRDefault="00E0441B" w:rsidP="0002490D">
      <w:pPr>
        <w:spacing w:line="360" w:lineRule="auto"/>
        <w:ind w:firstLineChars="100" w:firstLine="240"/>
        <w:jc w:val="both"/>
      </w:pPr>
      <w:r>
        <w:rPr>
          <w:rFonts w:ascii="Book Antiqua" w:eastAsia="Book Antiqua" w:hAnsi="Book Antiqua" w:cs="Book Antiqua"/>
          <w:color w:val="000000"/>
        </w:rPr>
        <w:t>The updated data in the subgroup of patients with gynecological cancer treated with the combination of carboplatin AUC 5 mg/mL per min plus PTX at 175 mg/</w:t>
      </w:r>
      <w:proofErr w:type="spellStart"/>
      <w:r>
        <w:rPr>
          <w:rFonts w:ascii="Book Antiqua" w:eastAsia="Book Antiqua" w:hAnsi="Book Antiqua" w:cs="Book Antiqua"/>
          <w:color w:val="000000"/>
        </w:rPr>
        <w:t>mq</w:t>
      </w:r>
      <w:proofErr w:type="spellEnd"/>
      <w:r>
        <w:rPr>
          <w:rFonts w:ascii="Book Antiqua" w:eastAsia="Book Antiqua" w:hAnsi="Book Antiqua" w:cs="Book Antiqua"/>
          <w:color w:val="000000"/>
        </w:rPr>
        <w:t xml:space="preserve"> every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show that 35 of 44 patients (79.5%) completed all the planned cycles of chemotherapy with the cooling system. The severity of PN was evaluated by a nurse using the CTCAE (2017). Statistical analyses were performed using STATA 13.0 (</w:t>
      </w:r>
      <w:proofErr w:type="spellStart"/>
      <w:r>
        <w:rPr>
          <w:rFonts w:ascii="Book Antiqua" w:eastAsia="Book Antiqua" w:hAnsi="Book Antiqua" w:cs="Book Antiqua"/>
          <w:color w:val="000000"/>
        </w:rPr>
        <w:t>StataCorp</w:t>
      </w:r>
      <w:proofErr w:type="spellEnd"/>
      <w:r>
        <w:rPr>
          <w:rFonts w:ascii="Book Antiqua" w:eastAsia="Book Antiqua" w:hAnsi="Book Antiqua" w:cs="Book Antiqua"/>
          <w:color w:val="000000"/>
        </w:rPr>
        <w:t xml:space="preserve"> LP, Collage Station, TX, U</w:t>
      </w:r>
      <w:r w:rsidR="00D50100">
        <w:rPr>
          <w:rFonts w:ascii="Book Antiqua" w:eastAsia="Book Antiqua" w:hAnsi="Book Antiqua" w:cs="Book Antiqua"/>
          <w:color w:val="000000"/>
        </w:rPr>
        <w:t>nited States</w:t>
      </w:r>
      <w:r>
        <w:rPr>
          <w:rFonts w:ascii="Book Antiqua" w:eastAsia="Book Antiqua" w:hAnsi="Book Antiqua" w:cs="Book Antiqua"/>
          <w:color w:val="000000"/>
        </w:rPr>
        <w:t xml:space="preserve">). Only 1 patient (2.2%) had grade ≥ 2 CIPN after 4 cycles of CP and completed the last cycle with carboplatin monotherapy; 2 patients (4.5%) stopped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xml:space="preserve"> due to excessive coldness; 3 patients (6.8%) stopped treatment due to disease progression and 2 patients (4.5%) stopped the treatment due to PTX allergic reaction; 3 patients (6.8%) had PTX reduction/interruption that was due to PTX hematologic toxicity and completed the cycles with carboplatin monotherapy and 3 patients (6.8%) concluded the treatment after 3/4 cycles due to hospitalization for planned surgery. Follow-up data are premature at the time of writing this review.</w:t>
      </w:r>
      <w:r w:rsidR="0002490D">
        <w:rPr>
          <w:rFonts w:hint="eastAsia"/>
          <w:lang w:eastAsia="zh-CN"/>
        </w:rPr>
        <w:t xml:space="preserve"> </w:t>
      </w:r>
      <w:r>
        <w:rPr>
          <w:rFonts w:ascii="Book Antiqua" w:eastAsia="Book Antiqua" w:hAnsi="Book Antiqua" w:cs="Book Antiqua"/>
          <w:color w:val="000000"/>
        </w:rPr>
        <w:t xml:space="preserve">Tables </w:t>
      </w:r>
      <w:r w:rsidR="0002490D">
        <w:rPr>
          <w:rFonts w:ascii="Book Antiqua" w:eastAsia="Book Antiqua" w:hAnsi="Book Antiqua" w:cs="Book Antiqua"/>
          <w:color w:val="000000"/>
        </w:rPr>
        <w:t xml:space="preserve">2-4 </w:t>
      </w:r>
      <w:r>
        <w:rPr>
          <w:rFonts w:ascii="Book Antiqua" w:eastAsia="Book Antiqua" w:hAnsi="Book Antiqua" w:cs="Book Antiqua"/>
          <w:color w:val="000000"/>
        </w:rPr>
        <w:t>show patient characteristics and results.</w:t>
      </w:r>
    </w:p>
    <w:p w14:paraId="2A5B183F" w14:textId="77777777" w:rsidR="00A77B3E" w:rsidRDefault="00A77B3E">
      <w:pPr>
        <w:spacing w:line="360" w:lineRule="auto"/>
        <w:jc w:val="both"/>
      </w:pPr>
    </w:p>
    <w:p w14:paraId="03BDFD2F" w14:textId="21F305F2" w:rsidR="00A77B3E" w:rsidRDefault="00E0441B">
      <w:pPr>
        <w:spacing w:line="360" w:lineRule="auto"/>
        <w:jc w:val="both"/>
      </w:pPr>
      <w:r>
        <w:rPr>
          <w:rFonts w:ascii="Book Antiqua" w:eastAsia="Book Antiqua" w:hAnsi="Book Antiqua" w:cs="Book Antiqua"/>
          <w:b/>
          <w:bCs/>
          <w:caps/>
          <w:color w:val="000000"/>
          <w:u w:val="single"/>
        </w:rPr>
        <w:t>DISCUSSION</w:t>
      </w:r>
    </w:p>
    <w:p w14:paraId="2AA6B4D0" w14:textId="6AA474EF" w:rsidR="00A77B3E" w:rsidRDefault="00E0441B">
      <w:pPr>
        <w:spacing w:line="360" w:lineRule="auto"/>
        <w:jc w:val="both"/>
      </w:pPr>
      <w:r>
        <w:rPr>
          <w:rFonts w:ascii="Book Antiqua" w:eastAsia="Book Antiqua" w:hAnsi="Book Antiqua" w:cs="Book Antiqua"/>
          <w:color w:val="000000"/>
        </w:rPr>
        <w:t xml:space="preserve">Neuropathy is an important, dose-limiting, painful, and often irreversible toxicity associated with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therapy. Approximately 20% of women treated for ovarian cancer show CIPN, and this toxicity impairs their QoL and can persist for months or even years after the end of treatment. Instead, for recurrent disease the established treatment is a reintroduction of the first-line scheme in sensitive patients, with a with a higher probability of developing toxicity or worsening of pre-existing toxicity with a consequent limitation of the duration of treatment. The only prophylactic therapy for CIPN suggested by the guidelines of the ASCO 2014</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16</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is duloxetine, but it has limited efficacy in chemotherapy-induced neuropathic pain and has no benefit on </w:t>
      </w:r>
      <w:proofErr w:type="spellStart"/>
      <w:r>
        <w:rPr>
          <w:rFonts w:ascii="Book Antiqua" w:eastAsia="Book Antiqua" w:hAnsi="Book Antiqua" w:cs="Book Antiqua"/>
          <w:color w:val="000000"/>
        </w:rPr>
        <w:t>paraesthesia</w:t>
      </w:r>
      <w:proofErr w:type="spellEnd"/>
      <w:r>
        <w:rPr>
          <w:rFonts w:ascii="Book Antiqua" w:eastAsia="Book Antiqua" w:hAnsi="Book Antiqua" w:cs="Book Antiqua"/>
          <w:color w:val="000000"/>
        </w:rPr>
        <w:t xml:space="preserve"> and functional disability. Recently, ganglioside </w:t>
      </w:r>
      <w:proofErr w:type="spellStart"/>
      <w:r>
        <w:rPr>
          <w:rFonts w:ascii="Book Antiqua" w:eastAsia="Book Antiqua" w:hAnsi="Book Antiqua" w:cs="Book Antiqua"/>
          <w:color w:val="000000"/>
        </w:rPr>
        <w:t>monosialic</w:t>
      </w:r>
      <w:proofErr w:type="spellEnd"/>
      <w:r>
        <w:rPr>
          <w:rFonts w:ascii="Book Antiqua" w:eastAsia="Book Antiqua" w:hAnsi="Book Antiqua" w:cs="Book Antiqua"/>
          <w:color w:val="000000"/>
        </w:rPr>
        <w:t xml:space="preserve"> acid has shown promising effects on the prevention of neuropathic symptoms with a lower incidence of grade&gt; 1 on the CTCAE v4.0 scale (14.3% </w:t>
      </w:r>
      <w:r>
        <w:rPr>
          <w:rFonts w:ascii="Book Antiqua" w:eastAsia="Book Antiqua" w:hAnsi="Book Antiqua" w:cs="Book Antiqua"/>
          <w:i/>
          <w:iCs/>
          <w:color w:val="000000"/>
        </w:rPr>
        <w:t>vs</w:t>
      </w:r>
      <w:r>
        <w:rPr>
          <w:rFonts w:ascii="Book Antiqua" w:eastAsia="Book Antiqua" w:hAnsi="Book Antiqua" w:cs="Book Antiqua"/>
          <w:color w:val="000000"/>
        </w:rPr>
        <w:t xml:space="preserve"> 100.0%, </w:t>
      </w:r>
      <w:r w:rsidRPr="0002490D">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02490D">
        <w:rPr>
          <w:rFonts w:ascii="Book Antiqua" w:eastAsia="Book Antiqua" w:hAnsi="Book Antiqua" w:cs="Book Antiqua"/>
          <w:color w:val="000000"/>
        </w:rPr>
        <w:t xml:space="preserve"> </w:t>
      </w:r>
      <w:r>
        <w:rPr>
          <w:rFonts w:ascii="Book Antiqua" w:eastAsia="Book Antiqua" w:hAnsi="Book Antiqua" w:cs="Book Antiqua"/>
          <w:color w:val="000000"/>
        </w:rPr>
        <w:t xml:space="preserve">0.001) both sensory (26.4% </w:t>
      </w:r>
      <w:r>
        <w:rPr>
          <w:rFonts w:ascii="Book Antiqua" w:eastAsia="Book Antiqua" w:hAnsi="Book Antiqua" w:cs="Book Antiqua"/>
          <w:i/>
          <w:iCs/>
          <w:color w:val="000000"/>
        </w:rPr>
        <w:t>vs</w:t>
      </w:r>
      <w:r>
        <w:rPr>
          <w:rFonts w:ascii="Book Antiqua" w:eastAsia="Book Antiqua" w:hAnsi="Book Antiqua" w:cs="Book Antiqua"/>
          <w:color w:val="000000"/>
        </w:rPr>
        <w:t xml:space="preserve"> 97.8%, </w:t>
      </w:r>
      <w:r w:rsidRPr="0002490D">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02490D">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motor (20.9% </w:t>
      </w:r>
      <w:r>
        <w:rPr>
          <w:rFonts w:ascii="Book Antiqua" w:eastAsia="Book Antiqua" w:hAnsi="Book Antiqua" w:cs="Book Antiqua"/>
          <w:i/>
          <w:iCs/>
          <w:color w:val="000000"/>
        </w:rPr>
        <w:t>vs</w:t>
      </w:r>
      <w:r>
        <w:rPr>
          <w:rFonts w:ascii="Book Antiqua" w:eastAsia="Book Antiqua" w:hAnsi="Book Antiqua" w:cs="Book Antiqua"/>
          <w:color w:val="000000"/>
        </w:rPr>
        <w:t xml:space="preserve"> 81.5%, </w:t>
      </w:r>
      <w:r w:rsidRPr="0002490D">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02490D">
        <w:rPr>
          <w:rFonts w:ascii="Book Antiqua" w:eastAsia="Book Antiqua" w:hAnsi="Book Antiqua" w:cs="Book Antiqua"/>
          <w:color w:val="000000"/>
        </w:rPr>
        <w:t xml:space="preserve"> </w:t>
      </w:r>
      <w:r>
        <w:rPr>
          <w:rFonts w:ascii="Book Antiqua" w:eastAsia="Book Antiqua" w:hAnsi="Book Antiqua" w:cs="Book Antiqua"/>
          <w:color w:val="000000"/>
        </w:rPr>
        <w:t>0.001) in patients with breast cancer treated with PTX</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50</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Previous studies suggested positive effects of physical activity on CIPN with a higher CIPN in patients who do not meet recommended activity levels</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51,52</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Moderate to vigorous activity was associated with lower CIPN in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-treated patients</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53</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Patients who followed physical activity guidelines reported a longer time to the onset of CIPN since completing chemotherapy, potentially suggesting adaptation to neuropathic symptoms over time, enabling the return to physical activity</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53</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Conveying PTX using lipid-based </w:t>
      </w:r>
      <w:proofErr w:type="spellStart"/>
      <w:r>
        <w:rPr>
          <w:rFonts w:ascii="Book Antiqua" w:eastAsia="Book Antiqua" w:hAnsi="Book Antiqua" w:cs="Book Antiqua"/>
          <w:color w:val="000000"/>
        </w:rPr>
        <w:t>nanoformulations</w:t>
      </w:r>
      <w:proofErr w:type="spellEnd"/>
      <w:r>
        <w:rPr>
          <w:rFonts w:ascii="Book Antiqua" w:eastAsia="Book Antiqua" w:hAnsi="Book Antiqua" w:cs="Book Antiqua"/>
          <w:color w:val="000000"/>
        </w:rPr>
        <w:t xml:space="preserve"> represents a potential strategy to overcome PTX side effects. In a recent study, this formulation was tested on lung tumor cells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showed a very low concentration in the dorsal root ganglia, where PTX accumulates and causes damage to the somas of peripheral sensory neurons</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54</w:t>
      </w:r>
      <w:r w:rsidR="0002490D">
        <w:rPr>
          <w:rFonts w:ascii="Book Antiqua" w:eastAsia="Book Antiqua" w:hAnsi="Book Antiqua" w:cs="Book Antiqua"/>
          <w:color w:val="000000"/>
          <w:szCs w:val="30"/>
          <w:vertAlign w:val="superscript"/>
        </w:rPr>
        <w:t>]</w:t>
      </w:r>
      <w:r w:rsidRPr="0002490D">
        <w:rPr>
          <w:rFonts w:ascii="Book Antiqua" w:eastAsia="Book Antiqua" w:hAnsi="Book Antiqua" w:cs="Book Antiqua"/>
          <w:color w:val="000000"/>
          <w:szCs w:val="30"/>
        </w:rPr>
        <w:t>.</w:t>
      </w:r>
      <w:r>
        <w:rPr>
          <w:rFonts w:ascii="Book Antiqua" w:eastAsia="Book Antiqua" w:hAnsi="Book Antiqua" w:cs="Book Antiqua"/>
          <w:color w:val="000000"/>
        </w:rPr>
        <w:t xml:space="preserve"> This approach could lead to a reduction in the incidence of peripheral neuropathy and be the subject of study in gynecological cancers.</w:t>
      </w:r>
    </w:p>
    <w:p w14:paraId="58736701" w14:textId="2555EAB8" w:rsidR="00A77B3E" w:rsidRDefault="00E0441B" w:rsidP="0002490D">
      <w:pPr>
        <w:spacing w:line="360" w:lineRule="auto"/>
        <w:ind w:firstLineChars="100" w:firstLine="240"/>
        <w:jc w:val="both"/>
      </w:pPr>
      <w:r>
        <w:rPr>
          <w:rFonts w:ascii="Book Antiqua" w:eastAsia="Book Antiqua" w:hAnsi="Book Antiqua" w:cs="Book Antiqua"/>
          <w:color w:val="000000"/>
        </w:rPr>
        <w:t>Different mechanical system of CIPN prevention were tested and founded that vasoconstriction and cold reduce drug exposure during chemotherapy infusion</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55</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but </w:t>
      </w:r>
      <w:r>
        <w:rPr>
          <w:rFonts w:ascii="Book Antiqua" w:eastAsia="Book Antiqua" w:hAnsi="Book Antiqua" w:cs="Book Antiqua"/>
          <w:color w:val="000000"/>
        </w:rPr>
        <w:lastRenderedPageBreak/>
        <w:t xml:space="preserve">the limits of cooling systems are primarily the cold intolerance and cold-related injuries. The small single-arm trial from our center that investigated the effects of </w:t>
      </w:r>
      <w:proofErr w:type="spellStart"/>
      <w:r>
        <w:rPr>
          <w:rFonts w:ascii="Book Antiqua" w:eastAsia="Book Antiqua" w:hAnsi="Book Antiqua" w:cs="Book Antiqua"/>
          <w:color w:val="000000"/>
        </w:rPr>
        <w:t>hilotherm</w:t>
      </w:r>
      <w:proofErr w:type="spellEnd"/>
      <w:r>
        <w:rPr>
          <w:rFonts w:ascii="Book Antiqua" w:eastAsia="Book Antiqua" w:hAnsi="Book Antiqua" w:cs="Book Antiqua"/>
          <w:color w:val="000000"/>
        </w:rPr>
        <w:t xml:space="preserve"> cooling system demonstrate to prevent CIPN</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49</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advantages of continuous cooling are a more tolerable and controlled temperature reduction for the duration of chemotherapy instead of ice or frozen gloves.</w:t>
      </w:r>
      <w:r w:rsidR="0002490D">
        <w:rPr>
          <w:rFonts w:ascii="Book Antiqua" w:eastAsia="Book Antiqua" w:hAnsi="Book Antiqua" w:cs="Book Antiqua"/>
          <w:color w:val="000000"/>
        </w:rPr>
        <w:t xml:space="preserve"> </w:t>
      </w:r>
      <w:r>
        <w:rPr>
          <w:rFonts w:ascii="Book Antiqua" w:eastAsia="Book Antiqua" w:hAnsi="Book Antiqua" w:cs="Book Antiqua"/>
          <w:color w:val="000000"/>
        </w:rPr>
        <w:t>Continuous cooling whit a coolant temperature of 10</w:t>
      </w:r>
      <w:r w:rsidR="0002490D">
        <w:rPr>
          <w:rFonts w:ascii="Book Antiqua" w:eastAsia="Book Antiqua" w:hAnsi="Book Antiqua" w:cs="Book Antiqua"/>
          <w:color w:val="000000"/>
        </w:rPr>
        <w:t xml:space="preserve"> </w:t>
      </w:r>
      <w:r>
        <w:rPr>
          <w:rFonts w:ascii="Book Antiqua" w:eastAsia="Book Antiqua" w:hAnsi="Book Antiqua" w:cs="Book Antiqua"/>
          <w:color w:val="000000"/>
        </w:rPr>
        <w:t>°C continued for the duration of chemotherapy and was well tolerated. In the ovarian cancer subgroup only one patient showed CIPN</w:t>
      </w:r>
      <w:r w:rsidR="0002490D">
        <w:rPr>
          <w:rFonts w:ascii="Book Antiqua" w:eastAsia="Book Antiqua" w:hAnsi="Book Antiqua" w:cs="Book Antiqua"/>
          <w:color w:val="000000"/>
        </w:rPr>
        <w:t xml:space="preserve"> </w:t>
      </w:r>
      <w:r>
        <w:rPr>
          <w:rFonts w:ascii="Book Antiqua" w:eastAsia="Book Antiqua" w:hAnsi="Book Antiqua" w:cs="Book Antiqua"/>
          <w:color w:val="000000"/>
        </w:rPr>
        <w:t>≥</w:t>
      </w:r>
      <w:r w:rsidR="0002490D">
        <w:rPr>
          <w:rFonts w:ascii="Book Antiqua" w:eastAsia="Book Antiqua" w:hAnsi="Book Antiqua" w:cs="Book Antiqua"/>
          <w:color w:val="000000"/>
        </w:rPr>
        <w:t xml:space="preserve"> </w:t>
      </w:r>
      <w:r>
        <w:rPr>
          <w:rFonts w:ascii="Book Antiqua" w:eastAsia="Book Antiqua" w:hAnsi="Book Antiqua" w:cs="Book Antiqua"/>
          <w:color w:val="000000"/>
        </w:rPr>
        <w:t xml:space="preserve">2, and only two patients (4.5%) stopped halotherapy for cold intolerance. Published data showed that no patients reported the appearance of CIPN symptom at a follow-up time of </w:t>
      </w:r>
      <w:r w:rsidR="005F49FB">
        <w:rPr>
          <w:rFonts w:ascii="Book Antiqua" w:eastAsia="Book Antiqua" w:hAnsi="Book Antiqua" w:cs="Book Antiqua"/>
          <w:color w:val="000000"/>
        </w:rPr>
        <w:t xml:space="preserve">6 </w:t>
      </w:r>
      <w:proofErr w:type="spellStart"/>
      <w:r w:rsidR="005F49FB">
        <w:rPr>
          <w:rFonts w:ascii="Book Antiqua" w:eastAsia="Book Antiqua" w:hAnsi="Book Antiqua" w:cs="Book Antiqua"/>
          <w:color w:val="000000"/>
        </w:rPr>
        <w:t>mo</w:t>
      </w:r>
      <w:proofErr w:type="spellEnd"/>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49</w:t>
      </w:r>
      <w:r w:rsidR="0002490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We expect to maintain these follow-up results also from the new enrolled patients.</w:t>
      </w:r>
    </w:p>
    <w:p w14:paraId="5E436A3A" w14:textId="77777777" w:rsidR="00A77B3E" w:rsidRDefault="00A77B3E">
      <w:pPr>
        <w:spacing w:line="360" w:lineRule="auto"/>
        <w:jc w:val="both"/>
      </w:pPr>
    </w:p>
    <w:p w14:paraId="5B4F1D3E" w14:textId="77777777" w:rsidR="00A77B3E" w:rsidRDefault="00E0441B">
      <w:pPr>
        <w:spacing w:line="360" w:lineRule="auto"/>
        <w:jc w:val="both"/>
      </w:pPr>
      <w:r>
        <w:rPr>
          <w:rFonts w:ascii="Book Antiqua" w:eastAsia="Book Antiqua" w:hAnsi="Book Antiqua" w:cs="Book Antiqua"/>
          <w:b/>
          <w:caps/>
          <w:color w:val="000000"/>
          <w:u w:val="single"/>
        </w:rPr>
        <w:t>CONCLUSION</w:t>
      </w:r>
    </w:p>
    <w:p w14:paraId="0521BC21" w14:textId="5225B579" w:rsidR="00A77B3E" w:rsidRDefault="00E0441B">
      <w:pPr>
        <w:spacing w:line="360" w:lineRule="auto"/>
        <w:jc w:val="both"/>
      </w:pPr>
      <w:r>
        <w:rPr>
          <w:rFonts w:ascii="Book Antiqua" w:eastAsia="Book Antiqua" w:hAnsi="Book Antiqua" w:cs="Book Antiqua"/>
          <w:color w:val="000000"/>
        </w:rPr>
        <w:t xml:space="preserve">The prevalence of CIPN was approximately 68% within the first month following the end of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chemotherapy treatment and 30% after </w:t>
      </w:r>
      <w:r w:rsidR="005F49FB">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5F49FB">
        <w:rPr>
          <w:rFonts w:ascii="Book Antiqua" w:eastAsia="Book Antiqua" w:hAnsi="Book Antiqua" w:cs="Book Antiqua"/>
          <w:color w:val="000000"/>
        </w:rPr>
        <w:t xml:space="preserve"> </w:t>
      </w:r>
      <w:r>
        <w:rPr>
          <w:rFonts w:ascii="Book Antiqua" w:eastAsia="Book Antiqua" w:hAnsi="Book Antiqua" w:cs="Book Antiqua"/>
          <w:color w:val="000000"/>
        </w:rPr>
        <w:t>or more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 a survey of ovarian cancer patients, CIPN symptoms were associated with lower functioning and greater health-related worry</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Additionally, a survey covering various cancer types found that patients reporting neurotoxicity had higher symptom burden and stress, and poorer QoL</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Reducing the incidence of neuropathy to improve the patient's QoL and avoiding discontinuation or dose reduction of anticancer treatment is of primary importance. Unfortunately, comprehensive knowledge of the mechanisms leading to CIPN is still lacking and no drug has been approved to prevent or cure it.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xml:space="preserve"> has proven to be a safe, well tolerated and effective method of preventing and treating CIPN. To validate the use of </w:t>
      </w:r>
      <w:proofErr w:type="spellStart"/>
      <w:r>
        <w:rPr>
          <w:rFonts w:ascii="Book Antiqua" w:eastAsia="Book Antiqua" w:hAnsi="Book Antiqua" w:cs="Book Antiqua"/>
          <w:color w:val="000000"/>
        </w:rPr>
        <w:t>hilotherapy</w:t>
      </w:r>
      <w:proofErr w:type="spellEnd"/>
      <w:r>
        <w:rPr>
          <w:rFonts w:ascii="Book Antiqua" w:eastAsia="Book Antiqua" w:hAnsi="Book Antiqua" w:cs="Book Antiqua"/>
          <w:color w:val="000000"/>
        </w:rPr>
        <w:t xml:space="preserve"> as a preventive method a large-scale trial and a longer follow up are necessary.</w:t>
      </w:r>
    </w:p>
    <w:p w14:paraId="7A3AE0FA" w14:textId="77777777" w:rsidR="00A77B3E" w:rsidRDefault="00A77B3E">
      <w:pPr>
        <w:spacing w:line="360" w:lineRule="auto"/>
        <w:jc w:val="both"/>
      </w:pPr>
    </w:p>
    <w:p w14:paraId="3FD5D05B" w14:textId="77777777" w:rsidR="00A77B3E" w:rsidRDefault="00E0441B">
      <w:pPr>
        <w:spacing w:line="360" w:lineRule="auto"/>
        <w:jc w:val="both"/>
      </w:pPr>
      <w:r>
        <w:rPr>
          <w:rFonts w:ascii="Book Antiqua" w:eastAsia="Book Antiqua" w:hAnsi="Book Antiqua" w:cs="Book Antiqua"/>
          <w:b/>
          <w:color w:val="000000"/>
        </w:rPr>
        <w:t>REFERENCES</w:t>
      </w:r>
    </w:p>
    <w:p w14:paraId="08A6FE84" w14:textId="77777777" w:rsidR="00A77B3E" w:rsidRDefault="00E0441B">
      <w:pPr>
        <w:spacing w:line="360" w:lineRule="auto"/>
        <w:jc w:val="both"/>
      </w:pPr>
      <w:bookmarkStart w:id="6" w:name="OLE_LINK4"/>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McGuire WP</w:t>
      </w:r>
      <w:r>
        <w:rPr>
          <w:rFonts w:ascii="Book Antiqua" w:eastAsia="Book Antiqua" w:hAnsi="Book Antiqua" w:cs="Book Antiqua"/>
          <w:color w:val="000000"/>
        </w:rPr>
        <w:t xml:space="preserve">. Taxol: a new drug with significant activity as a salvage therapy in advanced epithelial ovarian carcinoma.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1993; </w:t>
      </w:r>
      <w:r>
        <w:rPr>
          <w:rFonts w:ascii="Book Antiqua" w:eastAsia="Book Antiqua" w:hAnsi="Book Antiqua" w:cs="Book Antiqua"/>
          <w:b/>
          <w:bCs/>
          <w:color w:val="000000"/>
        </w:rPr>
        <w:t>51</w:t>
      </w:r>
      <w:r>
        <w:rPr>
          <w:rFonts w:ascii="Book Antiqua" w:eastAsia="Book Antiqua" w:hAnsi="Book Antiqua" w:cs="Book Antiqua"/>
          <w:color w:val="000000"/>
        </w:rPr>
        <w:t>: 78-85 [PMID: 7902314 DOI: 10.1006/gyno.1993.1250]</w:t>
      </w:r>
    </w:p>
    <w:p w14:paraId="097EBE10" w14:textId="77777777" w:rsidR="00A77B3E" w:rsidRDefault="00E0441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Parmar MK</w:t>
      </w:r>
      <w:r>
        <w:rPr>
          <w:rFonts w:ascii="Book Antiqua" w:eastAsia="Book Antiqua" w:hAnsi="Book Antiqua" w:cs="Book Antiqua"/>
          <w:color w:val="000000"/>
        </w:rPr>
        <w:t xml:space="preserve">, Ledermann JA, Colombo N, du </w:t>
      </w:r>
      <w:proofErr w:type="spellStart"/>
      <w:r>
        <w:rPr>
          <w:rFonts w:ascii="Book Antiqua" w:eastAsia="Book Antiqua" w:hAnsi="Book Antiqua" w:cs="Book Antiqua"/>
          <w:color w:val="000000"/>
        </w:rPr>
        <w:t>Bois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Delaloye</w:t>
      </w:r>
      <w:proofErr w:type="spellEnd"/>
      <w:r>
        <w:rPr>
          <w:rFonts w:ascii="Book Antiqua" w:eastAsia="Book Antiqua" w:hAnsi="Book Antiqua" w:cs="Book Antiqua"/>
          <w:color w:val="000000"/>
        </w:rPr>
        <w:t xml:space="preserve"> JF, Kristensen GB, Wheeler S, Swart AM, Qian W, Torri V, </w:t>
      </w:r>
      <w:proofErr w:type="spellStart"/>
      <w:r>
        <w:rPr>
          <w:rFonts w:ascii="Book Antiqua" w:eastAsia="Book Antiqua" w:hAnsi="Book Antiqua" w:cs="Book Antiqua"/>
          <w:color w:val="000000"/>
        </w:rPr>
        <w:t>Floriani</w:t>
      </w:r>
      <w:proofErr w:type="spellEnd"/>
      <w:r>
        <w:rPr>
          <w:rFonts w:ascii="Book Antiqua" w:eastAsia="Book Antiqua" w:hAnsi="Book Antiqua" w:cs="Book Antiqua"/>
          <w:color w:val="000000"/>
        </w:rPr>
        <w:t xml:space="preserve"> I, Jayson G, Lamont A, </w:t>
      </w:r>
      <w:proofErr w:type="spellStart"/>
      <w:r>
        <w:rPr>
          <w:rFonts w:ascii="Book Antiqua" w:eastAsia="Book Antiqua" w:hAnsi="Book Antiqua" w:cs="Book Antiqua"/>
          <w:color w:val="000000"/>
        </w:rPr>
        <w:t>Tropé</w:t>
      </w:r>
      <w:proofErr w:type="spellEnd"/>
      <w:r>
        <w:rPr>
          <w:rFonts w:ascii="Book Antiqua" w:eastAsia="Book Antiqua" w:hAnsi="Book Antiqua" w:cs="Book Antiqua"/>
          <w:color w:val="000000"/>
        </w:rPr>
        <w:t xml:space="preserve"> C; ICON and AGO Collaborators. Paclitaxel plus platinum-based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platinum-based chemotherapy in women with relapsed ovarian cancer: the ICON4/AGO-OVAR-2.2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2003; </w:t>
      </w:r>
      <w:r>
        <w:rPr>
          <w:rFonts w:ascii="Book Antiqua" w:eastAsia="Book Antiqua" w:hAnsi="Book Antiqua" w:cs="Book Antiqua"/>
          <w:b/>
          <w:bCs/>
          <w:color w:val="000000"/>
        </w:rPr>
        <w:t>361</w:t>
      </w:r>
      <w:r>
        <w:rPr>
          <w:rFonts w:ascii="Book Antiqua" w:eastAsia="Book Antiqua" w:hAnsi="Book Antiqua" w:cs="Book Antiqua"/>
          <w:color w:val="000000"/>
        </w:rPr>
        <w:t>: 2099-2106 [PMID: 12826431 DOI: 10.1016/s0140-6736(03)13718-x]</w:t>
      </w:r>
    </w:p>
    <w:p w14:paraId="5E4E1073" w14:textId="77777777" w:rsidR="00A77B3E" w:rsidRDefault="00E0441B">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Bonhof</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Mols F, Vos MC, </w:t>
      </w:r>
      <w:proofErr w:type="spellStart"/>
      <w:r>
        <w:rPr>
          <w:rFonts w:ascii="Book Antiqua" w:eastAsia="Book Antiqua" w:hAnsi="Book Antiqua" w:cs="Book Antiqua"/>
          <w:color w:val="000000"/>
        </w:rPr>
        <w:t>Pijnenborg</w:t>
      </w:r>
      <w:proofErr w:type="spellEnd"/>
      <w:r>
        <w:rPr>
          <w:rFonts w:ascii="Book Antiqua" w:eastAsia="Book Antiqua" w:hAnsi="Book Antiqua" w:cs="Book Antiqua"/>
          <w:color w:val="000000"/>
        </w:rPr>
        <w:t xml:space="preserve"> JMA, Boll D, </w:t>
      </w:r>
      <w:proofErr w:type="spellStart"/>
      <w:r>
        <w:rPr>
          <w:rFonts w:ascii="Book Antiqua" w:eastAsia="Book Antiqua" w:hAnsi="Book Antiqua" w:cs="Book Antiqua"/>
          <w:color w:val="000000"/>
        </w:rPr>
        <w:t>Vreugdenhil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Ezendam</w:t>
      </w:r>
      <w:proofErr w:type="spellEnd"/>
      <w:r>
        <w:rPr>
          <w:rFonts w:ascii="Book Antiqua" w:eastAsia="Book Antiqua" w:hAnsi="Book Antiqua" w:cs="Book Antiqua"/>
          <w:color w:val="000000"/>
        </w:rPr>
        <w:t xml:space="preserve"> NPM, van de Poll-</w:t>
      </w:r>
      <w:proofErr w:type="spellStart"/>
      <w:r>
        <w:rPr>
          <w:rFonts w:ascii="Book Antiqua" w:eastAsia="Book Antiqua" w:hAnsi="Book Antiqua" w:cs="Book Antiqua"/>
          <w:color w:val="000000"/>
        </w:rPr>
        <w:t>Franse</w:t>
      </w:r>
      <w:proofErr w:type="spellEnd"/>
      <w:r>
        <w:rPr>
          <w:rFonts w:ascii="Book Antiqua" w:eastAsia="Book Antiqua" w:hAnsi="Book Antiqua" w:cs="Book Antiqua"/>
          <w:color w:val="000000"/>
        </w:rPr>
        <w:t xml:space="preserve"> LV. Course of chemotherapy-induced peripheral neuropathy and its impact on health-related quality of life among ovarian cancer patients: A longitudinal study.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149</w:t>
      </w:r>
      <w:r>
        <w:rPr>
          <w:rFonts w:ascii="Book Antiqua" w:eastAsia="Book Antiqua" w:hAnsi="Book Antiqua" w:cs="Book Antiqua"/>
          <w:color w:val="000000"/>
        </w:rPr>
        <w:t>: 455-463 [PMID: 29605500 DOI: 10.1016/j.ygyno.2018.03.052]</w:t>
      </w:r>
    </w:p>
    <w:p w14:paraId="73DA0529" w14:textId="77777777" w:rsidR="00A77B3E" w:rsidRDefault="00E0441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Brewer JR</w:t>
      </w:r>
      <w:r>
        <w:rPr>
          <w:rFonts w:ascii="Book Antiqua" w:eastAsia="Book Antiqua" w:hAnsi="Book Antiqua" w:cs="Book Antiqua"/>
          <w:color w:val="000000"/>
        </w:rPr>
        <w:t xml:space="preserve">, Morrison G, Dolan ME, Fleming GF. Chemotherapy-induced peripheral neuropathy: Current status and progress.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140</w:t>
      </w:r>
      <w:r>
        <w:rPr>
          <w:rFonts w:ascii="Book Antiqua" w:eastAsia="Book Antiqua" w:hAnsi="Book Antiqua" w:cs="Book Antiqua"/>
          <w:color w:val="000000"/>
        </w:rPr>
        <w:t>: 176-183 [PMID: 26556766 DOI: 10.1016/j.ygyno.2015.11.011]</w:t>
      </w:r>
    </w:p>
    <w:p w14:paraId="0E04D9A1" w14:textId="77777777" w:rsidR="00A77B3E" w:rsidRDefault="00E0441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Glare PA</w:t>
      </w:r>
      <w:r>
        <w:rPr>
          <w:rFonts w:ascii="Book Antiqua" w:eastAsia="Book Antiqua" w:hAnsi="Book Antiqua" w:cs="Book Antiqua"/>
          <w:color w:val="000000"/>
        </w:rPr>
        <w:t xml:space="preserve">, Davies PS, Finlay E, Gulati A, </w:t>
      </w:r>
      <w:proofErr w:type="spellStart"/>
      <w:r>
        <w:rPr>
          <w:rFonts w:ascii="Book Antiqua" w:eastAsia="Book Antiqua" w:hAnsi="Book Antiqua" w:cs="Book Antiqua"/>
          <w:color w:val="000000"/>
        </w:rPr>
        <w:t>Lemanne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Moryl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Oeffinger</w:t>
      </w:r>
      <w:proofErr w:type="spellEnd"/>
      <w:r>
        <w:rPr>
          <w:rFonts w:ascii="Book Antiqua" w:eastAsia="Book Antiqua" w:hAnsi="Book Antiqua" w:cs="Book Antiqua"/>
          <w:color w:val="000000"/>
        </w:rPr>
        <w:t xml:space="preserve"> KC, </w:t>
      </w:r>
      <w:proofErr w:type="spellStart"/>
      <w:r>
        <w:rPr>
          <w:rFonts w:ascii="Book Antiqua" w:eastAsia="Book Antiqua" w:hAnsi="Book Antiqua" w:cs="Book Antiqua"/>
          <w:color w:val="000000"/>
        </w:rPr>
        <w:t>Paice</w:t>
      </w:r>
      <w:proofErr w:type="spellEnd"/>
      <w:r>
        <w:rPr>
          <w:rFonts w:ascii="Book Antiqua" w:eastAsia="Book Antiqua" w:hAnsi="Book Antiqua" w:cs="Book Antiqua"/>
          <w:color w:val="000000"/>
        </w:rPr>
        <w:t xml:space="preserve"> JA, Stubblefield MD, </w:t>
      </w:r>
      <w:proofErr w:type="spellStart"/>
      <w:r>
        <w:rPr>
          <w:rFonts w:ascii="Book Antiqua" w:eastAsia="Book Antiqua" w:hAnsi="Book Antiqua" w:cs="Book Antiqua"/>
          <w:color w:val="000000"/>
        </w:rPr>
        <w:t>Syrjala</w:t>
      </w:r>
      <w:proofErr w:type="spellEnd"/>
      <w:r>
        <w:rPr>
          <w:rFonts w:ascii="Book Antiqua" w:eastAsia="Book Antiqua" w:hAnsi="Book Antiqua" w:cs="Book Antiqua"/>
          <w:color w:val="000000"/>
        </w:rPr>
        <w:t xml:space="preserve"> KL. Pain in cancer survivors.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1739-1747 [PMID: 24799477 DOI: 10.1200/JCO.2013.52.4629]</w:t>
      </w:r>
    </w:p>
    <w:p w14:paraId="6B1D9FF8" w14:textId="77777777" w:rsidR="00A77B3E" w:rsidRDefault="00E0441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Ezendam</w:t>
      </w:r>
      <w:proofErr w:type="spellEnd"/>
      <w:r>
        <w:rPr>
          <w:rFonts w:ascii="Book Antiqua" w:eastAsia="Book Antiqua" w:hAnsi="Book Antiqua" w:cs="Book Antiqua"/>
          <w:b/>
          <w:bCs/>
          <w:color w:val="000000"/>
        </w:rPr>
        <w:t xml:space="preserve"> NP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Pijlman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Bhugwandass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Pruijt</w:t>
      </w:r>
      <w:proofErr w:type="spellEnd"/>
      <w:r>
        <w:rPr>
          <w:rFonts w:ascii="Book Antiqua" w:eastAsia="Book Antiqua" w:hAnsi="Book Antiqua" w:cs="Book Antiqua"/>
          <w:color w:val="000000"/>
        </w:rPr>
        <w:t xml:space="preserve"> JF, Mols F, Vos MC, </w:t>
      </w:r>
      <w:proofErr w:type="spellStart"/>
      <w:r>
        <w:rPr>
          <w:rFonts w:ascii="Book Antiqua" w:eastAsia="Book Antiqua" w:hAnsi="Book Antiqua" w:cs="Book Antiqua"/>
          <w:color w:val="000000"/>
        </w:rPr>
        <w:t>Pijnenborg</w:t>
      </w:r>
      <w:proofErr w:type="spellEnd"/>
      <w:r>
        <w:rPr>
          <w:rFonts w:ascii="Book Antiqua" w:eastAsia="Book Antiqua" w:hAnsi="Book Antiqua" w:cs="Book Antiqua"/>
          <w:color w:val="000000"/>
        </w:rPr>
        <w:t xml:space="preserve"> JM, van de Poll-</w:t>
      </w:r>
      <w:proofErr w:type="spellStart"/>
      <w:r>
        <w:rPr>
          <w:rFonts w:ascii="Book Antiqua" w:eastAsia="Book Antiqua" w:hAnsi="Book Antiqua" w:cs="Book Antiqua"/>
          <w:color w:val="000000"/>
        </w:rPr>
        <w:t>Franse</w:t>
      </w:r>
      <w:proofErr w:type="spellEnd"/>
      <w:r>
        <w:rPr>
          <w:rFonts w:ascii="Book Antiqua" w:eastAsia="Book Antiqua" w:hAnsi="Book Antiqua" w:cs="Book Antiqua"/>
          <w:color w:val="000000"/>
        </w:rPr>
        <w:t xml:space="preserve"> LV. Chemotherapy-induced peripheral neuropathy and its impact on health-related quality of life among ovarian cancer survivors: results from the population-based PROFILES registry.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135</w:t>
      </w:r>
      <w:r>
        <w:rPr>
          <w:rFonts w:ascii="Book Antiqua" w:eastAsia="Book Antiqua" w:hAnsi="Book Antiqua" w:cs="Book Antiqua"/>
          <w:color w:val="000000"/>
        </w:rPr>
        <w:t>: 510-517 [PMID: 25281491 DOI: 10.1016/j.ygyno.2014.09.016]</w:t>
      </w:r>
    </w:p>
    <w:p w14:paraId="6A8EECEB" w14:textId="77777777" w:rsidR="00A77B3E" w:rsidRDefault="00E0441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Banach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Juranek</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Zygulska</w:t>
      </w:r>
      <w:proofErr w:type="spellEnd"/>
      <w:r>
        <w:rPr>
          <w:rFonts w:ascii="Book Antiqua" w:eastAsia="Book Antiqua" w:hAnsi="Book Antiqua" w:cs="Book Antiqua"/>
          <w:color w:val="000000"/>
        </w:rPr>
        <w:t xml:space="preserve"> AL. Chemotherapy-induced neuropathies-a growing problem for patients and health care providers.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e00558 [PMID: 28127506 DOI: 10.1002/brb3.558]</w:t>
      </w:r>
    </w:p>
    <w:p w14:paraId="0823EF15" w14:textId="77777777" w:rsidR="00A77B3E" w:rsidRDefault="00E0441B">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Bernhardson</w:t>
      </w:r>
      <w:proofErr w:type="spellEnd"/>
      <w:r>
        <w:rPr>
          <w:rFonts w:ascii="Book Antiqua" w:eastAsia="Book Antiqua" w:hAnsi="Book Antiqua" w:cs="Book Antiqua"/>
          <w:b/>
          <w:bCs/>
          <w:color w:val="000000"/>
        </w:rPr>
        <w:t xml:space="preserve"> BM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Tishelman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Rutqvist</w:t>
      </w:r>
      <w:proofErr w:type="spellEnd"/>
      <w:r>
        <w:rPr>
          <w:rFonts w:ascii="Book Antiqua" w:eastAsia="Book Antiqua" w:hAnsi="Book Antiqua" w:cs="Book Antiqua"/>
          <w:color w:val="000000"/>
        </w:rPr>
        <w:t xml:space="preserve"> LE. Chemosensory changes experienced by patients undergoing cancer chemotherapy: a qualitative interview study. </w:t>
      </w:r>
      <w:r>
        <w:rPr>
          <w:rFonts w:ascii="Book Antiqua" w:eastAsia="Book Antiqua" w:hAnsi="Book Antiqua" w:cs="Book Antiqua"/>
          <w:i/>
          <w:iCs/>
          <w:color w:val="000000"/>
        </w:rPr>
        <w:t>J Pain Symptom Manage</w:t>
      </w:r>
      <w:r>
        <w:rPr>
          <w:rFonts w:ascii="Book Antiqua" w:eastAsia="Book Antiqua" w:hAnsi="Book Antiqua" w:cs="Book Antiqua"/>
          <w:color w:val="000000"/>
        </w:rPr>
        <w:t xml:space="preserve"> 2007; </w:t>
      </w:r>
      <w:r>
        <w:rPr>
          <w:rFonts w:ascii="Book Antiqua" w:eastAsia="Book Antiqua" w:hAnsi="Book Antiqua" w:cs="Book Antiqua"/>
          <w:b/>
          <w:bCs/>
          <w:color w:val="000000"/>
        </w:rPr>
        <w:t>34</w:t>
      </w:r>
      <w:r>
        <w:rPr>
          <w:rFonts w:ascii="Book Antiqua" w:eastAsia="Book Antiqua" w:hAnsi="Book Antiqua" w:cs="Book Antiqua"/>
          <w:color w:val="000000"/>
        </w:rPr>
        <w:t>: 403-412 [PMID: 17616338 DOI: 10.1016/j.jpainsymman.2006.12.010]</w:t>
      </w:r>
    </w:p>
    <w:p w14:paraId="6597A7D5" w14:textId="77777777" w:rsidR="00A77B3E" w:rsidRDefault="00E0441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Scripture CD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Figg</w:t>
      </w:r>
      <w:proofErr w:type="spellEnd"/>
      <w:r>
        <w:rPr>
          <w:rFonts w:ascii="Book Antiqua" w:eastAsia="Book Antiqua" w:hAnsi="Book Antiqua" w:cs="Book Antiqua"/>
          <w:color w:val="000000"/>
        </w:rPr>
        <w:t xml:space="preserve"> WD, </w:t>
      </w:r>
      <w:proofErr w:type="spellStart"/>
      <w:r>
        <w:rPr>
          <w:rFonts w:ascii="Book Antiqua" w:eastAsia="Book Antiqua" w:hAnsi="Book Antiqua" w:cs="Book Antiqua"/>
          <w:color w:val="000000"/>
        </w:rPr>
        <w:t>Sparreboom</w:t>
      </w:r>
      <w:proofErr w:type="spellEnd"/>
      <w:r>
        <w:rPr>
          <w:rFonts w:ascii="Book Antiqua" w:eastAsia="Book Antiqua" w:hAnsi="Book Antiqua" w:cs="Book Antiqua"/>
          <w:color w:val="000000"/>
        </w:rPr>
        <w:t xml:space="preserve"> A. Peripheral neuropathy induced by paclitaxel: recent insights and future perspectives.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Neuropharmacol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165-172 [PMID: 18615126 DOI: 10.2174/157015906776359568]</w:t>
      </w:r>
    </w:p>
    <w:p w14:paraId="060E80DB" w14:textId="77777777" w:rsidR="00A77B3E" w:rsidRDefault="00E0441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Iuliis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Taglieri</w:t>
      </w:r>
      <w:proofErr w:type="spellEnd"/>
      <w:r>
        <w:rPr>
          <w:rFonts w:ascii="Book Antiqua" w:eastAsia="Book Antiqua" w:hAnsi="Book Antiqua" w:cs="Book Antiqua"/>
          <w:color w:val="000000"/>
        </w:rPr>
        <w:t xml:space="preserve"> L, Salerno G, Lanza R, Scarpa S.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induced neuropathy in patients affected by breast cancer: Literature review. </w:t>
      </w:r>
      <w:r>
        <w:rPr>
          <w:rFonts w:ascii="Book Antiqua" w:eastAsia="Book Antiqua" w:hAnsi="Book Antiqua" w:cs="Book Antiqua"/>
          <w:i/>
          <w:iCs/>
          <w:color w:val="000000"/>
        </w:rPr>
        <w:t xml:space="preserve">Crit Rev Oncol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96</w:t>
      </w:r>
      <w:r>
        <w:rPr>
          <w:rFonts w:ascii="Book Antiqua" w:eastAsia="Book Antiqua" w:hAnsi="Book Antiqua" w:cs="Book Antiqua"/>
          <w:color w:val="000000"/>
        </w:rPr>
        <w:t>: 34-45 [PMID: 26004917 DOI: 10.1016/j.critrevonc.2015.04.011]</w:t>
      </w:r>
    </w:p>
    <w:p w14:paraId="7572094D" w14:textId="77777777" w:rsidR="00A77B3E" w:rsidRDefault="00E0441B">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Bakitas</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Background noise: the experience of chemotherapy-induced peripheral neuropathy.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323-331 [PMID: 17846553 DOI: 10.1097/01.NNR.0000289503.22414.79]</w:t>
      </w:r>
    </w:p>
    <w:p w14:paraId="32DBD492" w14:textId="77777777" w:rsidR="00A77B3E" w:rsidRDefault="00E0441B">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Tofthagen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Surviving chemotherapy for colon cancer and living with the consequences.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13</w:t>
      </w:r>
      <w:r>
        <w:rPr>
          <w:rFonts w:ascii="Book Antiqua" w:eastAsia="Book Antiqua" w:hAnsi="Book Antiqua" w:cs="Book Antiqua"/>
          <w:color w:val="000000"/>
        </w:rPr>
        <w:t>: 1389-1391 [PMID: 21091028 DOI: 10.1089/jpm.2010.0124]</w:t>
      </w:r>
    </w:p>
    <w:p w14:paraId="3676B9C9" w14:textId="77777777" w:rsidR="00A77B3E" w:rsidRDefault="00E0441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Mols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Beijers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Vreugdenhil</w:t>
      </w:r>
      <w:proofErr w:type="spellEnd"/>
      <w:r>
        <w:rPr>
          <w:rFonts w:ascii="Book Antiqua" w:eastAsia="Book Antiqua" w:hAnsi="Book Antiqua" w:cs="Book Antiqua"/>
          <w:color w:val="000000"/>
        </w:rPr>
        <w:t xml:space="preserve"> G, van de Poll-</w:t>
      </w:r>
      <w:proofErr w:type="spellStart"/>
      <w:r>
        <w:rPr>
          <w:rFonts w:ascii="Book Antiqua" w:eastAsia="Book Antiqua" w:hAnsi="Book Antiqua" w:cs="Book Antiqua"/>
          <w:color w:val="000000"/>
        </w:rPr>
        <w:t>Franse</w:t>
      </w:r>
      <w:proofErr w:type="spellEnd"/>
      <w:r>
        <w:rPr>
          <w:rFonts w:ascii="Book Antiqua" w:eastAsia="Book Antiqua" w:hAnsi="Book Antiqua" w:cs="Book Antiqua"/>
          <w:color w:val="000000"/>
        </w:rPr>
        <w:t xml:space="preserve"> L. Chemotherapy-induced peripheral neuropathy and its association with quality of life: a systematic review.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22</w:t>
      </w:r>
      <w:r>
        <w:rPr>
          <w:rFonts w:ascii="Book Antiqua" w:eastAsia="Book Antiqua" w:hAnsi="Book Antiqua" w:cs="Book Antiqua"/>
          <w:color w:val="000000"/>
        </w:rPr>
        <w:t>: 2261-2269 [PMID: 24789421 DOI: 10.1007/s00520-014-2255-7]</w:t>
      </w:r>
    </w:p>
    <w:p w14:paraId="03C21835" w14:textId="77777777" w:rsidR="00A77B3E" w:rsidRDefault="00E0441B">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Zis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Varrassi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Vadalouka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Paladini</w:t>
      </w:r>
      <w:proofErr w:type="spellEnd"/>
      <w:r>
        <w:rPr>
          <w:rFonts w:ascii="Book Antiqua" w:eastAsia="Book Antiqua" w:hAnsi="Book Antiqua" w:cs="Book Antiqua"/>
          <w:color w:val="000000"/>
        </w:rPr>
        <w:t xml:space="preserve"> A. Psychological Aspects and Quality of Life in Chronic Pain. </w:t>
      </w:r>
      <w:r>
        <w:rPr>
          <w:rFonts w:ascii="Book Antiqua" w:eastAsia="Book Antiqua" w:hAnsi="Book Antiqua" w:cs="Book Antiqua"/>
          <w:i/>
          <w:iCs/>
          <w:color w:val="000000"/>
        </w:rPr>
        <w:t xml:space="preserve">Pain Res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8346161 [PMID: 31281559 DOI: 10.1155/2019/8346161]</w:t>
      </w:r>
    </w:p>
    <w:p w14:paraId="482767F8" w14:textId="77777777" w:rsidR="00A77B3E" w:rsidRDefault="00E0441B">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Zis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Daskalaki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Bountouni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Sykioti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Varrassi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Paladini</w:t>
      </w:r>
      <w:proofErr w:type="spellEnd"/>
      <w:r>
        <w:rPr>
          <w:rFonts w:ascii="Book Antiqua" w:eastAsia="Book Antiqua" w:hAnsi="Book Antiqua" w:cs="Book Antiqua"/>
          <w:color w:val="000000"/>
        </w:rPr>
        <w:t xml:space="preserve"> A. Depression and chronic pain in the elderly: links and management challenges.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709-720 [PMID: 28461745 DOI: 10.2147/CIA.S113576]</w:t>
      </w:r>
    </w:p>
    <w:p w14:paraId="2ACC7035" w14:textId="77777777" w:rsidR="00A77B3E" w:rsidRDefault="00E0441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Hershman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Lacchetti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Loprinzi</w:t>
      </w:r>
      <w:proofErr w:type="spellEnd"/>
      <w:r>
        <w:rPr>
          <w:rFonts w:ascii="Book Antiqua" w:eastAsia="Book Antiqua" w:hAnsi="Book Antiqua" w:cs="Book Antiqua"/>
          <w:color w:val="000000"/>
        </w:rPr>
        <w:t xml:space="preserve"> CL. Prevention and Management of Chemotherapy-Induced Peripheral Neuropathy in Survivors of Adult Cancers: </w:t>
      </w:r>
      <w:r>
        <w:rPr>
          <w:rFonts w:ascii="Book Antiqua" w:eastAsia="Book Antiqua" w:hAnsi="Book Antiqua" w:cs="Book Antiqua"/>
          <w:color w:val="000000"/>
        </w:rPr>
        <w:lastRenderedPageBreak/>
        <w:t xml:space="preserve">American Society of Clinical Oncology Clinical Practice Guideline Summary. </w:t>
      </w:r>
      <w:r>
        <w:rPr>
          <w:rFonts w:ascii="Book Antiqua" w:eastAsia="Book Antiqua" w:hAnsi="Book Antiqua" w:cs="Book Antiqua"/>
          <w:i/>
          <w:iCs/>
          <w:color w:val="000000"/>
        </w:rPr>
        <w:t xml:space="preserve">J Oncol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e421-e424 [PMID: 29424607 DOI: 10.1200/JOP.2014.001776]</w:t>
      </w:r>
    </w:p>
    <w:p w14:paraId="7FF9764B" w14:textId="77777777" w:rsidR="00A77B3E" w:rsidRDefault="00E0441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Smith EM</w:t>
      </w:r>
      <w:r>
        <w:rPr>
          <w:rFonts w:ascii="Book Antiqua" w:eastAsia="Book Antiqua" w:hAnsi="Book Antiqua" w:cs="Book Antiqua"/>
          <w:color w:val="000000"/>
        </w:rPr>
        <w:t xml:space="preserve">, Pang H, </w:t>
      </w:r>
      <w:proofErr w:type="spellStart"/>
      <w:r>
        <w:rPr>
          <w:rFonts w:ascii="Book Antiqua" w:eastAsia="Book Antiqua" w:hAnsi="Book Antiqua" w:cs="Book Antiqua"/>
          <w:color w:val="000000"/>
        </w:rPr>
        <w:t>Cirrincione</w:t>
      </w:r>
      <w:proofErr w:type="spellEnd"/>
      <w:r>
        <w:rPr>
          <w:rFonts w:ascii="Book Antiqua" w:eastAsia="Book Antiqua" w:hAnsi="Book Antiqua" w:cs="Book Antiqua"/>
          <w:color w:val="000000"/>
        </w:rPr>
        <w:t xml:space="preserve"> C, Fleishman S, </w:t>
      </w:r>
      <w:proofErr w:type="spellStart"/>
      <w:r>
        <w:rPr>
          <w:rFonts w:ascii="Book Antiqua" w:eastAsia="Book Antiqua" w:hAnsi="Book Antiqua" w:cs="Book Antiqua"/>
          <w:color w:val="000000"/>
        </w:rPr>
        <w:t>Paskett</w:t>
      </w:r>
      <w:proofErr w:type="spellEnd"/>
      <w:r>
        <w:rPr>
          <w:rFonts w:ascii="Book Antiqua" w:eastAsia="Book Antiqua" w:hAnsi="Book Antiqua" w:cs="Book Antiqua"/>
          <w:color w:val="000000"/>
        </w:rPr>
        <w:t xml:space="preserve"> ED, Ahles T, Bressler LR, </w:t>
      </w:r>
      <w:proofErr w:type="spellStart"/>
      <w:r>
        <w:rPr>
          <w:rFonts w:ascii="Book Antiqua" w:eastAsia="Book Antiqua" w:hAnsi="Book Antiqua" w:cs="Book Antiqua"/>
          <w:color w:val="000000"/>
        </w:rPr>
        <w:t>Fadul</w:t>
      </w:r>
      <w:proofErr w:type="spellEnd"/>
      <w:r>
        <w:rPr>
          <w:rFonts w:ascii="Book Antiqua" w:eastAsia="Book Antiqua" w:hAnsi="Book Antiqua" w:cs="Book Antiqua"/>
          <w:color w:val="000000"/>
        </w:rPr>
        <w:t xml:space="preserve"> CE, Knox C, Le-</w:t>
      </w:r>
      <w:proofErr w:type="spellStart"/>
      <w:r>
        <w:rPr>
          <w:rFonts w:ascii="Book Antiqua" w:eastAsia="Book Antiqua" w:hAnsi="Book Antiqua" w:cs="Book Antiqua"/>
          <w:color w:val="000000"/>
        </w:rPr>
        <w:t>Lindqwister</w:t>
      </w:r>
      <w:proofErr w:type="spellEnd"/>
      <w:r>
        <w:rPr>
          <w:rFonts w:ascii="Book Antiqua" w:eastAsia="Book Antiqua" w:hAnsi="Book Antiqua" w:cs="Book Antiqua"/>
          <w:color w:val="000000"/>
        </w:rPr>
        <w:t xml:space="preserve"> N, Gilman PB, Shapiro CL; Alliance for Clinical Trials in Oncology. Effect of duloxetine on pain, function, and quality of life among patients with chemotherapy-induced painful peripheral neuropathy: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2013; </w:t>
      </w:r>
      <w:r>
        <w:rPr>
          <w:rFonts w:ascii="Book Antiqua" w:eastAsia="Book Antiqua" w:hAnsi="Book Antiqua" w:cs="Book Antiqua"/>
          <w:b/>
          <w:bCs/>
          <w:color w:val="000000"/>
        </w:rPr>
        <w:t>309</w:t>
      </w:r>
      <w:r>
        <w:rPr>
          <w:rFonts w:ascii="Book Antiqua" w:eastAsia="Book Antiqua" w:hAnsi="Book Antiqua" w:cs="Book Antiqua"/>
          <w:color w:val="000000"/>
        </w:rPr>
        <w:t>: 1359-1367 [PMID: 23549581 DOI: 10.1001/jama.2013.2813]</w:t>
      </w:r>
    </w:p>
    <w:p w14:paraId="203C21AB" w14:textId="77777777" w:rsidR="00A77B3E" w:rsidRDefault="00E0441B">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Magnowska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Iżycka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Kapoła-Czyż</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Romała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Lorek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Spaczyński</w:t>
      </w:r>
      <w:proofErr w:type="spellEnd"/>
      <w:r>
        <w:rPr>
          <w:rFonts w:ascii="Book Antiqua" w:eastAsia="Book Antiqua" w:hAnsi="Book Antiqua" w:cs="Book Antiqua"/>
          <w:color w:val="000000"/>
        </w:rPr>
        <w:t xml:space="preserve"> M, Nowak-</w:t>
      </w:r>
      <w:proofErr w:type="spellStart"/>
      <w:r>
        <w:rPr>
          <w:rFonts w:ascii="Book Antiqua" w:eastAsia="Book Antiqua" w:hAnsi="Book Antiqua" w:cs="Book Antiqua"/>
          <w:color w:val="000000"/>
        </w:rPr>
        <w:t>Markwitz</w:t>
      </w:r>
      <w:proofErr w:type="spellEnd"/>
      <w:r>
        <w:rPr>
          <w:rFonts w:ascii="Book Antiqua" w:eastAsia="Book Antiqua" w:hAnsi="Book Antiqua" w:cs="Book Antiqua"/>
          <w:color w:val="000000"/>
        </w:rPr>
        <w:t xml:space="preserve"> E. Effectiveness of gabapentin pharmacotherapy in chemotherapy-induced peripheral neuropathy. </w:t>
      </w:r>
      <w:proofErr w:type="spellStart"/>
      <w:r>
        <w:rPr>
          <w:rFonts w:ascii="Book Antiqua" w:eastAsia="Book Antiqua" w:hAnsi="Book Antiqua" w:cs="Book Antiqua"/>
          <w:i/>
          <w:iCs/>
          <w:color w:val="000000"/>
        </w:rPr>
        <w:t>Ginekol</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89</w:t>
      </w:r>
      <w:r>
        <w:rPr>
          <w:rFonts w:ascii="Book Antiqua" w:eastAsia="Book Antiqua" w:hAnsi="Book Antiqua" w:cs="Book Antiqua"/>
          <w:color w:val="000000"/>
        </w:rPr>
        <w:t>: 200-204 [PMID: 29781075 DOI: 10.5603/GP.a2018.0034]</w:t>
      </w:r>
    </w:p>
    <w:p w14:paraId="3DE471DE" w14:textId="77777777" w:rsidR="00A77B3E" w:rsidRPr="006D3EBE" w:rsidRDefault="00E0441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Kim BS</w:t>
      </w:r>
      <w:r>
        <w:rPr>
          <w:rFonts w:ascii="Book Antiqua" w:eastAsia="Book Antiqua" w:hAnsi="Book Antiqua" w:cs="Book Antiqua"/>
          <w:color w:val="000000"/>
        </w:rPr>
        <w:t xml:space="preserve">, Jin JY, Kwon JH, Woo IS, Ko YH, Park SY, Park HJ, Kang JH. Efficacy and safety of oxycodone/naloxone as add-on therapy to gabapentin or pregabalin for the management of chemotherapy-induced peripheral neuropathy in Korea. </w:t>
      </w:r>
      <w:r w:rsidRPr="006D3EBE">
        <w:rPr>
          <w:rFonts w:ascii="Book Antiqua" w:eastAsia="Book Antiqua" w:hAnsi="Book Antiqua" w:cs="Book Antiqua"/>
          <w:i/>
          <w:iCs/>
          <w:color w:val="000000"/>
        </w:rPr>
        <w:t>Asia Pac J Clin Oncol</w:t>
      </w:r>
      <w:r w:rsidRPr="006D3EBE">
        <w:rPr>
          <w:rFonts w:ascii="Book Antiqua" w:eastAsia="Book Antiqua" w:hAnsi="Book Antiqua" w:cs="Book Antiqua"/>
          <w:color w:val="000000"/>
        </w:rPr>
        <w:t xml:space="preserve"> 2018; </w:t>
      </w:r>
      <w:r w:rsidRPr="006D3EBE">
        <w:rPr>
          <w:rFonts w:ascii="Book Antiqua" w:eastAsia="Book Antiqua" w:hAnsi="Book Antiqua" w:cs="Book Antiqua"/>
          <w:b/>
          <w:bCs/>
          <w:color w:val="000000"/>
        </w:rPr>
        <w:t>14</w:t>
      </w:r>
      <w:r w:rsidRPr="006D3EBE">
        <w:rPr>
          <w:rFonts w:ascii="Book Antiqua" w:eastAsia="Book Antiqua" w:hAnsi="Book Antiqua" w:cs="Book Antiqua"/>
          <w:color w:val="000000"/>
        </w:rPr>
        <w:t>: e448-e454 [PMID: 29280313 DOI: 10.1111/ajco.12822]</w:t>
      </w:r>
    </w:p>
    <w:p w14:paraId="7FF115D4" w14:textId="77777777" w:rsidR="00A77B3E" w:rsidRDefault="00E0441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van den Heuvel SAS</w:t>
      </w:r>
      <w:r>
        <w:rPr>
          <w:rFonts w:ascii="Book Antiqua" w:eastAsia="Book Antiqua" w:hAnsi="Book Antiqua" w:cs="Book Antiqua"/>
          <w:color w:val="000000"/>
        </w:rPr>
        <w:t xml:space="preserve">, van der Wal SEI, </w:t>
      </w:r>
      <w:proofErr w:type="spellStart"/>
      <w:r>
        <w:rPr>
          <w:rFonts w:ascii="Book Antiqua" w:eastAsia="Book Antiqua" w:hAnsi="Book Antiqua" w:cs="Book Antiqua"/>
          <w:color w:val="000000"/>
        </w:rPr>
        <w:t>Smedes</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Radema</w:t>
      </w:r>
      <w:proofErr w:type="spellEnd"/>
      <w:r>
        <w:rPr>
          <w:rFonts w:ascii="Book Antiqua" w:eastAsia="Book Antiqua" w:hAnsi="Book Antiqua" w:cs="Book Antiqua"/>
          <w:color w:val="000000"/>
        </w:rPr>
        <w:t xml:space="preserve"> SA, van </w:t>
      </w:r>
      <w:proofErr w:type="spellStart"/>
      <w:r>
        <w:rPr>
          <w:rFonts w:ascii="Book Antiqua" w:eastAsia="Book Antiqua" w:hAnsi="Book Antiqua" w:cs="Book Antiqua"/>
          <w:color w:val="000000"/>
        </w:rPr>
        <w:t>Alfen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Vissers</w:t>
      </w:r>
      <w:proofErr w:type="spellEnd"/>
      <w:r>
        <w:rPr>
          <w:rFonts w:ascii="Book Antiqua" w:eastAsia="Book Antiqua" w:hAnsi="Book Antiqua" w:cs="Book Antiqua"/>
          <w:color w:val="000000"/>
        </w:rPr>
        <w:t xml:space="preserve"> KCP, </w:t>
      </w:r>
      <w:proofErr w:type="spellStart"/>
      <w:r>
        <w:rPr>
          <w:rFonts w:ascii="Book Antiqua" w:eastAsia="Book Antiqua" w:hAnsi="Book Antiqua" w:cs="Book Antiqua"/>
          <w:color w:val="000000"/>
        </w:rPr>
        <w:t>Steegers</w:t>
      </w:r>
      <w:proofErr w:type="spellEnd"/>
      <w:r>
        <w:rPr>
          <w:rFonts w:ascii="Book Antiqua" w:eastAsia="Book Antiqua" w:hAnsi="Book Antiqua" w:cs="Book Antiqua"/>
          <w:color w:val="000000"/>
        </w:rPr>
        <w:t xml:space="preserve"> MAH. Intravenous Lidocaine: Old-School Drug, New Purpose-Reduction of Intractable Pain in Patients with Chemotherapy Induced Peripheral Neuropathy. </w:t>
      </w:r>
      <w:r>
        <w:rPr>
          <w:rFonts w:ascii="Book Antiqua" w:eastAsia="Book Antiqua" w:hAnsi="Book Antiqua" w:cs="Book Antiqua"/>
          <w:i/>
          <w:iCs/>
          <w:color w:val="000000"/>
        </w:rPr>
        <w:t xml:space="preserve">Pain Res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8053474 [PMID: 28458593 DOI: 10.1155/2017/8053474]</w:t>
      </w:r>
    </w:p>
    <w:p w14:paraId="5EDF7175" w14:textId="77777777" w:rsidR="00A77B3E" w:rsidRDefault="00E0441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Barton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Wos</w:t>
      </w:r>
      <w:proofErr w:type="spellEnd"/>
      <w:r>
        <w:rPr>
          <w:rFonts w:ascii="Book Antiqua" w:eastAsia="Book Antiqua" w:hAnsi="Book Antiqua" w:cs="Book Antiqua"/>
          <w:color w:val="000000"/>
        </w:rPr>
        <w:t xml:space="preserve"> EJ, Qin R, </w:t>
      </w:r>
      <w:proofErr w:type="spellStart"/>
      <w:r>
        <w:rPr>
          <w:rFonts w:ascii="Book Antiqua" w:eastAsia="Book Antiqua" w:hAnsi="Book Antiqua" w:cs="Book Antiqua"/>
          <w:color w:val="000000"/>
        </w:rPr>
        <w:t>Mattar</w:t>
      </w:r>
      <w:proofErr w:type="spellEnd"/>
      <w:r>
        <w:rPr>
          <w:rFonts w:ascii="Book Antiqua" w:eastAsia="Book Antiqua" w:hAnsi="Book Antiqua" w:cs="Book Antiqua"/>
          <w:color w:val="000000"/>
        </w:rPr>
        <w:t xml:space="preserve"> BI, Green NB, Lanier KS, Bearden JD 3rd, Kugler JW, Hoff KL, Reddy PS, Rowland KM Jr, </w:t>
      </w:r>
      <w:proofErr w:type="spellStart"/>
      <w:r>
        <w:rPr>
          <w:rFonts w:ascii="Book Antiqua" w:eastAsia="Book Antiqua" w:hAnsi="Book Antiqua" w:cs="Book Antiqua"/>
          <w:color w:val="000000"/>
        </w:rPr>
        <w:t>Riepl</w:t>
      </w:r>
      <w:proofErr w:type="spellEnd"/>
      <w:r>
        <w:rPr>
          <w:rFonts w:ascii="Book Antiqua" w:eastAsia="Book Antiqua" w:hAnsi="Book Antiqua" w:cs="Book Antiqua"/>
          <w:color w:val="000000"/>
        </w:rPr>
        <w:t xml:space="preserve"> M, Christensen B, </w:t>
      </w:r>
      <w:proofErr w:type="spellStart"/>
      <w:r>
        <w:rPr>
          <w:rFonts w:ascii="Book Antiqua" w:eastAsia="Book Antiqua" w:hAnsi="Book Antiqua" w:cs="Book Antiqua"/>
          <w:color w:val="000000"/>
        </w:rPr>
        <w:t>Loprinzi</w:t>
      </w:r>
      <w:proofErr w:type="spellEnd"/>
      <w:r>
        <w:rPr>
          <w:rFonts w:ascii="Book Antiqua" w:eastAsia="Book Antiqua" w:hAnsi="Book Antiqua" w:cs="Book Antiqua"/>
          <w:color w:val="000000"/>
        </w:rPr>
        <w:t xml:space="preserve"> CL. A double-blind, placebo-controlled trial of a topical treatment for chemotherapy-induced peripheral neuropathy: NCCTG trial N06CA.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833-841 [PMID: 20496177 DOI: 10.1007/s00520-010-0911-0]</w:t>
      </w:r>
    </w:p>
    <w:p w14:paraId="3D1070B1" w14:textId="77777777" w:rsidR="00A77B3E" w:rsidRDefault="00E0441B">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Fradkin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Batash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Elmaleh</w:t>
      </w:r>
      <w:proofErr w:type="spellEnd"/>
      <w:r>
        <w:rPr>
          <w:rFonts w:ascii="Book Antiqua" w:eastAsia="Book Antiqua" w:hAnsi="Book Antiqua" w:cs="Book Antiqua"/>
          <w:color w:val="000000"/>
        </w:rPr>
        <w:t xml:space="preserve"> S, Debi R, Schaffer P, Schaffer M, </w:t>
      </w:r>
      <w:proofErr w:type="spellStart"/>
      <w:r>
        <w:rPr>
          <w:rFonts w:ascii="Book Antiqua" w:eastAsia="Book Antiqua" w:hAnsi="Book Antiqua" w:cs="Book Antiqua"/>
          <w:color w:val="000000"/>
        </w:rPr>
        <w:t>Asna</w:t>
      </w:r>
      <w:proofErr w:type="spellEnd"/>
      <w:r>
        <w:rPr>
          <w:rFonts w:ascii="Book Antiqua" w:eastAsia="Book Antiqua" w:hAnsi="Book Antiqua" w:cs="Book Antiqua"/>
          <w:color w:val="000000"/>
        </w:rPr>
        <w:t xml:space="preserve"> N. Management of Peripheral Neuropathy Induced by Chemotherapy.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4698-4708 [PMID: 30621553 DOI: 10.2174/0929867326666190107163756]</w:t>
      </w:r>
    </w:p>
    <w:p w14:paraId="3AC01250" w14:textId="77777777" w:rsidR="00A77B3E" w:rsidRDefault="00E0441B">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Ibrahim EY</w:t>
      </w:r>
      <w:r>
        <w:rPr>
          <w:rFonts w:ascii="Book Antiqua" w:eastAsia="Book Antiqua" w:hAnsi="Book Antiqua" w:cs="Book Antiqua"/>
          <w:color w:val="000000"/>
        </w:rPr>
        <w:t xml:space="preserve">, Ehrlich BE. Prevention of chemotherapy-induced peripheral neuropathy: A review of recent findings. </w:t>
      </w:r>
      <w:r>
        <w:rPr>
          <w:rFonts w:ascii="Book Antiqua" w:eastAsia="Book Antiqua" w:hAnsi="Book Antiqua" w:cs="Book Antiqua"/>
          <w:i/>
          <w:iCs/>
          <w:color w:val="000000"/>
        </w:rPr>
        <w:t xml:space="preserve">Crit Rev Oncol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145</w:t>
      </w:r>
      <w:r>
        <w:rPr>
          <w:rFonts w:ascii="Book Antiqua" w:eastAsia="Book Antiqua" w:hAnsi="Book Antiqua" w:cs="Book Antiqua"/>
          <w:color w:val="000000"/>
        </w:rPr>
        <w:t>: 102831 [PMID: 31783290 DOI: 10.1016/j.critrevonc.2019.102831]</w:t>
      </w:r>
    </w:p>
    <w:p w14:paraId="758B62FF" w14:textId="77777777" w:rsidR="00A77B3E" w:rsidRDefault="00E0441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Erdelyi</w:t>
      </w:r>
      <w:proofErr w:type="spellEnd"/>
      <w:r>
        <w:rPr>
          <w:rFonts w:ascii="Book Antiqua" w:eastAsia="Book Antiqua" w:hAnsi="Book Antiqua" w:cs="Book Antiqua"/>
          <w:color w:val="000000"/>
        </w:rPr>
        <w:t xml:space="preserve"> I, Szigeti-Buck K, Benbow JH, Ehrlich BE. Prevention of paclitaxel-induced peripheral neuropathy by lithium pretreatment.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4696-4709 [PMID: 22889832 DOI: 10.1096/fj.12-214643]</w:t>
      </w:r>
    </w:p>
    <w:p w14:paraId="7F61CBF7" w14:textId="77777777" w:rsidR="00A77B3E" w:rsidRPr="006D3EBE" w:rsidRDefault="00E0441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Wadia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Stolar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Grens</w:t>
      </w:r>
      <w:proofErr w:type="spellEnd"/>
      <w:r>
        <w:rPr>
          <w:rFonts w:ascii="Book Antiqua" w:eastAsia="Book Antiqua" w:hAnsi="Book Antiqua" w:cs="Book Antiqua"/>
          <w:color w:val="000000"/>
        </w:rPr>
        <w:t xml:space="preserve"> C, Ehrlich BE, Chao HH. The prevention of chemotherapy induced peripheral neuropathy by concurrent treatment with drugs used for bipolar disease: a retrospective chart analysis in human cancer patients. </w:t>
      </w:r>
      <w:r w:rsidRPr="006D3EBE">
        <w:rPr>
          <w:rFonts w:ascii="Book Antiqua" w:eastAsia="Book Antiqua" w:hAnsi="Book Antiqua" w:cs="Book Antiqua"/>
          <w:i/>
          <w:iCs/>
          <w:color w:val="000000"/>
        </w:rPr>
        <w:t>Oncotarget</w:t>
      </w:r>
      <w:r w:rsidRPr="006D3EBE">
        <w:rPr>
          <w:rFonts w:ascii="Book Antiqua" w:eastAsia="Book Antiqua" w:hAnsi="Book Antiqua" w:cs="Book Antiqua"/>
          <w:color w:val="000000"/>
        </w:rPr>
        <w:t xml:space="preserve"> 2018; </w:t>
      </w:r>
      <w:r w:rsidRPr="006D3EBE">
        <w:rPr>
          <w:rFonts w:ascii="Book Antiqua" w:eastAsia="Book Antiqua" w:hAnsi="Book Antiqua" w:cs="Book Antiqua"/>
          <w:b/>
          <w:bCs/>
          <w:color w:val="000000"/>
        </w:rPr>
        <w:t>9</w:t>
      </w:r>
      <w:r w:rsidRPr="006D3EBE">
        <w:rPr>
          <w:rFonts w:ascii="Book Antiqua" w:eastAsia="Book Antiqua" w:hAnsi="Book Antiqua" w:cs="Book Antiqua"/>
          <w:color w:val="000000"/>
        </w:rPr>
        <w:t>: 7322-7331 [PMID: 29484113 DOI: 10.18632/oncotarget.23467]</w:t>
      </w:r>
    </w:p>
    <w:p w14:paraId="65DAC255" w14:textId="77777777" w:rsidR="00A77B3E" w:rsidRPr="006D3EBE" w:rsidRDefault="00E0441B">
      <w:pPr>
        <w:spacing w:line="360" w:lineRule="auto"/>
        <w:jc w:val="both"/>
      </w:pPr>
      <w:r w:rsidRPr="006D3EBE">
        <w:rPr>
          <w:rFonts w:ascii="Book Antiqua" w:eastAsia="Book Antiqua" w:hAnsi="Book Antiqua" w:cs="Book Antiqua"/>
          <w:color w:val="000000"/>
        </w:rPr>
        <w:t xml:space="preserve">26 </w:t>
      </w:r>
      <w:r w:rsidRPr="006D3EBE">
        <w:rPr>
          <w:rFonts w:ascii="Book Antiqua" w:eastAsia="Book Antiqua" w:hAnsi="Book Antiqua" w:cs="Book Antiqua"/>
          <w:b/>
          <w:bCs/>
          <w:color w:val="000000"/>
        </w:rPr>
        <w:t>Pignata S</w:t>
      </w:r>
      <w:r w:rsidRPr="006D3EBE">
        <w:rPr>
          <w:rFonts w:ascii="Book Antiqua" w:eastAsia="Book Antiqua" w:hAnsi="Book Antiqua" w:cs="Book Antiqua"/>
          <w:color w:val="000000"/>
        </w:rPr>
        <w:t xml:space="preserve">, Scambia G, Ferrandina G, Savarese A, Sorio R, Breda E, Gebbia V, Musso P, Frigerio L, Del Medico P, Lombardi AV, Febbraro A, Scollo P, Ferro A, Tamberi S, Brandes A, Ravaioli A, Valerio MR, Aitini E, Natale D, Scaltriti L, Greggi S, Pisano C, Lorusso D, Salutari V, Legge F, Di Maio M, Morabito A, Gallo C, Perrone F. Carboplatin plus paclitaxel </w:t>
      </w:r>
      <w:r w:rsidRPr="006D3EBE">
        <w:rPr>
          <w:rFonts w:ascii="Book Antiqua" w:eastAsia="Book Antiqua" w:hAnsi="Book Antiqua" w:cs="Book Antiqua"/>
          <w:i/>
          <w:iCs/>
          <w:color w:val="000000"/>
        </w:rPr>
        <w:t>vs</w:t>
      </w:r>
      <w:r w:rsidRPr="006D3EBE">
        <w:rPr>
          <w:rFonts w:ascii="Book Antiqua" w:eastAsia="Book Antiqua" w:hAnsi="Book Antiqua" w:cs="Book Antiqua"/>
          <w:color w:val="000000"/>
        </w:rPr>
        <w:t xml:space="preserve"> carboplatin plus pegylated liposomal doxorubicin as first-line treatment for patients with ovarian cancer: the MITO-2 randomized phase III trial. </w:t>
      </w:r>
      <w:r w:rsidRPr="006D3EBE">
        <w:rPr>
          <w:rFonts w:ascii="Book Antiqua" w:eastAsia="Book Antiqua" w:hAnsi="Book Antiqua" w:cs="Book Antiqua"/>
          <w:i/>
          <w:iCs/>
          <w:color w:val="000000"/>
        </w:rPr>
        <w:t>J Clin Oncol</w:t>
      </w:r>
      <w:r w:rsidRPr="006D3EBE">
        <w:rPr>
          <w:rFonts w:ascii="Book Antiqua" w:eastAsia="Book Antiqua" w:hAnsi="Book Antiqua" w:cs="Book Antiqua"/>
          <w:color w:val="000000"/>
        </w:rPr>
        <w:t xml:space="preserve"> 2011; </w:t>
      </w:r>
      <w:r w:rsidRPr="006D3EBE">
        <w:rPr>
          <w:rFonts w:ascii="Book Antiqua" w:eastAsia="Book Antiqua" w:hAnsi="Book Antiqua" w:cs="Book Antiqua"/>
          <w:b/>
          <w:bCs/>
          <w:color w:val="000000"/>
        </w:rPr>
        <w:t>29</w:t>
      </w:r>
      <w:r w:rsidRPr="006D3EBE">
        <w:rPr>
          <w:rFonts w:ascii="Book Antiqua" w:eastAsia="Book Antiqua" w:hAnsi="Book Antiqua" w:cs="Book Antiqua"/>
          <w:color w:val="000000"/>
        </w:rPr>
        <w:t>: 3628-3635 [PMID: 21844495 DOI: 10.1200/JCO.2010.33.8566]</w:t>
      </w:r>
    </w:p>
    <w:p w14:paraId="145E1D9C" w14:textId="77777777" w:rsidR="00A77B3E" w:rsidRPr="006D3EBE" w:rsidRDefault="00E0441B">
      <w:pPr>
        <w:spacing w:line="360" w:lineRule="auto"/>
        <w:jc w:val="both"/>
      </w:pPr>
      <w:r w:rsidRPr="006D3EBE">
        <w:rPr>
          <w:rFonts w:ascii="Book Antiqua" w:eastAsia="Book Antiqua" w:hAnsi="Book Antiqua" w:cs="Book Antiqua"/>
          <w:color w:val="000000"/>
        </w:rPr>
        <w:t xml:space="preserve">27 </w:t>
      </w:r>
      <w:r w:rsidRPr="006D3EBE">
        <w:rPr>
          <w:rFonts w:ascii="Book Antiqua" w:eastAsia="Book Antiqua" w:hAnsi="Book Antiqua" w:cs="Book Antiqua"/>
          <w:b/>
          <w:bCs/>
          <w:color w:val="000000"/>
        </w:rPr>
        <w:t>Pignata S</w:t>
      </w:r>
      <w:r w:rsidRPr="006D3EBE">
        <w:rPr>
          <w:rFonts w:ascii="Book Antiqua" w:eastAsia="Book Antiqua" w:hAnsi="Book Antiqua" w:cs="Book Antiqua"/>
          <w:color w:val="000000"/>
        </w:rPr>
        <w:t xml:space="preserve">, De Placido S, Biamonte R, Scambia G, Di Vagno G, Colucci G, Febbraro A, Marinaccio M, Lombardi AV, Manzione L, Cartenì G, Nardi M, Danese S, Valerio MR, de Matteis A, Massidda B, Gasparini G, Di Maio M, Pisano C, Perrone F. Residual neurotoxicity in ovarian cancer patients in clinical remission after first-line chemotherapy with carboplatin and paclitaxel: the Multicenter Italian Trial in Ovarian cancer (MITO-4) retrospective study. </w:t>
      </w:r>
      <w:r w:rsidRPr="006D3EBE">
        <w:rPr>
          <w:rFonts w:ascii="Book Antiqua" w:eastAsia="Book Antiqua" w:hAnsi="Book Antiqua" w:cs="Book Antiqua"/>
          <w:i/>
          <w:iCs/>
          <w:color w:val="000000"/>
        </w:rPr>
        <w:t>BMC Cancer</w:t>
      </w:r>
      <w:r w:rsidRPr="006D3EBE">
        <w:rPr>
          <w:rFonts w:ascii="Book Antiqua" w:eastAsia="Book Antiqua" w:hAnsi="Book Antiqua" w:cs="Book Antiqua"/>
          <w:color w:val="000000"/>
        </w:rPr>
        <w:t xml:space="preserve"> 2006; </w:t>
      </w:r>
      <w:r w:rsidRPr="006D3EBE">
        <w:rPr>
          <w:rFonts w:ascii="Book Antiqua" w:eastAsia="Book Antiqua" w:hAnsi="Book Antiqua" w:cs="Book Antiqua"/>
          <w:b/>
          <w:bCs/>
          <w:color w:val="000000"/>
        </w:rPr>
        <w:t>6</w:t>
      </w:r>
      <w:r w:rsidRPr="006D3EBE">
        <w:rPr>
          <w:rFonts w:ascii="Book Antiqua" w:eastAsia="Book Antiqua" w:hAnsi="Book Antiqua" w:cs="Book Antiqua"/>
          <w:color w:val="000000"/>
        </w:rPr>
        <w:t>: 5 [PMID: 16398939 DOI: 10.1186/1471-2407-6-5]</w:t>
      </w:r>
    </w:p>
    <w:p w14:paraId="79A29E45" w14:textId="77777777" w:rsidR="00A77B3E" w:rsidRDefault="00E0441B">
      <w:pPr>
        <w:spacing w:line="360" w:lineRule="auto"/>
        <w:jc w:val="both"/>
      </w:pPr>
      <w:r w:rsidRPr="006D3EBE">
        <w:rPr>
          <w:rFonts w:ascii="Book Antiqua" w:eastAsia="Book Antiqua" w:hAnsi="Book Antiqua" w:cs="Book Antiqua"/>
          <w:color w:val="000000"/>
        </w:rPr>
        <w:t xml:space="preserve">28 </w:t>
      </w:r>
      <w:r w:rsidRPr="006D3EBE">
        <w:rPr>
          <w:rFonts w:ascii="Book Antiqua" w:eastAsia="Book Antiqua" w:hAnsi="Book Antiqua" w:cs="Book Antiqua"/>
          <w:b/>
          <w:bCs/>
          <w:color w:val="000000"/>
        </w:rPr>
        <w:t>Pignata S</w:t>
      </w:r>
      <w:r w:rsidRPr="006D3EBE">
        <w:rPr>
          <w:rFonts w:ascii="Book Antiqua" w:eastAsia="Book Antiqua" w:hAnsi="Book Antiqua" w:cs="Book Antiqua"/>
          <w:color w:val="000000"/>
        </w:rPr>
        <w:t xml:space="preserve">, Scambia G, Katsaros D, Gallo C, Pujade-Lauraine E, De Placido S, Bologna A, Weber B, Raspagliesi F, Panici PB, Cormio G, Sorio R, Cavazzini MG, Ferrandina G, Breda E, Murgia V, Sacco C, Cinieri S, Salutari V, Ricci C, Pisano C, Greggi S, Lauria R, Lorusso D, Marchetti C, Selvaggi L, Signoriello S, Piccirillo MC, Di Maio M, Perrone F; Multicentre Italian Trials in Ovarian cancer (MITO-7); Groupe d'Investigateurs </w:t>
      </w:r>
      <w:r w:rsidRPr="006D3EBE">
        <w:rPr>
          <w:rFonts w:ascii="Book Antiqua" w:eastAsia="Book Antiqua" w:hAnsi="Book Antiqua" w:cs="Book Antiqua"/>
          <w:color w:val="000000"/>
        </w:rPr>
        <w:lastRenderedPageBreak/>
        <w:t xml:space="preserve">Nationaux pour l'Etude des Cancers Ovariens et du sein (GINECO); Mario Negri Gynecologic Oncology (MaNGO); European Network of Gynaecological Oncological Trial Groups (ENGOT-OV-10); Gynecologic Cancer InterGroup (GCIG) Investigators. </w:t>
      </w:r>
      <w:r>
        <w:rPr>
          <w:rFonts w:ascii="Book Antiqua" w:eastAsia="Book Antiqua" w:hAnsi="Book Antiqua" w:cs="Book Antiqua"/>
          <w:color w:val="000000"/>
        </w:rPr>
        <w:t xml:space="preserve">Carboplatin plus paclitaxel once a week </w:t>
      </w:r>
      <w:r>
        <w:rPr>
          <w:rFonts w:ascii="Book Antiqua" w:eastAsia="Book Antiqua" w:hAnsi="Book Antiqua" w:cs="Book Antiqua"/>
          <w:i/>
          <w:iCs/>
          <w:color w:val="000000"/>
        </w:rPr>
        <w:t>vs</w:t>
      </w:r>
      <w:r>
        <w:rPr>
          <w:rFonts w:ascii="Book Antiqua" w:eastAsia="Book Antiqua" w:hAnsi="Book Antiqua" w:cs="Book Antiqua"/>
          <w:color w:val="000000"/>
        </w:rPr>
        <w:t xml:space="preserve"> every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patients with advanced ovarian cancer (MITO-7):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396-405 [PMID: 24582486 DOI: 10.1016/S1470-2045(14)70049-X]</w:t>
      </w:r>
    </w:p>
    <w:p w14:paraId="6E9EAA89" w14:textId="77777777" w:rsidR="00A77B3E" w:rsidRDefault="00E0441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Katsumata N</w:t>
      </w:r>
      <w:r>
        <w:rPr>
          <w:rFonts w:ascii="Book Antiqua" w:eastAsia="Book Antiqua" w:hAnsi="Book Antiqua" w:cs="Book Antiqua"/>
          <w:color w:val="000000"/>
        </w:rPr>
        <w:t xml:space="preserve">, Yasuda M, Takahashi F, </w:t>
      </w:r>
      <w:proofErr w:type="spellStart"/>
      <w:r>
        <w:rPr>
          <w:rFonts w:ascii="Book Antiqua" w:eastAsia="Book Antiqua" w:hAnsi="Book Antiqua" w:cs="Book Antiqua"/>
          <w:color w:val="000000"/>
        </w:rPr>
        <w:t>Isonishi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Jobo</w:t>
      </w:r>
      <w:proofErr w:type="spellEnd"/>
      <w:r>
        <w:rPr>
          <w:rFonts w:ascii="Book Antiqua" w:eastAsia="Book Antiqua" w:hAnsi="Book Antiqua" w:cs="Book Antiqua"/>
          <w:color w:val="000000"/>
        </w:rPr>
        <w:t xml:space="preserve"> T, Aoki D, Tsuda H, Sugiyama T, Kodama S, Kimura E,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K, Noda K; Japanese Gynecologic Oncology Group. Dose-dense paclitaxel once a week in combination with carboplatin every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 advanced ovarian cancer: a phase 3,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2009; </w:t>
      </w:r>
      <w:r>
        <w:rPr>
          <w:rFonts w:ascii="Book Antiqua" w:eastAsia="Book Antiqua" w:hAnsi="Book Antiqua" w:cs="Book Antiqua"/>
          <w:b/>
          <w:bCs/>
          <w:color w:val="000000"/>
        </w:rPr>
        <w:t>374</w:t>
      </w:r>
      <w:r>
        <w:rPr>
          <w:rFonts w:ascii="Book Antiqua" w:eastAsia="Book Antiqua" w:hAnsi="Book Antiqua" w:cs="Book Antiqua"/>
          <w:color w:val="000000"/>
        </w:rPr>
        <w:t>: 1331-1338 [PMID: 19767092 DOI: 10.1016/S0140-6736(09)61157-0]</w:t>
      </w:r>
    </w:p>
    <w:p w14:paraId="58013225" w14:textId="77777777" w:rsidR="00A77B3E" w:rsidRDefault="00E0441B">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Harano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Terauchi F, Katsumata N, Takahashi F, Yasuda M, Takakura S, Takano M, Yamamoto Y, Sugiyama T. Quality-of-life outcomes from a randomized phase III trial of dose-dense weekly paclitaxel and carboplatin compared with conventional paclitaxel and carboplatin as a first-line treatment for stage II-IV ovarian cancer: Japanese Gynecologic Oncology Group Trial (JGOG3016).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251-257 [PMID: 24356636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/mdt527]</w:t>
      </w:r>
    </w:p>
    <w:p w14:paraId="40ED9054" w14:textId="77777777" w:rsidR="00A77B3E" w:rsidRDefault="00E0441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Chan JK</w:t>
      </w:r>
      <w:r>
        <w:rPr>
          <w:rFonts w:ascii="Book Antiqua" w:eastAsia="Book Antiqua" w:hAnsi="Book Antiqua" w:cs="Book Antiqua"/>
          <w:color w:val="000000"/>
        </w:rPr>
        <w:t xml:space="preserve">, Brady MF, Penson RT, Huang H, </w:t>
      </w:r>
      <w:proofErr w:type="spellStart"/>
      <w:r>
        <w:rPr>
          <w:rFonts w:ascii="Book Antiqua" w:eastAsia="Book Antiqua" w:hAnsi="Book Antiqua" w:cs="Book Antiqua"/>
          <w:color w:val="000000"/>
        </w:rPr>
        <w:t>Birrer</w:t>
      </w:r>
      <w:proofErr w:type="spellEnd"/>
      <w:r>
        <w:rPr>
          <w:rFonts w:ascii="Book Antiqua" w:eastAsia="Book Antiqua" w:hAnsi="Book Antiqua" w:cs="Book Antiqua"/>
          <w:color w:val="000000"/>
        </w:rPr>
        <w:t xml:space="preserve"> MJ, Walker JL, </w:t>
      </w:r>
      <w:proofErr w:type="spellStart"/>
      <w:r>
        <w:rPr>
          <w:rFonts w:ascii="Book Antiqua" w:eastAsia="Book Antiqua" w:hAnsi="Book Antiqua" w:cs="Book Antiqua"/>
          <w:color w:val="000000"/>
        </w:rPr>
        <w:t>DiSilvestro</w:t>
      </w:r>
      <w:proofErr w:type="spellEnd"/>
      <w:r>
        <w:rPr>
          <w:rFonts w:ascii="Book Antiqua" w:eastAsia="Book Antiqua" w:hAnsi="Book Antiqua" w:cs="Book Antiqua"/>
          <w:color w:val="000000"/>
        </w:rPr>
        <w:t xml:space="preserve"> PA, Rubin SC, Martin LP, Davidson SA, Huh WK, O'Malley DM, Boente MP, Michael H, Monk BJ. Weekly vs. Every-3-Week Paclitaxel and Carboplatin for Ovarian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374</w:t>
      </w:r>
      <w:r>
        <w:rPr>
          <w:rFonts w:ascii="Book Antiqua" w:eastAsia="Book Antiqua" w:hAnsi="Book Antiqua" w:cs="Book Antiqua"/>
          <w:color w:val="000000"/>
        </w:rPr>
        <w:t>: 738-748 [PMID: 26933849 DOI: 10.1056/NEJMoa1505067]</w:t>
      </w:r>
    </w:p>
    <w:p w14:paraId="74C6CD04" w14:textId="77777777" w:rsidR="00A77B3E" w:rsidRDefault="00E0441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Clamp AR</w:t>
      </w:r>
      <w:r>
        <w:rPr>
          <w:rFonts w:ascii="Book Antiqua" w:eastAsia="Book Antiqua" w:hAnsi="Book Antiqua" w:cs="Book Antiqua"/>
          <w:color w:val="000000"/>
        </w:rPr>
        <w:t xml:space="preserve">, James EC, </w:t>
      </w:r>
      <w:proofErr w:type="spellStart"/>
      <w:r>
        <w:rPr>
          <w:rFonts w:ascii="Book Antiqua" w:eastAsia="Book Antiqua" w:hAnsi="Book Antiqua" w:cs="Book Antiqua"/>
          <w:color w:val="000000"/>
        </w:rPr>
        <w:t>McNeish</w:t>
      </w:r>
      <w:proofErr w:type="spellEnd"/>
      <w:r>
        <w:rPr>
          <w:rFonts w:ascii="Book Antiqua" w:eastAsia="Book Antiqua" w:hAnsi="Book Antiqua" w:cs="Book Antiqua"/>
          <w:color w:val="000000"/>
        </w:rPr>
        <w:t xml:space="preserve"> IA, Dean A, Kim JW, O'Donnell DM, Hook J, Coyle C, Blagden S, Brenton JD, Naik R, </w:t>
      </w:r>
      <w:proofErr w:type="spellStart"/>
      <w:r>
        <w:rPr>
          <w:rFonts w:ascii="Book Antiqua" w:eastAsia="Book Antiqua" w:hAnsi="Book Antiqua" w:cs="Book Antiqua"/>
          <w:color w:val="000000"/>
        </w:rPr>
        <w:t>Perren</w:t>
      </w:r>
      <w:proofErr w:type="spellEnd"/>
      <w:r>
        <w:rPr>
          <w:rFonts w:ascii="Book Antiqua" w:eastAsia="Book Antiqua" w:hAnsi="Book Antiqua" w:cs="Book Antiqua"/>
          <w:color w:val="000000"/>
        </w:rPr>
        <w:t xml:space="preserve"> T, Sundar S, Cook AD, Gopalakrishnan GS, </w:t>
      </w:r>
      <w:proofErr w:type="spellStart"/>
      <w:r>
        <w:rPr>
          <w:rFonts w:ascii="Book Antiqua" w:eastAsia="Book Antiqua" w:hAnsi="Book Antiqua" w:cs="Book Antiqua"/>
          <w:color w:val="000000"/>
        </w:rPr>
        <w:t>Gabra</w:t>
      </w:r>
      <w:proofErr w:type="spellEnd"/>
      <w:r>
        <w:rPr>
          <w:rFonts w:ascii="Book Antiqua" w:eastAsia="Book Antiqua" w:hAnsi="Book Antiqua" w:cs="Book Antiqua"/>
          <w:color w:val="000000"/>
        </w:rPr>
        <w:t xml:space="preserve"> H, Lord R, Dark G, Earl HM, Hall M, Banerjee S, Glasspool RM, Jones R, Williams S, Swart AM, </w:t>
      </w:r>
      <w:proofErr w:type="spellStart"/>
      <w:r>
        <w:rPr>
          <w:rFonts w:ascii="Book Antiqua" w:eastAsia="Book Antiqua" w:hAnsi="Book Antiqua" w:cs="Book Antiqua"/>
          <w:color w:val="000000"/>
        </w:rPr>
        <w:t>Stenning</w:t>
      </w:r>
      <w:proofErr w:type="spellEnd"/>
      <w:r>
        <w:rPr>
          <w:rFonts w:ascii="Book Antiqua" w:eastAsia="Book Antiqua" w:hAnsi="Book Antiqua" w:cs="Book Antiqua"/>
          <w:color w:val="000000"/>
        </w:rPr>
        <w:t xml:space="preserve"> S, Parmar M, Kaplan R, Ledermann JA. Weekly dose-dense chemotherapy in first-line epithelial ovarian, fallopian tube, or primary peritoneal carcinoma treatment (ICON8): primary progression free survival analysis results from a GCIG phase 3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2084-2095 [PMID: 31791688 DOI: 10.1016/S0140-6736(19)32259-7]</w:t>
      </w:r>
    </w:p>
    <w:p w14:paraId="09B3FEE1" w14:textId="77777777" w:rsidR="00A77B3E" w:rsidRDefault="00E0441B">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Vasey PA</w:t>
      </w:r>
      <w:r>
        <w:rPr>
          <w:rFonts w:ascii="Book Antiqua" w:eastAsia="Book Antiqua" w:hAnsi="Book Antiqua" w:cs="Book Antiqua"/>
          <w:color w:val="000000"/>
        </w:rPr>
        <w:t xml:space="preserve">, Jayson GC, Gordon A, </w:t>
      </w:r>
      <w:proofErr w:type="spellStart"/>
      <w:r>
        <w:rPr>
          <w:rFonts w:ascii="Book Antiqua" w:eastAsia="Book Antiqua" w:hAnsi="Book Antiqua" w:cs="Book Antiqua"/>
          <w:color w:val="000000"/>
        </w:rPr>
        <w:t>Gabra</w:t>
      </w:r>
      <w:proofErr w:type="spellEnd"/>
      <w:r>
        <w:rPr>
          <w:rFonts w:ascii="Book Antiqua" w:eastAsia="Book Antiqua" w:hAnsi="Book Antiqua" w:cs="Book Antiqua"/>
          <w:color w:val="000000"/>
        </w:rPr>
        <w:t xml:space="preserve"> H, Coleman R, Atkinson R, Parkin D, Paul J, Hay A, Kaye SB; Scottish </w:t>
      </w:r>
      <w:proofErr w:type="spellStart"/>
      <w:r>
        <w:rPr>
          <w:rFonts w:ascii="Book Antiqua" w:eastAsia="Book Antiqua" w:hAnsi="Book Antiqua" w:cs="Book Antiqua"/>
          <w:color w:val="000000"/>
        </w:rPr>
        <w:t>Gynaecological</w:t>
      </w:r>
      <w:proofErr w:type="spellEnd"/>
      <w:r>
        <w:rPr>
          <w:rFonts w:ascii="Book Antiqua" w:eastAsia="Book Antiqua" w:hAnsi="Book Antiqua" w:cs="Book Antiqua"/>
          <w:color w:val="000000"/>
        </w:rPr>
        <w:t xml:space="preserve"> Cancer Trials Group. Phase III randomized trial of docetaxel-carboplatin </w:t>
      </w:r>
      <w:r>
        <w:rPr>
          <w:rFonts w:ascii="Book Antiqua" w:eastAsia="Book Antiqua" w:hAnsi="Book Antiqua" w:cs="Book Antiqua"/>
          <w:i/>
          <w:iCs/>
          <w:color w:val="000000"/>
        </w:rPr>
        <w:t>vs</w:t>
      </w:r>
      <w:r>
        <w:rPr>
          <w:rFonts w:ascii="Book Antiqua" w:eastAsia="Book Antiqua" w:hAnsi="Book Antiqua" w:cs="Book Antiqua"/>
          <w:color w:val="000000"/>
        </w:rPr>
        <w:t xml:space="preserve"> paclitaxel-carboplatin as first-line chemotherapy for ovarian carcinoma.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2004; </w:t>
      </w:r>
      <w:r>
        <w:rPr>
          <w:rFonts w:ascii="Book Antiqua" w:eastAsia="Book Antiqua" w:hAnsi="Book Antiqua" w:cs="Book Antiqua"/>
          <w:b/>
          <w:bCs/>
          <w:color w:val="000000"/>
        </w:rPr>
        <w:t>96</w:t>
      </w:r>
      <w:r>
        <w:rPr>
          <w:rFonts w:ascii="Book Antiqua" w:eastAsia="Book Antiqua" w:hAnsi="Book Antiqua" w:cs="Book Antiqua"/>
          <w:color w:val="000000"/>
        </w:rPr>
        <w:t>: 1682-1691 [PMID: 15547181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/djh323]</w:t>
      </w:r>
    </w:p>
    <w:p w14:paraId="5945AAEB" w14:textId="77777777" w:rsidR="00A77B3E" w:rsidRDefault="00E0441B">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Dizon</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Hensley ML, </w:t>
      </w:r>
      <w:proofErr w:type="spellStart"/>
      <w:r>
        <w:rPr>
          <w:rFonts w:ascii="Book Antiqua" w:eastAsia="Book Antiqua" w:hAnsi="Book Antiqua" w:cs="Book Antiqua"/>
          <w:color w:val="000000"/>
        </w:rPr>
        <w:t>Poynor</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Sabbatini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Aghajanian</w:t>
      </w:r>
      <w:proofErr w:type="spellEnd"/>
      <w:r>
        <w:rPr>
          <w:rFonts w:ascii="Book Antiqua" w:eastAsia="Book Antiqua" w:hAnsi="Book Antiqua" w:cs="Book Antiqua"/>
          <w:color w:val="000000"/>
        </w:rPr>
        <w:t xml:space="preserve"> C, Hummer A, Venkatraman E, Spriggs DR. Retrospective analysis of carboplatin and paclitaxel as initial second-line therapy for recurrent epithelial ovarian carcinoma: application toward a dynamic disease state model of ovarian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20</w:t>
      </w:r>
      <w:r>
        <w:rPr>
          <w:rFonts w:ascii="Book Antiqua" w:eastAsia="Book Antiqua" w:hAnsi="Book Antiqua" w:cs="Book Antiqua"/>
          <w:color w:val="000000"/>
        </w:rPr>
        <w:t>: 1238-1247 [PMID: 11870166 DOI: 10.1200/jco.2002.20.5.1238]</w:t>
      </w:r>
    </w:p>
    <w:p w14:paraId="60BAE784" w14:textId="77777777" w:rsidR="00A77B3E" w:rsidRDefault="00E0441B">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Bao T</w:t>
      </w:r>
      <w:r>
        <w:rPr>
          <w:rFonts w:ascii="Book Antiqua" w:eastAsia="Book Antiqua" w:hAnsi="Book Antiqua" w:cs="Book Antiqua"/>
          <w:color w:val="000000"/>
        </w:rPr>
        <w:t xml:space="preserve">, Seidman AD, </w:t>
      </w:r>
      <w:proofErr w:type="spellStart"/>
      <w:r>
        <w:rPr>
          <w:rFonts w:ascii="Book Antiqua" w:eastAsia="Book Antiqua" w:hAnsi="Book Antiqua" w:cs="Book Antiqua"/>
          <w:color w:val="000000"/>
        </w:rPr>
        <w:t>Piulson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Vertosick</w:t>
      </w:r>
      <w:proofErr w:type="spellEnd"/>
      <w:r>
        <w:rPr>
          <w:rFonts w:ascii="Book Antiqua" w:eastAsia="Book Antiqua" w:hAnsi="Book Antiqua" w:cs="Book Antiqua"/>
          <w:color w:val="000000"/>
        </w:rPr>
        <w:t xml:space="preserve"> E, Chen X, Vickers AJ, Blinder VS,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WI, Li Q, Vahdat LT, </w:t>
      </w:r>
      <w:proofErr w:type="spellStart"/>
      <w:r>
        <w:rPr>
          <w:rFonts w:ascii="Book Antiqua" w:eastAsia="Book Antiqua" w:hAnsi="Book Antiqua" w:cs="Book Antiqua"/>
          <w:color w:val="000000"/>
        </w:rPr>
        <w:t>Dickler</w:t>
      </w:r>
      <w:proofErr w:type="spellEnd"/>
      <w:r>
        <w:rPr>
          <w:rFonts w:ascii="Book Antiqua" w:eastAsia="Book Antiqua" w:hAnsi="Book Antiqua" w:cs="Book Antiqua"/>
          <w:color w:val="000000"/>
        </w:rPr>
        <w:t xml:space="preserve"> MN, Robson ME, Mao JJ. A phase IIA trial of acupuncture to reduce chemotherapy-induced peripheral neuropathy severity during neoadjuvant or adjuvant weekly paclitaxel chemotherapy in breast cancer patients.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101</w:t>
      </w:r>
      <w:r>
        <w:rPr>
          <w:rFonts w:ascii="Book Antiqua" w:eastAsia="Book Antiqua" w:hAnsi="Book Antiqua" w:cs="Book Antiqua"/>
          <w:color w:val="000000"/>
        </w:rPr>
        <w:t>: 12-19 [PMID: 30007894 DOI: 10.1016/j.ejca.2018.06.008]</w:t>
      </w:r>
    </w:p>
    <w:p w14:paraId="7D508D3D" w14:textId="77777777" w:rsidR="00A77B3E" w:rsidRDefault="00E0441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Smith TJ</w:t>
      </w:r>
      <w:r>
        <w:rPr>
          <w:rFonts w:ascii="Book Antiqua" w:eastAsia="Book Antiqua" w:hAnsi="Book Antiqua" w:cs="Book Antiqua"/>
          <w:color w:val="000000"/>
        </w:rPr>
        <w:t xml:space="preserve">, Coyne PJ, Parker GL, Dodson P, Ramakrishnan V. Pilot trial of a patient-specific cutaneous electrostimulation device (MC5-A </w:t>
      </w:r>
      <w:proofErr w:type="spellStart"/>
      <w:r>
        <w:rPr>
          <w:rFonts w:ascii="Book Antiqua" w:eastAsia="Book Antiqua" w:hAnsi="Book Antiqua" w:cs="Book Antiqua"/>
          <w:color w:val="000000"/>
        </w:rPr>
        <w:t>Calmare</w:t>
      </w:r>
      <w:proofErr w:type="spellEnd"/>
      <w:r>
        <w:rPr>
          <w:rFonts w:ascii="Book Antiqua" w:eastAsia="Book Antiqua" w:hAnsi="Book Antiqua" w:cs="Book Antiqua"/>
          <w:color w:val="000000"/>
        </w:rPr>
        <w:t xml:space="preserve">®) for chemotherapy-induced peripheral neuropathy. </w:t>
      </w:r>
      <w:r>
        <w:rPr>
          <w:rFonts w:ascii="Book Antiqua" w:eastAsia="Book Antiqua" w:hAnsi="Book Antiqua" w:cs="Book Antiqua"/>
          <w:i/>
          <w:iCs/>
          <w:color w:val="000000"/>
        </w:rPr>
        <w:t>J Pain Symptom Manage</w:t>
      </w:r>
      <w:r>
        <w:rPr>
          <w:rFonts w:ascii="Book Antiqua" w:eastAsia="Book Antiqua" w:hAnsi="Book Antiqua" w:cs="Book Antiqua"/>
          <w:color w:val="000000"/>
        </w:rPr>
        <w:t xml:space="preserve"> 2010; </w:t>
      </w:r>
      <w:r>
        <w:rPr>
          <w:rFonts w:ascii="Book Antiqua" w:eastAsia="Book Antiqua" w:hAnsi="Book Antiqua" w:cs="Book Antiqua"/>
          <w:b/>
          <w:bCs/>
          <w:color w:val="000000"/>
        </w:rPr>
        <w:t>40</w:t>
      </w:r>
      <w:r>
        <w:rPr>
          <w:rFonts w:ascii="Book Antiqua" w:eastAsia="Book Antiqua" w:hAnsi="Book Antiqua" w:cs="Book Antiqua"/>
          <w:color w:val="000000"/>
        </w:rPr>
        <w:t>: 883-891 [PMID: 20813492 DOI: 10.1016/j.jpainsymman.2010.03.022]</w:t>
      </w:r>
    </w:p>
    <w:p w14:paraId="164758A5" w14:textId="77777777" w:rsidR="00A77B3E" w:rsidRDefault="00E0441B">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Pachman</w:t>
      </w:r>
      <w:proofErr w:type="spellEnd"/>
      <w:r>
        <w:rPr>
          <w:rFonts w:ascii="Book Antiqua" w:eastAsia="Book Antiqua" w:hAnsi="Book Antiqua" w:cs="Book Antiqua"/>
          <w:b/>
          <w:bCs/>
          <w:color w:val="000000"/>
        </w:rPr>
        <w:t xml:space="preserve">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Weisbrod</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Seisler</w:t>
      </w:r>
      <w:proofErr w:type="spellEnd"/>
      <w:r>
        <w:rPr>
          <w:rFonts w:ascii="Book Antiqua" w:eastAsia="Book Antiqua" w:hAnsi="Book Antiqua" w:cs="Book Antiqua"/>
          <w:color w:val="000000"/>
        </w:rPr>
        <w:t xml:space="preserve"> DK, Barton DL, Fee-Schroeder KC, Smith TJ, Lachance DH, Liu H, </w:t>
      </w:r>
      <w:proofErr w:type="spellStart"/>
      <w:r>
        <w:rPr>
          <w:rFonts w:ascii="Book Antiqua" w:eastAsia="Book Antiqua" w:hAnsi="Book Antiqua" w:cs="Book Antiqua"/>
          <w:color w:val="000000"/>
        </w:rPr>
        <w:t>Shelerud</w:t>
      </w:r>
      <w:proofErr w:type="spellEnd"/>
      <w:r>
        <w:rPr>
          <w:rFonts w:ascii="Book Antiqua" w:eastAsia="Book Antiqua" w:hAnsi="Book Antiqua" w:cs="Book Antiqua"/>
          <w:color w:val="000000"/>
        </w:rPr>
        <w:t xml:space="preserve"> RA, Cheville AL, </w:t>
      </w:r>
      <w:proofErr w:type="spellStart"/>
      <w:r>
        <w:rPr>
          <w:rFonts w:ascii="Book Antiqua" w:eastAsia="Book Antiqua" w:hAnsi="Book Antiqua" w:cs="Book Antiqua"/>
          <w:color w:val="000000"/>
        </w:rPr>
        <w:t>Loprinzi</w:t>
      </w:r>
      <w:proofErr w:type="spellEnd"/>
      <w:r>
        <w:rPr>
          <w:rFonts w:ascii="Book Antiqua" w:eastAsia="Book Antiqua" w:hAnsi="Book Antiqua" w:cs="Book Antiqua"/>
          <w:color w:val="000000"/>
        </w:rPr>
        <w:t xml:space="preserve"> CL. Pilot evaluation of Scrambler therapy for the treatment of chemotherapy-induced peripheral neuropathy.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23</w:t>
      </w:r>
      <w:r>
        <w:rPr>
          <w:rFonts w:ascii="Book Antiqua" w:eastAsia="Book Antiqua" w:hAnsi="Book Antiqua" w:cs="Book Antiqua"/>
          <w:color w:val="000000"/>
        </w:rPr>
        <w:t>: 943-951 [PMID: 25245776 DOI: 10.1007/s00520-014-2424-8]</w:t>
      </w:r>
    </w:p>
    <w:p w14:paraId="4A20729B" w14:textId="77777777" w:rsidR="00A77B3E" w:rsidRDefault="00E0441B">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Majithia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Smith TJ, Coyne PJ, Abdi S, </w:t>
      </w:r>
      <w:proofErr w:type="spellStart"/>
      <w:r>
        <w:rPr>
          <w:rFonts w:ascii="Book Antiqua" w:eastAsia="Book Antiqua" w:hAnsi="Book Antiqua" w:cs="Book Antiqua"/>
          <w:color w:val="000000"/>
        </w:rPr>
        <w:t>Pachman</w:t>
      </w:r>
      <w:proofErr w:type="spellEnd"/>
      <w:r>
        <w:rPr>
          <w:rFonts w:ascii="Book Antiqua" w:eastAsia="Book Antiqua" w:hAnsi="Book Antiqua" w:cs="Book Antiqua"/>
          <w:color w:val="000000"/>
        </w:rPr>
        <w:t xml:space="preserve"> DR, Lachance D, </w:t>
      </w:r>
      <w:proofErr w:type="spellStart"/>
      <w:r>
        <w:rPr>
          <w:rFonts w:ascii="Book Antiqua" w:eastAsia="Book Antiqua" w:hAnsi="Book Antiqua" w:cs="Book Antiqua"/>
          <w:color w:val="000000"/>
        </w:rPr>
        <w:t>Shelerud</w:t>
      </w:r>
      <w:proofErr w:type="spellEnd"/>
      <w:r>
        <w:rPr>
          <w:rFonts w:ascii="Book Antiqua" w:eastAsia="Book Antiqua" w:hAnsi="Book Antiqua" w:cs="Book Antiqua"/>
          <w:color w:val="000000"/>
        </w:rPr>
        <w:t xml:space="preserve"> R, Cheville A, Basford JR, Farley D, O'Neill C, Ruddy KJ, </w:t>
      </w:r>
      <w:proofErr w:type="spellStart"/>
      <w:r>
        <w:rPr>
          <w:rFonts w:ascii="Book Antiqua" w:eastAsia="Book Antiqua" w:hAnsi="Book Antiqua" w:cs="Book Antiqua"/>
          <w:color w:val="000000"/>
        </w:rPr>
        <w:t>Sparadeo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Beutler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Loprinzi</w:t>
      </w:r>
      <w:proofErr w:type="spellEnd"/>
      <w:r>
        <w:rPr>
          <w:rFonts w:ascii="Book Antiqua" w:eastAsia="Book Antiqua" w:hAnsi="Book Antiqua" w:cs="Book Antiqua"/>
          <w:color w:val="000000"/>
        </w:rPr>
        <w:t xml:space="preserve"> CL. Scrambler Therapy for the management of chronic pain.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2807-2814 [PMID: 27041741 DOI: 10.1007/s00520-016-3177-3]</w:t>
      </w:r>
    </w:p>
    <w:p w14:paraId="59D974C8" w14:textId="77777777" w:rsidR="00A77B3E" w:rsidRDefault="00E0441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Coyne PJ</w:t>
      </w:r>
      <w:r>
        <w:rPr>
          <w:rFonts w:ascii="Book Antiqua" w:eastAsia="Book Antiqua" w:hAnsi="Book Antiqua" w:cs="Book Antiqua"/>
          <w:color w:val="000000"/>
        </w:rPr>
        <w:t xml:space="preserve">, Wan W, Dodson P, </w:t>
      </w:r>
      <w:proofErr w:type="spellStart"/>
      <w:r>
        <w:rPr>
          <w:rFonts w:ascii="Book Antiqua" w:eastAsia="Book Antiqua" w:hAnsi="Book Antiqua" w:cs="Book Antiqua"/>
          <w:color w:val="000000"/>
        </w:rPr>
        <w:t>Swainey</w:t>
      </w:r>
      <w:proofErr w:type="spellEnd"/>
      <w:r>
        <w:rPr>
          <w:rFonts w:ascii="Book Antiqua" w:eastAsia="Book Antiqua" w:hAnsi="Book Antiqua" w:cs="Book Antiqua"/>
          <w:color w:val="000000"/>
        </w:rPr>
        <w:t xml:space="preserve"> C, Smith TJ. A trial of Scrambler therapy in the treatment of cancer pain syndromes and chronic chemotherapy-induced peripheral </w:t>
      </w:r>
      <w:r>
        <w:rPr>
          <w:rFonts w:ascii="Book Antiqua" w:eastAsia="Book Antiqua" w:hAnsi="Book Antiqua" w:cs="Book Antiqua"/>
          <w:color w:val="000000"/>
        </w:rPr>
        <w:lastRenderedPageBreak/>
        <w:t xml:space="preserve">neuropathy. </w:t>
      </w:r>
      <w:r>
        <w:rPr>
          <w:rFonts w:ascii="Book Antiqua" w:eastAsia="Book Antiqua" w:hAnsi="Book Antiqua" w:cs="Book Antiqua"/>
          <w:i/>
          <w:iCs/>
          <w:color w:val="000000"/>
        </w:rPr>
        <w:t xml:space="preserve">J Pain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Care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359-364 [PMID: 24143893 DOI: 10.3109/15360288.2013.847519]</w:t>
      </w:r>
    </w:p>
    <w:p w14:paraId="0661F9A5" w14:textId="77777777" w:rsidR="00A77B3E" w:rsidRDefault="00E0441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Park HS</w:t>
      </w:r>
      <w:r>
        <w:rPr>
          <w:rFonts w:ascii="Book Antiqua" w:eastAsia="Book Antiqua" w:hAnsi="Book Antiqua" w:cs="Book Antiqua"/>
          <w:color w:val="000000"/>
        </w:rPr>
        <w:t xml:space="preserve">, Sin WK, Kim HY, Moon JY, Park SY, Kim YC, Lee SC. Scrambler therapy for patients with cancer pain - case series -. </w:t>
      </w:r>
      <w:r>
        <w:rPr>
          <w:rFonts w:ascii="Book Antiqua" w:eastAsia="Book Antiqua" w:hAnsi="Book Antiqua" w:cs="Book Antiqua"/>
          <w:i/>
          <w:iCs/>
          <w:color w:val="000000"/>
        </w:rPr>
        <w:t>Korean J Pain</w:t>
      </w:r>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65-71 [PMID: 23342211 DOI: 10.3344/kjp.2013.26.1.65]</w:t>
      </w:r>
    </w:p>
    <w:p w14:paraId="77B2F260" w14:textId="77777777" w:rsidR="00A77B3E" w:rsidRDefault="00E0441B">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Loprinzi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Le-Rademacher JG, </w:t>
      </w:r>
      <w:proofErr w:type="spellStart"/>
      <w:r>
        <w:rPr>
          <w:rFonts w:ascii="Book Antiqua" w:eastAsia="Book Antiqua" w:hAnsi="Book Antiqua" w:cs="Book Antiqua"/>
          <w:color w:val="000000"/>
        </w:rPr>
        <w:t>Majithia</w:t>
      </w:r>
      <w:proofErr w:type="spellEnd"/>
      <w:r>
        <w:rPr>
          <w:rFonts w:ascii="Book Antiqua" w:eastAsia="Book Antiqua" w:hAnsi="Book Antiqua" w:cs="Book Antiqua"/>
          <w:color w:val="000000"/>
        </w:rPr>
        <w:t xml:space="preserve"> N, McMurray RP, O'Neill CR, Bendel MA, </w:t>
      </w:r>
      <w:proofErr w:type="spellStart"/>
      <w:r>
        <w:rPr>
          <w:rFonts w:ascii="Book Antiqua" w:eastAsia="Book Antiqua" w:hAnsi="Book Antiqua" w:cs="Book Antiqua"/>
          <w:color w:val="000000"/>
        </w:rPr>
        <w:t>Beutler</w:t>
      </w:r>
      <w:proofErr w:type="spellEnd"/>
      <w:r>
        <w:rPr>
          <w:rFonts w:ascii="Book Antiqua" w:eastAsia="Book Antiqua" w:hAnsi="Book Antiqua" w:cs="Book Antiqua"/>
          <w:color w:val="000000"/>
        </w:rPr>
        <w:t xml:space="preserve"> A, Lachance DH, Cheville A, Strick DM, Black DF, </w:t>
      </w:r>
      <w:proofErr w:type="spellStart"/>
      <w:r>
        <w:rPr>
          <w:rFonts w:ascii="Book Antiqua" w:eastAsia="Book Antiqua" w:hAnsi="Book Antiqua" w:cs="Book Antiqua"/>
          <w:color w:val="000000"/>
        </w:rPr>
        <w:t>Tilburt</w:t>
      </w:r>
      <w:proofErr w:type="spellEnd"/>
      <w:r>
        <w:rPr>
          <w:rFonts w:ascii="Book Antiqua" w:eastAsia="Book Antiqua" w:hAnsi="Book Antiqua" w:cs="Book Antiqua"/>
          <w:color w:val="000000"/>
        </w:rPr>
        <w:t xml:space="preserve"> JC, Smith TJ. Scrambler therapy for chemotherapy neuropathy: a randomized phase II pilot trial.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1183-1197 [PMID: 31209630 DOI: 10.1007/s00520-019-04881-3]</w:t>
      </w:r>
    </w:p>
    <w:p w14:paraId="27093900" w14:textId="77777777" w:rsidR="00A77B3E" w:rsidRDefault="00E0441B">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Tsuyuki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Yamagami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Yoshibayashi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Sugie</w:t>
      </w:r>
      <w:proofErr w:type="spellEnd"/>
      <w:r>
        <w:rPr>
          <w:rFonts w:ascii="Book Antiqua" w:eastAsia="Book Antiqua" w:hAnsi="Book Antiqua" w:cs="Book Antiqua"/>
          <w:color w:val="000000"/>
        </w:rPr>
        <w:t xml:space="preserve"> T, Mizuno Y, Tanaka S, Kato H, </w:t>
      </w:r>
      <w:proofErr w:type="spellStart"/>
      <w:r>
        <w:rPr>
          <w:rFonts w:ascii="Book Antiqua" w:eastAsia="Book Antiqua" w:hAnsi="Book Antiqua" w:cs="Book Antiqua"/>
          <w:color w:val="000000"/>
        </w:rPr>
        <w:t>Okuno</w:t>
      </w:r>
      <w:proofErr w:type="spellEnd"/>
      <w:r>
        <w:rPr>
          <w:rFonts w:ascii="Book Antiqua" w:eastAsia="Book Antiqua" w:hAnsi="Book Antiqua" w:cs="Book Antiqua"/>
          <w:color w:val="000000"/>
        </w:rPr>
        <w:t xml:space="preserve"> T, Ogura N, Yamashiro H, </w:t>
      </w:r>
      <w:proofErr w:type="spellStart"/>
      <w:r>
        <w:rPr>
          <w:rFonts w:ascii="Book Antiqua" w:eastAsia="Book Antiqua" w:hAnsi="Book Antiqua" w:cs="Book Antiqua"/>
          <w:color w:val="000000"/>
        </w:rPr>
        <w:t>Takuwa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Kikawa</w:t>
      </w:r>
      <w:proofErr w:type="spellEnd"/>
      <w:r>
        <w:rPr>
          <w:rFonts w:ascii="Book Antiqua" w:eastAsia="Book Antiqua" w:hAnsi="Book Antiqua" w:cs="Book Antiqua"/>
          <w:color w:val="000000"/>
        </w:rPr>
        <w:t xml:space="preserve"> Y, Hashimoto T, Kato T, </w:t>
      </w:r>
      <w:proofErr w:type="spellStart"/>
      <w:r>
        <w:rPr>
          <w:rFonts w:ascii="Book Antiqua" w:eastAsia="Book Antiqua" w:hAnsi="Book Antiqua" w:cs="Book Antiqua"/>
          <w:color w:val="000000"/>
        </w:rPr>
        <w:t>Takahara</w:t>
      </w:r>
      <w:proofErr w:type="spellEnd"/>
      <w:r>
        <w:rPr>
          <w:rFonts w:ascii="Book Antiqua" w:eastAsia="Book Antiqua" w:hAnsi="Book Antiqua" w:cs="Book Antiqua"/>
          <w:color w:val="000000"/>
        </w:rPr>
        <w:t xml:space="preserve"> S, Katayama T, Yamauchi A, </w:t>
      </w:r>
      <w:proofErr w:type="spellStart"/>
      <w:r>
        <w:rPr>
          <w:rFonts w:ascii="Book Antiqua" w:eastAsia="Book Antiqua" w:hAnsi="Book Antiqua" w:cs="Book Antiqua"/>
          <w:color w:val="000000"/>
        </w:rPr>
        <w:t>Inamoto</w:t>
      </w:r>
      <w:proofErr w:type="spellEnd"/>
      <w:r>
        <w:rPr>
          <w:rFonts w:ascii="Book Antiqua" w:eastAsia="Book Antiqua" w:hAnsi="Book Antiqua" w:cs="Book Antiqua"/>
          <w:color w:val="000000"/>
        </w:rPr>
        <w:t xml:space="preserve"> T. Effectiveness and safety of surgical glove compression therapy as a prophylactic method against nanoparticle albumin-bound-paclitaxel-induced peripheral neuropathy. </w:t>
      </w:r>
      <w:r>
        <w:rPr>
          <w:rFonts w:ascii="Book Antiqua" w:eastAsia="Book Antiqua" w:hAnsi="Book Antiqua" w:cs="Book Antiqua"/>
          <w:i/>
          <w:iCs/>
          <w:color w:val="000000"/>
        </w:rPr>
        <w:t>Breast</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22-27 [PMID: 31302389 DOI: 10.1016/j.breast.2019.06.008]</w:t>
      </w:r>
    </w:p>
    <w:p w14:paraId="27DC6CAC" w14:textId="77777777" w:rsidR="00A77B3E" w:rsidRDefault="00E0441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Hochberg J</w:t>
      </w:r>
      <w:r>
        <w:rPr>
          <w:rFonts w:ascii="Book Antiqua" w:eastAsia="Book Antiqua" w:hAnsi="Book Antiqua" w:cs="Book Antiqua"/>
          <w:color w:val="000000"/>
        </w:rPr>
        <w:t xml:space="preserve">. A randomized prospective study to assess the efficacy of two cold-therapy treatments following carpal tunnel release. </w:t>
      </w:r>
      <w:r>
        <w:rPr>
          <w:rFonts w:ascii="Book Antiqua" w:eastAsia="Book Antiqua" w:hAnsi="Book Antiqua" w:cs="Book Antiqua"/>
          <w:i/>
          <w:iCs/>
          <w:color w:val="000000"/>
        </w:rPr>
        <w:t xml:space="preserve">J Hand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14</w:t>
      </w:r>
      <w:r>
        <w:rPr>
          <w:rFonts w:ascii="Book Antiqua" w:eastAsia="Book Antiqua" w:hAnsi="Book Antiqua" w:cs="Book Antiqua"/>
          <w:color w:val="000000"/>
        </w:rPr>
        <w:t>: 208-215 [PMID: 11511016 DOI: 10.1016/s0894-1130(01)80055-7]</w:t>
      </w:r>
    </w:p>
    <w:p w14:paraId="4E41DAC0" w14:textId="77777777" w:rsidR="00A77B3E" w:rsidRDefault="00E0441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McGuire DA</w:t>
      </w:r>
      <w:r>
        <w:rPr>
          <w:rFonts w:ascii="Book Antiqua" w:eastAsia="Book Antiqua" w:hAnsi="Book Antiqua" w:cs="Book Antiqua"/>
          <w:color w:val="000000"/>
        </w:rPr>
        <w:t xml:space="preserve">, Hendricks SD. Incidences of frostbite in arthroscopic knee surgery postoperative cryotherapy rehabilitation.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2006; </w:t>
      </w:r>
      <w:r>
        <w:rPr>
          <w:rFonts w:ascii="Book Antiqua" w:eastAsia="Book Antiqua" w:hAnsi="Book Antiqua" w:cs="Book Antiqua"/>
          <w:b/>
          <w:bCs/>
          <w:color w:val="000000"/>
        </w:rPr>
        <w:t>22</w:t>
      </w:r>
      <w:r>
        <w:rPr>
          <w:rFonts w:ascii="Book Antiqua" w:eastAsia="Book Antiqua" w:hAnsi="Book Antiqua" w:cs="Book Antiqua"/>
          <w:color w:val="000000"/>
        </w:rPr>
        <w:t>: 1141.e1-1141.e6 [PMID: 17027420 DOI: 10.1016/j.arthro.2005.06.027]</w:t>
      </w:r>
    </w:p>
    <w:p w14:paraId="4F71D08A" w14:textId="77777777" w:rsidR="00A77B3E" w:rsidRDefault="00E0441B">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Rosenbaek</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Holm HS, </w:t>
      </w:r>
      <w:proofErr w:type="spellStart"/>
      <w:r>
        <w:rPr>
          <w:rFonts w:ascii="Book Antiqua" w:eastAsia="Book Antiqua" w:hAnsi="Book Antiqua" w:cs="Book Antiqua"/>
          <w:color w:val="000000"/>
        </w:rPr>
        <w:t>Hjelmborg</w:t>
      </w:r>
      <w:proofErr w:type="spellEnd"/>
      <w:r>
        <w:rPr>
          <w:rFonts w:ascii="Book Antiqua" w:eastAsia="Book Antiqua" w:hAnsi="Book Antiqua" w:cs="Book Antiqua"/>
          <w:color w:val="000000"/>
        </w:rPr>
        <w:t xml:space="preserve"> JVB, </w:t>
      </w:r>
      <w:proofErr w:type="spellStart"/>
      <w:r>
        <w:rPr>
          <w:rFonts w:ascii="Book Antiqua" w:eastAsia="Book Antiqua" w:hAnsi="Book Antiqua" w:cs="Book Antiqua"/>
          <w:color w:val="000000"/>
        </w:rPr>
        <w:t>Ewertz</w:t>
      </w:r>
      <w:proofErr w:type="spellEnd"/>
      <w:r>
        <w:rPr>
          <w:rFonts w:ascii="Book Antiqua" w:eastAsia="Book Antiqua" w:hAnsi="Book Antiqua" w:cs="Book Antiqua"/>
          <w:color w:val="000000"/>
        </w:rPr>
        <w:t xml:space="preserve"> M, Jensen JD. Effect of cryotherapy on dose of adjuvant paclitaxel in early-stage breast cancer.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3763-3769 [PMID: 31828491 DOI: 10.1007/s00520-019-05196-z]</w:t>
      </w:r>
    </w:p>
    <w:p w14:paraId="5C5A2156" w14:textId="77777777" w:rsidR="00A77B3E" w:rsidRDefault="00E0441B">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Kanbayashi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K, Ishikawa T, </w:t>
      </w:r>
      <w:proofErr w:type="spellStart"/>
      <w:r>
        <w:rPr>
          <w:rFonts w:ascii="Book Antiqua" w:eastAsia="Book Antiqua" w:hAnsi="Book Antiqua" w:cs="Book Antiqua"/>
          <w:color w:val="000000"/>
        </w:rPr>
        <w:t>Ouchi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Nakatsukasa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Tabuchi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Kanehisa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Hiramatsu</w:t>
      </w:r>
      <w:proofErr w:type="spellEnd"/>
      <w:r>
        <w:rPr>
          <w:rFonts w:ascii="Book Antiqua" w:eastAsia="Book Antiqua" w:hAnsi="Book Antiqua" w:cs="Book Antiqua"/>
          <w:color w:val="000000"/>
        </w:rPr>
        <w:t xml:space="preserve"> M, Takagi R, Yokota I, </w:t>
      </w:r>
      <w:proofErr w:type="spellStart"/>
      <w:r>
        <w:rPr>
          <w:rFonts w:ascii="Book Antiqua" w:eastAsia="Book Antiqua" w:hAnsi="Book Antiqua" w:cs="Book Antiqua"/>
          <w:color w:val="000000"/>
        </w:rPr>
        <w:t>Katoh</w:t>
      </w:r>
      <w:proofErr w:type="spellEnd"/>
      <w:r>
        <w:rPr>
          <w:rFonts w:ascii="Book Antiqua" w:eastAsia="Book Antiqua" w:hAnsi="Book Antiqua" w:cs="Book Antiqua"/>
          <w:color w:val="000000"/>
        </w:rPr>
        <w:t xml:space="preserve"> N, Taguchi T. Comparison of the efficacy of cryotherapy and compression therapy for preventing nanoparticle albumin-</w:t>
      </w:r>
      <w:r>
        <w:rPr>
          <w:rFonts w:ascii="Book Antiqua" w:eastAsia="Book Antiqua" w:hAnsi="Book Antiqua" w:cs="Book Antiqua"/>
          <w:color w:val="000000"/>
        </w:rPr>
        <w:lastRenderedPageBreak/>
        <w:t xml:space="preserve">bound paclitaxel-induced peripheral neuropathy: A prospective self-controlled trial. </w:t>
      </w:r>
      <w:r>
        <w:rPr>
          <w:rFonts w:ascii="Book Antiqua" w:eastAsia="Book Antiqua" w:hAnsi="Book Antiqua" w:cs="Book Antiqua"/>
          <w:i/>
          <w:iCs/>
          <w:color w:val="000000"/>
        </w:rPr>
        <w:t>Breast</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219-224 [PMID: 31901783 DOI: 10.1016/j.breast.2019.12.011]</w:t>
      </w:r>
    </w:p>
    <w:p w14:paraId="08BDCCF8" w14:textId="77777777" w:rsidR="00A77B3E" w:rsidRDefault="00E0441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Ng DQ</w:t>
      </w:r>
      <w:r>
        <w:rPr>
          <w:rFonts w:ascii="Book Antiqua" w:eastAsia="Book Antiqua" w:hAnsi="Book Antiqua" w:cs="Book Antiqua"/>
          <w:color w:val="000000"/>
        </w:rPr>
        <w:t xml:space="preserve">, Tan CJ, Soh BC, Tan MML, </w:t>
      </w:r>
      <w:proofErr w:type="spellStart"/>
      <w:r>
        <w:rPr>
          <w:rFonts w:ascii="Book Antiqua" w:eastAsia="Book Antiqua" w:hAnsi="Book Antiqua" w:cs="Book Antiqua"/>
          <w:color w:val="000000"/>
        </w:rPr>
        <w:t>Loh</w:t>
      </w:r>
      <w:proofErr w:type="spellEnd"/>
      <w:r>
        <w:rPr>
          <w:rFonts w:ascii="Book Antiqua" w:eastAsia="Book Antiqua" w:hAnsi="Book Antiqua" w:cs="Book Antiqua"/>
          <w:color w:val="000000"/>
        </w:rPr>
        <w:t xml:space="preserve"> SY, Tan YE, Ong HH, Teng PPC, Chan JJ, </w:t>
      </w:r>
      <w:proofErr w:type="spellStart"/>
      <w:r>
        <w:rPr>
          <w:rFonts w:ascii="Book Antiqua" w:eastAsia="Book Antiqua" w:hAnsi="Book Antiqua" w:cs="Book Antiqua"/>
          <w:color w:val="000000"/>
        </w:rPr>
        <w:t>Chay</w:t>
      </w:r>
      <w:proofErr w:type="spellEnd"/>
      <w:r>
        <w:rPr>
          <w:rFonts w:ascii="Book Antiqua" w:eastAsia="Book Antiqua" w:hAnsi="Book Antiqua" w:cs="Book Antiqua"/>
          <w:color w:val="000000"/>
        </w:rPr>
        <w:t xml:space="preserve"> WY, Lee J, Lai G, </w:t>
      </w:r>
      <w:proofErr w:type="spellStart"/>
      <w:r>
        <w:rPr>
          <w:rFonts w:ascii="Book Antiqua" w:eastAsia="Book Antiqua" w:hAnsi="Book Antiqua" w:cs="Book Antiqua"/>
          <w:color w:val="000000"/>
        </w:rPr>
        <w:t>Beh</w:t>
      </w:r>
      <w:proofErr w:type="spellEnd"/>
      <w:r>
        <w:rPr>
          <w:rFonts w:ascii="Book Antiqua" w:eastAsia="Book Antiqua" w:hAnsi="Book Antiqua" w:cs="Book Antiqua"/>
          <w:color w:val="000000"/>
        </w:rPr>
        <w:t xml:space="preserve"> SY, Tan TJY, Yap YS, Lee GE, Wong M, Dent R, Lo YL, Chan A, </w:t>
      </w:r>
      <w:proofErr w:type="spellStart"/>
      <w:r>
        <w:rPr>
          <w:rFonts w:ascii="Book Antiqua" w:eastAsia="Book Antiqua" w:hAnsi="Book Antiqua" w:cs="Book Antiqua"/>
          <w:color w:val="000000"/>
        </w:rPr>
        <w:t>Loh</w:t>
      </w:r>
      <w:proofErr w:type="spellEnd"/>
      <w:r>
        <w:rPr>
          <w:rFonts w:ascii="Book Antiqua" w:eastAsia="Book Antiqua" w:hAnsi="Book Antiqua" w:cs="Book Antiqua"/>
          <w:color w:val="000000"/>
        </w:rPr>
        <w:t xml:space="preserve"> KW. Impact of Cryotherapy on Sensory, Motor, and Autonomic Neuropathy in Breast Cancer Patients Receiving Paclitaxel: A Randomized, Controlled Trial.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604688 [PMID: 33424755 DOI: 10.3389/fneur.2020.604688]</w:t>
      </w:r>
    </w:p>
    <w:p w14:paraId="746CE8B5" w14:textId="17C7FC1A" w:rsidR="00A77B3E" w:rsidRDefault="00E0441B">
      <w:pPr>
        <w:spacing w:line="360" w:lineRule="auto"/>
        <w:jc w:val="both"/>
      </w:pPr>
      <w:r w:rsidRPr="00AB2A28">
        <w:rPr>
          <w:rFonts w:ascii="Book Antiqua" w:eastAsia="Book Antiqua" w:hAnsi="Book Antiqua" w:cs="Book Antiqua"/>
          <w:color w:val="000000"/>
          <w:highlight w:val="yellow"/>
        </w:rPr>
        <w:t>48</w:t>
      </w:r>
      <w:r w:rsidR="005E7EAA" w:rsidRPr="00AB2A28">
        <w:rPr>
          <w:rFonts w:ascii="Book Antiqua" w:eastAsia="Book Antiqua" w:hAnsi="Book Antiqua" w:cs="Book Antiqua"/>
          <w:color w:val="000000"/>
          <w:highlight w:val="yellow"/>
        </w:rPr>
        <w:t xml:space="preserve"> </w:t>
      </w:r>
      <w:r w:rsidRPr="00AB2A28">
        <w:rPr>
          <w:rFonts w:ascii="Book Antiqua" w:eastAsia="Book Antiqua" w:hAnsi="Book Antiqua" w:cs="Book Antiqua"/>
          <w:b/>
          <w:bCs/>
          <w:color w:val="000000"/>
          <w:highlight w:val="yellow"/>
        </w:rPr>
        <w:t>Schaper T</w:t>
      </w:r>
      <w:r w:rsidRPr="00AB2A28">
        <w:rPr>
          <w:rFonts w:ascii="Book Antiqua" w:eastAsia="Book Antiqua" w:hAnsi="Book Antiqua" w:cs="Book Antiqua"/>
          <w:color w:val="000000"/>
          <w:highlight w:val="yellow"/>
        </w:rPr>
        <w:t xml:space="preserve">. </w:t>
      </w:r>
      <w:proofErr w:type="spellStart"/>
      <w:r w:rsidRPr="00AB2A28">
        <w:rPr>
          <w:rFonts w:ascii="Book Antiqua" w:eastAsia="Book Antiqua" w:hAnsi="Book Antiqua" w:cs="Book Antiqua"/>
          <w:color w:val="000000"/>
          <w:highlight w:val="yellow"/>
        </w:rPr>
        <w:t>Hilotherapy</w:t>
      </w:r>
      <w:proofErr w:type="spellEnd"/>
      <w:r w:rsidRPr="00AB2A28">
        <w:rPr>
          <w:rFonts w:ascii="Book Antiqua" w:eastAsia="Book Antiqua" w:hAnsi="Book Antiqua" w:cs="Book Antiqua"/>
          <w:color w:val="000000"/>
          <w:highlight w:val="yellow"/>
        </w:rPr>
        <w:t xml:space="preserve"> for the Prevention and Treatment of Chemotherapy-Induced Peripheral Neuropathy</w:t>
      </w:r>
      <w:r w:rsidR="005E7EAA" w:rsidRPr="00AB2A28">
        <w:rPr>
          <w:rFonts w:ascii="Book Antiqua" w:eastAsia="Book Antiqua" w:hAnsi="Book Antiqua" w:cs="Book Antiqua"/>
          <w:color w:val="000000"/>
          <w:highlight w:val="yellow"/>
        </w:rPr>
        <w:t>. [cited</w:t>
      </w:r>
      <w:r w:rsidR="006D3EBE">
        <w:rPr>
          <w:rFonts w:ascii="Book Antiqua" w:eastAsia="Book Antiqua" w:hAnsi="Book Antiqua" w:cs="Book Antiqua"/>
          <w:color w:val="000000"/>
          <w:highlight w:val="yellow"/>
        </w:rPr>
        <w:t xml:space="preserve"> 29 April </w:t>
      </w:r>
      <w:r w:rsidR="00F313FA">
        <w:rPr>
          <w:rFonts w:ascii="Book Antiqua" w:eastAsia="Book Antiqua" w:hAnsi="Book Antiqua" w:cs="Book Antiqua"/>
          <w:color w:val="000000"/>
          <w:highlight w:val="yellow"/>
        </w:rPr>
        <w:t>2020</w:t>
      </w:r>
      <w:r w:rsidR="005E7EAA" w:rsidRPr="00AB2A28">
        <w:rPr>
          <w:rFonts w:ascii="Book Antiqua" w:eastAsia="Book Antiqua" w:hAnsi="Book Antiqua" w:cs="Book Antiqua"/>
          <w:color w:val="000000"/>
          <w:highlight w:val="yellow"/>
        </w:rPr>
        <w:t xml:space="preserve">]. In: </w:t>
      </w:r>
      <w:proofErr w:type="spellStart"/>
      <w:r w:rsidR="005E7EAA" w:rsidRPr="00AB2A28">
        <w:rPr>
          <w:rFonts w:ascii="Book Antiqua" w:eastAsia="Book Antiqua" w:hAnsi="Book Antiqua" w:cs="Book Antiqua"/>
          <w:color w:val="000000"/>
          <w:highlight w:val="yellow"/>
        </w:rPr>
        <w:t>Hilotherm</w:t>
      </w:r>
      <w:proofErr w:type="spellEnd"/>
      <w:r w:rsidR="005E7EAA" w:rsidRPr="00AB2A28">
        <w:rPr>
          <w:rFonts w:ascii="Book Antiqua" w:eastAsia="Book Antiqua" w:hAnsi="Book Antiqua" w:cs="Book Antiqua"/>
          <w:color w:val="000000"/>
          <w:highlight w:val="yellow"/>
        </w:rPr>
        <w:t xml:space="preserve"> [Internet].</w:t>
      </w:r>
      <w:r w:rsidRPr="00AB2A28">
        <w:rPr>
          <w:rFonts w:ascii="Book Antiqua" w:eastAsia="Book Antiqua" w:hAnsi="Book Antiqua" w:cs="Book Antiqua"/>
          <w:color w:val="000000"/>
          <w:highlight w:val="yellow"/>
        </w:rPr>
        <w:t xml:space="preserve"> Available from: https://www.hilotherm.co.uk/cipn-hand-foot-syndrome</w:t>
      </w:r>
    </w:p>
    <w:p w14:paraId="112864D0" w14:textId="77777777" w:rsidR="00A77B3E" w:rsidRDefault="00E0441B">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Oneda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Meriggi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Zanotti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Zaina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Bighè</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Andreis</w:t>
      </w:r>
      <w:proofErr w:type="spellEnd"/>
      <w:r>
        <w:rPr>
          <w:rFonts w:ascii="Book Antiqua" w:eastAsia="Book Antiqua" w:hAnsi="Book Antiqua" w:cs="Book Antiqua"/>
          <w:color w:val="000000"/>
        </w:rPr>
        <w:t xml:space="preserve"> F, Rueda S, Zaniboni A. Innovative Approach for the Prevention of Chemotherapy-Induced Peripheral Neuropathy in Cancer Patients: A Pilot Study With the </w:t>
      </w:r>
      <w:proofErr w:type="spellStart"/>
      <w:r>
        <w:rPr>
          <w:rFonts w:ascii="Book Antiqua" w:eastAsia="Book Antiqua" w:hAnsi="Book Antiqua" w:cs="Book Antiqua"/>
          <w:color w:val="000000"/>
        </w:rPr>
        <w:t>Hilotherm</w:t>
      </w:r>
      <w:proofErr w:type="spellEnd"/>
      <w:r>
        <w:rPr>
          <w:rFonts w:ascii="Book Antiqua" w:eastAsia="Book Antiqua" w:hAnsi="Book Antiqua" w:cs="Book Antiqua"/>
          <w:color w:val="000000"/>
        </w:rPr>
        <w:t xml:space="preserve"> Device, the </w:t>
      </w:r>
      <w:proofErr w:type="spellStart"/>
      <w:r>
        <w:rPr>
          <w:rFonts w:ascii="Book Antiqua" w:eastAsia="Book Antiqua" w:hAnsi="Book Antiqua" w:cs="Book Antiqua"/>
          <w:color w:val="000000"/>
        </w:rPr>
        <w:t>Poliambulanza</w:t>
      </w:r>
      <w:proofErr w:type="spellEnd"/>
      <w:r>
        <w:rPr>
          <w:rFonts w:ascii="Book Antiqua" w:eastAsia="Book Antiqua" w:hAnsi="Book Antiqua" w:cs="Book Antiqua"/>
          <w:color w:val="000000"/>
        </w:rPr>
        <w:t xml:space="preserve"> Hospital Experience.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1534735420943287 [PMID: 32856475 DOI: 10.1177/1534735420943287]</w:t>
      </w:r>
    </w:p>
    <w:p w14:paraId="55B0392E" w14:textId="77777777" w:rsidR="00A77B3E" w:rsidRDefault="00E0441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Su Y</w:t>
      </w:r>
      <w:r>
        <w:rPr>
          <w:rFonts w:ascii="Book Antiqua" w:eastAsia="Book Antiqua" w:hAnsi="Book Antiqua" w:cs="Book Antiqua"/>
          <w:color w:val="000000"/>
        </w:rPr>
        <w:t>, Huang J, Wang S, Unger JM, Arias-</w:t>
      </w:r>
      <w:proofErr w:type="spellStart"/>
      <w:r>
        <w:rPr>
          <w:rFonts w:ascii="Book Antiqua" w:eastAsia="Book Antiqua" w:hAnsi="Book Antiqua" w:cs="Book Antiqua"/>
          <w:color w:val="000000"/>
        </w:rPr>
        <w:t>Fuenzalida</w:t>
      </w:r>
      <w:proofErr w:type="spellEnd"/>
      <w:r>
        <w:rPr>
          <w:rFonts w:ascii="Book Antiqua" w:eastAsia="Book Antiqua" w:hAnsi="Book Antiqua" w:cs="Book Antiqua"/>
          <w:color w:val="000000"/>
        </w:rPr>
        <w:t xml:space="preserve"> J, Shi Y, Li J, Gao Y, Shi W, Wang X, Peng R, Xu F, An X,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C, Xia W, Hong R, Zhong Y, Lin Y, Huang H, Zhang A, Zhang L, Cai L, Zhang J, Yuan Z. The Effects of Ganglioside-</w:t>
      </w:r>
      <w:proofErr w:type="spellStart"/>
      <w:r>
        <w:rPr>
          <w:rFonts w:ascii="Book Antiqua" w:eastAsia="Book Antiqua" w:hAnsi="Book Antiqua" w:cs="Book Antiqua"/>
          <w:color w:val="000000"/>
        </w:rPr>
        <w:t>Monosialic</w:t>
      </w:r>
      <w:proofErr w:type="spellEnd"/>
      <w:r>
        <w:rPr>
          <w:rFonts w:ascii="Book Antiqua" w:eastAsia="Book Antiqua" w:hAnsi="Book Antiqua" w:cs="Book Antiqua"/>
          <w:color w:val="000000"/>
        </w:rPr>
        <w:t xml:space="preserve"> Acid in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-Induced Peripheral Neurotoxicity in Patients with Breast Cancer: A Randomized Trial.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112</w:t>
      </w:r>
      <w:r>
        <w:rPr>
          <w:rFonts w:ascii="Book Antiqua" w:eastAsia="Book Antiqua" w:hAnsi="Book Antiqua" w:cs="Book Antiqua"/>
          <w:color w:val="000000"/>
        </w:rPr>
        <w:t>: 55-62 [PMID: 31093677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/djz086]</w:t>
      </w:r>
    </w:p>
    <w:p w14:paraId="648E8DB3" w14:textId="77777777" w:rsidR="00A77B3E" w:rsidRDefault="00E0441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Greenlee H</w:t>
      </w:r>
      <w:r>
        <w:rPr>
          <w:rFonts w:ascii="Book Antiqua" w:eastAsia="Book Antiqua" w:hAnsi="Book Antiqua" w:cs="Book Antiqua"/>
          <w:color w:val="000000"/>
        </w:rPr>
        <w:t xml:space="preserve">, Hershman DL, Shi Z, Kwan ML, </w:t>
      </w:r>
      <w:proofErr w:type="spellStart"/>
      <w:r>
        <w:rPr>
          <w:rFonts w:ascii="Book Antiqua" w:eastAsia="Book Antiqua" w:hAnsi="Book Antiqua" w:cs="Book Antiqua"/>
          <w:color w:val="000000"/>
        </w:rPr>
        <w:t>Ergas</w:t>
      </w:r>
      <w:proofErr w:type="spellEnd"/>
      <w:r>
        <w:rPr>
          <w:rFonts w:ascii="Book Antiqua" w:eastAsia="Book Antiqua" w:hAnsi="Book Antiqua" w:cs="Book Antiqua"/>
          <w:color w:val="000000"/>
        </w:rPr>
        <w:t xml:space="preserve"> IJ,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Kushi</w:t>
      </w:r>
      <w:proofErr w:type="spellEnd"/>
      <w:r>
        <w:rPr>
          <w:rFonts w:ascii="Book Antiqua" w:eastAsia="Book Antiqua" w:hAnsi="Book Antiqua" w:cs="Book Antiqua"/>
          <w:color w:val="000000"/>
        </w:rPr>
        <w:t xml:space="preserve"> LH. BMI, Lifestyle Factors and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-Induced Neuropathy in Breast Cancer Patients: The Pathways Study.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2017; </w:t>
      </w:r>
      <w:r>
        <w:rPr>
          <w:rFonts w:ascii="Book Antiqua" w:eastAsia="Book Antiqua" w:hAnsi="Book Antiqua" w:cs="Book Antiqua"/>
          <w:b/>
          <w:bCs/>
          <w:color w:val="000000"/>
        </w:rPr>
        <w:t>109</w:t>
      </w:r>
      <w:r>
        <w:rPr>
          <w:rFonts w:ascii="Book Antiqua" w:eastAsia="Book Antiqua" w:hAnsi="Book Antiqua" w:cs="Book Antiqua"/>
          <w:color w:val="000000"/>
        </w:rPr>
        <w:t xml:space="preserve"> [PMID: 27794123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/djw206]</w:t>
      </w:r>
    </w:p>
    <w:p w14:paraId="4BDEECC2" w14:textId="77777777" w:rsidR="00A77B3E" w:rsidRDefault="00E0441B">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Campbell KL</w:t>
      </w:r>
      <w:r>
        <w:rPr>
          <w:rFonts w:ascii="Book Antiqua" w:eastAsia="Book Antiqua" w:hAnsi="Book Antiqua" w:cs="Book Antiqua"/>
          <w:color w:val="000000"/>
        </w:rPr>
        <w:t xml:space="preserve">, Winters-Stone KM, </w:t>
      </w:r>
      <w:proofErr w:type="spellStart"/>
      <w:r>
        <w:rPr>
          <w:rFonts w:ascii="Book Antiqua" w:eastAsia="Book Antiqua" w:hAnsi="Book Antiqua" w:cs="Book Antiqua"/>
          <w:color w:val="000000"/>
        </w:rPr>
        <w:t>Wiskemann</w:t>
      </w:r>
      <w:proofErr w:type="spellEnd"/>
      <w:r>
        <w:rPr>
          <w:rFonts w:ascii="Book Antiqua" w:eastAsia="Book Antiqua" w:hAnsi="Book Antiqua" w:cs="Book Antiqua"/>
          <w:color w:val="000000"/>
        </w:rPr>
        <w:t xml:space="preserve"> J, May AM, Schwartz AL, </w:t>
      </w:r>
      <w:proofErr w:type="spellStart"/>
      <w:r>
        <w:rPr>
          <w:rFonts w:ascii="Book Antiqua" w:eastAsia="Book Antiqua" w:hAnsi="Book Antiqua" w:cs="Book Antiqua"/>
          <w:color w:val="000000"/>
        </w:rPr>
        <w:t>Courneya</w:t>
      </w:r>
      <w:proofErr w:type="spellEnd"/>
      <w:r>
        <w:rPr>
          <w:rFonts w:ascii="Book Antiqua" w:eastAsia="Book Antiqua" w:hAnsi="Book Antiqua" w:cs="Book Antiqua"/>
          <w:color w:val="000000"/>
        </w:rPr>
        <w:t xml:space="preserve"> KS, Zucker DS, Matthews CE, </w:t>
      </w:r>
      <w:proofErr w:type="spellStart"/>
      <w:r>
        <w:rPr>
          <w:rFonts w:ascii="Book Antiqua" w:eastAsia="Book Antiqua" w:hAnsi="Book Antiqua" w:cs="Book Antiqua"/>
          <w:color w:val="000000"/>
        </w:rPr>
        <w:t>Ligibel</w:t>
      </w:r>
      <w:proofErr w:type="spellEnd"/>
      <w:r>
        <w:rPr>
          <w:rFonts w:ascii="Book Antiqua" w:eastAsia="Book Antiqua" w:hAnsi="Book Antiqua" w:cs="Book Antiqua"/>
          <w:color w:val="000000"/>
        </w:rPr>
        <w:t xml:space="preserve"> JA, Gerber LH, Morris GS, Patel AV, Hue TF, </w:t>
      </w:r>
      <w:proofErr w:type="spellStart"/>
      <w:r>
        <w:rPr>
          <w:rFonts w:ascii="Book Antiqua" w:eastAsia="Book Antiqua" w:hAnsi="Book Antiqua" w:cs="Book Antiqua"/>
          <w:color w:val="000000"/>
        </w:rPr>
        <w:t>Perna</w:t>
      </w:r>
      <w:proofErr w:type="spellEnd"/>
      <w:r>
        <w:rPr>
          <w:rFonts w:ascii="Book Antiqua" w:eastAsia="Book Antiqua" w:hAnsi="Book Antiqua" w:cs="Book Antiqua"/>
          <w:color w:val="000000"/>
        </w:rPr>
        <w:t xml:space="preserve"> FM, Schmitz KH. Exercise Guidelines for Cancer Survivors: Consensus Statement from International Multidisciplinary Roundtable. </w:t>
      </w:r>
      <w:r>
        <w:rPr>
          <w:rFonts w:ascii="Book Antiqua" w:eastAsia="Book Antiqua" w:hAnsi="Book Antiqua" w:cs="Book Antiqua"/>
          <w:i/>
          <w:iCs/>
          <w:color w:val="000000"/>
        </w:rPr>
        <w:t xml:space="preserve">Med Sci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2375-2390 [PMID: 31626055 DOI: 10.1249/MSS.0000000000002116]</w:t>
      </w:r>
    </w:p>
    <w:p w14:paraId="422DBB6C" w14:textId="77777777" w:rsidR="00A77B3E" w:rsidRDefault="00E0441B">
      <w:pPr>
        <w:spacing w:line="360" w:lineRule="auto"/>
        <w:jc w:val="both"/>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Andersen Hammond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Pitz</w:t>
      </w:r>
      <w:proofErr w:type="spellEnd"/>
      <w:r>
        <w:rPr>
          <w:rFonts w:ascii="Book Antiqua" w:eastAsia="Book Antiqua" w:hAnsi="Book Antiqua" w:cs="Book Antiqua"/>
          <w:color w:val="000000"/>
        </w:rPr>
        <w:t xml:space="preserve"> M, Shay B. Neuropathic Pain in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-Induced Peripheral Neuropathy: Evidence for Exercise in Treatment. </w:t>
      </w:r>
      <w:proofErr w:type="spellStart"/>
      <w:r>
        <w:rPr>
          <w:rFonts w:ascii="Book Antiqua" w:eastAsia="Book Antiqua" w:hAnsi="Book Antiqua" w:cs="Book Antiqua"/>
          <w:i/>
          <w:iCs/>
          <w:color w:val="000000"/>
        </w:rPr>
        <w:t>Neurorehabil</w:t>
      </w:r>
      <w:proofErr w:type="spellEnd"/>
      <w:r>
        <w:rPr>
          <w:rFonts w:ascii="Book Antiqua" w:eastAsia="Book Antiqua" w:hAnsi="Book Antiqua" w:cs="Book Antiqua"/>
          <w:i/>
          <w:iCs/>
          <w:color w:val="000000"/>
        </w:rPr>
        <w:t xml:space="preserve"> Neural Repair</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792-799 [PMID: 31342880 DOI: 10.1177/1545968319860486]</w:t>
      </w:r>
    </w:p>
    <w:p w14:paraId="6F7BFC1E" w14:textId="77777777" w:rsidR="00A77B3E" w:rsidRDefault="00E0441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Jiménez-López J</w:t>
      </w:r>
      <w:r>
        <w:rPr>
          <w:rFonts w:ascii="Book Antiqua" w:eastAsia="Book Antiqua" w:hAnsi="Book Antiqua" w:cs="Book Antiqua"/>
          <w:color w:val="000000"/>
        </w:rPr>
        <w:t>, Bravo-</w:t>
      </w:r>
      <w:proofErr w:type="spellStart"/>
      <w:r>
        <w:rPr>
          <w:rFonts w:ascii="Book Antiqua" w:eastAsia="Book Antiqua" w:hAnsi="Book Antiqua" w:cs="Book Antiqua"/>
          <w:color w:val="000000"/>
        </w:rPr>
        <w:t>Caparrós</w:t>
      </w:r>
      <w:proofErr w:type="spellEnd"/>
      <w:r>
        <w:rPr>
          <w:rFonts w:ascii="Book Antiqua" w:eastAsia="Book Antiqua" w:hAnsi="Book Antiqua" w:cs="Book Antiqua"/>
          <w:color w:val="000000"/>
        </w:rPr>
        <w:t xml:space="preserve"> I, Cabeza L, Nieto FR, Ortiz R, </w:t>
      </w:r>
      <w:proofErr w:type="spellStart"/>
      <w:r>
        <w:rPr>
          <w:rFonts w:ascii="Book Antiqua" w:eastAsia="Book Antiqua" w:hAnsi="Book Antiqua" w:cs="Book Antiqua"/>
          <w:color w:val="000000"/>
        </w:rPr>
        <w:t>Perazzoli</w:t>
      </w:r>
      <w:proofErr w:type="spellEnd"/>
      <w:r>
        <w:rPr>
          <w:rFonts w:ascii="Book Antiqua" w:eastAsia="Book Antiqua" w:hAnsi="Book Antiqua" w:cs="Book Antiqua"/>
          <w:color w:val="000000"/>
        </w:rPr>
        <w:t xml:space="preserve"> G, Fernández-Segura E, </w:t>
      </w:r>
      <w:proofErr w:type="spellStart"/>
      <w:r>
        <w:rPr>
          <w:rFonts w:ascii="Book Antiqua" w:eastAsia="Book Antiqua" w:hAnsi="Book Antiqua" w:cs="Book Antiqua"/>
          <w:color w:val="000000"/>
        </w:rPr>
        <w:t>Cañizares</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Baeyens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Melguizo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Prados</w:t>
      </w:r>
      <w:proofErr w:type="spellEnd"/>
      <w:r>
        <w:rPr>
          <w:rFonts w:ascii="Book Antiqua" w:eastAsia="Book Antiqua" w:hAnsi="Book Antiqua" w:cs="Book Antiqua"/>
          <w:color w:val="000000"/>
        </w:rPr>
        <w:t xml:space="preserve"> J. Paclitaxel antitumor effect improvement in lung cancer and prevention of the painful neuropathy using large pegylated cationic liposomes.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133</w:t>
      </w:r>
      <w:r>
        <w:rPr>
          <w:rFonts w:ascii="Book Antiqua" w:eastAsia="Book Antiqua" w:hAnsi="Book Antiqua" w:cs="Book Antiqua"/>
          <w:color w:val="000000"/>
        </w:rPr>
        <w:t>: 111059 [PMID: 33378963 DOI: 10.1016/j.biopha.2020.111059]</w:t>
      </w:r>
    </w:p>
    <w:p w14:paraId="0283FB98" w14:textId="77777777" w:rsidR="00A77B3E" w:rsidRDefault="00E0441B">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Scotté</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Banu E, </w:t>
      </w:r>
      <w:proofErr w:type="spellStart"/>
      <w:r>
        <w:rPr>
          <w:rFonts w:ascii="Book Antiqua" w:eastAsia="Book Antiqua" w:hAnsi="Book Antiqua" w:cs="Book Antiqua"/>
          <w:color w:val="000000"/>
        </w:rPr>
        <w:t>Medioni</w:t>
      </w:r>
      <w:proofErr w:type="spellEnd"/>
      <w:r>
        <w:rPr>
          <w:rFonts w:ascii="Book Antiqua" w:eastAsia="Book Antiqua" w:hAnsi="Book Antiqua" w:cs="Book Antiqua"/>
          <w:color w:val="000000"/>
        </w:rPr>
        <w:t xml:space="preserve"> J, Levy E, Ebenezer C, Marsan S, Banu A, </w:t>
      </w:r>
      <w:proofErr w:type="spellStart"/>
      <w:r>
        <w:rPr>
          <w:rFonts w:ascii="Book Antiqua" w:eastAsia="Book Antiqua" w:hAnsi="Book Antiqua" w:cs="Book Antiqua"/>
          <w:color w:val="000000"/>
        </w:rPr>
        <w:t>Tourani</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Andrieu</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Oudard</w:t>
      </w:r>
      <w:proofErr w:type="spellEnd"/>
      <w:r>
        <w:rPr>
          <w:rFonts w:ascii="Book Antiqua" w:eastAsia="Book Antiqua" w:hAnsi="Book Antiqua" w:cs="Book Antiqua"/>
          <w:color w:val="000000"/>
        </w:rPr>
        <w:t xml:space="preserve"> S. Matched case-control phase 2 study to evaluate the use of a frozen sock to prevent docetaxel-induced onycholysis and cutaneous toxicity of the foot.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112</w:t>
      </w:r>
      <w:r>
        <w:rPr>
          <w:rFonts w:ascii="Book Antiqua" w:eastAsia="Book Antiqua" w:hAnsi="Book Antiqua" w:cs="Book Antiqua"/>
          <w:color w:val="000000"/>
        </w:rPr>
        <w:t>: 1625-1631 [PMID: 18286527 DOI: 10.1002/cncr.23333]</w:t>
      </w:r>
    </w:p>
    <w:p w14:paraId="1C57B0E4" w14:textId="77777777" w:rsidR="00A77B3E" w:rsidRDefault="00E0441B">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Miaskowski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Mastick</w:t>
      </w:r>
      <w:proofErr w:type="spellEnd"/>
      <w:r>
        <w:rPr>
          <w:rFonts w:ascii="Book Antiqua" w:eastAsia="Book Antiqua" w:hAnsi="Book Antiqua" w:cs="Book Antiqua"/>
          <w:color w:val="000000"/>
        </w:rPr>
        <w:t xml:space="preserve"> J, Paul SM, Abrams G, Cheung S, Sabes JH, </w:t>
      </w:r>
      <w:proofErr w:type="spellStart"/>
      <w:r>
        <w:rPr>
          <w:rFonts w:ascii="Book Antiqua" w:eastAsia="Book Antiqua" w:hAnsi="Book Antiqua" w:cs="Book Antiqua"/>
          <w:color w:val="000000"/>
        </w:rPr>
        <w:t>Kober</w:t>
      </w:r>
      <w:proofErr w:type="spellEnd"/>
      <w:r>
        <w:rPr>
          <w:rFonts w:ascii="Book Antiqua" w:eastAsia="Book Antiqua" w:hAnsi="Book Antiqua" w:cs="Book Antiqua"/>
          <w:color w:val="000000"/>
        </w:rPr>
        <w:t xml:space="preserve"> KM, Schumacher M, Conley YP, </w:t>
      </w:r>
      <w:proofErr w:type="spellStart"/>
      <w:r>
        <w:rPr>
          <w:rFonts w:ascii="Book Antiqua" w:eastAsia="Book Antiqua" w:hAnsi="Book Antiqua" w:cs="Book Antiqua"/>
          <w:color w:val="000000"/>
        </w:rPr>
        <w:t>Topp</w:t>
      </w:r>
      <w:proofErr w:type="spellEnd"/>
      <w:r>
        <w:rPr>
          <w:rFonts w:ascii="Book Antiqua" w:eastAsia="Book Antiqua" w:hAnsi="Book Antiqua" w:cs="Book Antiqua"/>
          <w:color w:val="000000"/>
        </w:rPr>
        <w:t xml:space="preserve"> K, Smoot B, </w:t>
      </w:r>
      <w:proofErr w:type="spellStart"/>
      <w:r>
        <w:rPr>
          <w:rFonts w:ascii="Book Antiqua" w:eastAsia="Book Antiqua" w:hAnsi="Book Antiqua" w:cs="Book Antiqua"/>
          <w:color w:val="000000"/>
        </w:rPr>
        <w:t>Mausisa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Mazor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Wallhagen</w:t>
      </w:r>
      <w:proofErr w:type="spellEnd"/>
      <w:r>
        <w:rPr>
          <w:rFonts w:ascii="Book Antiqua" w:eastAsia="Book Antiqua" w:hAnsi="Book Antiqua" w:cs="Book Antiqua"/>
          <w:color w:val="000000"/>
        </w:rPr>
        <w:t xml:space="preserve"> M, Levine JD. Impact of chemotherapy-induced </w:t>
      </w:r>
      <w:proofErr w:type="spellStart"/>
      <w:r>
        <w:rPr>
          <w:rFonts w:ascii="Book Antiqua" w:eastAsia="Book Antiqua" w:hAnsi="Book Antiqua" w:cs="Book Antiqua"/>
          <w:color w:val="000000"/>
        </w:rPr>
        <w:t>neurotoxicities</w:t>
      </w:r>
      <w:proofErr w:type="spellEnd"/>
      <w:r>
        <w:rPr>
          <w:rFonts w:ascii="Book Antiqua" w:eastAsia="Book Antiqua" w:hAnsi="Book Antiqua" w:cs="Book Antiqua"/>
          <w:color w:val="000000"/>
        </w:rPr>
        <w:t xml:space="preserve"> on adult cancer survivors' symptom burden and quality of life. </w:t>
      </w:r>
      <w:r>
        <w:rPr>
          <w:rFonts w:ascii="Book Antiqua" w:eastAsia="Book Antiqua" w:hAnsi="Book Antiqua" w:cs="Book Antiqua"/>
          <w:i/>
          <w:iCs/>
          <w:color w:val="000000"/>
        </w:rPr>
        <w:t xml:space="preserve">J Cancer </w:t>
      </w:r>
      <w:proofErr w:type="spellStart"/>
      <w:r>
        <w:rPr>
          <w:rFonts w:ascii="Book Antiqua" w:eastAsia="Book Antiqua" w:hAnsi="Book Antiqua" w:cs="Book Antiqua"/>
          <w:i/>
          <w:iCs/>
          <w:color w:val="000000"/>
        </w:rPr>
        <w:t>Surviv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234-245 [PMID: 29159795 DOI: 10.1007/s11764-017-0662-8]</w:t>
      </w:r>
    </w:p>
    <w:bookmarkEnd w:id="6"/>
    <w:p w14:paraId="6B29D6E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F270023" w14:textId="77777777" w:rsidR="00A77B3E" w:rsidRDefault="00E0441B">
      <w:pPr>
        <w:spacing w:line="360" w:lineRule="auto"/>
        <w:jc w:val="both"/>
      </w:pPr>
      <w:r>
        <w:rPr>
          <w:rFonts w:ascii="Book Antiqua" w:eastAsia="Book Antiqua" w:hAnsi="Book Antiqua" w:cs="Book Antiqua"/>
          <w:b/>
          <w:color w:val="000000"/>
        </w:rPr>
        <w:lastRenderedPageBreak/>
        <w:t>Footnotes</w:t>
      </w:r>
    </w:p>
    <w:p w14:paraId="563D27D7" w14:textId="77777777" w:rsidR="00A77B3E" w:rsidRDefault="00E0441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have no conflict of interest.</w:t>
      </w:r>
    </w:p>
    <w:p w14:paraId="032E36E1" w14:textId="77777777" w:rsidR="00A77B3E" w:rsidRDefault="00A77B3E">
      <w:pPr>
        <w:spacing w:line="360" w:lineRule="auto"/>
        <w:jc w:val="both"/>
      </w:pPr>
    </w:p>
    <w:p w14:paraId="1EFC0C10" w14:textId="77777777" w:rsidR="00A77B3E" w:rsidRDefault="00E0441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678FBD" w14:textId="77777777" w:rsidR="00A77B3E" w:rsidRDefault="00A77B3E">
      <w:pPr>
        <w:spacing w:line="360" w:lineRule="auto"/>
        <w:jc w:val="both"/>
      </w:pPr>
    </w:p>
    <w:p w14:paraId="0E0232E9" w14:textId="649A2DB6" w:rsidR="00A77B3E" w:rsidRDefault="00E0441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E7EAA">
        <w:rPr>
          <w:rFonts w:ascii="Book Antiqua" w:eastAsia="Book Antiqua" w:hAnsi="Book Antiqua" w:cs="Book Antiqua"/>
          <w:color w:val="000000"/>
        </w:rPr>
        <w:t>m</w:t>
      </w:r>
      <w:r>
        <w:rPr>
          <w:rFonts w:ascii="Book Antiqua" w:eastAsia="Book Antiqua" w:hAnsi="Book Antiqua" w:cs="Book Antiqua"/>
          <w:color w:val="000000"/>
        </w:rPr>
        <w:t>anuscript</w:t>
      </w:r>
    </w:p>
    <w:p w14:paraId="0567C1AE" w14:textId="77777777" w:rsidR="00A77B3E" w:rsidRDefault="00A77B3E">
      <w:pPr>
        <w:spacing w:line="360" w:lineRule="auto"/>
        <w:jc w:val="both"/>
      </w:pPr>
    </w:p>
    <w:p w14:paraId="787DEA0D" w14:textId="77777777" w:rsidR="00A77B3E" w:rsidRDefault="00E0441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26, 2021</w:t>
      </w:r>
    </w:p>
    <w:p w14:paraId="1188FD9F" w14:textId="77777777" w:rsidR="00A77B3E" w:rsidRDefault="00E0441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27, 2021</w:t>
      </w:r>
    </w:p>
    <w:p w14:paraId="4F766AD8" w14:textId="77777777" w:rsidR="00A77B3E" w:rsidRDefault="00E0441B">
      <w:pPr>
        <w:spacing w:line="360" w:lineRule="auto"/>
        <w:jc w:val="both"/>
      </w:pPr>
      <w:r>
        <w:rPr>
          <w:rFonts w:ascii="Book Antiqua" w:eastAsia="Book Antiqua" w:hAnsi="Book Antiqua" w:cs="Book Antiqua"/>
          <w:b/>
          <w:color w:val="000000"/>
        </w:rPr>
        <w:t xml:space="preserve">Article in press: </w:t>
      </w:r>
    </w:p>
    <w:p w14:paraId="0CEDAF26" w14:textId="77777777" w:rsidR="00A77B3E" w:rsidRDefault="00A77B3E">
      <w:pPr>
        <w:spacing w:line="360" w:lineRule="auto"/>
        <w:jc w:val="both"/>
      </w:pPr>
    </w:p>
    <w:p w14:paraId="1564EDA5" w14:textId="12587670" w:rsidR="00A77B3E" w:rsidRDefault="00E0441B">
      <w:pPr>
        <w:spacing w:line="360" w:lineRule="auto"/>
        <w:jc w:val="both"/>
      </w:pPr>
      <w:r>
        <w:rPr>
          <w:rFonts w:ascii="Book Antiqua" w:eastAsia="Book Antiqua" w:hAnsi="Book Antiqua" w:cs="Book Antiqua"/>
          <w:b/>
          <w:color w:val="000000"/>
        </w:rPr>
        <w:t xml:space="preserve">Specialty type: </w:t>
      </w:r>
      <w:r w:rsidR="005E7EAA" w:rsidRPr="00E700C2">
        <w:rPr>
          <w:rFonts w:ascii="Book Antiqua" w:eastAsia="微软雅黑" w:hAnsi="Book Antiqua" w:cs="宋体"/>
        </w:rPr>
        <w:t>Oncology</w:t>
      </w:r>
    </w:p>
    <w:p w14:paraId="5BFD8631" w14:textId="77777777" w:rsidR="00A77B3E" w:rsidRDefault="00E0441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2811E8EF" w14:textId="77777777" w:rsidR="00A77B3E" w:rsidRDefault="00E0441B">
      <w:pPr>
        <w:spacing w:line="360" w:lineRule="auto"/>
        <w:jc w:val="both"/>
      </w:pPr>
      <w:r>
        <w:rPr>
          <w:rFonts w:ascii="Book Antiqua" w:eastAsia="Book Antiqua" w:hAnsi="Book Antiqua" w:cs="Book Antiqua"/>
          <w:b/>
          <w:color w:val="000000"/>
        </w:rPr>
        <w:t>Peer-review report’s scientific quality classification</w:t>
      </w:r>
    </w:p>
    <w:p w14:paraId="5221D836" w14:textId="77777777" w:rsidR="00A77B3E" w:rsidRDefault="00E0441B">
      <w:pPr>
        <w:spacing w:line="360" w:lineRule="auto"/>
        <w:jc w:val="both"/>
      </w:pPr>
      <w:r>
        <w:rPr>
          <w:rFonts w:ascii="Book Antiqua" w:eastAsia="Book Antiqua" w:hAnsi="Book Antiqua" w:cs="Book Antiqua"/>
          <w:color w:val="000000"/>
        </w:rPr>
        <w:t>Grade A (Excellent): 0</w:t>
      </w:r>
    </w:p>
    <w:p w14:paraId="77708314" w14:textId="77777777" w:rsidR="00A77B3E" w:rsidRDefault="00E0441B">
      <w:pPr>
        <w:spacing w:line="360" w:lineRule="auto"/>
        <w:jc w:val="both"/>
      </w:pPr>
      <w:r>
        <w:rPr>
          <w:rFonts w:ascii="Book Antiqua" w:eastAsia="Book Antiqua" w:hAnsi="Book Antiqua" w:cs="Book Antiqua"/>
          <w:color w:val="000000"/>
        </w:rPr>
        <w:t>Grade B (Very good): B</w:t>
      </w:r>
    </w:p>
    <w:p w14:paraId="326192F3" w14:textId="77777777" w:rsidR="00A77B3E" w:rsidRDefault="00E0441B">
      <w:pPr>
        <w:spacing w:line="360" w:lineRule="auto"/>
        <w:jc w:val="both"/>
      </w:pPr>
      <w:r>
        <w:rPr>
          <w:rFonts w:ascii="Book Antiqua" w:eastAsia="Book Antiqua" w:hAnsi="Book Antiqua" w:cs="Book Antiqua"/>
          <w:color w:val="000000"/>
        </w:rPr>
        <w:t>Grade C (Good): C</w:t>
      </w:r>
    </w:p>
    <w:p w14:paraId="644F3158" w14:textId="77777777" w:rsidR="00A77B3E" w:rsidRDefault="00E0441B">
      <w:pPr>
        <w:spacing w:line="360" w:lineRule="auto"/>
        <w:jc w:val="both"/>
      </w:pPr>
      <w:r>
        <w:rPr>
          <w:rFonts w:ascii="Book Antiqua" w:eastAsia="Book Antiqua" w:hAnsi="Book Antiqua" w:cs="Book Antiqua"/>
          <w:color w:val="000000"/>
        </w:rPr>
        <w:t>Grade D (Fair): 0</w:t>
      </w:r>
    </w:p>
    <w:p w14:paraId="4D24D83B" w14:textId="77777777" w:rsidR="00A77B3E" w:rsidRDefault="00E0441B">
      <w:pPr>
        <w:spacing w:line="360" w:lineRule="auto"/>
        <w:jc w:val="both"/>
      </w:pPr>
      <w:r>
        <w:rPr>
          <w:rFonts w:ascii="Book Antiqua" w:eastAsia="Book Antiqua" w:hAnsi="Book Antiqua" w:cs="Book Antiqua"/>
          <w:color w:val="000000"/>
        </w:rPr>
        <w:t>Grade E (Poor): 0</w:t>
      </w:r>
    </w:p>
    <w:p w14:paraId="1988326B" w14:textId="77777777" w:rsidR="00A77B3E" w:rsidRDefault="00A77B3E">
      <w:pPr>
        <w:spacing w:line="360" w:lineRule="auto"/>
        <w:jc w:val="both"/>
      </w:pPr>
    </w:p>
    <w:p w14:paraId="1902E454" w14:textId="15527131" w:rsidR="0002490D" w:rsidRDefault="00E0441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Wu X, Zheng Z</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5DAC8B3" w14:textId="0B08A584" w:rsidR="00A77B3E" w:rsidRDefault="0002490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02490D">
        <w:rPr>
          <w:rFonts w:ascii="Book Antiqua" w:eastAsia="Book Antiqua" w:hAnsi="Book Antiqua" w:cs="Book Antiqua"/>
          <w:b/>
          <w:color w:val="000000"/>
        </w:rPr>
        <w:lastRenderedPageBreak/>
        <w:t>Tab</w:t>
      </w:r>
      <w:r>
        <w:rPr>
          <w:rFonts w:ascii="Book Antiqua" w:eastAsia="Book Antiqua" w:hAnsi="Book Antiqua" w:cs="Book Antiqua"/>
          <w:b/>
          <w:color w:val="000000"/>
        </w:rPr>
        <w:t xml:space="preserve">le </w:t>
      </w:r>
      <w:r w:rsidRPr="0002490D">
        <w:rPr>
          <w:rFonts w:ascii="Book Antiqua" w:eastAsia="Book Antiqua" w:hAnsi="Book Antiqua" w:cs="Book Antiqua"/>
          <w:b/>
          <w:color w:val="000000"/>
        </w:rPr>
        <w:t>1</w:t>
      </w:r>
      <w:r>
        <w:rPr>
          <w:rFonts w:ascii="Book Antiqua" w:eastAsia="Book Antiqua" w:hAnsi="Book Antiqua" w:cs="Book Antiqua"/>
          <w:b/>
          <w:color w:val="000000"/>
        </w:rPr>
        <w:t xml:space="preserve"> </w:t>
      </w:r>
      <w:r w:rsidRPr="0002490D">
        <w:rPr>
          <w:rFonts w:ascii="Book Antiqua" w:eastAsia="Book Antiqua" w:hAnsi="Book Antiqua" w:cs="Book Antiqua"/>
          <w:b/>
          <w:color w:val="000000"/>
        </w:rPr>
        <w:t xml:space="preserve">Incidence of </w:t>
      </w:r>
      <w:r>
        <w:rPr>
          <w:rFonts w:ascii="Book Antiqua" w:eastAsia="Book Antiqua" w:hAnsi="Book Antiqua" w:cs="Book Antiqua"/>
          <w:b/>
          <w:color w:val="000000"/>
        </w:rPr>
        <w:t>c</w:t>
      </w:r>
      <w:r w:rsidRPr="0002490D">
        <w:rPr>
          <w:rFonts w:ascii="Book Antiqua" w:eastAsia="Book Antiqua" w:hAnsi="Book Antiqua" w:cs="Book Antiqua"/>
          <w:b/>
          <w:color w:val="000000"/>
        </w:rPr>
        <w:t>hemotherapy-induced peripheral neuropathy</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96"/>
        <w:gridCol w:w="1643"/>
        <w:gridCol w:w="1350"/>
        <w:gridCol w:w="1097"/>
        <w:gridCol w:w="974"/>
        <w:gridCol w:w="974"/>
      </w:tblGrid>
      <w:tr w:rsidR="0002490D" w:rsidRPr="0002490D" w14:paraId="13EDDC13" w14:textId="77777777" w:rsidTr="0002490D">
        <w:tc>
          <w:tcPr>
            <w:tcW w:w="1742" w:type="dxa"/>
            <w:tcBorders>
              <w:top w:val="single" w:sz="4" w:space="0" w:color="auto"/>
              <w:bottom w:val="single" w:sz="4" w:space="0" w:color="auto"/>
            </w:tcBorders>
          </w:tcPr>
          <w:p w14:paraId="0BADD24F" w14:textId="77777777" w:rsidR="0002490D" w:rsidRPr="0002490D" w:rsidRDefault="0002490D" w:rsidP="0002490D">
            <w:pPr>
              <w:spacing w:line="360" w:lineRule="auto"/>
              <w:jc w:val="both"/>
              <w:rPr>
                <w:rFonts w:ascii="Book Antiqua" w:eastAsia="Times New Roman" w:hAnsi="Book Antiqua" w:cs="Times New Roman"/>
                <w:b/>
                <w:lang w:val="en-GB"/>
              </w:rPr>
            </w:pPr>
            <w:r w:rsidRPr="0002490D">
              <w:rPr>
                <w:rFonts w:ascii="Book Antiqua" w:eastAsia="Times New Roman" w:hAnsi="Book Antiqua" w:cs="Times New Roman"/>
                <w:b/>
                <w:lang w:val="en-GB"/>
              </w:rPr>
              <w:t>Trail</w:t>
            </w:r>
          </w:p>
        </w:tc>
        <w:tc>
          <w:tcPr>
            <w:tcW w:w="1796" w:type="dxa"/>
            <w:tcBorders>
              <w:top w:val="single" w:sz="4" w:space="0" w:color="auto"/>
              <w:bottom w:val="single" w:sz="4" w:space="0" w:color="auto"/>
            </w:tcBorders>
          </w:tcPr>
          <w:p w14:paraId="2669D9B9" w14:textId="0E5A15AE" w:rsidR="0002490D" w:rsidRPr="0002490D" w:rsidRDefault="0002490D" w:rsidP="0002490D">
            <w:pPr>
              <w:spacing w:line="360" w:lineRule="auto"/>
              <w:jc w:val="both"/>
              <w:rPr>
                <w:rFonts w:ascii="Book Antiqua" w:eastAsia="Times New Roman" w:hAnsi="Book Antiqua" w:cs="Times New Roman"/>
                <w:b/>
                <w:lang w:val="en-GB"/>
              </w:rPr>
            </w:pPr>
            <w:r w:rsidRPr="0002490D">
              <w:rPr>
                <w:rFonts w:ascii="Book Antiqua" w:eastAsia="Times New Roman" w:hAnsi="Book Antiqua" w:cs="Times New Roman"/>
                <w:b/>
                <w:lang w:val="en-GB"/>
              </w:rPr>
              <w:t>Indication</w:t>
            </w:r>
          </w:p>
        </w:tc>
        <w:tc>
          <w:tcPr>
            <w:tcW w:w="1643" w:type="dxa"/>
            <w:tcBorders>
              <w:top w:val="single" w:sz="4" w:space="0" w:color="auto"/>
              <w:bottom w:val="single" w:sz="4" w:space="0" w:color="auto"/>
            </w:tcBorders>
          </w:tcPr>
          <w:p w14:paraId="45D24A73" w14:textId="093067A7" w:rsidR="0002490D" w:rsidRPr="0002490D" w:rsidRDefault="0002490D" w:rsidP="0002490D">
            <w:pPr>
              <w:spacing w:line="360" w:lineRule="auto"/>
              <w:jc w:val="both"/>
              <w:rPr>
                <w:rFonts w:ascii="Book Antiqua" w:eastAsia="Times New Roman" w:hAnsi="Book Antiqua" w:cs="Times New Roman"/>
                <w:b/>
                <w:lang w:val="en-GB"/>
              </w:rPr>
            </w:pPr>
            <w:r w:rsidRPr="0002490D">
              <w:rPr>
                <w:rFonts w:ascii="Book Antiqua" w:eastAsia="Times New Roman" w:hAnsi="Book Antiqua" w:cs="Times New Roman"/>
                <w:b/>
                <w:lang w:val="en-GB"/>
              </w:rPr>
              <w:t>N</w:t>
            </w:r>
            <w:r>
              <w:rPr>
                <w:rFonts w:ascii="Book Antiqua" w:eastAsia="Times New Roman" w:hAnsi="Book Antiqua" w:cs="Times New Roman"/>
                <w:b/>
                <w:lang w:val="en-GB"/>
              </w:rPr>
              <w:t>o</w:t>
            </w:r>
            <w:r w:rsidRPr="0002490D">
              <w:rPr>
                <w:rFonts w:ascii="Book Antiqua" w:eastAsia="Times New Roman" w:hAnsi="Book Antiqua" w:cs="Times New Roman"/>
                <w:b/>
                <w:lang w:val="en-GB"/>
              </w:rPr>
              <w:t>. of patients</w:t>
            </w:r>
          </w:p>
        </w:tc>
        <w:tc>
          <w:tcPr>
            <w:tcW w:w="1350" w:type="dxa"/>
            <w:tcBorders>
              <w:top w:val="single" w:sz="4" w:space="0" w:color="auto"/>
              <w:bottom w:val="single" w:sz="4" w:space="0" w:color="auto"/>
            </w:tcBorders>
          </w:tcPr>
          <w:p w14:paraId="2F7EF91E" w14:textId="77777777" w:rsidR="0002490D" w:rsidRPr="0002490D" w:rsidRDefault="0002490D" w:rsidP="0002490D">
            <w:pPr>
              <w:spacing w:line="360" w:lineRule="auto"/>
              <w:jc w:val="both"/>
              <w:rPr>
                <w:rFonts w:ascii="Book Antiqua" w:eastAsia="Times New Roman" w:hAnsi="Book Antiqua" w:cs="Times New Roman"/>
                <w:b/>
                <w:lang w:val="en-GB"/>
              </w:rPr>
            </w:pPr>
            <w:r w:rsidRPr="0002490D">
              <w:rPr>
                <w:rFonts w:ascii="Book Antiqua" w:eastAsia="Times New Roman" w:hAnsi="Book Antiqua" w:cs="Times New Roman"/>
                <w:b/>
                <w:lang w:val="en-GB"/>
              </w:rPr>
              <w:t>Treatment</w:t>
            </w:r>
          </w:p>
        </w:tc>
        <w:tc>
          <w:tcPr>
            <w:tcW w:w="1097" w:type="dxa"/>
            <w:tcBorders>
              <w:top w:val="single" w:sz="4" w:space="0" w:color="auto"/>
              <w:bottom w:val="single" w:sz="4" w:space="0" w:color="auto"/>
            </w:tcBorders>
          </w:tcPr>
          <w:p w14:paraId="3527B77C" w14:textId="159FAC0E" w:rsidR="0002490D" w:rsidRPr="0002490D" w:rsidRDefault="0002490D" w:rsidP="0002490D">
            <w:pPr>
              <w:spacing w:line="360" w:lineRule="auto"/>
              <w:jc w:val="both"/>
              <w:rPr>
                <w:rFonts w:ascii="Book Antiqua" w:eastAsia="Times New Roman" w:hAnsi="Book Antiqua" w:cs="Times New Roman"/>
                <w:b/>
                <w:lang w:val="en-GB"/>
              </w:rPr>
            </w:pPr>
            <w:r w:rsidRPr="0002490D">
              <w:rPr>
                <w:rFonts w:ascii="Book Antiqua" w:eastAsia="Times New Roman" w:hAnsi="Book Antiqua" w:cs="Times New Roman"/>
                <w:b/>
                <w:lang w:val="en-GB"/>
              </w:rPr>
              <w:t>Grade 1</w:t>
            </w:r>
            <w:r>
              <w:rPr>
                <w:rFonts w:ascii="Book Antiqua" w:eastAsia="Times New Roman" w:hAnsi="Book Antiqua" w:cs="Times New Roman"/>
                <w:b/>
                <w:lang w:val="en-GB"/>
              </w:rPr>
              <w:t xml:space="preserve"> (%)</w:t>
            </w:r>
          </w:p>
        </w:tc>
        <w:tc>
          <w:tcPr>
            <w:tcW w:w="974" w:type="dxa"/>
            <w:tcBorders>
              <w:top w:val="single" w:sz="4" w:space="0" w:color="auto"/>
              <w:bottom w:val="single" w:sz="4" w:space="0" w:color="auto"/>
            </w:tcBorders>
          </w:tcPr>
          <w:p w14:paraId="4FB6E3BE" w14:textId="0C1F3C44" w:rsidR="0002490D" w:rsidRPr="0002490D" w:rsidRDefault="0002490D" w:rsidP="0002490D">
            <w:pPr>
              <w:spacing w:line="360" w:lineRule="auto"/>
              <w:jc w:val="both"/>
              <w:rPr>
                <w:rFonts w:ascii="Book Antiqua" w:eastAsia="Times New Roman" w:hAnsi="Book Antiqua" w:cs="Times New Roman"/>
                <w:b/>
                <w:lang w:val="en-GB"/>
              </w:rPr>
            </w:pPr>
            <w:r w:rsidRPr="0002490D">
              <w:rPr>
                <w:rFonts w:ascii="Book Antiqua" w:eastAsia="Times New Roman" w:hAnsi="Book Antiqua" w:cs="Times New Roman"/>
                <w:b/>
                <w:lang w:val="en-GB"/>
              </w:rPr>
              <w:t xml:space="preserve">Grade 2 </w:t>
            </w:r>
            <w:r>
              <w:rPr>
                <w:rFonts w:ascii="Book Antiqua" w:eastAsia="Times New Roman" w:hAnsi="Book Antiqua" w:cs="Times New Roman"/>
                <w:b/>
                <w:lang w:val="en-GB"/>
              </w:rPr>
              <w:t>(%)</w:t>
            </w:r>
          </w:p>
        </w:tc>
        <w:tc>
          <w:tcPr>
            <w:tcW w:w="974" w:type="dxa"/>
            <w:tcBorders>
              <w:top w:val="single" w:sz="4" w:space="0" w:color="auto"/>
              <w:bottom w:val="single" w:sz="4" w:space="0" w:color="auto"/>
            </w:tcBorders>
          </w:tcPr>
          <w:p w14:paraId="364BC5BE" w14:textId="2E5C99EA" w:rsidR="0002490D" w:rsidRPr="0002490D" w:rsidRDefault="0002490D" w:rsidP="0002490D">
            <w:pPr>
              <w:spacing w:line="360" w:lineRule="auto"/>
              <w:jc w:val="both"/>
              <w:rPr>
                <w:rFonts w:ascii="Book Antiqua" w:eastAsia="Times New Roman" w:hAnsi="Book Antiqua" w:cs="Times New Roman"/>
                <w:b/>
                <w:lang w:val="en-GB"/>
              </w:rPr>
            </w:pPr>
            <w:r w:rsidRPr="0002490D">
              <w:rPr>
                <w:rFonts w:ascii="Book Antiqua" w:eastAsia="Times New Roman" w:hAnsi="Book Antiqua" w:cs="Times New Roman"/>
                <w:b/>
                <w:lang w:val="en-GB"/>
              </w:rPr>
              <w:t>Grade 3</w:t>
            </w:r>
            <w:r>
              <w:rPr>
                <w:rFonts w:ascii="Book Antiqua" w:eastAsia="Times New Roman" w:hAnsi="Book Antiqua" w:cs="Times New Roman"/>
                <w:b/>
                <w:lang w:val="en-GB"/>
              </w:rPr>
              <w:t xml:space="preserve"> (%)</w:t>
            </w:r>
          </w:p>
        </w:tc>
      </w:tr>
      <w:tr w:rsidR="0002490D" w:rsidRPr="0002490D" w14:paraId="44012F70" w14:textId="77777777" w:rsidTr="0002490D">
        <w:tc>
          <w:tcPr>
            <w:tcW w:w="1742" w:type="dxa"/>
            <w:vMerge w:val="restart"/>
            <w:tcBorders>
              <w:top w:val="single" w:sz="4" w:space="0" w:color="auto"/>
            </w:tcBorders>
          </w:tcPr>
          <w:p w14:paraId="27207469" w14:textId="3DFA286E"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AGO OVAR 3</w:t>
            </w:r>
            <w:r w:rsidRPr="0002490D">
              <w:rPr>
                <w:rFonts w:ascii="Book Antiqua" w:eastAsia="Times New Roman" w:hAnsi="Book Antiqua" w:cs="Times New Roman"/>
                <w:vertAlign w:val="superscript"/>
                <w:lang w:val="en-GB"/>
              </w:rPr>
              <w:t>[35]</w:t>
            </w:r>
          </w:p>
        </w:tc>
        <w:tc>
          <w:tcPr>
            <w:tcW w:w="1796" w:type="dxa"/>
            <w:vMerge w:val="restart"/>
            <w:tcBorders>
              <w:top w:val="single" w:sz="4" w:space="0" w:color="auto"/>
            </w:tcBorders>
          </w:tcPr>
          <w:p w14:paraId="231E99C4"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FIGO IIB-IV fist line</w:t>
            </w:r>
          </w:p>
        </w:tc>
        <w:tc>
          <w:tcPr>
            <w:tcW w:w="1643" w:type="dxa"/>
            <w:tcBorders>
              <w:top w:val="single" w:sz="4" w:space="0" w:color="auto"/>
            </w:tcBorders>
          </w:tcPr>
          <w:p w14:paraId="67FDC1D4"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388</w:t>
            </w:r>
          </w:p>
        </w:tc>
        <w:tc>
          <w:tcPr>
            <w:tcW w:w="1350" w:type="dxa"/>
            <w:tcBorders>
              <w:top w:val="single" w:sz="4" w:space="0" w:color="auto"/>
            </w:tcBorders>
          </w:tcPr>
          <w:p w14:paraId="0D01C2C0"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CP</w:t>
            </w:r>
          </w:p>
        </w:tc>
        <w:tc>
          <w:tcPr>
            <w:tcW w:w="1097" w:type="dxa"/>
            <w:tcBorders>
              <w:top w:val="single" w:sz="4" w:space="0" w:color="auto"/>
            </w:tcBorders>
          </w:tcPr>
          <w:p w14:paraId="17990656" w14:textId="31896181"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39</w:t>
            </w:r>
          </w:p>
        </w:tc>
        <w:tc>
          <w:tcPr>
            <w:tcW w:w="974" w:type="dxa"/>
            <w:tcBorders>
              <w:top w:val="single" w:sz="4" w:space="0" w:color="auto"/>
            </w:tcBorders>
          </w:tcPr>
          <w:p w14:paraId="6494C8C3" w14:textId="68AE9D88"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28</w:t>
            </w:r>
          </w:p>
        </w:tc>
        <w:tc>
          <w:tcPr>
            <w:tcW w:w="974" w:type="dxa"/>
            <w:tcBorders>
              <w:top w:val="single" w:sz="4" w:space="0" w:color="auto"/>
            </w:tcBorders>
          </w:tcPr>
          <w:p w14:paraId="3AE6D188" w14:textId="2731456B"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6.7</w:t>
            </w:r>
          </w:p>
        </w:tc>
      </w:tr>
      <w:tr w:rsidR="0002490D" w:rsidRPr="0002490D" w14:paraId="36DDAB8B" w14:textId="77777777" w:rsidTr="0002490D">
        <w:tc>
          <w:tcPr>
            <w:tcW w:w="1742" w:type="dxa"/>
            <w:vMerge/>
          </w:tcPr>
          <w:p w14:paraId="7C85BE24"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796" w:type="dxa"/>
            <w:vMerge/>
          </w:tcPr>
          <w:p w14:paraId="31DC5ED8"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643" w:type="dxa"/>
          </w:tcPr>
          <w:p w14:paraId="6E2F505E"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384</w:t>
            </w:r>
          </w:p>
        </w:tc>
        <w:tc>
          <w:tcPr>
            <w:tcW w:w="1350" w:type="dxa"/>
          </w:tcPr>
          <w:p w14:paraId="282B266D"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PP</w:t>
            </w:r>
          </w:p>
        </w:tc>
        <w:tc>
          <w:tcPr>
            <w:tcW w:w="1097" w:type="dxa"/>
          </w:tcPr>
          <w:p w14:paraId="1A6DFC3E" w14:textId="7E6E4DE1"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33</w:t>
            </w:r>
          </w:p>
        </w:tc>
        <w:tc>
          <w:tcPr>
            <w:tcW w:w="974" w:type="dxa"/>
          </w:tcPr>
          <w:p w14:paraId="0872856F" w14:textId="0DDE60B9"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36</w:t>
            </w:r>
          </w:p>
        </w:tc>
        <w:tc>
          <w:tcPr>
            <w:tcW w:w="974" w:type="dxa"/>
          </w:tcPr>
          <w:p w14:paraId="2C759B90" w14:textId="2840D3CB"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12.5</w:t>
            </w:r>
          </w:p>
        </w:tc>
      </w:tr>
      <w:tr w:rsidR="0002490D" w:rsidRPr="0002490D" w14:paraId="24729F2B" w14:textId="77777777" w:rsidTr="0002490D">
        <w:trPr>
          <w:trHeight w:val="170"/>
        </w:trPr>
        <w:tc>
          <w:tcPr>
            <w:tcW w:w="1742" w:type="dxa"/>
            <w:vMerge w:val="restart"/>
          </w:tcPr>
          <w:p w14:paraId="710AD13B" w14:textId="21DD669B"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US"/>
              </w:rPr>
              <w:t>JGOG</w:t>
            </w:r>
            <w:r w:rsidRPr="0002490D">
              <w:rPr>
                <w:rFonts w:ascii="Book Antiqua" w:eastAsia="Times New Roman" w:hAnsi="Book Antiqua" w:cs="Times New Roman"/>
                <w:vertAlign w:val="superscript"/>
                <w:lang w:val="en-GB"/>
              </w:rPr>
              <w:t>[</w:t>
            </w:r>
            <w:r>
              <w:rPr>
                <w:rFonts w:ascii="Book Antiqua" w:eastAsia="Times New Roman" w:hAnsi="Book Antiqua" w:cs="Times New Roman"/>
                <w:vertAlign w:val="superscript"/>
                <w:lang w:val="en-GB"/>
              </w:rPr>
              <w:t>29</w:t>
            </w:r>
            <w:r w:rsidRPr="0002490D">
              <w:rPr>
                <w:rFonts w:ascii="Book Antiqua" w:eastAsia="Times New Roman" w:hAnsi="Book Antiqua" w:cs="Times New Roman"/>
                <w:vertAlign w:val="superscript"/>
                <w:lang w:val="en-GB"/>
              </w:rPr>
              <w:t>]</w:t>
            </w:r>
          </w:p>
        </w:tc>
        <w:tc>
          <w:tcPr>
            <w:tcW w:w="1796" w:type="dxa"/>
            <w:vMerge w:val="restart"/>
          </w:tcPr>
          <w:p w14:paraId="4709A730"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FIGO II-IV fist line</w:t>
            </w:r>
          </w:p>
        </w:tc>
        <w:tc>
          <w:tcPr>
            <w:tcW w:w="1643" w:type="dxa"/>
          </w:tcPr>
          <w:p w14:paraId="585FC5DC"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319</w:t>
            </w:r>
          </w:p>
        </w:tc>
        <w:tc>
          <w:tcPr>
            <w:tcW w:w="1350" w:type="dxa"/>
          </w:tcPr>
          <w:p w14:paraId="6D367890"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CP</w:t>
            </w:r>
          </w:p>
        </w:tc>
        <w:tc>
          <w:tcPr>
            <w:tcW w:w="1097" w:type="dxa"/>
          </w:tcPr>
          <w:p w14:paraId="5DBC1EE0"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974" w:type="dxa"/>
          </w:tcPr>
          <w:p w14:paraId="14F96D3D"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974" w:type="dxa"/>
          </w:tcPr>
          <w:p w14:paraId="3FE08C49" w14:textId="5A09D5E1"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20 (6)</w:t>
            </w:r>
          </w:p>
        </w:tc>
      </w:tr>
      <w:tr w:rsidR="0002490D" w:rsidRPr="0002490D" w14:paraId="6DA8D7B1" w14:textId="77777777" w:rsidTr="0002490D">
        <w:trPr>
          <w:trHeight w:val="170"/>
        </w:trPr>
        <w:tc>
          <w:tcPr>
            <w:tcW w:w="1742" w:type="dxa"/>
            <w:vMerge/>
          </w:tcPr>
          <w:p w14:paraId="5C50F582" w14:textId="77777777" w:rsidR="0002490D" w:rsidRPr="0002490D" w:rsidRDefault="0002490D" w:rsidP="0002490D">
            <w:pPr>
              <w:spacing w:line="360" w:lineRule="auto"/>
              <w:jc w:val="both"/>
              <w:rPr>
                <w:rFonts w:ascii="Book Antiqua" w:eastAsia="Times New Roman" w:hAnsi="Book Antiqua" w:cs="Times New Roman"/>
                <w:lang w:val="en-US"/>
              </w:rPr>
            </w:pPr>
          </w:p>
        </w:tc>
        <w:tc>
          <w:tcPr>
            <w:tcW w:w="1796" w:type="dxa"/>
            <w:vMerge/>
          </w:tcPr>
          <w:p w14:paraId="28E7619B"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643" w:type="dxa"/>
          </w:tcPr>
          <w:p w14:paraId="4F9847EE"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312</w:t>
            </w:r>
          </w:p>
        </w:tc>
        <w:tc>
          <w:tcPr>
            <w:tcW w:w="1350" w:type="dxa"/>
          </w:tcPr>
          <w:p w14:paraId="200C6063"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C-P</w:t>
            </w:r>
          </w:p>
        </w:tc>
        <w:tc>
          <w:tcPr>
            <w:tcW w:w="1097" w:type="dxa"/>
          </w:tcPr>
          <w:p w14:paraId="15DA7129"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974" w:type="dxa"/>
          </w:tcPr>
          <w:p w14:paraId="7833F866"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974" w:type="dxa"/>
          </w:tcPr>
          <w:p w14:paraId="7CCD5E55" w14:textId="465F0F5A"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21 (7)</w:t>
            </w:r>
          </w:p>
        </w:tc>
      </w:tr>
      <w:tr w:rsidR="0002490D" w:rsidRPr="0002490D" w14:paraId="31584F90" w14:textId="77777777" w:rsidTr="0002490D">
        <w:tc>
          <w:tcPr>
            <w:tcW w:w="1742" w:type="dxa"/>
          </w:tcPr>
          <w:p w14:paraId="0167820A" w14:textId="186D465B"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MITO 4</w:t>
            </w:r>
            <w:r w:rsidRPr="0002490D">
              <w:rPr>
                <w:rFonts w:ascii="Book Antiqua" w:eastAsia="Times New Roman" w:hAnsi="Book Antiqua" w:cs="Times New Roman"/>
                <w:vertAlign w:val="superscript"/>
                <w:lang w:val="en-GB"/>
              </w:rPr>
              <w:t>[</w:t>
            </w:r>
            <w:r>
              <w:rPr>
                <w:rFonts w:ascii="Book Antiqua" w:eastAsia="Times New Roman" w:hAnsi="Book Antiqua" w:cs="Times New Roman"/>
                <w:vertAlign w:val="superscript"/>
                <w:lang w:val="en-GB"/>
              </w:rPr>
              <w:t>27</w:t>
            </w:r>
            <w:r w:rsidRPr="0002490D">
              <w:rPr>
                <w:rFonts w:ascii="Book Antiqua" w:eastAsia="Times New Roman" w:hAnsi="Book Antiqua" w:cs="Times New Roman"/>
                <w:vertAlign w:val="superscript"/>
                <w:lang w:val="en-GB"/>
              </w:rPr>
              <w:t>]</w:t>
            </w:r>
          </w:p>
        </w:tc>
        <w:tc>
          <w:tcPr>
            <w:tcW w:w="1796" w:type="dxa"/>
          </w:tcPr>
          <w:p w14:paraId="7AF459EC"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FIGO IC-IV fist line</w:t>
            </w:r>
          </w:p>
        </w:tc>
        <w:tc>
          <w:tcPr>
            <w:tcW w:w="1643" w:type="dxa"/>
          </w:tcPr>
          <w:p w14:paraId="0B2ABDF5"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120</w:t>
            </w:r>
          </w:p>
        </w:tc>
        <w:tc>
          <w:tcPr>
            <w:tcW w:w="1350" w:type="dxa"/>
          </w:tcPr>
          <w:p w14:paraId="01C60B64"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CP</w:t>
            </w:r>
          </w:p>
        </w:tc>
        <w:tc>
          <w:tcPr>
            <w:tcW w:w="1097" w:type="dxa"/>
          </w:tcPr>
          <w:p w14:paraId="25AFB553" w14:textId="47DCB7C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51 (42)</w:t>
            </w:r>
          </w:p>
        </w:tc>
        <w:tc>
          <w:tcPr>
            <w:tcW w:w="974" w:type="dxa"/>
          </w:tcPr>
          <w:p w14:paraId="60CBFB42" w14:textId="79831D1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13 (11)</w:t>
            </w:r>
          </w:p>
        </w:tc>
        <w:tc>
          <w:tcPr>
            <w:tcW w:w="974" w:type="dxa"/>
          </w:tcPr>
          <w:p w14:paraId="0C72F61C" w14:textId="35FFE65B"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1 (1)</w:t>
            </w:r>
          </w:p>
        </w:tc>
      </w:tr>
      <w:tr w:rsidR="0002490D" w:rsidRPr="0002490D" w14:paraId="36ADD0EC" w14:textId="77777777" w:rsidTr="0002490D">
        <w:tc>
          <w:tcPr>
            <w:tcW w:w="1742" w:type="dxa"/>
            <w:vMerge w:val="restart"/>
          </w:tcPr>
          <w:p w14:paraId="23F1146A" w14:textId="7D73F3A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MITO 2</w:t>
            </w:r>
            <w:r w:rsidRPr="0002490D">
              <w:rPr>
                <w:rFonts w:ascii="Book Antiqua" w:eastAsia="Times New Roman" w:hAnsi="Book Antiqua" w:cs="Times New Roman"/>
                <w:vertAlign w:val="superscript"/>
                <w:lang w:val="en-GB"/>
              </w:rPr>
              <w:t>[</w:t>
            </w:r>
            <w:r>
              <w:rPr>
                <w:rFonts w:ascii="Book Antiqua" w:eastAsia="Times New Roman" w:hAnsi="Book Antiqua" w:cs="Times New Roman"/>
                <w:vertAlign w:val="superscript"/>
                <w:lang w:val="en-GB"/>
              </w:rPr>
              <w:t>26</w:t>
            </w:r>
            <w:r w:rsidRPr="0002490D">
              <w:rPr>
                <w:rFonts w:ascii="Book Antiqua" w:eastAsia="Times New Roman" w:hAnsi="Book Antiqua" w:cs="Times New Roman"/>
                <w:vertAlign w:val="superscript"/>
                <w:lang w:val="en-GB"/>
              </w:rPr>
              <w:t>]</w:t>
            </w:r>
          </w:p>
        </w:tc>
        <w:tc>
          <w:tcPr>
            <w:tcW w:w="1796" w:type="dxa"/>
            <w:vMerge w:val="restart"/>
          </w:tcPr>
          <w:p w14:paraId="72A8FCD3"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FIGO IC-IV fist line</w:t>
            </w:r>
          </w:p>
        </w:tc>
        <w:tc>
          <w:tcPr>
            <w:tcW w:w="1643" w:type="dxa"/>
          </w:tcPr>
          <w:p w14:paraId="57F80E15"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407</w:t>
            </w:r>
          </w:p>
        </w:tc>
        <w:tc>
          <w:tcPr>
            <w:tcW w:w="1350" w:type="dxa"/>
          </w:tcPr>
          <w:p w14:paraId="624116F7"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CP</w:t>
            </w:r>
          </w:p>
        </w:tc>
        <w:tc>
          <w:tcPr>
            <w:tcW w:w="1097" w:type="dxa"/>
          </w:tcPr>
          <w:p w14:paraId="761AEBAD" w14:textId="46353403"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115 (28)</w:t>
            </w:r>
          </w:p>
        </w:tc>
        <w:tc>
          <w:tcPr>
            <w:tcW w:w="974" w:type="dxa"/>
          </w:tcPr>
          <w:p w14:paraId="01D045E9" w14:textId="4B639418"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64 (16)</w:t>
            </w:r>
          </w:p>
        </w:tc>
        <w:tc>
          <w:tcPr>
            <w:tcW w:w="974" w:type="dxa"/>
          </w:tcPr>
          <w:p w14:paraId="2E16AB13" w14:textId="3534F339"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12 (3)</w:t>
            </w:r>
          </w:p>
        </w:tc>
      </w:tr>
      <w:tr w:rsidR="0002490D" w:rsidRPr="0002490D" w14:paraId="5F307C88" w14:textId="77777777" w:rsidTr="0002490D">
        <w:tc>
          <w:tcPr>
            <w:tcW w:w="1742" w:type="dxa"/>
            <w:vMerge/>
          </w:tcPr>
          <w:p w14:paraId="4534B01F"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796" w:type="dxa"/>
            <w:vMerge/>
          </w:tcPr>
          <w:p w14:paraId="11556C8E"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643" w:type="dxa"/>
          </w:tcPr>
          <w:p w14:paraId="15324E84"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396</w:t>
            </w:r>
          </w:p>
        </w:tc>
        <w:tc>
          <w:tcPr>
            <w:tcW w:w="1350" w:type="dxa"/>
          </w:tcPr>
          <w:p w14:paraId="45FAEA01"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C-PLD</w:t>
            </w:r>
          </w:p>
        </w:tc>
        <w:tc>
          <w:tcPr>
            <w:tcW w:w="1097" w:type="dxa"/>
          </w:tcPr>
          <w:p w14:paraId="45F01037" w14:textId="02192206"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47 (12)</w:t>
            </w:r>
          </w:p>
        </w:tc>
        <w:tc>
          <w:tcPr>
            <w:tcW w:w="974" w:type="dxa"/>
          </w:tcPr>
          <w:p w14:paraId="25AADE61" w14:textId="193AE5DF"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11 (3)</w:t>
            </w:r>
          </w:p>
        </w:tc>
        <w:tc>
          <w:tcPr>
            <w:tcW w:w="974" w:type="dxa"/>
          </w:tcPr>
          <w:p w14:paraId="27220542" w14:textId="7ABCDEE6"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1 (&lt;</w:t>
            </w:r>
            <w:r>
              <w:rPr>
                <w:rFonts w:ascii="Book Antiqua" w:eastAsia="Times New Roman" w:hAnsi="Book Antiqua" w:cs="Times New Roman"/>
                <w:lang w:val="en-GB"/>
              </w:rPr>
              <w:t xml:space="preserve"> </w:t>
            </w:r>
            <w:r w:rsidRPr="0002490D">
              <w:rPr>
                <w:rFonts w:ascii="Book Antiqua" w:eastAsia="Times New Roman" w:hAnsi="Book Antiqua" w:cs="Times New Roman"/>
                <w:lang w:val="en-GB"/>
              </w:rPr>
              <w:t>1)</w:t>
            </w:r>
          </w:p>
        </w:tc>
      </w:tr>
      <w:tr w:rsidR="0002490D" w:rsidRPr="0002490D" w14:paraId="047F3767" w14:textId="77777777" w:rsidTr="0002490D">
        <w:tc>
          <w:tcPr>
            <w:tcW w:w="1742" w:type="dxa"/>
            <w:vMerge w:val="restart"/>
          </w:tcPr>
          <w:p w14:paraId="62265927" w14:textId="111CC47F"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MITO 7</w:t>
            </w:r>
            <w:r w:rsidRPr="0002490D">
              <w:rPr>
                <w:rFonts w:ascii="Book Antiqua" w:eastAsia="Times New Roman" w:hAnsi="Book Antiqua" w:cs="Times New Roman"/>
                <w:vertAlign w:val="superscript"/>
                <w:lang w:val="en-GB"/>
              </w:rPr>
              <w:t>[</w:t>
            </w:r>
            <w:r>
              <w:rPr>
                <w:rFonts w:ascii="Book Antiqua" w:eastAsia="Times New Roman" w:hAnsi="Book Antiqua" w:cs="Times New Roman"/>
                <w:vertAlign w:val="superscript"/>
                <w:lang w:val="en-GB"/>
              </w:rPr>
              <w:t>28</w:t>
            </w:r>
            <w:r w:rsidRPr="0002490D">
              <w:rPr>
                <w:rFonts w:ascii="Book Antiqua" w:eastAsia="Times New Roman" w:hAnsi="Book Antiqua" w:cs="Times New Roman"/>
                <w:vertAlign w:val="superscript"/>
                <w:lang w:val="en-GB"/>
              </w:rPr>
              <w:t>]</w:t>
            </w:r>
          </w:p>
        </w:tc>
        <w:tc>
          <w:tcPr>
            <w:tcW w:w="1796" w:type="dxa"/>
            <w:vMerge w:val="restart"/>
          </w:tcPr>
          <w:p w14:paraId="74370EA6"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FIGO IC-IV fist line</w:t>
            </w:r>
          </w:p>
        </w:tc>
        <w:tc>
          <w:tcPr>
            <w:tcW w:w="1643" w:type="dxa"/>
          </w:tcPr>
          <w:p w14:paraId="7F39DC34"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404</w:t>
            </w:r>
          </w:p>
        </w:tc>
        <w:tc>
          <w:tcPr>
            <w:tcW w:w="1350" w:type="dxa"/>
          </w:tcPr>
          <w:p w14:paraId="69C1B84A"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CP</w:t>
            </w:r>
          </w:p>
        </w:tc>
        <w:tc>
          <w:tcPr>
            <w:tcW w:w="1097" w:type="dxa"/>
          </w:tcPr>
          <w:p w14:paraId="47C7E365" w14:textId="3AC010DF"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95 (24)</w:t>
            </w:r>
          </w:p>
        </w:tc>
        <w:tc>
          <w:tcPr>
            <w:tcW w:w="974" w:type="dxa"/>
          </w:tcPr>
          <w:p w14:paraId="5A6B84D6" w14:textId="755403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58 (15)</w:t>
            </w:r>
          </w:p>
        </w:tc>
        <w:tc>
          <w:tcPr>
            <w:tcW w:w="974" w:type="dxa"/>
          </w:tcPr>
          <w:p w14:paraId="69D3FC34" w14:textId="3315DEDF"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8 (2)</w:t>
            </w:r>
          </w:p>
        </w:tc>
      </w:tr>
      <w:tr w:rsidR="0002490D" w:rsidRPr="0002490D" w14:paraId="2175160A" w14:textId="77777777" w:rsidTr="0002490D">
        <w:tc>
          <w:tcPr>
            <w:tcW w:w="1742" w:type="dxa"/>
            <w:vMerge/>
          </w:tcPr>
          <w:p w14:paraId="1F7D1C19"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796" w:type="dxa"/>
            <w:vMerge/>
          </w:tcPr>
          <w:p w14:paraId="1DABAEF8"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643" w:type="dxa"/>
          </w:tcPr>
          <w:p w14:paraId="5E64294C"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406</w:t>
            </w:r>
          </w:p>
        </w:tc>
        <w:tc>
          <w:tcPr>
            <w:tcW w:w="1350" w:type="dxa"/>
          </w:tcPr>
          <w:p w14:paraId="43913435"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CP weekly</w:t>
            </w:r>
          </w:p>
        </w:tc>
        <w:tc>
          <w:tcPr>
            <w:tcW w:w="1097" w:type="dxa"/>
          </w:tcPr>
          <w:p w14:paraId="348CA8CD" w14:textId="3BA7048F"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98 (25)</w:t>
            </w:r>
          </w:p>
        </w:tc>
        <w:tc>
          <w:tcPr>
            <w:tcW w:w="974" w:type="dxa"/>
          </w:tcPr>
          <w:p w14:paraId="13348842" w14:textId="6913E78D"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24 (6)</w:t>
            </w:r>
          </w:p>
        </w:tc>
        <w:tc>
          <w:tcPr>
            <w:tcW w:w="974" w:type="dxa"/>
          </w:tcPr>
          <w:p w14:paraId="615BFFE6"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0</w:t>
            </w:r>
          </w:p>
        </w:tc>
      </w:tr>
      <w:tr w:rsidR="0002490D" w:rsidRPr="0002490D" w14:paraId="35F1AF51" w14:textId="77777777" w:rsidTr="0002490D">
        <w:tc>
          <w:tcPr>
            <w:tcW w:w="1742" w:type="dxa"/>
            <w:vMerge w:val="restart"/>
          </w:tcPr>
          <w:p w14:paraId="23DB3E4C" w14:textId="317E09E8"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ICON 4</w:t>
            </w:r>
            <w:r w:rsidRPr="0002490D">
              <w:rPr>
                <w:rFonts w:ascii="Book Antiqua" w:eastAsia="Times New Roman" w:hAnsi="Book Antiqua" w:cs="Times New Roman"/>
                <w:vertAlign w:val="superscript"/>
                <w:lang w:val="en-GB"/>
              </w:rPr>
              <w:t>[</w:t>
            </w:r>
            <w:r>
              <w:rPr>
                <w:rFonts w:ascii="Book Antiqua" w:eastAsia="Times New Roman" w:hAnsi="Book Antiqua" w:cs="Times New Roman"/>
                <w:vertAlign w:val="superscript"/>
                <w:lang w:val="en-GB"/>
              </w:rPr>
              <w:t>2</w:t>
            </w:r>
            <w:r w:rsidRPr="0002490D">
              <w:rPr>
                <w:rFonts w:ascii="Book Antiqua" w:eastAsia="Times New Roman" w:hAnsi="Book Antiqua" w:cs="Times New Roman"/>
                <w:vertAlign w:val="superscript"/>
                <w:lang w:val="en-GB"/>
              </w:rPr>
              <w:t>]</w:t>
            </w:r>
          </w:p>
        </w:tc>
        <w:tc>
          <w:tcPr>
            <w:tcW w:w="1796" w:type="dxa"/>
            <w:vMerge w:val="restart"/>
          </w:tcPr>
          <w:p w14:paraId="2CF1BA15" w14:textId="314710BE"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Platinum-sensitive relapse &gt;</w:t>
            </w:r>
            <w:r>
              <w:rPr>
                <w:rFonts w:ascii="Book Antiqua" w:eastAsia="Times New Roman" w:hAnsi="Book Antiqua" w:cs="Times New Roman"/>
                <w:lang w:val="en-GB"/>
              </w:rPr>
              <w:t xml:space="preserve"> </w:t>
            </w:r>
            <w:r w:rsidRPr="0002490D">
              <w:rPr>
                <w:rFonts w:ascii="Book Antiqua" w:eastAsia="Times New Roman" w:hAnsi="Book Antiqua" w:cs="Times New Roman"/>
                <w:lang w:val="en-GB"/>
              </w:rPr>
              <w:t xml:space="preserve">6 </w:t>
            </w:r>
            <w:proofErr w:type="spellStart"/>
            <w:r w:rsidRPr="0002490D">
              <w:rPr>
                <w:rFonts w:ascii="Book Antiqua" w:eastAsia="Times New Roman" w:hAnsi="Book Antiqua" w:cs="Times New Roman"/>
                <w:lang w:val="en-GB"/>
              </w:rPr>
              <w:t>mo</w:t>
            </w:r>
            <w:proofErr w:type="spellEnd"/>
          </w:p>
        </w:tc>
        <w:tc>
          <w:tcPr>
            <w:tcW w:w="1643" w:type="dxa"/>
          </w:tcPr>
          <w:p w14:paraId="507C949D"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410</w:t>
            </w:r>
          </w:p>
        </w:tc>
        <w:tc>
          <w:tcPr>
            <w:tcW w:w="1350" w:type="dxa"/>
          </w:tcPr>
          <w:p w14:paraId="565E34D5"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P-based</w:t>
            </w:r>
          </w:p>
        </w:tc>
        <w:tc>
          <w:tcPr>
            <w:tcW w:w="1097" w:type="dxa"/>
          </w:tcPr>
          <w:p w14:paraId="771DBB7F"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948" w:type="dxa"/>
            <w:gridSpan w:val="2"/>
          </w:tcPr>
          <w:p w14:paraId="4AAEFB76" w14:textId="1166B0DA"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4 (1)</w:t>
            </w:r>
          </w:p>
        </w:tc>
      </w:tr>
      <w:tr w:rsidR="0002490D" w:rsidRPr="0002490D" w14:paraId="5F1972F0" w14:textId="77777777" w:rsidTr="0002490D">
        <w:tc>
          <w:tcPr>
            <w:tcW w:w="1742" w:type="dxa"/>
            <w:vMerge/>
            <w:tcBorders>
              <w:bottom w:val="single" w:sz="4" w:space="0" w:color="auto"/>
            </w:tcBorders>
          </w:tcPr>
          <w:p w14:paraId="13DF7AEA"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796" w:type="dxa"/>
            <w:vMerge/>
            <w:tcBorders>
              <w:bottom w:val="single" w:sz="4" w:space="0" w:color="auto"/>
            </w:tcBorders>
          </w:tcPr>
          <w:p w14:paraId="7F7B173B"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643" w:type="dxa"/>
            <w:tcBorders>
              <w:bottom w:val="single" w:sz="4" w:space="0" w:color="auto"/>
            </w:tcBorders>
          </w:tcPr>
          <w:p w14:paraId="3037236D" w14:textId="77777777"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392</w:t>
            </w:r>
          </w:p>
        </w:tc>
        <w:tc>
          <w:tcPr>
            <w:tcW w:w="1350" w:type="dxa"/>
            <w:tcBorders>
              <w:bottom w:val="single" w:sz="4" w:space="0" w:color="auto"/>
            </w:tcBorders>
          </w:tcPr>
          <w:p w14:paraId="4E56E324" w14:textId="01AFBC71"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CP/PP</w:t>
            </w:r>
          </w:p>
        </w:tc>
        <w:tc>
          <w:tcPr>
            <w:tcW w:w="1097" w:type="dxa"/>
            <w:tcBorders>
              <w:bottom w:val="single" w:sz="4" w:space="0" w:color="auto"/>
            </w:tcBorders>
          </w:tcPr>
          <w:p w14:paraId="7654AE0C" w14:textId="77777777" w:rsidR="0002490D" w:rsidRPr="0002490D" w:rsidRDefault="0002490D" w:rsidP="0002490D">
            <w:pPr>
              <w:spacing w:line="360" w:lineRule="auto"/>
              <w:jc w:val="both"/>
              <w:rPr>
                <w:rFonts w:ascii="Book Antiqua" w:eastAsia="Times New Roman" w:hAnsi="Book Antiqua" w:cs="Times New Roman"/>
                <w:lang w:val="en-GB"/>
              </w:rPr>
            </w:pPr>
          </w:p>
        </w:tc>
        <w:tc>
          <w:tcPr>
            <w:tcW w:w="1948" w:type="dxa"/>
            <w:gridSpan w:val="2"/>
            <w:tcBorders>
              <w:bottom w:val="single" w:sz="4" w:space="0" w:color="auto"/>
            </w:tcBorders>
          </w:tcPr>
          <w:p w14:paraId="29A5F7A0" w14:textId="2B9B58F0" w:rsidR="0002490D" w:rsidRPr="0002490D" w:rsidRDefault="0002490D" w:rsidP="0002490D">
            <w:pPr>
              <w:spacing w:line="360" w:lineRule="auto"/>
              <w:jc w:val="both"/>
              <w:rPr>
                <w:rFonts w:ascii="Book Antiqua" w:eastAsia="Times New Roman" w:hAnsi="Book Antiqua" w:cs="Times New Roman"/>
                <w:lang w:val="en-GB"/>
              </w:rPr>
            </w:pPr>
            <w:r w:rsidRPr="0002490D">
              <w:rPr>
                <w:rFonts w:ascii="Book Antiqua" w:eastAsia="Times New Roman" w:hAnsi="Book Antiqua" w:cs="Times New Roman"/>
                <w:lang w:val="en-GB"/>
              </w:rPr>
              <w:t>76 (20)</w:t>
            </w:r>
          </w:p>
        </w:tc>
      </w:tr>
    </w:tbl>
    <w:p w14:paraId="65C25F3D" w14:textId="056831B2" w:rsidR="00197D3B" w:rsidRDefault="0002490D">
      <w:pPr>
        <w:spacing w:line="360" w:lineRule="auto"/>
        <w:jc w:val="both"/>
        <w:rPr>
          <w:rFonts w:ascii="Book Antiqua" w:hAnsi="Book Antiqua"/>
        </w:rPr>
      </w:pPr>
      <w:r w:rsidRPr="0002490D">
        <w:rPr>
          <w:rFonts w:ascii="Book Antiqua" w:hAnsi="Book Antiqua"/>
        </w:rPr>
        <w:t xml:space="preserve">CP: </w:t>
      </w:r>
      <w:r>
        <w:rPr>
          <w:rFonts w:ascii="Book Antiqua" w:hAnsi="Book Antiqua"/>
        </w:rPr>
        <w:t>C</w:t>
      </w:r>
      <w:r w:rsidRPr="0002490D">
        <w:rPr>
          <w:rFonts w:ascii="Book Antiqua" w:hAnsi="Book Antiqua"/>
        </w:rPr>
        <w:t xml:space="preserve">arboplatin </w:t>
      </w:r>
      <w:r w:rsidR="006D3EBE">
        <w:rPr>
          <w:rFonts w:ascii="Book Antiqua" w:hAnsi="Book Antiqua"/>
        </w:rPr>
        <w:t>area under the cu</w:t>
      </w:r>
      <w:r w:rsidR="00F313FA">
        <w:rPr>
          <w:rFonts w:ascii="Book Antiqua" w:hAnsi="Book Antiqua"/>
        </w:rPr>
        <w:t>rve (</w:t>
      </w:r>
      <w:r w:rsidRPr="0002490D">
        <w:rPr>
          <w:rFonts w:ascii="Book Antiqua" w:hAnsi="Book Antiqua"/>
        </w:rPr>
        <w:t>AUC</w:t>
      </w:r>
      <w:r w:rsidR="00F313FA">
        <w:rPr>
          <w:rFonts w:ascii="Book Antiqua" w:hAnsi="Book Antiqua"/>
        </w:rPr>
        <w:t>)</w:t>
      </w:r>
      <w:r w:rsidRPr="0002490D">
        <w:rPr>
          <w:rFonts w:ascii="Book Antiqua" w:hAnsi="Book Antiqua"/>
        </w:rPr>
        <w:t xml:space="preserve"> 5/6 mg/m</w:t>
      </w:r>
      <w:r>
        <w:rPr>
          <w:rFonts w:ascii="Book Antiqua" w:hAnsi="Book Antiqua"/>
        </w:rPr>
        <w:t>L</w:t>
      </w:r>
      <w:r w:rsidRPr="0002490D">
        <w:rPr>
          <w:rFonts w:ascii="Book Antiqua" w:hAnsi="Book Antiqua"/>
        </w:rPr>
        <w:t xml:space="preserve"> per min plus paclitaxel 175-185 mg/</w:t>
      </w:r>
      <w:proofErr w:type="spellStart"/>
      <w:r w:rsidRPr="0002490D">
        <w:rPr>
          <w:rFonts w:ascii="Book Antiqua" w:hAnsi="Book Antiqua"/>
        </w:rPr>
        <w:t>mq</w:t>
      </w:r>
      <w:proofErr w:type="spellEnd"/>
      <w:r w:rsidRPr="0002490D">
        <w:rPr>
          <w:rFonts w:ascii="Book Antiqua" w:hAnsi="Book Antiqua"/>
        </w:rPr>
        <w:t xml:space="preserve"> every 3 </w:t>
      </w:r>
      <w:proofErr w:type="spellStart"/>
      <w:r w:rsidRPr="0002490D">
        <w:rPr>
          <w:rFonts w:ascii="Book Antiqua" w:hAnsi="Book Antiqua"/>
        </w:rPr>
        <w:t>w</w:t>
      </w:r>
      <w:r>
        <w:rPr>
          <w:rFonts w:ascii="Book Antiqua" w:hAnsi="Book Antiqua"/>
        </w:rPr>
        <w:t>k</w:t>
      </w:r>
      <w:proofErr w:type="spellEnd"/>
      <w:r w:rsidRPr="0002490D">
        <w:rPr>
          <w:rFonts w:ascii="Book Antiqua" w:hAnsi="Book Antiqua"/>
        </w:rPr>
        <w:t xml:space="preserve">; CP weekly: </w:t>
      </w:r>
      <w:r>
        <w:rPr>
          <w:rFonts w:ascii="Book Antiqua" w:hAnsi="Book Antiqua"/>
        </w:rPr>
        <w:t>C</w:t>
      </w:r>
      <w:r w:rsidRPr="0002490D">
        <w:rPr>
          <w:rFonts w:ascii="Book Antiqua" w:hAnsi="Book Antiqua"/>
        </w:rPr>
        <w:t>arboplatin AUC 2 mg/m</w:t>
      </w:r>
      <w:r>
        <w:rPr>
          <w:rFonts w:ascii="Book Antiqua" w:hAnsi="Book Antiqua"/>
        </w:rPr>
        <w:t>L</w:t>
      </w:r>
      <w:r w:rsidRPr="0002490D">
        <w:rPr>
          <w:rFonts w:ascii="Book Antiqua" w:hAnsi="Book Antiqua"/>
        </w:rPr>
        <w:t xml:space="preserve"> per min plus paclitaxel 60 mg/</w:t>
      </w:r>
      <w:proofErr w:type="spellStart"/>
      <w:r w:rsidRPr="0002490D">
        <w:rPr>
          <w:rFonts w:ascii="Book Antiqua" w:hAnsi="Book Antiqua"/>
        </w:rPr>
        <w:t>mq</w:t>
      </w:r>
      <w:proofErr w:type="spellEnd"/>
      <w:r w:rsidRPr="0002490D">
        <w:rPr>
          <w:rFonts w:ascii="Book Antiqua" w:hAnsi="Book Antiqua"/>
        </w:rPr>
        <w:t xml:space="preserve"> every week; C-P: </w:t>
      </w:r>
      <w:r w:rsidR="003A29FF">
        <w:rPr>
          <w:rFonts w:ascii="Book Antiqua" w:hAnsi="Book Antiqua"/>
        </w:rPr>
        <w:t>C</w:t>
      </w:r>
      <w:r w:rsidRPr="0002490D">
        <w:rPr>
          <w:rFonts w:ascii="Book Antiqua" w:hAnsi="Book Antiqua"/>
        </w:rPr>
        <w:t>arboplatin AUC 6 mg/m</w:t>
      </w:r>
      <w:r w:rsidR="003A29FF">
        <w:rPr>
          <w:rFonts w:ascii="Book Antiqua" w:hAnsi="Book Antiqua"/>
        </w:rPr>
        <w:t>L</w:t>
      </w:r>
      <w:r w:rsidRPr="0002490D">
        <w:rPr>
          <w:rFonts w:ascii="Book Antiqua" w:hAnsi="Book Antiqua"/>
        </w:rPr>
        <w:t xml:space="preserve"> per min every 3 </w:t>
      </w:r>
      <w:proofErr w:type="spellStart"/>
      <w:r w:rsidRPr="0002490D">
        <w:rPr>
          <w:rFonts w:ascii="Book Antiqua" w:hAnsi="Book Antiqua"/>
        </w:rPr>
        <w:t>w</w:t>
      </w:r>
      <w:r>
        <w:rPr>
          <w:rFonts w:ascii="Book Antiqua" w:hAnsi="Book Antiqua"/>
        </w:rPr>
        <w:t>k</w:t>
      </w:r>
      <w:proofErr w:type="spellEnd"/>
      <w:r w:rsidRPr="0002490D">
        <w:rPr>
          <w:rFonts w:ascii="Book Antiqua" w:hAnsi="Book Antiqua"/>
        </w:rPr>
        <w:t xml:space="preserve"> plus paclitaxel 80 mg/</w:t>
      </w:r>
      <w:proofErr w:type="spellStart"/>
      <w:r w:rsidRPr="0002490D">
        <w:rPr>
          <w:rFonts w:ascii="Book Antiqua" w:hAnsi="Book Antiqua"/>
        </w:rPr>
        <w:t>mq</w:t>
      </w:r>
      <w:proofErr w:type="spellEnd"/>
      <w:r w:rsidRPr="0002490D">
        <w:rPr>
          <w:rFonts w:ascii="Book Antiqua" w:hAnsi="Book Antiqua"/>
        </w:rPr>
        <w:t xml:space="preserve"> on days 1,</w:t>
      </w:r>
      <w:r>
        <w:rPr>
          <w:rFonts w:ascii="Book Antiqua" w:hAnsi="Book Antiqua"/>
        </w:rPr>
        <w:t xml:space="preserve"> </w:t>
      </w:r>
      <w:r w:rsidRPr="0002490D">
        <w:rPr>
          <w:rFonts w:ascii="Book Antiqua" w:hAnsi="Book Antiqua"/>
        </w:rPr>
        <w:t>8,</w:t>
      </w:r>
      <w:r>
        <w:rPr>
          <w:rFonts w:ascii="Book Antiqua" w:hAnsi="Book Antiqua"/>
        </w:rPr>
        <w:t xml:space="preserve"> </w:t>
      </w:r>
      <w:r w:rsidRPr="0002490D">
        <w:rPr>
          <w:rFonts w:ascii="Book Antiqua" w:hAnsi="Book Antiqua"/>
        </w:rPr>
        <w:t xml:space="preserve">15, and every 21 d; C-PLD: </w:t>
      </w:r>
      <w:r w:rsidR="003A29FF">
        <w:rPr>
          <w:rFonts w:ascii="Book Antiqua" w:hAnsi="Book Antiqua"/>
        </w:rPr>
        <w:t>C</w:t>
      </w:r>
      <w:r w:rsidRPr="0002490D">
        <w:rPr>
          <w:rFonts w:ascii="Book Antiqua" w:hAnsi="Book Antiqua"/>
        </w:rPr>
        <w:t>arboplatin AUC 5 mg/m</w:t>
      </w:r>
      <w:r w:rsidR="003A29FF">
        <w:rPr>
          <w:rFonts w:ascii="Book Antiqua" w:hAnsi="Book Antiqua"/>
        </w:rPr>
        <w:t>L</w:t>
      </w:r>
      <w:r w:rsidRPr="0002490D">
        <w:rPr>
          <w:rFonts w:ascii="Book Antiqua" w:hAnsi="Book Antiqua"/>
        </w:rPr>
        <w:t xml:space="preserve"> per min</w:t>
      </w:r>
      <w:r w:rsidR="003A29FF">
        <w:rPr>
          <w:rFonts w:ascii="Book Antiqua" w:hAnsi="Book Antiqua"/>
        </w:rPr>
        <w:t>ute</w:t>
      </w:r>
      <w:r w:rsidR="003A29FF" w:rsidRPr="0002490D">
        <w:rPr>
          <w:rFonts w:ascii="Book Antiqua" w:hAnsi="Book Antiqua"/>
        </w:rPr>
        <w:t xml:space="preserve"> </w:t>
      </w:r>
      <w:r w:rsidRPr="0002490D">
        <w:rPr>
          <w:rFonts w:ascii="Book Antiqua" w:hAnsi="Book Antiqua"/>
        </w:rPr>
        <w:t xml:space="preserve">plus pegylated </w:t>
      </w:r>
      <w:proofErr w:type="spellStart"/>
      <w:r w:rsidRPr="0002490D">
        <w:rPr>
          <w:rFonts w:ascii="Book Antiqua" w:hAnsi="Book Antiqua"/>
        </w:rPr>
        <w:t>liposomial</w:t>
      </w:r>
      <w:proofErr w:type="spellEnd"/>
      <w:r w:rsidRPr="0002490D">
        <w:rPr>
          <w:rFonts w:ascii="Book Antiqua" w:hAnsi="Book Antiqua"/>
        </w:rPr>
        <w:t xml:space="preserve"> doxorubicin 30 mg/</w:t>
      </w:r>
      <w:proofErr w:type="spellStart"/>
      <w:r w:rsidRPr="0002490D">
        <w:rPr>
          <w:rFonts w:ascii="Book Antiqua" w:hAnsi="Book Antiqua"/>
        </w:rPr>
        <w:t>mq</w:t>
      </w:r>
      <w:proofErr w:type="spellEnd"/>
      <w:r w:rsidRPr="0002490D">
        <w:rPr>
          <w:rFonts w:ascii="Book Antiqua" w:hAnsi="Book Antiqua"/>
        </w:rPr>
        <w:t xml:space="preserve"> every 3 </w:t>
      </w:r>
      <w:proofErr w:type="spellStart"/>
      <w:r w:rsidRPr="0002490D">
        <w:rPr>
          <w:rFonts w:ascii="Book Antiqua" w:hAnsi="Book Antiqua"/>
        </w:rPr>
        <w:t>w</w:t>
      </w:r>
      <w:r>
        <w:rPr>
          <w:rFonts w:ascii="Book Antiqua" w:hAnsi="Book Antiqua"/>
        </w:rPr>
        <w:t>k</w:t>
      </w:r>
      <w:proofErr w:type="spellEnd"/>
      <w:r w:rsidRPr="0002490D">
        <w:rPr>
          <w:rFonts w:ascii="Book Antiqua" w:hAnsi="Book Antiqua"/>
        </w:rPr>
        <w:t xml:space="preserve">; P-based: </w:t>
      </w:r>
      <w:r w:rsidR="003A29FF">
        <w:rPr>
          <w:rFonts w:ascii="Book Antiqua" w:hAnsi="Book Antiqua"/>
        </w:rPr>
        <w:t>C</w:t>
      </w:r>
      <w:r w:rsidRPr="0002490D">
        <w:rPr>
          <w:rFonts w:ascii="Book Antiqua" w:hAnsi="Book Antiqua"/>
        </w:rPr>
        <w:t>isplatin (50 mg/</w:t>
      </w:r>
      <w:proofErr w:type="spellStart"/>
      <w:r w:rsidRPr="0002490D">
        <w:rPr>
          <w:rFonts w:ascii="Book Antiqua" w:hAnsi="Book Antiqua"/>
        </w:rPr>
        <w:t>mq</w:t>
      </w:r>
      <w:proofErr w:type="spellEnd"/>
      <w:r w:rsidRPr="0002490D">
        <w:rPr>
          <w:rFonts w:ascii="Book Antiqua" w:hAnsi="Book Antiqua"/>
        </w:rPr>
        <w:t xml:space="preserve"> in combination with other drugs or 75 mg/</w:t>
      </w:r>
      <w:proofErr w:type="spellStart"/>
      <w:r w:rsidRPr="0002490D">
        <w:rPr>
          <w:rFonts w:ascii="Book Antiqua" w:hAnsi="Book Antiqua"/>
        </w:rPr>
        <w:t>mq</w:t>
      </w:r>
      <w:proofErr w:type="spellEnd"/>
      <w:r w:rsidRPr="0002490D">
        <w:rPr>
          <w:rFonts w:ascii="Book Antiqua" w:hAnsi="Book Antiqua"/>
        </w:rPr>
        <w:t xml:space="preserve"> as a single agent)/carboplatin AUC 5/6 mg/m</w:t>
      </w:r>
      <w:r w:rsidR="007717F3" w:rsidRPr="0002490D">
        <w:rPr>
          <w:rFonts w:ascii="Book Antiqua" w:hAnsi="Book Antiqua"/>
        </w:rPr>
        <w:t>L</w:t>
      </w:r>
      <w:r w:rsidRPr="0002490D">
        <w:rPr>
          <w:rFonts w:ascii="Book Antiqua" w:hAnsi="Book Antiqua"/>
        </w:rPr>
        <w:t xml:space="preserve"> every 3 </w:t>
      </w:r>
      <w:proofErr w:type="spellStart"/>
      <w:r w:rsidRPr="0002490D">
        <w:rPr>
          <w:rFonts w:ascii="Book Antiqua" w:hAnsi="Book Antiqua"/>
        </w:rPr>
        <w:t>w</w:t>
      </w:r>
      <w:r>
        <w:rPr>
          <w:rFonts w:ascii="Book Antiqua" w:hAnsi="Book Antiqua"/>
        </w:rPr>
        <w:t>k</w:t>
      </w:r>
      <w:proofErr w:type="spellEnd"/>
      <w:r w:rsidRPr="0002490D">
        <w:rPr>
          <w:rFonts w:ascii="Book Antiqua" w:hAnsi="Book Antiqua"/>
        </w:rPr>
        <w:t xml:space="preserve">; PP: </w:t>
      </w:r>
      <w:r w:rsidR="003A29FF">
        <w:rPr>
          <w:rFonts w:ascii="Book Antiqua" w:hAnsi="Book Antiqua"/>
        </w:rPr>
        <w:t>C</w:t>
      </w:r>
      <w:r w:rsidRPr="0002490D">
        <w:rPr>
          <w:rFonts w:ascii="Book Antiqua" w:hAnsi="Book Antiqua"/>
        </w:rPr>
        <w:t>isplatin 75 mg/</w:t>
      </w:r>
      <w:proofErr w:type="spellStart"/>
      <w:r w:rsidRPr="0002490D">
        <w:rPr>
          <w:rFonts w:ascii="Book Antiqua" w:hAnsi="Book Antiqua"/>
        </w:rPr>
        <w:t>mq</w:t>
      </w:r>
      <w:proofErr w:type="spellEnd"/>
      <w:r w:rsidRPr="0002490D">
        <w:rPr>
          <w:rFonts w:ascii="Book Antiqua" w:hAnsi="Book Antiqua"/>
        </w:rPr>
        <w:t xml:space="preserve"> plus paclitaxel 175 mg/</w:t>
      </w:r>
      <w:proofErr w:type="spellStart"/>
      <w:r w:rsidRPr="0002490D">
        <w:rPr>
          <w:rFonts w:ascii="Book Antiqua" w:hAnsi="Book Antiqua"/>
        </w:rPr>
        <w:t>mq</w:t>
      </w:r>
      <w:proofErr w:type="spellEnd"/>
      <w:r w:rsidRPr="0002490D">
        <w:rPr>
          <w:rFonts w:ascii="Book Antiqua" w:hAnsi="Book Antiqua"/>
        </w:rPr>
        <w:t xml:space="preserve"> every 3 w</w:t>
      </w:r>
      <w:r>
        <w:rPr>
          <w:rFonts w:ascii="Book Antiqua" w:hAnsi="Book Antiqua"/>
        </w:rPr>
        <w:t>k</w:t>
      </w:r>
      <w:r w:rsidR="003A29FF">
        <w:rPr>
          <w:rFonts w:ascii="Book Antiqua" w:hAnsi="Book Antiqua"/>
        </w:rPr>
        <w:t>.</w:t>
      </w:r>
    </w:p>
    <w:p w14:paraId="69C3BF50" w14:textId="334DD085" w:rsidR="0002490D" w:rsidRDefault="00197D3B">
      <w:pPr>
        <w:spacing w:line="360" w:lineRule="auto"/>
        <w:jc w:val="both"/>
        <w:rPr>
          <w:rFonts w:ascii="Book Antiqua" w:hAnsi="Book Antiqua"/>
          <w:b/>
          <w:bCs/>
        </w:rPr>
      </w:pPr>
      <w:r>
        <w:rPr>
          <w:rFonts w:ascii="Book Antiqua" w:hAnsi="Book Antiqua"/>
        </w:rPr>
        <w:br w:type="page"/>
      </w:r>
      <w:r w:rsidRPr="00197D3B">
        <w:rPr>
          <w:rFonts w:ascii="Book Antiqua" w:hAnsi="Book Antiqua"/>
          <w:b/>
          <w:bCs/>
        </w:rPr>
        <w:lastRenderedPageBreak/>
        <w:t>Table 2 Patient characteristics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9"/>
        <w:gridCol w:w="3669"/>
      </w:tblGrid>
      <w:tr w:rsidR="00197D3B" w:rsidRPr="00197D3B" w14:paraId="11FB03D6" w14:textId="77777777" w:rsidTr="00197D3B">
        <w:tc>
          <w:tcPr>
            <w:tcW w:w="3669" w:type="dxa"/>
            <w:tcBorders>
              <w:top w:val="single" w:sz="4" w:space="0" w:color="auto"/>
              <w:bottom w:val="single" w:sz="4" w:space="0" w:color="auto"/>
            </w:tcBorders>
          </w:tcPr>
          <w:p w14:paraId="682AE998" w14:textId="77777777" w:rsidR="00197D3B" w:rsidRPr="00197D3B" w:rsidRDefault="00197D3B" w:rsidP="00197D3B">
            <w:pPr>
              <w:spacing w:line="360" w:lineRule="auto"/>
              <w:jc w:val="both"/>
              <w:rPr>
                <w:rFonts w:ascii="Book Antiqua" w:hAnsi="Book Antiqua" w:cs="Times New Roman"/>
                <w:b/>
              </w:rPr>
            </w:pPr>
            <w:r w:rsidRPr="00197D3B">
              <w:rPr>
                <w:rFonts w:ascii="Book Antiqua" w:hAnsi="Book Antiqua" w:cs="Times New Roman"/>
                <w:b/>
              </w:rPr>
              <w:t>Characteristics</w:t>
            </w:r>
          </w:p>
        </w:tc>
        <w:tc>
          <w:tcPr>
            <w:tcW w:w="3669" w:type="dxa"/>
            <w:tcBorders>
              <w:top w:val="single" w:sz="4" w:space="0" w:color="auto"/>
              <w:bottom w:val="single" w:sz="4" w:space="0" w:color="auto"/>
            </w:tcBorders>
          </w:tcPr>
          <w:p w14:paraId="515055DE" w14:textId="0B0E98F4" w:rsidR="00197D3B" w:rsidRPr="00197D3B" w:rsidRDefault="007717F3" w:rsidP="00197D3B">
            <w:pPr>
              <w:spacing w:line="360" w:lineRule="auto"/>
              <w:jc w:val="both"/>
              <w:rPr>
                <w:rFonts w:ascii="Book Antiqua" w:hAnsi="Book Antiqua" w:cs="Times New Roman"/>
                <w:b/>
                <w:lang w:val="en-US"/>
              </w:rPr>
            </w:pPr>
            <w:r w:rsidRPr="007717F3">
              <w:rPr>
                <w:rFonts w:ascii="Book Antiqua" w:hAnsi="Book Antiqua" w:cs="Times New Roman"/>
                <w:b/>
                <w:i/>
                <w:iCs/>
                <w:lang w:val="en-US"/>
              </w:rPr>
              <w:t>n</w:t>
            </w:r>
            <w:r w:rsidR="00197D3B" w:rsidRPr="00197D3B">
              <w:rPr>
                <w:rFonts w:ascii="Book Antiqua" w:hAnsi="Book Antiqua" w:cs="Times New Roman"/>
                <w:b/>
                <w:lang w:val="en-US"/>
              </w:rPr>
              <w:t xml:space="preserve"> (%)</w:t>
            </w:r>
          </w:p>
        </w:tc>
      </w:tr>
      <w:tr w:rsidR="00197D3B" w:rsidRPr="00197D3B" w14:paraId="76FF0CCD" w14:textId="77777777" w:rsidTr="00197D3B">
        <w:tc>
          <w:tcPr>
            <w:tcW w:w="3669" w:type="dxa"/>
            <w:tcBorders>
              <w:top w:val="single" w:sz="4" w:space="0" w:color="auto"/>
            </w:tcBorders>
          </w:tcPr>
          <w:p w14:paraId="65CEE894" w14:textId="77777777" w:rsidR="00197D3B" w:rsidRPr="00197D3B" w:rsidRDefault="00197D3B" w:rsidP="00197D3B">
            <w:pPr>
              <w:spacing w:line="360" w:lineRule="auto"/>
              <w:jc w:val="both"/>
              <w:rPr>
                <w:rFonts w:ascii="Book Antiqua" w:hAnsi="Book Antiqua" w:cs="Times New Roman"/>
                <w:lang w:val="en-US"/>
              </w:rPr>
            </w:pPr>
            <w:r w:rsidRPr="00197D3B">
              <w:rPr>
                <w:rFonts w:ascii="Book Antiqua" w:hAnsi="Book Antiqua" w:cs="Times New Roman"/>
                <w:lang w:val="en-US"/>
              </w:rPr>
              <w:t>Age, mean (range)</w:t>
            </w:r>
          </w:p>
        </w:tc>
        <w:tc>
          <w:tcPr>
            <w:tcW w:w="3669" w:type="dxa"/>
            <w:tcBorders>
              <w:top w:val="single" w:sz="4" w:space="0" w:color="auto"/>
            </w:tcBorders>
          </w:tcPr>
          <w:p w14:paraId="4DBD6CAD" w14:textId="1DF5F7E7" w:rsidR="00197D3B" w:rsidRPr="00197D3B" w:rsidRDefault="00197D3B" w:rsidP="00197D3B">
            <w:pPr>
              <w:spacing w:line="360" w:lineRule="auto"/>
              <w:jc w:val="both"/>
              <w:rPr>
                <w:rFonts w:ascii="Book Antiqua" w:hAnsi="Book Antiqua" w:cs="Times New Roman"/>
                <w:lang w:val="en-US"/>
              </w:rPr>
            </w:pPr>
            <w:r w:rsidRPr="00197D3B">
              <w:rPr>
                <w:rFonts w:ascii="Book Antiqua" w:hAnsi="Book Antiqua" w:cs="Times New Roman"/>
                <w:lang w:val="en-US"/>
              </w:rPr>
              <w:t>61 (35</w:t>
            </w:r>
            <w:r>
              <w:rPr>
                <w:rFonts w:ascii="Book Antiqua" w:hAnsi="Book Antiqua" w:cs="Times New Roman"/>
                <w:lang w:val="en-US"/>
              </w:rPr>
              <w:t>-</w:t>
            </w:r>
            <w:r w:rsidRPr="00197D3B">
              <w:rPr>
                <w:rFonts w:ascii="Book Antiqua" w:hAnsi="Book Antiqua" w:cs="Times New Roman"/>
                <w:lang w:val="en-US"/>
              </w:rPr>
              <w:t>74)</w:t>
            </w:r>
          </w:p>
        </w:tc>
      </w:tr>
      <w:tr w:rsidR="00197D3B" w:rsidRPr="00197D3B" w14:paraId="1792F449" w14:textId="77777777" w:rsidTr="00197D3B">
        <w:tc>
          <w:tcPr>
            <w:tcW w:w="3669" w:type="dxa"/>
          </w:tcPr>
          <w:p w14:paraId="319AFA27" w14:textId="288FCE94" w:rsidR="00197D3B" w:rsidRPr="00197D3B" w:rsidRDefault="00197D3B" w:rsidP="00197D3B">
            <w:pPr>
              <w:spacing w:line="360" w:lineRule="auto"/>
              <w:jc w:val="both"/>
              <w:rPr>
                <w:rFonts w:ascii="Book Antiqua" w:hAnsi="Book Antiqua" w:cs="Times New Roman"/>
                <w:lang w:val="en-US"/>
              </w:rPr>
            </w:pPr>
            <w:proofErr w:type="spellStart"/>
            <w:r w:rsidRPr="00197D3B">
              <w:rPr>
                <w:rFonts w:ascii="Book Antiqua" w:hAnsi="Book Antiqua" w:cs="Times New Roman"/>
                <w:lang w:val="en-US"/>
              </w:rPr>
              <w:t>Gyneacologic</w:t>
            </w:r>
            <w:proofErr w:type="spellEnd"/>
            <w:r w:rsidRPr="00197D3B">
              <w:rPr>
                <w:rFonts w:ascii="Book Antiqua" w:hAnsi="Book Antiqua" w:cs="Times New Roman"/>
                <w:lang w:val="en-US"/>
              </w:rPr>
              <w:t xml:space="preserve"> </w:t>
            </w:r>
            <w:r w:rsidR="007717F3">
              <w:rPr>
                <w:rFonts w:ascii="Book Antiqua" w:hAnsi="Book Antiqua" w:cs="Times New Roman"/>
                <w:lang w:val="en-US"/>
              </w:rPr>
              <w:t>c</w:t>
            </w:r>
            <w:r w:rsidRPr="00197D3B">
              <w:rPr>
                <w:rFonts w:ascii="Book Antiqua" w:hAnsi="Book Antiqua" w:cs="Times New Roman"/>
                <w:lang w:val="en-US"/>
              </w:rPr>
              <w:t>ancer</w:t>
            </w:r>
          </w:p>
        </w:tc>
        <w:tc>
          <w:tcPr>
            <w:tcW w:w="3669" w:type="dxa"/>
          </w:tcPr>
          <w:p w14:paraId="217B7061" w14:textId="77777777" w:rsidR="00197D3B" w:rsidRPr="00197D3B" w:rsidRDefault="00197D3B" w:rsidP="00197D3B">
            <w:pPr>
              <w:spacing w:line="360" w:lineRule="auto"/>
              <w:jc w:val="both"/>
              <w:rPr>
                <w:rFonts w:ascii="Book Antiqua" w:hAnsi="Book Antiqua" w:cs="Times New Roman"/>
                <w:lang w:val="en-US"/>
              </w:rPr>
            </w:pPr>
            <w:r w:rsidRPr="00197D3B">
              <w:rPr>
                <w:rFonts w:ascii="Book Antiqua" w:hAnsi="Book Antiqua" w:cs="Times New Roman"/>
                <w:lang w:val="en-US"/>
              </w:rPr>
              <w:t>44</w:t>
            </w:r>
          </w:p>
        </w:tc>
      </w:tr>
      <w:tr w:rsidR="00197D3B" w:rsidRPr="00197D3B" w14:paraId="0FC1BEF0" w14:textId="77777777" w:rsidTr="00197D3B">
        <w:tc>
          <w:tcPr>
            <w:tcW w:w="3669" w:type="dxa"/>
          </w:tcPr>
          <w:p w14:paraId="5E7ECEC2" w14:textId="277FA9EF" w:rsidR="00197D3B" w:rsidRPr="00197D3B" w:rsidRDefault="00197D3B" w:rsidP="00197D3B">
            <w:pPr>
              <w:spacing w:line="360" w:lineRule="auto"/>
              <w:jc w:val="both"/>
              <w:rPr>
                <w:rFonts w:ascii="Book Antiqua" w:hAnsi="Book Antiqua" w:cs="Times New Roman"/>
                <w:lang w:val="en-US"/>
              </w:rPr>
            </w:pPr>
            <w:r w:rsidRPr="00197D3B">
              <w:rPr>
                <w:rFonts w:ascii="Book Antiqua" w:hAnsi="Book Antiqua" w:cs="Times New Roman"/>
                <w:lang w:val="en-US"/>
              </w:rPr>
              <w:t>Risk factors</w:t>
            </w:r>
          </w:p>
        </w:tc>
        <w:tc>
          <w:tcPr>
            <w:tcW w:w="3669" w:type="dxa"/>
          </w:tcPr>
          <w:p w14:paraId="3C43CAA4" w14:textId="67A6FF1A" w:rsidR="00197D3B" w:rsidRPr="00197D3B" w:rsidRDefault="00197D3B" w:rsidP="00197D3B">
            <w:pPr>
              <w:spacing w:line="360" w:lineRule="auto"/>
              <w:jc w:val="both"/>
              <w:rPr>
                <w:rFonts w:ascii="Book Antiqua" w:hAnsi="Book Antiqua" w:cs="Times New Roman"/>
                <w:lang w:val="en-US"/>
              </w:rPr>
            </w:pPr>
          </w:p>
        </w:tc>
      </w:tr>
      <w:tr w:rsidR="00197D3B" w:rsidRPr="00197D3B" w14:paraId="51789D77" w14:textId="77777777" w:rsidTr="00197D3B">
        <w:tc>
          <w:tcPr>
            <w:tcW w:w="3669" w:type="dxa"/>
          </w:tcPr>
          <w:p w14:paraId="5A653E85" w14:textId="0C957B04" w:rsidR="00197D3B" w:rsidRPr="00197D3B" w:rsidRDefault="00197D3B" w:rsidP="00197D3B">
            <w:pPr>
              <w:spacing w:line="360" w:lineRule="auto"/>
              <w:ind w:firstLineChars="100" w:firstLine="240"/>
              <w:jc w:val="both"/>
              <w:rPr>
                <w:rFonts w:ascii="Book Antiqua" w:hAnsi="Book Antiqua" w:cs="Times New Roman"/>
                <w:lang w:val="en-US"/>
              </w:rPr>
            </w:pPr>
            <w:r w:rsidRPr="00197D3B">
              <w:rPr>
                <w:rFonts w:ascii="Book Antiqua" w:hAnsi="Book Antiqua" w:cs="Times New Roman"/>
                <w:lang w:val="en-US"/>
              </w:rPr>
              <w:t>None</w:t>
            </w:r>
          </w:p>
        </w:tc>
        <w:tc>
          <w:tcPr>
            <w:tcW w:w="3669" w:type="dxa"/>
          </w:tcPr>
          <w:p w14:paraId="791C65C1" w14:textId="5D9CF183" w:rsidR="00197D3B" w:rsidRPr="00197D3B" w:rsidRDefault="00197D3B" w:rsidP="00197D3B">
            <w:pPr>
              <w:spacing w:line="360" w:lineRule="auto"/>
              <w:jc w:val="both"/>
              <w:rPr>
                <w:rFonts w:ascii="Book Antiqua" w:hAnsi="Book Antiqua" w:cs="Times New Roman"/>
                <w:lang w:val="en-US"/>
              </w:rPr>
            </w:pPr>
            <w:r w:rsidRPr="00197D3B">
              <w:rPr>
                <w:rFonts w:ascii="Book Antiqua" w:hAnsi="Book Antiqua" w:cs="Times New Roman"/>
                <w:lang w:val="en-US"/>
              </w:rPr>
              <w:t>38 (86.3)</w:t>
            </w:r>
          </w:p>
        </w:tc>
      </w:tr>
      <w:tr w:rsidR="00197D3B" w:rsidRPr="00197D3B" w14:paraId="4B405190" w14:textId="77777777" w:rsidTr="00197D3B">
        <w:tc>
          <w:tcPr>
            <w:tcW w:w="3669" w:type="dxa"/>
          </w:tcPr>
          <w:p w14:paraId="54E8F24E" w14:textId="786B91F0" w:rsidR="00197D3B" w:rsidRPr="00197D3B" w:rsidRDefault="00197D3B" w:rsidP="00197D3B">
            <w:pPr>
              <w:spacing w:line="360" w:lineRule="auto"/>
              <w:ind w:firstLineChars="100" w:firstLine="240"/>
              <w:jc w:val="both"/>
              <w:rPr>
                <w:rFonts w:ascii="Book Antiqua" w:hAnsi="Book Antiqua" w:cs="Times New Roman"/>
                <w:lang w:val="en-US"/>
              </w:rPr>
            </w:pPr>
            <w:r w:rsidRPr="00197D3B">
              <w:rPr>
                <w:rFonts w:ascii="Book Antiqua" w:hAnsi="Book Antiqua" w:cs="Times New Roman"/>
                <w:lang w:val="en-US"/>
              </w:rPr>
              <w:t>Diabetes</w:t>
            </w:r>
          </w:p>
        </w:tc>
        <w:tc>
          <w:tcPr>
            <w:tcW w:w="3669" w:type="dxa"/>
          </w:tcPr>
          <w:p w14:paraId="07A4759A" w14:textId="68EA1D1B" w:rsidR="00197D3B" w:rsidRPr="00197D3B" w:rsidRDefault="00197D3B" w:rsidP="00197D3B">
            <w:pPr>
              <w:spacing w:line="360" w:lineRule="auto"/>
              <w:jc w:val="both"/>
              <w:rPr>
                <w:rFonts w:ascii="Book Antiqua" w:hAnsi="Book Antiqua" w:cs="Times New Roman"/>
                <w:lang w:val="en-US"/>
              </w:rPr>
            </w:pPr>
            <w:r w:rsidRPr="00197D3B">
              <w:rPr>
                <w:rFonts w:ascii="Book Antiqua" w:hAnsi="Book Antiqua" w:cs="Times New Roman"/>
                <w:lang w:val="en-US"/>
              </w:rPr>
              <w:t>3 (6.8)</w:t>
            </w:r>
          </w:p>
        </w:tc>
      </w:tr>
      <w:tr w:rsidR="00197D3B" w:rsidRPr="00197D3B" w14:paraId="1B73B535" w14:textId="77777777" w:rsidTr="00197D3B">
        <w:tc>
          <w:tcPr>
            <w:tcW w:w="3669" w:type="dxa"/>
          </w:tcPr>
          <w:p w14:paraId="5F35223F" w14:textId="51CA8B10" w:rsidR="00197D3B" w:rsidRPr="00197D3B" w:rsidRDefault="00197D3B" w:rsidP="00197D3B">
            <w:pPr>
              <w:spacing w:line="360" w:lineRule="auto"/>
              <w:ind w:firstLineChars="100" w:firstLine="240"/>
              <w:jc w:val="both"/>
              <w:rPr>
                <w:rFonts w:ascii="Book Antiqua" w:hAnsi="Book Antiqua" w:cs="Times New Roman"/>
                <w:lang w:val="en-US"/>
              </w:rPr>
            </w:pPr>
            <w:r w:rsidRPr="00197D3B">
              <w:rPr>
                <w:rFonts w:ascii="Book Antiqua" w:hAnsi="Book Antiqua" w:cs="Times New Roman"/>
                <w:lang w:val="en-US"/>
              </w:rPr>
              <w:t xml:space="preserve">Arthrosis </w:t>
            </w:r>
            <w:r>
              <w:rPr>
                <w:rFonts w:ascii="Book Antiqua" w:hAnsi="Book Antiqua" w:cs="Times New Roman"/>
                <w:lang w:val="en-US"/>
              </w:rPr>
              <w:t>and</w:t>
            </w:r>
            <w:r w:rsidRPr="00197D3B">
              <w:rPr>
                <w:rFonts w:ascii="Book Antiqua" w:hAnsi="Book Antiqua" w:cs="Times New Roman"/>
                <w:lang w:val="en-US"/>
              </w:rPr>
              <w:t xml:space="preserve"> </w:t>
            </w:r>
            <w:r>
              <w:rPr>
                <w:rFonts w:ascii="Book Antiqua" w:hAnsi="Book Antiqua" w:cs="Times New Roman"/>
                <w:lang w:val="en-US"/>
              </w:rPr>
              <w:t>d</w:t>
            </w:r>
            <w:r w:rsidRPr="00197D3B">
              <w:rPr>
                <w:rFonts w:ascii="Book Antiqua" w:hAnsi="Book Antiqua" w:cs="Times New Roman"/>
                <w:lang w:val="en-US"/>
              </w:rPr>
              <w:t>iabetes</w:t>
            </w:r>
          </w:p>
        </w:tc>
        <w:tc>
          <w:tcPr>
            <w:tcW w:w="3669" w:type="dxa"/>
          </w:tcPr>
          <w:p w14:paraId="146FAE05" w14:textId="6245CDC9" w:rsidR="00197D3B" w:rsidRPr="00197D3B" w:rsidRDefault="00197D3B" w:rsidP="00197D3B">
            <w:pPr>
              <w:spacing w:line="360" w:lineRule="auto"/>
              <w:jc w:val="both"/>
              <w:rPr>
                <w:rFonts w:ascii="Book Antiqua" w:hAnsi="Book Antiqua" w:cs="Times New Roman"/>
                <w:lang w:val="en-US"/>
              </w:rPr>
            </w:pPr>
            <w:r w:rsidRPr="00197D3B">
              <w:rPr>
                <w:rFonts w:ascii="Book Antiqua" w:hAnsi="Book Antiqua" w:cs="Times New Roman"/>
                <w:lang w:val="en-US"/>
              </w:rPr>
              <w:t>1 (2.3)</w:t>
            </w:r>
          </w:p>
        </w:tc>
      </w:tr>
      <w:tr w:rsidR="00197D3B" w:rsidRPr="00197D3B" w14:paraId="7ADD291E" w14:textId="77777777" w:rsidTr="00197D3B">
        <w:tc>
          <w:tcPr>
            <w:tcW w:w="3669" w:type="dxa"/>
            <w:tcBorders>
              <w:bottom w:val="single" w:sz="4" w:space="0" w:color="auto"/>
            </w:tcBorders>
          </w:tcPr>
          <w:p w14:paraId="4EBAC52A" w14:textId="6B9484E2" w:rsidR="00197D3B" w:rsidRPr="00197D3B" w:rsidRDefault="00197D3B" w:rsidP="00197D3B">
            <w:pPr>
              <w:spacing w:line="360" w:lineRule="auto"/>
              <w:ind w:firstLineChars="100" w:firstLine="240"/>
              <w:jc w:val="both"/>
              <w:rPr>
                <w:rFonts w:ascii="Book Antiqua" w:hAnsi="Book Antiqua"/>
              </w:rPr>
            </w:pPr>
            <w:proofErr w:type="spellStart"/>
            <w:r w:rsidRPr="00197D3B">
              <w:rPr>
                <w:rFonts w:ascii="Book Antiqua" w:hAnsi="Book Antiqua" w:cs="Times New Roman"/>
                <w:lang w:val="en-US"/>
              </w:rPr>
              <w:t>Hyphotyroidsm</w:t>
            </w:r>
            <w:proofErr w:type="spellEnd"/>
          </w:p>
        </w:tc>
        <w:tc>
          <w:tcPr>
            <w:tcW w:w="3669" w:type="dxa"/>
            <w:tcBorders>
              <w:bottom w:val="single" w:sz="4" w:space="0" w:color="auto"/>
            </w:tcBorders>
          </w:tcPr>
          <w:p w14:paraId="6E2ACBE6" w14:textId="2B86179C" w:rsidR="00197D3B" w:rsidRPr="00197D3B" w:rsidRDefault="00197D3B" w:rsidP="00197D3B">
            <w:pPr>
              <w:spacing w:line="360" w:lineRule="auto"/>
              <w:jc w:val="both"/>
              <w:rPr>
                <w:rFonts w:ascii="Book Antiqua" w:hAnsi="Book Antiqua"/>
              </w:rPr>
            </w:pPr>
            <w:r w:rsidRPr="00197D3B">
              <w:rPr>
                <w:rFonts w:ascii="Book Antiqua" w:hAnsi="Book Antiqua" w:cs="Times New Roman"/>
                <w:lang w:val="en-US"/>
              </w:rPr>
              <w:t>2 (4.6)</w:t>
            </w:r>
          </w:p>
        </w:tc>
      </w:tr>
    </w:tbl>
    <w:p w14:paraId="4B453E28" w14:textId="3D4C6EF8" w:rsidR="0089790C" w:rsidRDefault="0089790C">
      <w:pPr>
        <w:spacing w:line="360" w:lineRule="auto"/>
        <w:jc w:val="both"/>
        <w:rPr>
          <w:rFonts w:ascii="Book Antiqua" w:hAnsi="Book Antiqua"/>
          <w:b/>
          <w:bCs/>
        </w:rPr>
      </w:pPr>
    </w:p>
    <w:p w14:paraId="631F27F3" w14:textId="4CC73C72" w:rsidR="00197D3B" w:rsidRDefault="0089790C">
      <w:pPr>
        <w:spacing w:line="360" w:lineRule="auto"/>
        <w:jc w:val="both"/>
        <w:rPr>
          <w:rFonts w:ascii="Book Antiqua" w:hAnsi="Book Antiqua"/>
          <w:b/>
          <w:bCs/>
        </w:rPr>
      </w:pPr>
      <w:r>
        <w:rPr>
          <w:rFonts w:ascii="Book Antiqua" w:hAnsi="Book Antiqua"/>
          <w:b/>
          <w:bCs/>
        </w:rPr>
        <w:br w:type="page"/>
      </w:r>
      <w:r w:rsidRPr="0089790C">
        <w:rPr>
          <w:rFonts w:ascii="Book Antiqua" w:hAnsi="Book Antiqua"/>
          <w:b/>
          <w:bCs/>
        </w:rPr>
        <w:lastRenderedPageBreak/>
        <w:t>Tab</w:t>
      </w:r>
      <w:r>
        <w:rPr>
          <w:rFonts w:ascii="Book Antiqua" w:hAnsi="Book Antiqua"/>
          <w:b/>
          <w:bCs/>
        </w:rPr>
        <w:t>le</w:t>
      </w:r>
      <w:r w:rsidRPr="0089790C">
        <w:rPr>
          <w:rFonts w:ascii="Book Antiqua" w:hAnsi="Book Antiqua"/>
          <w:b/>
          <w:bCs/>
        </w:rPr>
        <w:t xml:space="preserve"> 3 Chemotherapy-induced peripheral neuropathy</w:t>
      </w:r>
      <w:r>
        <w:rPr>
          <w:rFonts w:ascii="Book Antiqua" w:hAnsi="Book Antiqua"/>
          <w:b/>
          <w:bCs/>
        </w:rPr>
        <w:t xml:space="preserve"> </w:t>
      </w:r>
      <w:r w:rsidRPr="0089790C">
        <w:rPr>
          <w:rFonts w:ascii="Book Antiqua" w:hAnsi="Book Antiqua"/>
          <w:b/>
          <w:bCs/>
        </w:rPr>
        <w:t xml:space="preserve">per cycle, according to Common Terminology Criteria for Adverse Events </w:t>
      </w:r>
      <w:r w:rsidR="007717F3">
        <w:rPr>
          <w:rFonts w:ascii="Book Antiqua" w:hAnsi="Book Antiqua"/>
          <w:b/>
          <w:bCs/>
        </w:rPr>
        <w:t>(</w:t>
      </w:r>
      <w:r w:rsidRPr="0089790C">
        <w:rPr>
          <w:rFonts w:ascii="Book Antiqua" w:hAnsi="Book Antiqua"/>
          <w:b/>
          <w:bCs/>
        </w:rPr>
        <w:t>v</w:t>
      </w:r>
      <w:r w:rsidR="007717F3">
        <w:rPr>
          <w:rFonts w:ascii="Book Antiqua" w:hAnsi="Book Antiqua"/>
          <w:b/>
          <w:bCs/>
        </w:rPr>
        <w:t>ersion</w:t>
      </w:r>
      <w:r w:rsidRPr="0089790C">
        <w:rPr>
          <w:rFonts w:ascii="Book Antiqua" w:hAnsi="Book Antiqua"/>
          <w:b/>
          <w:bCs/>
        </w:rPr>
        <w:t xml:space="preserve"> 4.0</w:t>
      </w:r>
      <w:r w:rsidR="007717F3">
        <w:rPr>
          <w:rFonts w:ascii="Book Antiqua" w:hAnsi="Book Antiqua"/>
          <w:b/>
          <w:bCs/>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417"/>
        <w:gridCol w:w="1775"/>
        <w:gridCol w:w="1775"/>
        <w:gridCol w:w="1775"/>
      </w:tblGrid>
      <w:tr w:rsidR="0089790C" w:rsidRPr="0089790C" w14:paraId="7E5F11D8" w14:textId="77777777" w:rsidTr="0089790C">
        <w:trPr>
          <w:trHeight w:val="345"/>
        </w:trPr>
        <w:tc>
          <w:tcPr>
            <w:tcW w:w="2802" w:type="dxa"/>
            <w:vMerge w:val="restart"/>
            <w:tcBorders>
              <w:top w:val="single" w:sz="4" w:space="0" w:color="auto"/>
              <w:bottom w:val="single" w:sz="4" w:space="0" w:color="auto"/>
            </w:tcBorders>
          </w:tcPr>
          <w:p w14:paraId="155A8D2C" w14:textId="15A72526"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b/>
                <w:lang w:val="en-US"/>
              </w:rPr>
              <w:t>Chemotherapy</w:t>
            </w:r>
          </w:p>
        </w:tc>
        <w:tc>
          <w:tcPr>
            <w:tcW w:w="1417" w:type="dxa"/>
            <w:vMerge w:val="restart"/>
            <w:tcBorders>
              <w:top w:val="single" w:sz="4" w:space="0" w:color="auto"/>
              <w:bottom w:val="single" w:sz="4" w:space="0" w:color="auto"/>
            </w:tcBorders>
          </w:tcPr>
          <w:p w14:paraId="4DE69B8A" w14:textId="77777777" w:rsidR="0089790C" w:rsidRPr="0089790C" w:rsidRDefault="0089790C" w:rsidP="0089790C">
            <w:pPr>
              <w:spacing w:line="360" w:lineRule="auto"/>
              <w:jc w:val="both"/>
              <w:rPr>
                <w:rFonts w:ascii="Book Antiqua" w:hAnsi="Book Antiqua" w:cs="Times New Roman"/>
                <w:b/>
                <w:lang w:val="en-US"/>
              </w:rPr>
            </w:pPr>
            <w:r w:rsidRPr="0089790C">
              <w:rPr>
                <w:rFonts w:ascii="Book Antiqua" w:hAnsi="Book Antiqua" w:cs="Times New Roman"/>
                <w:b/>
                <w:lang w:val="en-US"/>
              </w:rPr>
              <w:t>Number of patients</w:t>
            </w:r>
          </w:p>
        </w:tc>
        <w:tc>
          <w:tcPr>
            <w:tcW w:w="5325" w:type="dxa"/>
            <w:gridSpan w:val="3"/>
            <w:tcBorders>
              <w:top w:val="single" w:sz="4" w:space="0" w:color="auto"/>
              <w:bottom w:val="single" w:sz="4" w:space="0" w:color="auto"/>
            </w:tcBorders>
          </w:tcPr>
          <w:p w14:paraId="22E9CCB5" w14:textId="1266B783" w:rsidR="0089790C" w:rsidRPr="0089790C" w:rsidRDefault="0089790C" w:rsidP="0089790C">
            <w:pPr>
              <w:spacing w:line="360" w:lineRule="auto"/>
              <w:jc w:val="both"/>
              <w:rPr>
                <w:rFonts w:ascii="Book Antiqua" w:hAnsi="Book Antiqua" w:cs="Times New Roman"/>
                <w:b/>
                <w:lang w:val="en-US"/>
              </w:rPr>
            </w:pPr>
            <w:r w:rsidRPr="0089790C">
              <w:rPr>
                <w:rFonts w:ascii="Book Antiqua" w:hAnsi="Book Antiqua" w:cs="Times New Roman"/>
                <w:b/>
                <w:lang w:val="en-US"/>
              </w:rPr>
              <w:t>Reported CIPN</w:t>
            </w:r>
            <w:r w:rsidR="007717F3">
              <w:rPr>
                <w:rFonts w:ascii="Book Antiqua" w:hAnsi="Book Antiqua" w:cs="Times New Roman"/>
                <w:b/>
                <w:lang w:val="en-US"/>
              </w:rPr>
              <w:t>,</w:t>
            </w:r>
            <w:r w:rsidRPr="0089790C">
              <w:rPr>
                <w:rFonts w:ascii="Book Antiqua" w:hAnsi="Book Antiqua" w:cs="Times New Roman"/>
                <w:b/>
                <w:lang w:val="en-US"/>
              </w:rPr>
              <w:t xml:space="preserve"> </w:t>
            </w:r>
            <w:r w:rsidRPr="0089790C">
              <w:rPr>
                <w:rFonts w:ascii="Book Antiqua" w:hAnsi="Book Antiqua" w:cs="Times New Roman"/>
                <w:b/>
                <w:i/>
                <w:iCs/>
                <w:lang w:val="en-US"/>
              </w:rPr>
              <w:t>n</w:t>
            </w:r>
            <w:r w:rsidRPr="0089790C">
              <w:rPr>
                <w:rFonts w:ascii="Book Antiqua" w:hAnsi="Book Antiqua" w:cs="Times New Roman"/>
                <w:b/>
                <w:lang w:val="en-US"/>
              </w:rPr>
              <w:t xml:space="preserve"> (%)</w:t>
            </w:r>
          </w:p>
        </w:tc>
      </w:tr>
      <w:tr w:rsidR="0089790C" w:rsidRPr="0089790C" w14:paraId="12921C5F" w14:textId="77777777" w:rsidTr="0089790C">
        <w:trPr>
          <w:trHeight w:val="345"/>
        </w:trPr>
        <w:tc>
          <w:tcPr>
            <w:tcW w:w="2802" w:type="dxa"/>
            <w:vMerge/>
            <w:tcBorders>
              <w:top w:val="single" w:sz="4" w:space="0" w:color="auto"/>
              <w:bottom w:val="single" w:sz="4" w:space="0" w:color="auto"/>
            </w:tcBorders>
          </w:tcPr>
          <w:p w14:paraId="203C805C" w14:textId="77777777" w:rsidR="0089790C" w:rsidRPr="0089790C" w:rsidRDefault="0089790C" w:rsidP="0089790C">
            <w:pPr>
              <w:spacing w:line="360" w:lineRule="auto"/>
              <w:jc w:val="both"/>
              <w:rPr>
                <w:rFonts w:ascii="Book Antiqua" w:hAnsi="Book Antiqua" w:cs="Times New Roman"/>
                <w:b/>
                <w:lang w:val="en-US"/>
              </w:rPr>
            </w:pPr>
          </w:p>
        </w:tc>
        <w:tc>
          <w:tcPr>
            <w:tcW w:w="1417" w:type="dxa"/>
            <w:vMerge/>
            <w:tcBorders>
              <w:top w:val="single" w:sz="4" w:space="0" w:color="auto"/>
              <w:bottom w:val="single" w:sz="4" w:space="0" w:color="auto"/>
            </w:tcBorders>
          </w:tcPr>
          <w:p w14:paraId="4C150AAF" w14:textId="77777777" w:rsidR="0089790C" w:rsidRPr="0089790C" w:rsidRDefault="0089790C" w:rsidP="0089790C">
            <w:pPr>
              <w:spacing w:line="360" w:lineRule="auto"/>
              <w:jc w:val="both"/>
              <w:rPr>
                <w:rFonts w:ascii="Book Antiqua" w:hAnsi="Book Antiqua" w:cs="Times New Roman"/>
                <w:b/>
                <w:lang w:val="en-US"/>
              </w:rPr>
            </w:pPr>
          </w:p>
        </w:tc>
        <w:tc>
          <w:tcPr>
            <w:tcW w:w="1775" w:type="dxa"/>
            <w:tcBorders>
              <w:top w:val="single" w:sz="4" w:space="0" w:color="auto"/>
              <w:bottom w:val="single" w:sz="4" w:space="0" w:color="auto"/>
            </w:tcBorders>
          </w:tcPr>
          <w:p w14:paraId="5E47BD6E" w14:textId="77777777" w:rsidR="0089790C" w:rsidRPr="0089790C" w:rsidRDefault="0089790C" w:rsidP="0089790C">
            <w:pPr>
              <w:spacing w:line="360" w:lineRule="auto"/>
              <w:jc w:val="both"/>
              <w:rPr>
                <w:rFonts w:ascii="Book Antiqua" w:hAnsi="Book Antiqua" w:cs="Times New Roman"/>
                <w:b/>
                <w:lang w:val="en-US"/>
              </w:rPr>
            </w:pPr>
            <w:r w:rsidRPr="0089790C">
              <w:rPr>
                <w:rFonts w:ascii="Book Antiqua" w:hAnsi="Book Antiqua" w:cs="Times New Roman"/>
                <w:b/>
                <w:lang w:val="en-US"/>
              </w:rPr>
              <w:t>Grade 0</w:t>
            </w:r>
          </w:p>
        </w:tc>
        <w:tc>
          <w:tcPr>
            <w:tcW w:w="1775" w:type="dxa"/>
            <w:tcBorders>
              <w:top w:val="single" w:sz="4" w:space="0" w:color="auto"/>
              <w:bottom w:val="single" w:sz="4" w:space="0" w:color="auto"/>
            </w:tcBorders>
          </w:tcPr>
          <w:p w14:paraId="013B0759" w14:textId="77777777" w:rsidR="0089790C" w:rsidRPr="0089790C" w:rsidRDefault="0089790C" w:rsidP="0089790C">
            <w:pPr>
              <w:spacing w:line="360" w:lineRule="auto"/>
              <w:jc w:val="both"/>
              <w:rPr>
                <w:rFonts w:ascii="Book Antiqua" w:hAnsi="Book Antiqua" w:cs="Times New Roman"/>
                <w:b/>
                <w:lang w:val="en-US"/>
              </w:rPr>
            </w:pPr>
            <w:r w:rsidRPr="0089790C">
              <w:rPr>
                <w:rFonts w:ascii="Book Antiqua" w:hAnsi="Book Antiqua" w:cs="Times New Roman"/>
                <w:b/>
                <w:lang w:val="en-US"/>
              </w:rPr>
              <w:t>Grade 1</w:t>
            </w:r>
          </w:p>
        </w:tc>
        <w:tc>
          <w:tcPr>
            <w:tcW w:w="1775" w:type="dxa"/>
            <w:tcBorders>
              <w:top w:val="single" w:sz="4" w:space="0" w:color="auto"/>
              <w:bottom w:val="single" w:sz="4" w:space="0" w:color="auto"/>
            </w:tcBorders>
          </w:tcPr>
          <w:p w14:paraId="50958167" w14:textId="0FA6E8FF" w:rsidR="0089790C" w:rsidRPr="0089790C" w:rsidRDefault="0089790C" w:rsidP="0089790C">
            <w:pPr>
              <w:spacing w:line="360" w:lineRule="auto"/>
              <w:jc w:val="both"/>
              <w:rPr>
                <w:rFonts w:ascii="Book Antiqua" w:hAnsi="Book Antiqua" w:cs="Times New Roman"/>
                <w:b/>
                <w:lang w:val="en-US"/>
              </w:rPr>
            </w:pPr>
            <w:r w:rsidRPr="0089790C">
              <w:rPr>
                <w:rFonts w:ascii="Book Antiqua" w:hAnsi="Book Antiqua" w:cs="Times New Roman"/>
                <w:b/>
                <w:lang w:val="en-US"/>
              </w:rPr>
              <w:t>Grade ≥</w:t>
            </w:r>
            <w:r>
              <w:rPr>
                <w:rFonts w:ascii="Book Antiqua" w:hAnsi="Book Antiqua" w:cs="Times New Roman"/>
                <w:b/>
                <w:lang w:val="en-US"/>
              </w:rPr>
              <w:t xml:space="preserve"> </w:t>
            </w:r>
            <w:r w:rsidRPr="0089790C">
              <w:rPr>
                <w:rFonts w:ascii="Book Antiqua" w:hAnsi="Book Antiqua" w:cs="Times New Roman"/>
                <w:b/>
                <w:lang w:val="en-US"/>
              </w:rPr>
              <w:t>2</w:t>
            </w:r>
          </w:p>
        </w:tc>
      </w:tr>
      <w:tr w:rsidR="0089790C" w:rsidRPr="0089790C" w14:paraId="01E34CFE" w14:textId="77777777" w:rsidTr="0089790C">
        <w:tc>
          <w:tcPr>
            <w:tcW w:w="2802" w:type="dxa"/>
            <w:tcBorders>
              <w:top w:val="single" w:sz="4" w:space="0" w:color="auto"/>
            </w:tcBorders>
          </w:tcPr>
          <w:p w14:paraId="0A572030" w14:textId="2732ED9D" w:rsidR="0089790C" w:rsidRPr="0089790C" w:rsidRDefault="0089790C" w:rsidP="0089790C">
            <w:pPr>
              <w:spacing w:line="360" w:lineRule="auto"/>
              <w:jc w:val="both"/>
              <w:rPr>
                <w:rFonts w:ascii="Book Antiqua" w:hAnsi="Book Antiqua" w:cs="Times New Roman"/>
                <w:bCs/>
                <w:lang w:val="en-US"/>
              </w:rPr>
            </w:pPr>
            <w:r w:rsidRPr="0089790C">
              <w:rPr>
                <w:rFonts w:ascii="Book Antiqua" w:hAnsi="Book Antiqua" w:cs="Times New Roman"/>
                <w:bCs/>
                <w:lang w:val="en-US"/>
              </w:rPr>
              <w:t>Cycle 1</w:t>
            </w:r>
          </w:p>
        </w:tc>
        <w:tc>
          <w:tcPr>
            <w:tcW w:w="1417" w:type="dxa"/>
            <w:tcBorders>
              <w:top w:val="single" w:sz="4" w:space="0" w:color="auto"/>
            </w:tcBorders>
          </w:tcPr>
          <w:p w14:paraId="4B7A8357"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44</w:t>
            </w:r>
          </w:p>
        </w:tc>
        <w:tc>
          <w:tcPr>
            <w:tcW w:w="1775" w:type="dxa"/>
            <w:tcBorders>
              <w:top w:val="single" w:sz="4" w:space="0" w:color="auto"/>
            </w:tcBorders>
          </w:tcPr>
          <w:p w14:paraId="360D7965"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44 (100)</w:t>
            </w:r>
          </w:p>
        </w:tc>
        <w:tc>
          <w:tcPr>
            <w:tcW w:w="1775" w:type="dxa"/>
            <w:tcBorders>
              <w:top w:val="single" w:sz="4" w:space="0" w:color="auto"/>
            </w:tcBorders>
          </w:tcPr>
          <w:p w14:paraId="3DF6FAE6"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0 (0)</w:t>
            </w:r>
          </w:p>
        </w:tc>
        <w:tc>
          <w:tcPr>
            <w:tcW w:w="1775" w:type="dxa"/>
            <w:tcBorders>
              <w:top w:val="single" w:sz="4" w:space="0" w:color="auto"/>
            </w:tcBorders>
          </w:tcPr>
          <w:p w14:paraId="47040FEA"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0 (0)</w:t>
            </w:r>
          </w:p>
        </w:tc>
      </w:tr>
      <w:tr w:rsidR="0089790C" w:rsidRPr="0089790C" w14:paraId="3BE29FE4" w14:textId="77777777" w:rsidTr="0089790C">
        <w:tc>
          <w:tcPr>
            <w:tcW w:w="2802" w:type="dxa"/>
          </w:tcPr>
          <w:p w14:paraId="080D5C9B" w14:textId="044DFA16" w:rsidR="0089790C" w:rsidRPr="0089790C" w:rsidRDefault="0089790C" w:rsidP="0089790C">
            <w:pPr>
              <w:spacing w:line="360" w:lineRule="auto"/>
              <w:jc w:val="both"/>
              <w:rPr>
                <w:rFonts w:ascii="Book Antiqua" w:hAnsi="Book Antiqua" w:cs="Times New Roman"/>
                <w:bCs/>
                <w:lang w:val="en-US"/>
              </w:rPr>
            </w:pPr>
            <w:r w:rsidRPr="0089790C">
              <w:rPr>
                <w:rFonts w:ascii="Book Antiqua" w:hAnsi="Book Antiqua" w:cs="Times New Roman"/>
                <w:bCs/>
                <w:lang w:val="en-US"/>
              </w:rPr>
              <w:t>Cycle 2</w:t>
            </w:r>
          </w:p>
        </w:tc>
        <w:tc>
          <w:tcPr>
            <w:tcW w:w="1417" w:type="dxa"/>
          </w:tcPr>
          <w:p w14:paraId="03A65FDC"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44</w:t>
            </w:r>
          </w:p>
        </w:tc>
        <w:tc>
          <w:tcPr>
            <w:tcW w:w="1775" w:type="dxa"/>
          </w:tcPr>
          <w:p w14:paraId="20B83236"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43 (97.7)</w:t>
            </w:r>
          </w:p>
        </w:tc>
        <w:tc>
          <w:tcPr>
            <w:tcW w:w="1775" w:type="dxa"/>
          </w:tcPr>
          <w:p w14:paraId="556B0E25"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0 (0)</w:t>
            </w:r>
          </w:p>
        </w:tc>
        <w:tc>
          <w:tcPr>
            <w:tcW w:w="1775" w:type="dxa"/>
          </w:tcPr>
          <w:p w14:paraId="070A9429"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0 (0)</w:t>
            </w:r>
          </w:p>
        </w:tc>
      </w:tr>
      <w:tr w:rsidR="0089790C" w:rsidRPr="0089790C" w14:paraId="5144798D" w14:textId="77777777" w:rsidTr="0089790C">
        <w:tc>
          <w:tcPr>
            <w:tcW w:w="2802" w:type="dxa"/>
          </w:tcPr>
          <w:p w14:paraId="001CD41C" w14:textId="6D26CB31" w:rsidR="0089790C" w:rsidRPr="0089790C" w:rsidRDefault="0089790C" w:rsidP="0089790C">
            <w:pPr>
              <w:spacing w:line="360" w:lineRule="auto"/>
              <w:jc w:val="both"/>
              <w:rPr>
                <w:rFonts w:ascii="Book Antiqua" w:hAnsi="Book Antiqua" w:cs="Times New Roman"/>
                <w:bCs/>
                <w:lang w:val="en-US"/>
              </w:rPr>
            </w:pPr>
            <w:r w:rsidRPr="0089790C">
              <w:rPr>
                <w:rFonts w:ascii="Book Antiqua" w:hAnsi="Book Antiqua" w:cs="Times New Roman"/>
                <w:bCs/>
                <w:lang w:val="en-US"/>
              </w:rPr>
              <w:t>Cycle 3</w:t>
            </w:r>
          </w:p>
        </w:tc>
        <w:tc>
          <w:tcPr>
            <w:tcW w:w="1417" w:type="dxa"/>
          </w:tcPr>
          <w:p w14:paraId="6D01E753"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43</w:t>
            </w:r>
          </w:p>
        </w:tc>
        <w:tc>
          <w:tcPr>
            <w:tcW w:w="1775" w:type="dxa"/>
          </w:tcPr>
          <w:p w14:paraId="7D143AFC"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40 (93.0)</w:t>
            </w:r>
          </w:p>
        </w:tc>
        <w:tc>
          <w:tcPr>
            <w:tcW w:w="1775" w:type="dxa"/>
          </w:tcPr>
          <w:p w14:paraId="0C27CA10"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1 (2.3)</w:t>
            </w:r>
          </w:p>
        </w:tc>
        <w:tc>
          <w:tcPr>
            <w:tcW w:w="1775" w:type="dxa"/>
          </w:tcPr>
          <w:p w14:paraId="6D7F8CAB"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0 (0)</w:t>
            </w:r>
          </w:p>
        </w:tc>
      </w:tr>
      <w:tr w:rsidR="0089790C" w:rsidRPr="0089790C" w14:paraId="42725C73" w14:textId="77777777" w:rsidTr="0089790C">
        <w:tc>
          <w:tcPr>
            <w:tcW w:w="2802" w:type="dxa"/>
          </w:tcPr>
          <w:p w14:paraId="4AF7F2C2" w14:textId="16CEAF3F" w:rsidR="0089790C" w:rsidRPr="0089790C" w:rsidRDefault="0089790C" w:rsidP="0089790C">
            <w:pPr>
              <w:spacing w:line="360" w:lineRule="auto"/>
              <w:jc w:val="both"/>
              <w:rPr>
                <w:rFonts w:ascii="Book Antiqua" w:hAnsi="Book Antiqua" w:cs="Times New Roman"/>
                <w:bCs/>
                <w:lang w:val="en-US"/>
              </w:rPr>
            </w:pPr>
            <w:r w:rsidRPr="0089790C">
              <w:rPr>
                <w:rFonts w:ascii="Book Antiqua" w:hAnsi="Book Antiqua" w:cs="Times New Roman"/>
                <w:bCs/>
                <w:lang w:val="en-US"/>
              </w:rPr>
              <w:t>Cycle 4</w:t>
            </w:r>
          </w:p>
        </w:tc>
        <w:tc>
          <w:tcPr>
            <w:tcW w:w="1417" w:type="dxa"/>
          </w:tcPr>
          <w:p w14:paraId="2528E2D5"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41</w:t>
            </w:r>
          </w:p>
        </w:tc>
        <w:tc>
          <w:tcPr>
            <w:tcW w:w="1775" w:type="dxa"/>
          </w:tcPr>
          <w:p w14:paraId="2C92BD80"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33 (80.5)</w:t>
            </w:r>
          </w:p>
        </w:tc>
        <w:tc>
          <w:tcPr>
            <w:tcW w:w="1775" w:type="dxa"/>
          </w:tcPr>
          <w:p w14:paraId="147CB337"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1 (2.4)</w:t>
            </w:r>
          </w:p>
        </w:tc>
        <w:tc>
          <w:tcPr>
            <w:tcW w:w="1775" w:type="dxa"/>
          </w:tcPr>
          <w:p w14:paraId="0EF4050C"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0 (0)</w:t>
            </w:r>
          </w:p>
        </w:tc>
      </w:tr>
      <w:tr w:rsidR="0089790C" w:rsidRPr="0089790C" w14:paraId="1769252A" w14:textId="77777777" w:rsidTr="0089790C">
        <w:tc>
          <w:tcPr>
            <w:tcW w:w="2802" w:type="dxa"/>
          </w:tcPr>
          <w:p w14:paraId="38517F5F" w14:textId="4BCD1E66" w:rsidR="0089790C" w:rsidRPr="0089790C" w:rsidRDefault="0089790C" w:rsidP="0089790C">
            <w:pPr>
              <w:spacing w:line="360" w:lineRule="auto"/>
              <w:jc w:val="both"/>
              <w:rPr>
                <w:rFonts w:ascii="Book Antiqua" w:hAnsi="Book Antiqua" w:cs="Times New Roman"/>
                <w:bCs/>
                <w:lang w:val="en-US"/>
              </w:rPr>
            </w:pPr>
            <w:r w:rsidRPr="0089790C">
              <w:rPr>
                <w:rFonts w:ascii="Book Antiqua" w:hAnsi="Book Antiqua" w:cs="Times New Roman"/>
                <w:bCs/>
                <w:lang w:val="en-US"/>
              </w:rPr>
              <w:t>Cycle 5</w:t>
            </w:r>
          </w:p>
        </w:tc>
        <w:tc>
          <w:tcPr>
            <w:tcW w:w="1417" w:type="dxa"/>
          </w:tcPr>
          <w:p w14:paraId="29901FF4"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34</w:t>
            </w:r>
          </w:p>
        </w:tc>
        <w:tc>
          <w:tcPr>
            <w:tcW w:w="1775" w:type="dxa"/>
          </w:tcPr>
          <w:p w14:paraId="19268F36"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22 (64.7)</w:t>
            </w:r>
          </w:p>
        </w:tc>
        <w:tc>
          <w:tcPr>
            <w:tcW w:w="1775" w:type="dxa"/>
          </w:tcPr>
          <w:p w14:paraId="7750CD9A"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1 (2.9)</w:t>
            </w:r>
          </w:p>
        </w:tc>
        <w:tc>
          <w:tcPr>
            <w:tcW w:w="1775" w:type="dxa"/>
          </w:tcPr>
          <w:p w14:paraId="71EC759E"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1 (2.9)</w:t>
            </w:r>
          </w:p>
        </w:tc>
      </w:tr>
      <w:tr w:rsidR="0089790C" w:rsidRPr="0089790C" w14:paraId="0D2764BC" w14:textId="77777777" w:rsidTr="0089790C">
        <w:trPr>
          <w:trHeight w:val="344"/>
        </w:trPr>
        <w:tc>
          <w:tcPr>
            <w:tcW w:w="2802" w:type="dxa"/>
            <w:tcBorders>
              <w:bottom w:val="single" w:sz="4" w:space="0" w:color="auto"/>
            </w:tcBorders>
          </w:tcPr>
          <w:p w14:paraId="37C36BFD" w14:textId="1713F989" w:rsidR="0089790C" w:rsidRPr="0089790C" w:rsidRDefault="0089790C" w:rsidP="0089790C">
            <w:pPr>
              <w:spacing w:line="360" w:lineRule="auto"/>
              <w:jc w:val="both"/>
              <w:rPr>
                <w:rFonts w:ascii="Book Antiqua" w:hAnsi="Book Antiqua" w:cs="Times New Roman"/>
                <w:bCs/>
                <w:lang w:val="en-US"/>
              </w:rPr>
            </w:pPr>
            <w:r w:rsidRPr="0089790C">
              <w:rPr>
                <w:rFonts w:ascii="Book Antiqua" w:hAnsi="Book Antiqua" w:cs="Times New Roman"/>
                <w:bCs/>
                <w:lang w:val="en-US"/>
              </w:rPr>
              <w:t>Cycle 6</w:t>
            </w:r>
          </w:p>
        </w:tc>
        <w:tc>
          <w:tcPr>
            <w:tcW w:w="1417" w:type="dxa"/>
            <w:tcBorders>
              <w:bottom w:val="single" w:sz="4" w:space="0" w:color="auto"/>
            </w:tcBorders>
          </w:tcPr>
          <w:p w14:paraId="5F12976F"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24</w:t>
            </w:r>
          </w:p>
        </w:tc>
        <w:tc>
          <w:tcPr>
            <w:tcW w:w="1775" w:type="dxa"/>
            <w:tcBorders>
              <w:bottom w:val="single" w:sz="4" w:space="0" w:color="auto"/>
            </w:tcBorders>
          </w:tcPr>
          <w:p w14:paraId="674864F3"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20 (83.3)</w:t>
            </w:r>
          </w:p>
        </w:tc>
        <w:tc>
          <w:tcPr>
            <w:tcW w:w="1775" w:type="dxa"/>
            <w:tcBorders>
              <w:bottom w:val="single" w:sz="4" w:space="0" w:color="auto"/>
            </w:tcBorders>
          </w:tcPr>
          <w:p w14:paraId="5F55A022"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2 (8.3)</w:t>
            </w:r>
          </w:p>
        </w:tc>
        <w:tc>
          <w:tcPr>
            <w:tcW w:w="1775" w:type="dxa"/>
            <w:tcBorders>
              <w:bottom w:val="single" w:sz="4" w:space="0" w:color="auto"/>
            </w:tcBorders>
          </w:tcPr>
          <w:p w14:paraId="72ED1ABB" w14:textId="77777777" w:rsidR="0089790C" w:rsidRPr="0089790C" w:rsidRDefault="0089790C" w:rsidP="0089790C">
            <w:pPr>
              <w:spacing w:line="360" w:lineRule="auto"/>
              <w:jc w:val="both"/>
              <w:rPr>
                <w:rFonts w:ascii="Book Antiqua" w:hAnsi="Book Antiqua" w:cs="Times New Roman"/>
                <w:lang w:val="en-US"/>
              </w:rPr>
            </w:pPr>
            <w:r w:rsidRPr="0089790C">
              <w:rPr>
                <w:rFonts w:ascii="Book Antiqua" w:hAnsi="Book Antiqua" w:cs="Times New Roman"/>
                <w:lang w:val="en-US"/>
              </w:rPr>
              <w:t>1 (4.2)</w:t>
            </w:r>
          </w:p>
        </w:tc>
      </w:tr>
    </w:tbl>
    <w:p w14:paraId="0D0430A5" w14:textId="6EC750B2" w:rsidR="007C53A2" w:rsidRDefault="0089790C">
      <w:pPr>
        <w:spacing w:line="360" w:lineRule="auto"/>
        <w:jc w:val="both"/>
        <w:rPr>
          <w:rFonts w:ascii="Book Antiqua" w:hAnsi="Book Antiqua"/>
          <w:lang w:eastAsia="zh-CN"/>
        </w:rPr>
      </w:pPr>
      <w:r w:rsidRPr="0089790C">
        <w:rPr>
          <w:rFonts w:ascii="Book Antiqua" w:hAnsi="Book Antiqua" w:hint="eastAsia"/>
          <w:lang w:eastAsia="zh-CN"/>
        </w:rPr>
        <w:t>C</w:t>
      </w:r>
      <w:r w:rsidRPr="0089790C">
        <w:rPr>
          <w:rFonts w:ascii="Book Antiqua" w:hAnsi="Book Antiqua"/>
          <w:lang w:eastAsia="zh-CN"/>
        </w:rPr>
        <w:t>IPN:</w:t>
      </w:r>
      <w:r w:rsidRPr="0089790C">
        <w:t xml:space="preserve"> </w:t>
      </w:r>
      <w:r w:rsidRPr="0089790C">
        <w:rPr>
          <w:rFonts w:ascii="Book Antiqua" w:hAnsi="Book Antiqua"/>
          <w:lang w:eastAsia="zh-CN"/>
        </w:rPr>
        <w:t>Chemotherapy-induced peripheral neuropathy</w:t>
      </w:r>
      <w:r>
        <w:rPr>
          <w:rFonts w:ascii="Book Antiqua" w:hAnsi="Book Antiqua"/>
          <w:lang w:eastAsia="zh-CN"/>
        </w:rPr>
        <w:t>.</w:t>
      </w:r>
    </w:p>
    <w:p w14:paraId="65830798" w14:textId="3967E8B9" w:rsidR="0089790C" w:rsidRDefault="007C53A2">
      <w:pPr>
        <w:spacing w:line="360" w:lineRule="auto"/>
        <w:jc w:val="both"/>
        <w:rPr>
          <w:rFonts w:ascii="Book Antiqua" w:hAnsi="Book Antiqua"/>
          <w:b/>
          <w:bCs/>
          <w:lang w:eastAsia="zh-CN"/>
        </w:rPr>
      </w:pPr>
      <w:r>
        <w:rPr>
          <w:rFonts w:ascii="Book Antiqua" w:hAnsi="Book Antiqua"/>
          <w:lang w:eastAsia="zh-CN"/>
        </w:rPr>
        <w:br w:type="page"/>
      </w:r>
      <w:r w:rsidRPr="007C53A2">
        <w:rPr>
          <w:rFonts w:ascii="Book Antiqua" w:hAnsi="Book Antiqua"/>
          <w:b/>
          <w:bCs/>
          <w:lang w:eastAsia="zh-CN"/>
        </w:rPr>
        <w:lastRenderedPageBreak/>
        <w:t xml:space="preserve">Table 4 Chemotherapy (paclitaxel) dose changes during </w:t>
      </w:r>
      <w:proofErr w:type="spellStart"/>
      <w:r w:rsidRPr="007C53A2">
        <w:rPr>
          <w:rFonts w:ascii="Book Antiqua" w:hAnsi="Book Antiqua"/>
          <w:b/>
          <w:bCs/>
          <w:lang w:eastAsia="zh-CN"/>
        </w:rPr>
        <w:t>hilotherapy</w:t>
      </w:r>
      <w:proofErr w:type="spellEnd"/>
      <w:r w:rsidRPr="007C53A2">
        <w:rPr>
          <w:rFonts w:ascii="Book Antiqua" w:hAnsi="Book Antiqua"/>
          <w:b/>
          <w:bCs/>
          <w:lang w:eastAsia="zh-CN"/>
        </w:rPr>
        <w:t xml:space="preserve"> treatment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260"/>
      </w:tblGrid>
      <w:tr w:rsidR="007C53A2" w:rsidRPr="007C53A2" w14:paraId="63762D3E" w14:textId="77777777" w:rsidTr="00944262">
        <w:tc>
          <w:tcPr>
            <w:tcW w:w="3936" w:type="dxa"/>
            <w:tcBorders>
              <w:top w:val="single" w:sz="4" w:space="0" w:color="auto"/>
              <w:bottom w:val="single" w:sz="4" w:space="0" w:color="auto"/>
            </w:tcBorders>
          </w:tcPr>
          <w:p w14:paraId="7D7F5424" w14:textId="77777777" w:rsidR="007C53A2" w:rsidRPr="007C53A2" w:rsidRDefault="007C53A2" w:rsidP="007C53A2">
            <w:pPr>
              <w:spacing w:line="360" w:lineRule="auto"/>
              <w:jc w:val="both"/>
              <w:rPr>
                <w:rFonts w:ascii="Book Antiqua" w:hAnsi="Book Antiqua" w:cs="Times New Roman"/>
                <w:b/>
                <w:lang w:val="en-US"/>
              </w:rPr>
            </w:pPr>
          </w:p>
        </w:tc>
        <w:tc>
          <w:tcPr>
            <w:tcW w:w="3260" w:type="dxa"/>
            <w:tcBorders>
              <w:top w:val="single" w:sz="4" w:space="0" w:color="auto"/>
              <w:bottom w:val="single" w:sz="4" w:space="0" w:color="auto"/>
            </w:tcBorders>
          </w:tcPr>
          <w:p w14:paraId="18CBF4AC" w14:textId="099AC4C1" w:rsidR="007C53A2" w:rsidRPr="007C53A2" w:rsidRDefault="007C53A2" w:rsidP="007C53A2">
            <w:pPr>
              <w:spacing w:line="360" w:lineRule="auto"/>
              <w:jc w:val="both"/>
              <w:rPr>
                <w:rFonts w:ascii="Book Antiqua" w:hAnsi="Book Antiqua" w:cs="Times New Roman"/>
                <w:b/>
                <w:lang w:val="en-US"/>
              </w:rPr>
            </w:pPr>
            <w:r w:rsidRPr="007C53A2">
              <w:rPr>
                <w:rFonts w:ascii="Book Antiqua" w:hAnsi="Book Antiqua" w:cs="Times New Roman"/>
                <w:b/>
                <w:lang w:val="en-US"/>
              </w:rPr>
              <w:t>Patients</w:t>
            </w:r>
            <w:r w:rsidR="007717F3">
              <w:rPr>
                <w:rFonts w:ascii="Book Antiqua" w:hAnsi="Book Antiqua" w:cs="Times New Roman"/>
                <w:b/>
                <w:lang w:val="en-US"/>
              </w:rPr>
              <w:t>,</w:t>
            </w:r>
            <w:r w:rsidRPr="007C53A2">
              <w:rPr>
                <w:rFonts w:ascii="Book Antiqua" w:hAnsi="Book Antiqua" w:cs="Times New Roman"/>
                <w:b/>
                <w:lang w:val="en-US"/>
              </w:rPr>
              <w:t xml:space="preserve"> </w:t>
            </w:r>
            <w:r w:rsidRPr="007C53A2">
              <w:rPr>
                <w:rFonts w:ascii="Book Antiqua" w:hAnsi="Book Antiqua" w:cs="Times New Roman"/>
                <w:b/>
                <w:i/>
                <w:iCs/>
                <w:lang w:val="en-US"/>
              </w:rPr>
              <w:t>n</w:t>
            </w:r>
            <w:r w:rsidRPr="007C53A2">
              <w:rPr>
                <w:rFonts w:ascii="Book Antiqua" w:hAnsi="Book Antiqua" w:cs="Times New Roman"/>
                <w:b/>
                <w:lang w:val="en-US"/>
              </w:rPr>
              <w:t xml:space="preserve"> (%)</w:t>
            </w:r>
          </w:p>
        </w:tc>
      </w:tr>
      <w:tr w:rsidR="007C53A2" w:rsidRPr="007C53A2" w14:paraId="6BBC5DCE" w14:textId="77777777" w:rsidTr="00944262">
        <w:tc>
          <w:tcPr>
            <w:tcW w:w="3936" w:type="dxa"/>
            <w:tcBorders>
              <w:top w:val="single" w:sz="4" w:space="0" w:color="auto"/>
            </w:tcBorders>
          </w:tcPr>
          <w:p w14:paraId="47B29DA8" w14:textId="35B98BA6" w:rsidR="007C53A2" w:rsidRPr="007C53A2" w:rsidRDefault="007C53A2" w:rsidP="007C53A2">
            <w:pPr>
              <w:spacing w:line="360" w:lineRule="auto"/>
              <w:jc w:val="both"/>
              <w:rPr>
                <w:rFonts w:ascii="Book Antiqua" w:hAnsi="Book Antiqua" w:cs="Times New Roman"/>
                <w:bCs/>
                <w:lang w:val="en-US"/>
              </w:rPr>
            </w:pPr>
            <w:r w:rsidRPr="007C53A2">
              <w:rPr>
                <w:rFonts w:ascii="Book Antiqua" w:hAnsi="Book Antiqua" w:cs="Times New Roman"/>
                <w:bCs/>
                <w:lang w:val="en-US"/>
              </w:rPr>
              <w:t>Completed scheduled CP cycle</w:t>
            </w:r>
            <w:r w:rsidRPr="007C53A2">
              <w:rPr>
                <w:rFonts w:ascii="Book Antiqua" w:hAnsi="Book Antiqua" w:cs="Times New Roman"/>
                <w:bCs/>
                <w:vertAlign w:val="superscript"/>
                <w:lang w:val="en-US"/>
              </w:rPr>
              <w:t>1</w:t>
            </w:r>
          </w:p>
        </w:tc>
        <w:tc>
          <w:tcPr>
            <w:tcW w:w="3260" w:type="dxa"/>
            <w:tcBorders>
              <w:top w:val="single" w:sz="4" w:space="0" w:color="auto"/>
            </w:tcBorders>
          </w:tcPr>
          <w:p w14:paraId="6975EAC4" w14:textId="77777777" w:rsidR="007C53A2" w:rsidRPr="007C53A2" w:rsidRDefault="007C53A2" w:rsidP="007C53A2">
            <w:pPr>
              <w:spacing w:line="360" w:lineRule="auto"/>
              <w:jc w:val="both"/>
              <w:rPr>
                <w:rFonts w:ascii="Book Antiqua" w:hAnsi="Book Antiqua" w:cs="Times New Roman"/>
                <w:lang w:val="en-US"/>
              </w:rPr>
            </w:pPr>
            <w:r w:rsidRPr="007C53A2">
              <w:rPr>
                <w:rFonts w:ascii="Book Antiqua" w:hAnsi="Book Antiqua" w:cs="Times New Roman"/>
                <w:lang w:val="en-US"/>
              </w:rPr>
              <w:t>37 (84.1)</w:t>
            </w:r>
          </w:p>
        </w:tc>
      </w:tr>
      <w:tr w:rsidR="007C53A2" w:rsidRPr="007C53A2" w14:paraId="1FB51EAD" w14:textId="77777777" w:rsidTr="00944262">
        <w:tc>
          <w:tcPr>
            <w:tcW w:w="3936" w:type="dxa"/>
          </w:tcPr>
          <w:p w14:paraId="3467AAA9" w14:textId="77777777" w:rsidR="007C53A2" w:rsidRPr="007C53A2" w:rsidRDefault="007C53A2" w:rsidP="007C53A2">
            <w:pPr>
              <w:spacing w:line="360" w:lineRule="auto"/>
              <w:jc w:val="both"/>
              <w:rPr>
                <w:rFonts w:ascii="Book Antiqua" w:hAnsi="Book Antiqua" w:cs="Times New Roman"/>
                <w:bCs/>
                <w:lang w:val="en-US"/>
              </w:rPr>
            </w:pPr>
            <w:r w:rsidRPr="007C53A2">
              <w:rPr>
                <w:rFonts w:ascii="Book Antiqua" w:hAnsi="Book Antiqua" w:cs="Times New Roman"/>
                <w:bCs/>
                <w:lang w:val="en-US"/>
              </w:rPr>
              <w:t>Paclitaxel dose reduction/discontinuation</w:t>
            </w:r>
          </w:p>
        </w:tc>
        <w:tc>
          <w:tcPr>
            <w:tcW w:w="3260" w:type="dxa"/>
          </w:tcPr>
          <w:p w14:paraId="276318A4" w14:textId="4AB08AEE" w:rsidR="007C53A2" w:rsidRPr="007C53A2" w:rsidRDefault="007C53A2" w:rsidP="007C53A2">
            <w:pPr>
              <w:spacing w:line="360" w:lineRule="auto"/>
              <w:jc w:val="both"/>
              <w:rPr>
                <w:rFonts w:ascii="Book Antiqua" w:hAnsi="Book Antiqua" w:cs="Times New Roman"/>
                <w:lang w:val="en-US"/>
              </w:rPr>
            </w:pPr>
            <w:r w:rsidRPr="007C53A2">
              <w:rPr>
                <w:rFonts w:ascii="Book Antiqua" w:hAnsi="Book Antiqua" w:cs="Times New Roman"/>
                <w:lang w:val="en-US"/>
              </w:rPr>
              <w:t>9 (20)</w:t>
            </w:r>
          </w:p>
        </w:tc>
      </w:tr>
      <w:tr w:rsidR="007C53A2" w:rsidRPr="007C53A2" w14:paraId="20A70E4E" w14:textId="77777777" w:rsidTr="00944262">
        <w:trPr>
          <w:trHeight w:val="1120"/>
        </w:trPr>
        <w:tc>
          <w:tcPr>
            <w:tcW w:w="3936" w:type="dxa"/>
            <w:tcBorders>
              <w:bottom w:val="single" w:sz="4" w:space="0" w:color="auto"/>
            </w:tcBorders>
          </w:tcPr>
          <w:p w14:paraId="02669730" w14:textId="77777777" w:rsidR="007C53A2" w:rsidRPr="007C53A2" w:rsidRDefault="007C53A2" w:rsidP="007C53A2">
            <w:pPr>
              <w:spacing w:line="360" w:lineRule="auto"/>
              <w:jc w:val="both"/>
              <w:rPr>
                <w:rFonts w:ascii="Book Antiqua" w:hAnsi="Book Antiqua" w:cs="Times New Roman"/>
                <w:bCs/>
                <w:lang w:val="en-US"/>
              </w:rPr>
            </w:pPr>
            <w:r w:rsidRPr="007C53A2">
              <w:rPr>
                <w:rFonts w:ascii="Book Antiqua" w:hAnsi="Book Antiqua" w:cs="Times New Roman"/>
                <w:bCs/>
                <w:lang w:val="en-US"/>
              </w:rPr>
              <w:t>Reason for Paclitaxel reduction/discontinuation</w:t>
            </w:r>
          </w:p>
        </w:tc>
        <w:tc>
          <w:tcPr>
            <w:tcW w:w="3260" w:type="dxa"/>
            <w:tcBorders>
              <w:bottom w:val="single" w:sz="4" w:space="0" w:color="auto"/>
            </w:tcBorders>
          </w:tcPr>
          <w:p w14:paraId="68C31FC7" w14:textId="2941C034" w:rsidR="007C53A2" w:rsidRPr="007C53A2" w:rsidRDefault="007C53A2" w:rsidP="007C53A2">
            <w:pPr>
              <w:spacing w:line="360" w:lineRule="auto"/>
              <w:jc w:val="both"/>
              <w:rPr>
                <w:rFonts w:ascii="Book Antiqua" w:hAnsi="Book Antiqua" w:cs="Times New Roman"/>
                <w:lang w:val="en-US"/>
              </w:rPr>
            </w:pPr>
            <w:r w:rsidRPr="007C53A2">
              <w:rPr>
                <w:rFonts w:ascii="Book Antiqua" w:hAnsi="Book Antiqua" w:cs="Times New Roman"/>
                <w:lang w:val="en-US"/>
              </w:rPr>
              <w:t>3 (6.8) hematological toxicity</w:t>
            </w:r>
            <w:r>
              <w:rPr>
                <w:rFonts w:ascii="Book Antiqua" w:hAnsi="Book Antiqua" w:cs="Times New Roman"/>
                <w:lang w:val="en-US"/>
              </w:rPr>
              <w:t>;</w:t>
            </w:r>
            <w:r w:rsidRPr="007C53A2">
              <w:rPr>
                <w:rFonts w:ascii="Book Antiqua" w:hAnsi="Book Antiqua" w:cs="Times New Roman"/>
                <w:lang w:val="en-US"/>
              </w:rPr>
              <w:t xml:space="preserve"> 3 (6.8) disease progression</w:t>
            </w:r>
            <w:r>
              <w:rPr>
                <w:rFonts w:ascii="Book Antiqua" w:hAnsi="Book Antiqua" w:cs="Times New Roman"/>
                <w:lang w:val="en-US"/>
              </w:rPr>
              <w:t>;</w:t>
            </w:r>
            <w:r w:rsidRPr="007C53A2">
              <w:rPr>
                <w:rFonts w:ascii="Book Antiqua" w:hAnsi="Book Antiqua" w:cs="Times New Roman"/>
                <w:lang w:val="en-US"/>
              </w:rPr>
              <w:t xml:space="preserve"> 2 (4.5) paclitaxel allergic reaction</w:t>
            </w:r>
            <w:r>
              <w:rPr>
                <w:rFonts w:ascii="Book Antiqua" w:hAnsi="Book Antiqua" w:cs="Times New Roman"/>
                <w:lang w:val="en-US"/>
              </w:rPr>
              <w:t>;</w:t>
            </w:r>
            <w:r w:rsidRPr="007C53A2">
              <w:rPr>
                <w:rFonts w:ascii="Book Antiqua" w:hAnsi="Book Antiqua" w:cs="Times New Roman"/>
                <w:lang w:val="en-US"/>
              </w:rPr>
              <w:t xml:space="preserve"> 1 (2.2) CIPN ≥ 2</w:t>
            </w:r>
          </w:p>
        </w:tc>
      </w:tr>
    </w:tbl>
    <w:p w14:paraId="6257DE1E" w14:textId="6E1F30E8" w:rsidR="007C53A2" w:rsidRPr="007C53A2" w:rsidRDefault="007C53A2">
      <w:pPr>
        <w:spacing w:line="360" w:lineRule="auto"/>
        <w:jc w:val="both"/>
        <w:rPr>
          <w:rFonts w:ascii="Book Antiqua" w:hAnsi="Book Antiqua"/>
          <w:lang w:eastAsia="zh-CN"/>
        </w:rPr>
      </w:pPr>
      <w:r w:rsidRPr="007C53A2">
        <w:rPr>
          <w:rFonts w:ascii="Book Antiqua" w:hAnsi="Book Antiqua"/>
          <w:vertAlign w:val="superscript"/>
          <w:lang w:eastAsia="zh-CN"/>
        </w:rPr>
        <w:t>1</w:t>
      </w:r>
      <w:r>
        <w:rPr>
          <w:rFonts w:ascii="Book Antiqua" w:hAnsi="Book Antiqua"/>
          <w:lang w:eastAsia="zh-CN"/>
        </w:rPr>
        <w:t>C</w:t>
      </w:r>
      <w:r w:rsidRPr="007C53A2">
        <w:rPr>
          <w:rFonts w:ascii="Book Antiqua" w:hAnsi="Book Antiqua"/>
          <w:lang w:eastAsia="zh-CN"/>
        </w:rPr>
        <w:t xml:space="preserve">arboplatin </w:t>
      </w:r>
      <w:r w:rsidR="006D3EBE">
        <w:rPr>
          <w:rFonts w:ascii="Book Antiqua" w:hAnsi="Book Antiqua"/>
          <w:lang w:eastAsia="zh-CN"/>
        </w:rPr>
        <w:t>a</w:t>
      </w:r>
      <w:r w:rsidR="00F313FA">
        <w:rPr>
          <w:rFonts w:ascii="Book Antiqua" w:hAnsi="Book Antiqua"/>
          <w:lang w:eastAsia="zh-CN"/>
        </w:rPr>
        <w:t>rea under the curve</w:t>
      </w:r>
      <w:r w:rsidRPr="007C53A2">
        <w:rPr>
          <w:rFonts w:ascii="Book Antiqua" w:hAnsi="Book Antiqua"/>
          <w:lang w:eastAsia="zh-CN"/>
        </w:rPr>
        <w:t xml:space="preserve"> 5 mg/m</w:t>
      </w:r>
      <w:r>
        <w:rPr>
          <w:rFonts w:ascii="Book Antiqua" w:hAnsi="Book Antiqua"/>
          <w:lang w:eastAsia="zh-CN"/>
        </w:rPr>
        <w:t>L</w:t>
      </w:r>
      <w:r w:rsidRPr="007C53A2">
        <w:rPr>
          <w:rFonts w:ascii="Book Antiqua" w:hAnsi="Book Antiqua"/>
          <w:lang w:eastAsia="zh-CN"/>
        </w:rPr>
        <w:t xml:space="preserve"> per min plus </w:t>
      </w:r>
      <w:r>
        <w:rPr>
          <w:rFonts w:ascii="Book Antiqua" w:eastAsia="Book Antiqua" w:hAnsi="Book Antiqua" w:cs="Book Antiqua"/>
          <w:color w:val="000000"/>
        </w:rPr>
        <w:t>paclitaxel</w:t>
      </w:r>
      <w:r w:rsidRPr="007C53A2">
        <w:rPr>
          <w:rFonts w:ascii="Book Antiqua" w:hAnsi="Book Antiqua"/>
          <w:lang w:eastAsia="zh-CN"/>
        </w:rPr>
        <w:t xml:space="preserve"> at 175 mg/</w:t>
      </w:r>
      <w:proofErr w:type="spellStart"/>
      <w:r w:rsidRPr="007C53A2">
        <w:rPr>
          <w:rFonts w:ascii="Book Antiqua" w:hAnsi="Book Antiqua"/>
          <w:lang w:eastAsia="zh-CN"/>
        </w:rPr>
        <w:t>mq</w:t>
      </w:r>
      <w:proofErr w:type="spellEnd"/>
      <w:r w:rsidRPr="007C53A2">
        <w:rPr>
          <w:rFonts w:ascii="Book Antiqua" w:hAnsi="Book Antiqua"/>
          <w:lang w:eastAsia="zh-CN"/>
        </w:rPr>
        <w:t xml:space="preserve"> every 3 wk</w:t>
      </w:r>
      <w:r>
        <w:rPr>
          <w:rFonts w:ascii="Book Antiqua" w:hAnsi="Book Antiqua"/>
          <w:lang w:eastAsia="zh-CN"/>
        </w:rPr>
        <w:t xml:space="preserve">. CP: </w:t>
      </w:r>
      <w:r>
        <w:rPr>
          <w:rFonts w:ascii="Book Antiqua" w:eastAsia="Book Antiqua" w:hAnsi="Book Antiqua" w:cs="Book Antiqua"/>
          <w:color w:val="000000"/>
        </w:rPr>
        <w:t>Carboplatin/paclitaxel</w:t>
      </w:r>
      <w:r w:rsidR="00944262">
        <w:rPr>
          <w:rFonts w:ascii="Book Antiqua" w:eastAsia="Book Antiqua" w:hAnsi="Book Antiqua" w:cs="Book Antiqua"/>
          <w:color w:val="000000"/>
        </w:rPr>
        <w:t xml:space="preserve">; </w:t>
      </w:r>
      <w:r w:rsidR="00944262" w:rsidRPr="0089790C">
        <w:rPr>
          <w:rFonts w:ascii="Book Antiqua" w:hAnsi="Book Antiqua" w:hint="eastAsia"/>
          <w:lang w:eastAsia="zh-CN"/>
        </w:rPr>
        <w:t>C</w:t>
      </w:r>
      <w:r w:rsidR="00944262" w:rsidRPr="0089790C">
        <w:rPr>
          <w:rFonts w:ascii="Book Antiqua" w:hAnsi="Book Antiqua"/>
          <w:lang w:eastAsia="zh-CN"/>
        </w:rPr>
        <w:t>IPN:</w:t>
      </w:r>
      <w:r w:rsidR="00944262" w:rsidRPr="0089790C">
        <w:t xml:space="preserve"> </w:t>
      </w:r>
      <w:r w:rsidR="00944262" w:rsidRPr="0089790C">
        <w:rPr>
          <w:rFonts w:ascii="Book Antiqua" w:hAnsi="Book Antiqua"/>
          <w:lang w:eastAsia="zh-CN"/>
        </w:rPr>
        <w:t>Chemotherapy-induced peripheral neuropathy</w:t>
      </w:r>
      <w:r w:rsidR="00944262">
        <w:rPr>
          <w:rFonts w:ascii="Book Antiqua" w:hAnsi="Book Antiqua"/>
          <w:lang w:eastAsia="zh-CN"/>
        </w:rPr>
        <w:t>.</w:t>
      </w:r>
    </w:p>
    <w:sectPr w:rsidR="007C53A2" w:rsidRPr="007C53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2BAD" w14:textId="77777777" w:rsidR="00411A2E" w:rsidRDefault="00411A2E" w:rsidP="00735F6F">
      <w:r>
        <w:separator/>
      </w:r>
    </w:p>
  </w:endnote>
  <w:endnote w:type="continuationSeparator" w:id="0">
    <w:p w14:paraId="5547DB4F" w14:textId="77777777" w:rsidR="00411A2E" w:rsidRDefault="00411A2E" w:rsidP="0073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33189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F8C1FB0" w14:textId="07135A20" w:rsidR="00735F6F" w:rsidRPr="00735F6F" w:rsidRDefault="00735F6F" w:rsidP="00735F6F">
            <w:pPr>
              <w:pStyle w:val="ab"/>
              <w:jc w:val="right"/>
              <w:rPr>
                <w:rFonts w:ascii="Book Antiqua" w:hAnsi="Book Antiqua"/>
                <w:sz w:val="24"/>
                <w:szCs w:val="24"/>
              </w:rPr>
            </w:pPr>
            <w:r w:rsidRPr="00735F6F">
              <w:rPr>
                <w:rFonts w:ascii="Book Antiqua" w:hAnsi="Book Antiqua"/>
                <w:sz w:val="24"/>
                <w:szCs w:val="24"/>
                <w:lang w:val="zh-CN" w:eastAsia="zh-CN"/>
              </w:rPr>
              <w:t xml:space="preserve"> </w:t>
            </w:r>
            <w:r w:rsidRPr="00735F6F">
              <w:rPr>
                <w:rFonts w:ascii="Book Antiqua" w:hAnsi="Book Antiqua"/>
                <w:sz w:val="24"/>
                <w:szCs w:val="24"/>
              </w:rPr>
              <w:fldChar w:fldCharType="begin"/>
            </w:r>
            <w:r w:rsidRPr="00735F6F">
              <w:rPr>
                <w:rFonts w:ascii="Book Antiqua" w:hAnsi="Book Antiqua"/>
                <w:sz w:val="24"/>
                <w:szCs w:val="24"/>
              </w:rPr>
              <w:instrText>PAGE</w:instrText>
            </w:r>
            <w:r w:rsidRPr="00735F6F">
              <w:rPr>
                <w:rFonts w:ascii="Book Antiqua" w:hAnsi="Book Antiqua"/>
                <w:sz w:val="24"/>
                <w:szCs w:val="24"/>
              </w:rPr>
              <w:fldChar w:fldCharType="separate"/>
            </w:r>
            <w:r w:rsidR="00F313FA">
              <w:rPr>
                <w:rFonts w:ascii="Book Antiqua" w:hAnsi="Book Antiqua"/>
                <w:noProof/>
                <w:sz w:val="24"/>
                <w:szCs w:val="24"/>
              </w:rPr>
              <w:t>24</w:t>
            </w:r>
            <w:r w:rsidRPr="00735F6F">
              <w:rPr>
                <w:rFonts w:ascii="Book Antiqua" w:hAnsi="Book Antiqua"/>
                <w:sz w:val="24"/>
                <w:szCs w:val="24"/>
              </w:rPr>
              <w:fldChar w:fldCharType="end"/>
            </w:r>
            <w:r w:rsidRPr="00735F6F">
              <w:rPr>
                <w:rFonts w:ascii="Book Antiqua" w:hAnsi="Book Antiqua"/>
                <w:sz w:val="24"/>
                <w:szCs w:val="24"/>
                <w:lang w:val="zh-CN" w:eastAsia="zh-CN"/>
              </w:rPr>
              <w:t xml:space="preserve"> / </w:t>
            </w:r>
            <w:r w:rsidRPr="00735F6F">
              <w:rPr>
                <w:rFonts w:ascii="Book Antiqua" w:hAnsi="Book Antiqua"/>
                <w:sz w:val="24"/>
                <w:szCs w:val="24"/>
              </w:rPr>
              <w:fldChar w:fldCharType="begin"/>
            </w:r>
            <w:r w:rsidRPr="00735F6F">
              <w:rPr>
                <w:rFonts w:ascii="Book Antiqua" w:hAnsi="Book Antiqua"/>
                <w:sz w:val="24"/>
                <w:szCs w:val="24"/>
              </w:rPr>
              <w:instrText>NUMPAGES</w:instrText>
            </w:r>
            <w:r w:rsidRPr="00735F6F">
              <w:rPr>
                <w:rFonts w:ascii="Book Antiqua" w:hAnsi="Book Antiqua"/>
                <w:sz w:val="24"/>
                <w:szCs w:val="24"/>
              </w:rPr>
              <w:fldChar w:fldCharType="separate"/>
            </w:r>
            <w:r w:rsidR="00F313FA">
              <w:rPr>
                <w:rFonts w:ascii="Book Antiqua" w:hAnsi="Book Antiqua"/>
                <w:noProof/>
                <w:sz w:val="24"/>
                <w:szCs w:val="24"/>
              </w:rPr>
              <w:t>25</w:t>
            </w:r>
            <w:r w:rsidRPr="00735F6F">
              <w:rPr>
                <w:rFonts w:ascii="Book Antiqua" w:hAnsi="Book Antiqua"/>
                <w:sz w:val="24"/>
                <w:szCs w:val="24"/>
              </w:rPr>
              <w:fldChar w:fldCharType="end"/>
            </w:r>
          </w:p>
        </w:sdtContent>
      </w:sdt>
    </w:sdtContent>
  </w:sdt>
  <w:p w14:paraId="0A9495E4" w14:textId="77777777" w:rsidR="00735F6F" w:rsidRPr="00735F6F" w:rsidRDefault="00735F6F" w:rsidP="00735F6F">
    <w:pPr>
      <w:pStyle w:val="ab"/>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E5BE7" w14:textId="77777777" w:rsidR="00411A2E" w:rsidRDefault="00411A2E" w:rsidP="00735F6F">
      <w:r>
        <w:separator/>
      </w:r>
    </w:p>
  </w:footnote>
  <w:footnote w:type="continuationSeparator" w:id="0">
    <w:p w14:paraId="22D02645" w14:textId="77777777" w:rsidR="00411A2E" w:rsidRDefault="00411A2E" w:rsidP="00735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490D"/>
    <w:rsid w:val="00135A25"/>
    <w:rsid w:val="00140A2F"/>
    <w:rsid w:val="00144339"/>
    <w:rsid w:val="00197D3B"/>
    <w:rsid w:val="001A7D7E"/>
    <w:rsid w:val="00207CFE"/>
    <w:rsid w:val="003773B2"/>
    <w:rsid w:val="003A29FF"/>
    <w:rsid w:val="00411A2E"/>
    <w:rsid w:val="005E7EAA"/>
    <w:rsid w:val="005F49FB"/>
    <w:rsid w:val="006D3EBE"/>
    <w:rsid w:val="006F01D6"/>
    <w:rsid w:val="00735F6F"/>
    <w:rsid w:val="007717F3"/>
    <w:rsid w:val="007C53A2"/>
    <w:rsid w:val="0089790C"/>
    <w:rsid w:val="00944262"/>
    <w:rsid w:val="00972D54"/>
    <w:rsid w:val="009B6E37"/>
    <w:rsid w:val="009F75A5"/>
    <w:rsid w:val="00A33B59"/>
    <w:rsid w:val="00A77B3E"/>
    <w:rsid w:val="00AB2A28"/>
    <w:rsid w:val="00B67095"/>
    <w:rsid w:val="00CA2A55"/>
    <w:rsid w:val="00D43D6B"/>
    <w:rsid w:val="00D50100"/>
    <w:rsid w:val="00DB040D"/>
    <w:rsid w:val="00E0441B"/>
    <w:rsid w:val="00F313FA"/>
    <w:rsid w:val="00F40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4F2B5"/>
  <w15:docId w15:val="{C3057E0F-9C9C-4BD2-82A9-8A1C2536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E7EAA"/>
    <w:rPr>
      <w:sz w:val="21"/>
      <w:szCs w:val="21"/>
    </w:rPr>
  </w:style>
  <w:style w:type="paragraph" w:styleId="a4">
    <w:name w:val="annotation text"/>
    <w:basedOn w:val="a"/>
    <w:link w:val="a5"/>
    <w:semiHidden/>
    <w:unhideWhenUsed/>
    <w:rsid w:val="005E7EAA"/>
  </w:style>
  <w:style w:type="character" w:customStyle="1" w:styleId="a5">
    <w:name w:val="批注文字 字符"/>
    <w:basedOn w:val="a0"/>
    <w:link w:val="a4"/>
    <w:semiHidden/>
    <w:rsid w:val="005E7EAA"/>
    <w:rPr>
      <w:sz w:val="24"/>
      <w:szCs w:val="24"/>
    </w:rPr>
  </w:style>
  <w:style w:type="paragraph" w:styleId="a6">
    <w:name w:val="annotation subject"/>
    <w:basedOn w:val="a4"/>
    <w:next w:val="a4"/>
    <w:link w:val="a7"/>
    <w:semiHidden/>
    <w:unhideWhenUsed/>
    <w:rsid w:val="005E7EAA"/>
    <w:rPr>
      <w:b/>
      <w:bCs/>
    </w:rPr>
  </w:style>
  <w:style w:type="character" w:customStyle="1" w:styleId="a7">
    <w:name w:val="批注主题 字符"/>
    <w:basedOn w:val="a5"/>
    <w:link w:val="a6"/>
    <w:semiHidden/>
    <w:rsid w:val="005E7EAA"/>
    <w:rPr>
      <w:b/>
      <w:bCs/>
      <w:sz w:val="24"/>
      <w:szCs w:val="24"/>
    </w:rPr>
  </w:style>
  <w:style w:type="table" w:styleId="a8">
    <w:name w:val="Table Grid"/>
    <w:basedOn w:val="a1"/>
    <w:uiPriority w:val="59"/>
    <w:rsid w:val="0002490D"/>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735F6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735F6F"/>
    <w:rPr>
      <w:sz w:val="18"/>
      <w:szCs w:val="18"/>
    </w:rPr>
  </w:style>
  <w:style w:type="paragraph" w:styleId="ab">
    <w:name w:val="footer"/>
    <w:basedOn w:val="a"/>
    <w:link w:val="ac"/>
    <w:uiPriority w:val="99"/>
    <w:unhideWhenUsed/>
    <w:rsid w:val="00735F6F"/>
    <w:pPr>
      <w:tabs>
        <w:tab w:val="center" w:pos="4153"/>
        <w:tab w:val="right" w:pos="8306"/>
      </w:tabs>
      <w:snapToGrid w:val="0"/>
    </w:pPr>
    <w:rPr>
      <w:sz w:val="18"/>
      <w:szCs w:val="18"/>
    </w:rPr>
  </w:style>
  <w:style w:type="character" w:customStyle="1" w:styleId="ac">
    <w:name w:val="页脚 字符"/>
    <w:basedOn w:val="a0"/>
    <w:link w:val="ab"/>
    <w:uiPriority w:val="99"/>
    <w:rsid w:val="00735F6F"/>
    <w:rPr>
      <w:sz w:val="18"/>
      <w:szCs w:val="18"/>
    </w:rPr>
  </w:style>
  <w:style w:type="paragraph" w:styleId="ad">
    <w:name w:val="Balloon Text"/>
    <w:basedOn w:val="a"/>
    <w:link w:val="ae"/>
    <w:rsid w:val="00207CFE"/>
    <w:rPr>
      <w:rFonts w:ascii="Segoe UI" w:hAnsi="Segoe UI" w:cs="Segoe UI"/>
      <w:sz w:val="18"/>
      <w:szCs w:val="18"/>
    </w:rPr>
  </w:style>
  <w:style w:type="character" w:customStyle="1" w:styleId="ae">
    <w:name w:val="批注框文本 字符"/>
    <w:basedOn w:val="a0"/>
    <w:link w:val="ad"/>
    <w:rsid w:val="00207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25</Pages>
  <Words>6379</Words>
  <Characters>36361</Characters>
  <Application>Microsoft Office Word</Application>
  <DocSecurity>0</DocSecurity>
  <Lines>303</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jiaping yan</cp:lastModifiedBy>
  <cp:revision>9</cp:revision>
  <dcterms:created xsi:type="dcterms:W3CDTF">2021-06-03T03:46:00Z</dcterms:created>
  <dcterms:modified xsi:type="dcterms:W3CDTF">2021-06-04T09:53:00Z</dcterms:modified>
</cp:coreProperties>
</file>