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CE92D" w14:textId="77777777" w:rsidR="0099311D" w:rsidRDefault="00FD74F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7A1E2A" w14:textId="77777777" w:rsidR="0099311D" w:rsidRDefault="00FD74F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65082</w:t>
      </w:r>
    </w:p>
    <w:p w14:paraId="0CE421A7" w14:textId="77777777" w:rsidR="0099311D" w:rsidRDefault="00FD74F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6EBC8D4" w14:textId="77777777" w:rsidR="0099311D" w:rsidRDefault="0099311D">
      <w:pPr>
        <w:spacing w:line="360" w:lineRule="auto"/>
        <w:jc w:val="both"/>
      </w:pPr>
    </w:p>
    <w:p w14:paraId="3E843998" w14:textId="77777777" w:rsidR="0099311D" w:rsidRDefault="00FD74F5">
      <w:pPr>
        <w:spacing w:line="360" w:lineRule="auto"/>
        <w:jc w:val="both"/>
      </w:pPr>
      <w:r>
        <w:rPr>
          <w:rFonts w:ascii="Book Antiqua" w:eastAsia="Book Antiqua" w:hAnsi="Book Antiqua" w:cs="Book Antiqua"/>
          <w:b/>
          <w:bCs/>
          <w:color w:val="000000"/>
        </w:rPr>
        <w:t>Ectopic opening of the common bile duct into the duodenal bulb with recurrent choledocholithiasis: A case report</w:t>
      </w:r>
    </w:p>
    <w:p w14:paraId="71A2481E" w14:textId="77777777" w:rsidR="0099311D" w:rsidRDefault="0099311D">
      <w:pPr>
        <w:spacing w:line="360" w:lineRule="auto"/>
        <w:jc w:val="both"/>
      </w:pPr>
    </w:p>
    <w:p w14:paraId="79B5A72C" w14:textId="77777777" w:rsidR="0099311D" w:rsidRDefault="00FD74F5">
      <w:pPr>
        <w:spacing w:line="360" w:lineRule="auto"/>
        <w:jc w:val="both"/>
      </w:pPr>
      <w:r>
        <w:rPr>
          <w:rFonts w:ascii="Book Antiqua" w:eastAsia="Book Antiqua" w:hAnsi="Book Antiqua" w:cs="Book Antiqua"/>
          <w:color w:val="000000"/>
        </w:rPr>
        <w:t xml:space="preserve">Xu </w:t>
      </w:r>
      <w:r>
        <w:rPr>
          <w:rFonts w:ascii="Book Antiqua" w:hAnsi="Book Antiqua" w:cs="Book Antiqua" w:hint="eastAsia"/>
          <w:color w:val="000000"/>
          <w:lang w:eastAsia="zh-CN"/>
        </w:rPr>
        <w:t xml:space="preserve">H </w:t>
      </w:r>
      <w:r>
        <w:rPr>
          <w:rFonts w:ascii="Book Antiqua" w:hAnsi="Book Antiqua" w:cs="Book Antiqu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Ectopic opening of the common bile duct </w:t>
      </w:r>
    </w:p>
    <w:p w14:paraId="48DB41FD" w14:textId="77777777" w:rsidR="0099311D" w:rsidRDefault="0099311D">
      <w:pPr>
        <w:spacing w:line="360" w:lineRule="auto"/>
        <w:jc w:val="both"/>
      </w:pPr>
    </w:p>
    <w:p w14:paraId="1E7F5C41" w14:textId="77777777" w:rsidR="0099311D" w:rsidRDefault="00FD74F5">
      <w:pPr>
        <w:spacing w:line="360" w:lineRule="auto"/>
        <w:jc w:val="both"/>
      </w:pP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w:t>
      </w:r>
      <w:bookmarkStart w:id="0" w:name="OLE_LINK299"/>
      <w:bookmarkStart w:id="1" w:name="OLE_LINK298"/>
      <w:r>
        <w:rPr>
          <w:rFonts w:ascii="Book Antiqua" w:eastAsia="Book Antiqua" w:hAnsi="Book Antiqua" w:cs="Book Antiqua"/>
          <w:color w:val="000000"/>
        </w:rPr>
        <w:t>Xu</w:t>
      </w:r>
      <w:bookmarkEnd w:id="0"/>
      <w:bookmarkEnd w:id="1"/>
      <w:r>
        <w:rPr>
          <w:rFonts w:ascii="Book Antiqua" w:eastAsia="Book Antiqua" w:hAnsi="Book Antiqua" w:cs="Book Antiqua"/>
          <w:color w:val="000000"/>
        </w:rPr>
        <w:t xml:space="preserve">, Xin Li,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-Xiang Zhu, Wen-Ce Zhou</w:t>
      </w:r>
    </w:p>
    <w:p w14:paraId="1702FF2F" w14:textId="77777777" w:rsidR="0099311D" w:rsidRDefault="0099311D">
      <w:pPr>
        <w:spacing w:line="360" w:lineRule="auto"/>
        <w:jc w:val="both"/>
      </w:pPr>
    </w:p>
    <w:p w14:paraId="6904722F" w14:textId="77777777" w:rsidR="0099311D" w:rsidRDefault="00FD74F5">
      <w:pPr>
        <w:spacing w:line="360" w:lineRule="auto"/>
        <w:jc w:val="both"/>
      </w:pP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Xu,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-Xiang Zhu, Wen-Ce Zhou, </w:t>
      </w:r>
      <w:r>
        <w:rPr>
          <w:rFonts w:ascii="Book Antiqua" w:eastAsia="Book Antiqua" w:hAnsi="Book Antiqua" w:cs="Book Antiqua"/>
          <w:color w:val="000000"/>
        </w:rPr>
        <w:t>The Fourth Department of General Surgery, The First Hospital of Lanzhou University, Lanzhou 730000, Gansu Province, China</w:t>
      </w:r>
    </w:p>
    <w:p w14:paraId="6A9D532F" w14:textId="77777777" w:rsidR="0099311D" w:rsidRDefault="0099311D">
      <w:pPr>
        <w:spacing w:line="360" w:lineRule="auto"/>
        <w:jc w:val="both"/>
      </w:pPr>
    </w:p>
    <w:p w14:paraId="308D114F" w14:textId="77777777" w:rsidR="0099311D" w:rsidRDefault="00FD74F5">
      <w:pPr>
        <w:spacing w:line="360" w:lineRule="auto"/>
        <w:jc w:val="both"/>
      </w:pPr>
      <w:r>
        <w:rPr>
          <w:rFonts w:ascii="Book Antiqua" w:eastAsia="Book Antiqua" w:hAnsi="Book Antiqua" w:cs="Book Antiqua"/>
          <w:b/>
          <w:bCs/>
          <w:color w:val="000000"/>
        </w:rPr>
        <w:t xml:space="preserve">Xin Li, </w:t>
      </w:r>
      <w:r>
        <w:rPr>
          <w:rFonts w:ascii="Book Antiqua" w:eastAsia="Book Antiqua" w:hAnsi="Book Antiqua" w:cs="Book Antiqua"/>
          <w:color w:val="000000"/>
        </w:rPr>
        <w:t>The First Clinical Medical School of Lanzhou University, Lanzhou University, Lanzhou 730000, Gansu Province, China</w:t>
      </w:r>
    </w:p>
    <w:p w14:paraId="2EDDD85F" w14:textId="77777777" w:rsidR="0099311D" w:rsidRDefault="0099311D">
      <w:pPr>
        <w:spacing w:line="360" w:lineRule="auto"/>
        <w:jc w:val="both"/>
      </w:pPr>
    </w:p>
    <w:p w14:paraId="0FC271BB" w14:textId="77777777" w:rsidR="0099311D" w:rsidRDefault="00FD74F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 H wrote the manuscript and acquired patient information; Li X and Zhu K</w:t>
      </w:r>
      <w:r>
        <w:rPr>
          <w:rFonts w:ascii="Book Antiqua" w:eastAsia="Book Antiqua" w:hAnsi="Book Antiqua" w:cs="Book Antiqua"/>
          <w:caps/>
          <w:color w:val="000000"/>
        </w:rPr>
        <w:t>x</w:t>
      </w:r>
      <w:r>
        <w:rPr>
          <w:rFonts w:ascii="Book Antiqua" w:eastAsia="Book Antiqua" w:hAnsi="Book Antiqua" w:cs="Book Antiqua"/>
          <w:color w:val="000000"/>
        </w:rPr>
        <w:t xml:space="preserve"> performed the literature review and follow-up; Zhou W</w:t>
      </w:r>
      <w:r>
        <w:rPr>
          <w:rFonts w:ascii="Book Antiqua" w:eastAsia="Book Antiqua" w:hAnsi="Book Antiqua" w:cs="Book Antiqua"/>
          <w:caps/>
          <w:color w:val="000000"/>
        </w:rPr>
        <w:t xml:space="preserve">c </w:t>
      </w:r>
      <w:r>
        <w:rPr>
          <w:rFonts w:ascii="Book Antiqua" w:eastAsia="Book Antiqua" w:hAnsi="Book Antiqua" w:cs="Book Antiqua"/>
          <w:color w:val="000000"/>
        </w:rPr>
        <w:t>revised the manuscript; all authors have read and approved the final manuscript.</w:t>
      </w:r>
    </w:p>
    <w:p w14:paraId="3191D5C5" w14:textId="77777777" w:rsidR="0099311D" w:rsidRDefault="0099311D">
      <w:pPr>
        <w:spacing w:line="360" w:lineRule="auto"/>
        <w:jc w:val="both"/>
      </w:pPr>
    </w:p>
    <w:p w14:paraId="42C2C14E" w14:textId="7D184F7E" w:rsidR="0099311D" w:rsidRPr="00C90438" w:rsidRDefault="00FD74F5">
      <w:pPr>
        <w:spacing w:line="360" w:lineRule="auto"/>
        <w:jc w:val="both"/>
        <w:rPr>
          <w:lang w:eastAsia="zh-CN"/>
        </w:rPr>
      </w:pPr>
      <w:proofErr w:type="gramStart"/>
      <w:r>
        <w:rPr>
          <w:rFonts w:ascii="Book Antiqua" w:eastAsia="Book Antiqua" w:hAnsi="Book Antiqua" w:cs="Book Antiqua"/>
          <w:b/>
          <w:bCs/>
          <w:color w:val="000000"/>
          <w:szCs w:val="21"/>
        </w:rPr>
        <w:t xml:space="preserve">Supported by </w:t>
      </w:r>
      <w:r w:rsidR="00420573">
        <w:rPr>
          <w:rFonts w:ascii="Book Antiqua" w:hAnsi="Book Antiqua" w:cs="Book Antiqua" w:hint="eastAsia"/>
          <w:color w:val="000000"/>
          <w:lang w:eastAsia="zh-CN"/>
        </w:rPr>
        <w:t>T</w:t>
      </w:r>
      <w:r>
        <w:rPr>
          <w:rFonts w:ascii="Book Antiqua" w:eastAsia="Book Antiqua" w:hAnsi="Book Antiqua" w:cs="Book Antiqua"/>
          <w:color w:val="000000"/>
        </w:rPr>
        <w:t>he Key Research and Development Program of Gansu, No. 17YF1FA128; and Lanzhou Science and Technology Bureau Innovation and Entrepreneurship Talent Program, No. 2017-RC-37.</w:t>
      </w:r>
      <w:proofErr w:type="gramEnd"/>
    </w:p>
    <w:p w14:paraId="447EA5E7" w14:textId="77777777" w:rsidR="0099311D" w:rsidRDefault="0099311D">
      <w:pPr>
        <w:spacing w:line="360" w:lineRule="auto"/>
        <w:jc w:val="both"/>
      </w:pPr>
    </w:p>
    <w:p w14:paraId="49AF5D38" w14:textId="77777777" w:rsidR="0099311D" w:rsidRDefault="00FD74F5">
      <w:pPr>
        <w:spacing w:line="360" w:lineRule="auto"/>
        <w:jc w:val="both"/>
      </w:pPr>
      <w:r>
        <w:rPr>
          <w:rFonts w:ascii="Book Antiqua" w:eastAsia="Book Antiqua" w:hAnsi="Book Antiqua" w:cs="Book Antiqua"/>
          <w:b/>
          <w:bCs/>
          <w:color w:val="000000"/>
        </w:rPr>
        <w:t xml:space="preserve">Corresponding author: Wen-Ce Zhou, MD, PhD, Professor, Surgeon, </w:t>
      </w:r>
      <w:r>
        <w:rPr>
          <w:rFonts w:ascii="Book Antiqua" w:eastAsia="Book Antiqua" w:hAnsi="Book Antiqua" w:cs="Book Antiqua"/>
          <w:color w:val="000000"/>
        </w:rPr>
        <w:t xml:space="preserve">The Fourth Department of General Surgery, The First Hospital of Lanzhou University, </w:t>
      </w:r>
      <w:proofErr w:type="spellStart"/>
      <w:r>
        <w:rPr>
          <w:rFonts w:ascii="Book Antiqua" w:eastAsia="Book Antiqua" w:hAnsi="Book Antiqua" w:cs="Book Antiqua"/>
          <w:color w:val="000000"/>
        </w:rPr>
        <w:t>Donggang</w:t>
      </w:r>
      <w:proofErr w:type="spellEnd"/>
      <w:r>
        <w:rPr>
          <w:rFonts w:ascii="Book Antiqua" w:eastAsia="Book Antiqua" w:hAnsi="Book Antiqua" w:cs="Book Antiqua"/>
          <w:color w:val="000000"/>
        </w:rPr>
        <w:t xml:space="preserve"> West Road No.</w:t>
      </w:r>
      <w:r>
        <w:rPr>
          <w:rFonts w:ascii="Book Antiqua" w:hAnsi="Book Antiqua" w:cs="Book Antiqua" w:hint="eastAsia"/>
          <w:color w:val="000000"/>
          <w:lang w:eastAsia="zh-CN"/>
        </w:rPr>
        <w:t xml:space="preserve"> </w:t>
      </w:r>
      <w:r>
        <w:rPr>
          <w:rFonts w:ascii="Book Antiqua" w:eastAsia="Book Antiqua" w:hAnsi="Book Antiqua" w:cs="Book Antiqua"/>
          <w:color w:val="000000"/>
        </w:rPr>
        <w:t>1, Lanzhou 730000, Gansu Province, China. zhouwc129@163.com</w:t>
      </w:r>
    </w:p>
    <w:p w14:paraId="67980010" w14:textId="77777777" w:rsidR="0099311D" w:rsidRDefault="0099311D">
      <w:pPr>
        <w:spacing w:line="360" w:lineRule="auto"/>
        <w:jc w:val="both"/>
      </w:pPr>
    </w:p>
    <w:p w14:paraId="4D475408" w14:textId="77777777" w:rsidR="0099311D" w:rsidRDefault="00FD74F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28, 2021</w:t>
      </w:r>
    </w:p>
    <w:p w14:paraId="446F982A" w14:textId="77777777" w:rsidR="0099311D" w:rsidRDefault="00FD74F5">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April 22, 2021</w:t>
      </w:r>
    </w:p>
    <w:p w14:paraId="082D5442" w14:textId="4FE9DEB1" w:rsidR="0099311D" w:rsidRDefault="00FD74F5">
      <w:pPr>
        <w:spacing w:line="360" w:lineRule="auto"/>
        <w:jc w:val="both"/>
      </w:pPr>
      <w:r>
        <w:rPr>
          <w:rFonts w:ascii="Book Antiqua" w:eastAsia="Book Antiqua" w:hAnsi="Book Antiqua" w:cs="Book Antiqua"/>
          <w:b/>
          <w:bCs/>
          <w:color w:val="000000"/>
        </w:rPr>
        <w:t xml:space="preserve">Accepted: </w:t>
      </w:r>
      <w:r w:rsidR="00B5310B" w:rsidRPr="009A4E17">
        <w:rPr>
          <w:rFonts w:ascii="Book Antiqua" w:eastAsia="Book Antiqua" w:hAnsi="Book Antiqua" w:cs="Book Antiqua"/>
          <w:bCs/>
          <w:color w:val="000000"/>
        </w:rPr>
        <w:t>May 20, 2021</w:t>
      </w:r>
    </w:p>
    <w:p w14:paraId="4E062904" w14:textId="0F4C3E7B" w:rsidR="0099311D" w:rsidRDefault="00FD74F5">
      <w:pPr>
        <w:spacing w:line="360" w:lineRule="auto"/>
        <w:jc w:val="both"/>
      </w:pPr>
      <w:r>
        <w:rPr>
          <w:rFonts w:ascii="Book Antiqua" w:eastAsia="Book Antiqua" w:hAnsi="Book Antiqua" w:cs="Book Antiqua"/>
          <w:b/>
          <w:bCs/>
          <w:color w:val="000000"/>
        </w:rPr>
        <w:t xml:space="preserve">Published online: </w:t>
      </w:r>
      <w:r w:rsidR="00C90438" w:rsidRPr="00C90438">
        <w:rPr>
          <w:rFonts w:ascii="Book Antiqua" w:eastAsia="Book Antiqua" w:hAnsi="Book Antiqua" w:cs="Book Antiqua"/>
          <w:bCs/>
          <w:color w:val="000000"/>
        </w:rPr>
        <w:t>July 6, 2021</w:t>
      </w:r>
    </w:p>
    <w:p w14:paraId="5D604B67" w14:textId="77777777" w:rsidR="0099311D" w:rsidRDefault="0099311D">
      <w:pPr>
        <w:spacing w:line="360" w:lineRule="auto"/>
        <w:jc w:val="both"/>
        <w:sectPr w:rsidR="0099311D">
          <w:footerReference w:type="default" r:id="rId8"/>
          <w:pgSz w:w="12240" w:h="15840"/>
          <w:pgMar w:top="1440" w:right="1440" w:bottom="1440" w:left="1440" w:header="720" w:footer="720" w:gutter="0"/>
          <w:cols w:space="720"/>
          <w:docGrid w:linePitch="360"/>
        </w:sectPr>
      </w:pPr>
    </w:p>
    <w:p w14:paraId="52399D29" w14:textId="77777777" w:rsidR="0099311D" w:rsidRDefault="00FD74F5">
      <w:pPr>
        <w:spacing w:line="360" w:lineRule="auto"/>
        <w:jc w:val="both"/>
      </w:pPr>
      <w:r>
        <w:rPr>
          <w:rFonts w:ascii="Book Antiqua" w:eastAsia="Book Antiqua" w:hAnsi="Book Antiqua" w:cs="Book Antiqua"/>
          <w:b/>
          <w:color w:val="000000"/>
        </w:rPr>
        <w:lastRenderedPageBreak/>
        <w:t>Abstract</w:t>
      </w:r>
    </w:p>
    <w:p w14:paraId="074F1992" w14:textId="77777777" w:rsidR="0099311D" w:rsidRDefault="00FD74F5">
      <w:pPr>
        <w:spacing w:line="360" w:lineRule="auto"/>
        <w:jc w:val="both"/>
      </w:pPr>
      <w:r>
        <w:rPr>
          <w:rFonts w:ascii="Book Antiqua" w:eastAsia="Book Antiqua" w:hAnsi="Book Antiqua" w:cs="Book Antiqua"/>
          <w:color w:val="000000"/>
        </w:rPr>
        <w:t>BACKGROUND</w:t>
      </w:r>
    </w:p>
    <w:p w14:paraId="0094AA31" w14:textId="77777777" w:rsidR="0099311D" w:rsidRDefault="00FD74F5">
      <w:pPr>
        <w:spacing w:line="360" w:lineRule="auto"/>
        <w:jc w:val="both"/>
      </w:pPr>
      <w:r>
        <w:rPr>
          <w:rFonts w:ascii="Book Antiqua" w:eastAsia="Book Antiqua" w:hAnsi="Book Antiqua" w:cs="Book Antiqua"/>
          <w:color w:val="000000"/>
        </w:rPr>
        <w:t>Ectopic opening of the common bile duct is a condition with low incidence. Patients with an ectopic common bile duct opening have a high incidence of common bile duct stones and acute cholangitis. Patients with atypical symptoms and imaging findings are easily misdiagnosed; moreover, it is difficult to retrieve stones by endoscopic retrograde cholangiopancreatography, and common bile duct stones are prone to postsurgical recurrence.</w:t>
      </w:r>
    </w:p>
    <w:p w14:paraId="6251DD76" w14:textId="77777777" w:rsidR="0099311D" w:rsidRDefault="0099311D">
      <w:pPr>
        <w:spacing w:line="360" w:lineRule="auto"/>
        <w:jc w:val="both"/>
      </w:pPr>
    </w:p>
    <w:p w14:paraId="79A9D287" w14:textId="77777777" w:rsidR="0099311D" w:rsidRDefault="00FD74F5">
      <w:pPr>
        <w:spacing w:line="360" w:lineRule="auto"/>
        <w:jc w:val="both"/>
      </w:pPr>
      <w:r>
        <w:rPr>
          <w:rFonts w:ascii="Book Antiqua" w:eastAsia="Book Antiqua" w:hAnsi="Book Antiqua" w:cs="Book Antiqua"/>
          <w:color w:val="000000"/>
        </w:rPr>
        <w:t>CASE SUMMARY</w:t>
      </w:r>
    </w:p>
    <w:p w14:paraId="02FE8879" w14:textId="1C40B860" w:rsidR="0099311D" w:rsidRDefault="00FD74F5">
      <w:pPr>
        <w:spacing w:line="360" w:lineRule="auto"/>
        <w:jc w:val="both"/>
      </w:pPr>
      <w:r>
        <w:rPr>
          <w:rFonts w:ascii="Book Antiqua" w:eastAsia="Book Antiqua" w:hAnsi="Book Antiqua" w:cs="Book Antiqua"/>
          <w:color w:val="000000"/>
        </w:rPr>
        <w:t xml:space="preserve">A 45-year-old male patient presented with </w:t>
      </w:r>
      <w:r w:rsidR="008D2629">
        <w:rPr>
          <w:rFonts w:ascii="Book Antiqua" w:hAnsi="Book Antiqua" w:cs="Book Antiqua"/>
          <w:color w:val="000000"/>
          <w:lang w:eastAsia="zh-CN"/>
        </w:rPr>
        <w:t>“</w:t>
      </w:r>
      <w:r>
        <w:rPr>
          <w:rFonts w:ascii="Book Antiqua" w:eastAsia="Book Antiqua" w:hAnsi="Book Antiqua" w:cs="Book Antiqua"/>
          <w:color w:val="000000"/>
        </w:rPr>
        <w:t xml:space="preserve">intermittent upper abdominal pain and elevated liver enzymes for 1 </w:t>
      </w:r>
      <w:proofErr w:type="spellStart"/>
      <w:r>
        <w:rPr>
          <w:rFonts w:ascii="Book Antiqua" w:eastAsia="Book Antiqua" w:hAnsi="Book Antiqua" w:cs="Book Antiqua"/>
          <w:color w:val="000000"/>
        </w:rPr>
        <w:t>wk</w:t>
      </w:r>
      <w:proofErr w:type="spellEnd"/>
      <w:r w:rsidR="008D2629">
        <w:rPr>
          <w:rFonts w:ascii="Book Antiqua" w:hAnsi="Book Antiqua" w:cs="Book Antiqua"/>
          <w:color w:val="000000"/>
          <w:lang w:eastAsia="zh-CN"/>
        </w:rPr>
        <w:t>”</w:t>
      </w:r>
      <w:r>
        <w:rPr>
          <w:rFonts w:ascii="Book Antiqua" w:eastAsia="Book Antiqua" w:hAnsi="Book Antiqua" w:cs="Book Antiqua"/>
          <w:color w:val="000000"/>
        </w:rPr>
        <w:t xml:space="preserve">. Transabdominal ultrasound indicated dilation of the common bile duct and the presence of stones. Magnetic resonance imaging showed that the common bile duct was dilated with stones and that its opening was ectopic. Endoscopic retrograde cholangiopancreatography revealed an abnormal opening of the common bile duct into the duodenal bulb and the presence of common bile duct stones. Laparoscopic extrahepatic </w:t>
      </w:r>
      <w:proofErr w:type="spellStart"/>
      <w:r>
        <w:rPr>
          <w:rFonts w:ascii="Book Antiqua" w:eastAsia="Book Antiqua" w:hAnsi="Book Antiqua" w:cs="Book Antiqua"/>
          <w:color w:val="000000"/>
        </w:rPr>
        <w:t>choledochectomy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hepatoenteric</w:t>
      </w:r>
      <w:proofErr w:type="spellEnd"/>
      <w:r>
        <w:rPr>
          <w:rFonts w:ascii="Book Antiqua" w:eastAsia="Book Antiqua" w:hAnsi="Book Antiqua" w:cs="Book Antiqua"/>
          <w:color w:val="000000"/>
        </w:rPr>
        <w:t xml:space="preserve"> anastomosis were performed. After surgery, the patient recovered well and was discharged. The patient has been followed up for 2 years since the operation. He has not experienced stone recurrence, and his liver function and quality of life are good.</w:t>
      </w:r>
    </w:p>
    <w:p w14:paraId="79C62E25" w14:textId="77777777" w:rsidR="0099311D" w:rsidRDefault="0099311D">
      <w:pPr>
        <w:spacing w:line="360" w:lineRule="auto"/>
        <w:jc w:val="both"/>
      </w:pPr>
    </w:p>
    <w:p w14:paraId="42E53762" w14:textId="77777777" w:rsidR="0099311D" w:rsidRDefault="00FD74F5">
      <w:pPr>
        <w:spacing w:line="360" w:lineRule="auto"/>
        <w:jc w:val="both"/>
      </w:pPr>
      <w:r>
        <w:rPr>
          <w:rFonts w:ascii="Book Antiqua" w:eastAsia="Book Antiqua" w:hAnsi="Book Antiqua" w:cs="Book Antiqua"/>
          <w:color w:val="000000"/>
        </w:rPr>
        <w:t>CONCLUSION</w:t>
      </w:r>
    </w:p>
    <w:p w14:paraId="6E8A7168" w14:textId="77777777" w:rsidR="0099311D" w:rsidRDefault="00FD74F5">
      <w:pPr>
        <w:spacing w:line="360" w:lineRule="auto"/>
        <w:jc w:val="both"/>
      </w:pPr>
      <w:r>
        <w:rPr>
          <w:rFonts w:ascii="Book Antiqua" w:eastAsia="Book Antiqua" w:hAnsi="Book Antiqua" w:cs="Book Antiqua"/>
          <w:color w:val="000000"/>
        </w:rPr>
        <w:t>Improved understanding of ectopic opening of the common bile duct is needed for clinicians to provide patients with appropriate treatment.</w:t>
      </w:r>
    </w:p>
    <w:p w14:paraId="502D9592" w14:textId="77777777" w:rsidR="0099311D" w:rsidRDefault="0099311D">
      <w:pPr>
        <w:spacing w:line="360" w:lineRule="auto"/>
        <w:jc w:val="both"/>
      </w:pPr>
    </w:p>
    <w:p w14:paraId="7FCFE65D" w14:textId="77777777" w:rsidR="0099311D" w:rsidRDefault="00FD74F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Ectopic opening of the common bile duct; </w:t>
      </w:r>
      <w:proofErr w:type="spellStart"/>
      <w:r>
        <w:rPr>
          <w:rFonts w:ascii="Book Antiqua" w:eastAsia="Book Antiqua" w:hAnsi="Book Antiqua" w:cs="Book Antiqua"/>
          <w:color w:val="000000"/>
        </w:rPr>
        <w:t>Choledocholithiasis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Cholangiojejunostomy</w:t>
      </w:r>
      <w:proofErr w:type="spellEnd"/>
      <w:r>
        <w:rPr>
          <w:rFonts w:ascii="Book Antiqua" w:eastAsia="Book Antiqua" w:hAnsi="Book Antiqua" w:cs="Book Antiqua"/>
          <w:color w:val="000000"/>
        </w:rPr>
        <w:t>; Treatment; Laparoscopic surgery; Case report</w:t>
      </w:r>
    </w:p>
    <w:p w14:paraId="15F35C0A" w14:textId="77777777" w:rsidR="0031665E" w:rsidRDefault="0031665E" w:rsidP="0031665E">
      <w:pPr>
        <w:spacing w:line="360" w:lineRule="auto"/>
        <w:rPr>
          <w:rFonts w:ascii="Book Antiqua" w:hAnsi="Book Antiqua" w:cs="Book Antiqua"/>
          <w:b/>
          <w:color w:val="000000"/>
        </w:rPr>
      </w:pPr>
    </w:p>
    <w:p w14:paraId="341EACE5" w14:textId="77777777" w:rsidR="0031665E" w:rsidRDefault="0031665E" w:rsidP="0031665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5C5864D" w14:textId="77777777" w:rsidR="0099311D" w:rsidRDefault="0099311D">
      <w:pPr>
        <w:spacing w:line="360" w:lineRule="auto"/>
        <w:jc w:val="both"/>
      </w:pPr>
    </w:p>
    <w:p w14:paraId="65BE3660" w14:textId="5AF464A2" w:rsidR="0099311D" w:rsidRPr="0031665E" w:rsidRDefault="00FD74F5">
      <w:pPr>
        <w:spacing w:line="360" w:lineRule="auto"/>
        <w:jc w:val="both"/>
        <w:rPr>
          <w:rFonts w:hint="eastAsia"/>
          <w:lang w:eastAsia="zh-CN"/>
        </w:rPr>
      </w:pPr>
      <w:r>
        <w:rPr>
          <w:rFonts w:ascii="Book Antiqua" w:eastAsia="Book Antiqua" w:hAnsi="Book Antiqua" w:cs="Book Antiqua"/>
          <w:color w:val="000000"/>
        </w:rPr>
        <w:t xml:space="preserve">Xu H, Li X, Zhu KX, Zhou WC. Ectopic opening of the common bile duct into the duodenal bulb with recurrent choledocholithiasis: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w:t>
      </w:r>
      <w:r w:rsidR="00C90438" w:rsidRPr="00C90438">
        <w:rPr>
          <w:rFonts w:ascii="Book Antiqua" w:eastAsia="Book Antiqua" w:hAnsi="Book Antiqua" w:cs="Book Antiqua"/>
          <w:color w:val="000000"/>
        </w:rPr>
        <w:t xml:space="preserve"> 9(19): </w:t>
      </w:r>
      <w:r w:rsidR="0031665E">
        <w:rPr>
          <w:rFonts w:ascii="Book Antiqua" w:hAnsi="Book Antiqua" w:cs="Book Antiqua" w:hint="eastAsia"/>
          <w:color w:val="000000"/>
          <w:lang w:eastAsia="zh-CN"/>
        </w:rPr>
        <w:t>5332-</w:t>
      </w:r>
      <w:proofErr w:type="gramStart"/>
      <w:r w:rsidR="0031665E">
        <w:rPr>
          <w:rFonts w:ascii="Book Antiqua" w:hAnsi="Book Antiqua" w:cs="Book Antiqua" w:hint="eastAsia"/>
          <w:color w:val="000000"/>
          <w:lang w:eastAsia="zh-CN"/>
        </w:rPr>
        <w:t>5338</w:t>
      </w:r>
      <w:r w:rsidR="00C90438" w:rsidRPr="00C90438">
        <w:rPr>
          <w:rFonts w:ascii="Book Antiqua" w:eastAsia="Book Antiqua" w:hAnsi="Book Antiqua" w:cs="Book Antiqua"/>
          <w:color w:val="000000"/>
        </w:rPr>
        <w:t xml:space="preserve">  URL</w:t>
      </w:r>
      <w:proofErr w:type="gramEnd"/>
      <w:r w:rsidR="00C90438" w:rsidRPr="00C90438">
        <w:rPr>
          <w:rFonts w:ascii="Book Antiqua" w:eastAsia="Book Antiqua" w:hAnsi="Book Antiqua" w:cs="Book Antiqua"/>
          <w:color w:val="000000"/>
        </w:rPr>
        <w:t>: https://www.wjgnet.com/2307-8960/full/v9/i19/</w:t>
      </w:r>
      <w:r w:rsidR="0031665E">
        <w:rPr>
          <w:rFonts w:ascii="Book Antiqua" w:hAnsi="Book Antiqua" w:cs="Book Antiqua" w:hint="eastAsia"/>
          <w:color w:val="000000"/>
          <w:lang w:eastAsia="zh-CN"/>
        </w:rPr>
        <w:t>5332</w:t>
      </w:r>
      <w:r w:rsidR="00C90438" w:rsidRPr="00C90438">
        <w:rPr>
          <w:rFonts w:ascii="Book Antiqua" w:eastAsia="Book Antiqua" w:hAnsi="Book Antiqua" w:cs="Book Antiqua"/>
          <w:color w:val="000000"/>
        </w:rPr>
        <w:t>.htm  DOI: https://dx.doi.org/10.12998/wjcc.v9.i19.</w:t>
      </w:r>
      <w:r w:rsidR="0031665E">
        <w:rPr>
          <w:rFonts w:ascii="Book Antiqua" w:hAnsi="Book Antiqua" w:cs="Book Antiqua" w:hint="eastAsia"/>
          <w:color w:val="000000"/>
          <w:lang w:eastAsia="zh-CN"/>
        </w:rPr>
        <w:t>5332</w:t>
      </w:r>
    </w:p>
    <w:p w14:paraId="4D38EB1F" w14:textId="77777777" w:rsidR="0099311D" w:rsidRDefault="0099311D">
      <w:pPr>
        <w:spacing w:line="360" w:lineRule="auto"/>
        <w:jc w:val="both"/>
      </w:pPr>
    </w:p>
    <w:p w14:paraId="1BA0F3D5" w14:textId="77777777" w:rsidR="0099311D" w:rsidRDefault="00FD74F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Ectopic opening of the common bile duct into the duodenal bulb is very rare. Patients with an ectopic common bile duct opening have a high incidence of common bile duct stones and acute cholangitis. Furthermore, patients with atypical symptoms and imaging findings are easily misdiagnosed. This report describes a case of ectopic opening of the common bile duct into the duodenal bulb with recurrent choledocholithiasis. This report is expected to provide experience for the diagnosis and treatment of this condition by describing the clinical data of this patient with an ectopic opening of the common bile duct into the duodenal bulb.</w:t>
      </w:r>
    </w:p>
    <w:p w14:paraId="08B6F79E" w14:textId="77777777" w:rsidR="0099311D" w:rsidRDefault="00FD74F5">
      <w:pPr>
        <w:spacing w:line="360" w:lineRule="auto"/>
        <w:jc w:val="both"/>
      </w:pPr>
      <w:r>
        <w:br w:type="page"/>
      </w:r>
      <w:r>
        <w:rPr>
          <w:rFonts w:ascii="Book Antiqua" w:eastAsia="Book Antiqua" w:hAnsi="Book Antiqua" w:cs="Book Antiqua"/>
          <w:b/>
          <w:caps/>
          <w:color w:val="000000"/>
          <w:u w:val="single"/>
        </w:rPr>
        <w:lastRenderedPageBreak/>
        <w:t>INTRODUCTION</w:t>
      </w:r>
    </w:p>
    <w:p w14:paraId="6E461594" w14:textId="77777777" w:rsidR="0099311D" w:rsidRDefault="00FD74F5">
      <w:pPr>
        <w:spacing w:line="360" w:lineRule="auto"/>
        <w:jc w:val="both"/>
      </w:pPr>
      <w:r>
        <w:rPr>
          <w:rFonts w:ascii="Book Antiqua" w:eastAsia="Book Antiqua" w:hAnsi="Book Antiqua" w:cs="Book Antiqua"/>
          <w:color w:val="000000"/>
        </w:rPr>
        <w:t xml:space="preserve">The ends of the normal pancreatic duct and the common bile duct open together through the duodenal papilla into the dorsal medial wall of the middle descending part of the duodenum, and an opening into the middle portion of the </w:t>
      </w:r>
      <w:proofErr w:type="spellStart"/>
      <w:r>
        <w:rPr>
          <w:rFonts w:ascii="Book Antiqua" w:eastAsia="Book Antiqua" w:hAnsi="Book Antiqua" w:cs="Book Antiqua"/>
          <w:color w:val="000000"/>
        </w:rPr>
        <w:t>nondescending</w:t>
      </w:r>
      <w:proofErr w:type="spellEnd"/>
      <w:r>
        <w:rPr>
          <w:rFonts w:ascii="Book Antiqua" w:eastAsia="Book Antiqua" w:hAnsi="Book Antiqua" w:cs="Book Antiqua"/>
          <w:color w:val="000000"/>
        </w:rPr>
        <w:t xml:space="preserve"> segment is considered an ectopic opening. Studies have shown that the incidence of ectopic bile duct opening is 2%-23%, including openings into the stomach, pyloric duct, and duodenum; openings into the duodenum are more common in the lower corner or horizontal part of the duodenum. An opening in the duodenal bulb is a very rare </w:t>
      </w:r>
      <w:proofErr w:type="gramStart"/>
      <w:r>
        <w:rPr>
          <w:rFonts w:ascii="Book Antiqua" w:eastAsia="Book Antiqua" w:hAnsi="Book Antiqua" w:cs="Book Antiqua"/>
          <w:color w:val="000000"/>
        </w:rPr>
        <w:t>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Due to the lack of specificity of the clinical manifestations of ectopic opening of the common bile duct into the duodenal bulb, lack of understanding by clinicians, and drawbacks of imaging examinations such as computed tomography, missed diagnosis or misdiagnosis of ectopic opening of the common bile duct often occurs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Cases of ectopic opening of the common bile duct into the duodenal bulb are often found incidentally when patients undergo endoscopic retrograde cholangiopancreatography (ERCP) due to common bile duct stones or stenosis of the end of the common bile </w:t>
      </w:r>
      <w:proofErr w:type="gramStart"/>
      <w:r>
        <w:rPr>
          <w:rFonts w:ascii="Book Antiqua" w:eastAsia="Book Antiqua" w:hAnsi="Book Antiqua" w:cs="Book Antiqua"/>
          <w:color w:val="000000"/>
        </w:rPr>
        <w:t>duct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Here, we report a case of ectopic opening of the common bile duct into the duodenal bulb with recurrent choledocholithiasis. This report is expected to provide experience for the diagnosis and treatment of this disease through the clinical data of a patient with ectopic opening of the common bile duct into the duodenal bulb. The patient provided informed consent for publication of this case.</w:t>
      </w:r>
    </w:p>
    <w:p w14:paraId="11B6BCEA" w14:textId="77777777" w:rsidR="0099311D" w:rsidRDefault="0099311D">
      <w:pPr>
        <w:spacing w:line="360" w:lineRule="auto"/>
        <w:jc w:val="both"/>
      </w:pPr>
    </w:p>
    <w:p w14:paraId="2A7A1116" w14:textId="77777777" w:rsidR="0099311D" w:rsidRDefault="00FD74F5">
      <w:pPr>
        <w:spacing w:line="360" w:lineRule="auto"/>
        <w:jc w:val="both"/>
      </w:pPr>
      <w:r>
        <w:rPr>
          <w:rFonts w:ascii="Book Antiqua" w:eastAsia="Book Antiqua" w:hAnsi="Book Antiqua" w:cs="Book Antiqua"/>
          <w:b/>
          <w:caps/>
          <w:color w:val="000000"/>
          <w:u w:val="single"/>
        </w:rPr>
        <w:t>CASE PRESENTATION</w:t>
      </w:r>
    </w:p>
    <w:p w14:paraId="27EE35B0" w14:textId="77777777" w:rsidR="0099311D" w:rsidRDefault="00FD74F5">
      <w:pPr>
        <w:spacing w:line="360" w:lineRule="auto"/>
        <w:jc w:val="both"/>
      </w:pPr>
      <w:r>
        <w:rPr>
          <w:rFonts w:ascii="Book Antiqua" w:eastAsia="Book Antiqua" w:hAnsi="Book Antiqua" w:cs="Book Antiqua"/>
          <w:b/>
          <w:i/>
          <w:color w:val="000000"/>
        </w:rPr>
        <w:t>Chief complaints</w:t>
      </w:r>
    </w:p>
    <w:p w14:paraId="788E595B" w14:textId="77777777" w:rsidR="0099311D" w:rsidRDefault="00FD74F5">
      <w:pPr>
        <w:spacing w:line="360" w:lineRule="auto"/>
        <w:jc w:val="both"/>
      </w:pPr>
      <w:r>
        <w:rPr>
          <w:rFonts w:ascii="Book Antiqua" w:eastAsia="Book Antiqua" w:hAnsi="Book Antiqua" w:cs="Book Antiqua"/>
          <w:color w:val="000000"/>
        </w:rPr>
        <w:t>A 45-year-old man was admitted to the hospital with a chief complaint of intermittent upper abdominal pain and elevated liver enzymes for 1 wk.</w:t>
      </w:r>
    </w:p>
    <w:p w14:paraId="0806EFA6" w14:textId="77777777" w:rsidR="0099311D" w:rsidRDefault="0099311D">
      <w:pPr>
        <w:spacing w:line="360" w:lineRule="auto"/>
        <w:jc w:val="both"/>
      </w:pPr>
    </w:p>
    <w:p w14:paraId="0D2462E3" w14:textId="77777777" w:rsidR="0099311D" w:rsidRDefault="00FD74F5">
      <w:pPr>
        <w:spacing w:line="360" w:lineRule="auto"/>
        <w:jc w:val="both"/>
      </w:pPr>
      <w:r>
        <w:rPr>
          <w:rFonts w:ascii="Book Antiqua" w:eastAsia="Book Antiqua" w:hAnsi="Book Antiqua" w:cs="Book Antiqua"/>
          <w:b/>
          <w:i/>
          <w:color w:val="000000"/>
        </w:rPr>
        <w:t>History of present illness</w:t>
      </w:r>
    </w:p>
    <w:p w14:paraId="47F25F0E" w14:textId="77777777" w:rsidR="0099311D" w:rsidRDefault="00FD74F5">
      <w:pPr>
        <w:spacing w:line="360" w:lineRule="auto"/>
        <w:jc w:val="both"/>
      </w:pPr>
      <w:r>
        <w:rPr>
          <w:rFonts w:ascii="Book Antiqua" w:eastAsia="Book Antiqua" w:hAnsi="Book Antiqua" w:cs="Book Antiqua"/>
          <w:color w:val="000000"/>
        </w:rPr>
        <w:t xml:space="preserve">Four years prior, the patient underwent cholecystectomy along with common bile duct exploration and stone removal at a local hospital for the treatment of gallbladder stones </w:t>
      </w:r>
      <w:r>
        <w:rPr>
          <w:rFonts w:ascii="Book Antiqua" w:eastAsia="Book Antiqua" w:hAnsi="Book Antiqua" w:cs="Book Antiqua"/>
          <w:color w:val="000000"/>
        </w:rPr>
        <w:lastRenderedPageBreak/>
        <w:t>and common bile duct stones. One week prior, the patient had intermittent upper abdominal pain and discomfort. The local hospital found abnormal liver enzyme levels.</w:t>
      </w:r>
    </w:p>
    <w:p w14:paraId="38356597" w14:textId="77777777" w:rsidR="0099311D" w:rsidRDefault="0099311D">
      <w:pPr>
        <w:spacing w:line="360" w:lineRule="auto"/>
        <w:jc w:val="both"/>
      </w:pPr>
    </w:p>
    <w:p w14:paraId="738732F6" w14:textId="77777777" w:rsidR="0099311D" w:rsidRDefault="00FD74F5">
      <w:pPr>
        <w:spacing w:line="360" w:lineRule="auto"/>
        <w:jc w:val="both"/>
      </w:pPr>
      <w:r>
        <w:rPr>
          <w:rFonts w:ascii="Book Antiqua" w:eastAsia="Book Antiqua" w:hAnsi="Book Antiqua" w:cs="Book Antiqua"/>
          <w:b/>
          <w:i/>
          <w:color w:val="000000"/>
        </w:rPr>
        <w:t>History of past illness</w:t>
      </w:r>
    </w:p>
    <w:p w14:paraId="24BAF0CB" w14:textId="77777777" w:rsidR="0099311D" w:rsidRDefault="00FD74F5">
      <w:pPr>
        <w:spacing w:line="360" w:lineRule="auto"/>
        <w:jc w:val="both"/>
      </w:pPr>
      <w:r>
        <w:rPr>
          <w:rFonts w:ascii="Book Antiqua" w:eastAsia="Book Antiqua" w:hAnsi="Book Antiqua" w:cs="Book Antiqua"/>
          <w:color w:val="000000"/>
        </w:rPr>
        <w:t>The patient denied a previous history of diseases such as hypertension or diabetes.</w:t>
      </w:r>
    </w:p>
    <w:p w14:paraId="32B4651A" w14:textId="77777777" w:rsidR="0099311D" w:rsidRDefault="0099311D">
      <w:pPr>
        <w:spacing w:line="360" w:lineRule="auto"/>
        <w:jc w:val="both"/>
      </w:pPr>
    </w:p>
    <w:p w14:paraId="4D97699D" w14:textId="77777777" w:rsidR="0099311D" w:rsidRDefault="00FD74F5">
      <w:pPr>
        <w:spacing w:line="360" w:lineRule="auto"/>
        <w:jc w:val="both"/>
      </w:pPr>
      <w:r>
        <w:rPr>
          <w:rFonts w:ascii="Book Antiqua" w:eastAsia="Book Antiqua" w:hAnsi="Book Antiqua" w:cs="Book Antiqua"/>
          <w:b/>
          <w:i/>
          <w:color w:val="000000"/>
        </w:rPr>
        <w:t>Personal and family history</w:t>
      </w:r>
    </w:p>
    <w:p w14:paraId="44BB9DB4" w14:textId="77777777" w:rsidR="0099311D" w:rsidRDefault="00FD74F5">
      <w:pPr>
        <w:spacing w:line="360" w:lineRule="auto"/>
        <w:jc w:val="both"/>
      </w:pPr>
      <w:r>
        <w:rPr>
          <w:rFonts w:ascii="Book Antiqua" w:eastAsia="Book Antiqua" w:hAnsi="Book Antiqua" w:cs="Book Antiqua"/>
          <w:color w:val="000000"/>
        </w:rPr>
        <w:t>The patient denied a history of smoking, tuberculosis, or alcohol or drug use. No family members had similar diseases.</w:t>
      </w:r>
    </w:p>
    <w:p w14:paraId="6C9DCAEB" w14:textId="77777777" w:rsidR="0099311D" w:rsidRDefault="0099311D">
      <w:pPr>
        <w:spacing w:line="360" w:lineRule="auto"/>
        <w:jc w:val="both"/>
      </w:pPr>
    </w:p>
    <w:p w14:paraId="7C7E92FA" w14:textId="77777777" w:rsidR="0099311D" w:rsidRDefault="00FD74F5">
      <w:pPr>
        <w:spacing w:line="360" w:lineRule="auto"/>
        <w:jc w:val="both"/>
      </w:pPr>
      <w:r>
        <w:rPr>
          <w:rFonts w:ascii="Book Antiqua" w:eastAsia="Book Antiqua" w:hAnsi="Book Antiqua" w:cs="Book Antiqua"/>
          <w:b/>
          <w:i/>
          <w:color w:val="000000"/>
        </w:rPr>
        <w:t>Physical examination</w:t>
      </w:r>
    </w:p>
    <w:p w14:paraId="1ED97988" w14:textId="77777777" w:rsidR="0099311D" w:rsidRDefault="00FD74F5">
      <w:pPr>
        <w:spacing w:line="360" w:lineRule="auto"/>
        <w:jc w:val="both"/>
      </w:pPr>
      <w:r>
        <w:rPr>
          <w:rFonts w:ascii="Book Antiqua" w:eastAsia="Book Antiqua" w:hAnsi="Book Antiqua" w:cs="Book Antiqua"/>
          <w:color w:val="000000"/>
        </w:rPr>
        <w:t>There was no overall yellowing of the skin and sclera. Mild tenderness was observed on deep palpation of the right upper abdomen. There was no rebound pain or muscle tension throughout the abdomen.</w:t>
      </w:r>
    </w:p>
    <w:p w14:paraId="181821DD" w14:textId="77777777" w:rsidR="0099311D" w:rsidRDefault="0099311D">
      <w:pPr>
        <w:spacing w:line="360" w:lineRule="auto"/>
        <w:jc w:val="both"/>
      </w:pPr>
    </w:p>
    <w:p w14:paraId="70D7CB63" w14:textId="77777777" w:rsidR="0099311D" w:rsidRDefault="00FD74F5">
      <w:pPr>
        <w:spacing w:line="360" w:lineRule="auto"/>
        <w:jc w:val="both"/>
      </w:pPr>
      <w:r>
        <w:rPr>
          <w:rFonts w:ascii="Book Antiqua" w:eastAsia="Book Antiqua" w:hAnsi="Book Antiqua" w:cs="Book Antiqua"/>
          <w:b/>
          <w:i/>
          <w:color w:val="000000"/>
        </w:rPr>
        <w:t>Laboratory examinations</w:t>
      </w:r>
    </w:p>
    <w:p w14:paraId="21A28655" w14:textId="77777777" w:rsidR="0099311D" w:rsidRDefault="00FD74F5">
      <w:pPr>
        <w:spacing w:line="360" w:lineRule="auto"/>
        <w:jc w:val="both"/>
      </w:pPr>
      <w:r>
        <w:rPr>
          <w:rFonts w:ascii="Book Antiqua" w:eastAsia="Book Antiqua" w:hAnsi="Book Antiqua" w:cs="Book Antiqua"/>
          <w:color w:val="000000"/>
        </w:rPr>
        <w:t xml:space="preserve">Laboratory examinations conducted after this admission showed the following: Alanine aminotransferase: 543 IU/L (normal: &lt; 49 IU/L); aspartate aminotransferase: 213 IU/L (normal: &lt; 49 IU/L); alkaline phosphatase: 194.9 IU/L (normal: &lt; 125 IU/L); gamma glutamyl transpeptidase: 511.6 IU/L (normal: &lt; 69 IU/L); direct bilirubin: 7.1 µmol/L (normal: &lt; 6.8 µmol/L); indirect bilirubin: 19.3 µmol/L (normal: &lt; 19 </w:t>
      </w:r>
      <w:r>
        <w:rPr>
          <w:rFonts w:ascii="Book Antiqua" w:eastAsia="Book Antiqua" w:hAnsi="Book Antiqua" w:cs="Book Antiqua"/>
          <w:color w:val="000000"/>
          <w:u w:val="single" w:color="000000"/>
        </w:rPr>
        <w:t>µ</w:t>
      </w:r>
      <w:r>
        <w:rPr>
          <w:rFonts w:ascii="Book Antiqua" w:eastAsia="Book Antiqua" w:hAnsi="Book Antiqua" w:cs="Book Antiqua"/>
          <w:color w:val="000000"/>
        </w:rPr>
        <w:t>mol/L); and carbohydrate antigen 19-9: 42.4 U/m</w:t>
      </w:r>
      <w:r>
        <w:rPr>
          <w:rFonts w:ascii="Book Antiqua" w:eastAsia="Book Antiqua" w:hAnsi="Book Antiqua" w:cs="Book Antiqua"/>
          <w:caps/>
          <w:color w:val="000000"/>
        </w:rPr>
        <w:t>l</w:t>
      </w:r>
      <w:r>
        <w:rPr>
          <w:rFonts w:ascii="Book Antiqua" w:eastAsia="Book Antiqua" w:hAnsi="Book Antiqua" w:cs="Book Antiqua"/>
          <w:color w:val="000000"/>
        </w:rPr>
        <w:t xml:space="preserve"> (normal: &lt; 27 U/m</w:t>
      </w:r>
      <w:r>
        <w:rPr>
          <w:rFonts w:ascii="Book Antiqua" w:eastAsia="Book Antiqua" w:hAnsi="Book Antiqua" w:cs="Book Antiqua"/>
          <w:caps/>
          <w:color w:val="000000"/>
        </w:rPr>
        <w:t>l</w:t>
      </w:r>
      <w:r>
        <w:rPr>
          <w:rFonts w:ascii="Book Antiqua" w:eastAsia="Book Antiqua" w:hAnsi="Book Antiqua" w:cs="Book Antiqua"/>
          <w:color w:val="000000"/>
        </w:rPr>
        <w:t>). Other laboratory tests were normal.</w:t>
      </w:r>
    </w:p>
    <w:p w14:paraId="73083DF9" w14:textId="77777777" w:rsidR="0099311D" w:rsidRDefault="0099311D">
      <w:pPr>
        <w:spacing w:line="360" w:lineRule="auto"/>
        <w:jc w:val="both"/>
      </w:pPr>
    </w:p>
    <w:p w14:paraId="1E3E6428" w14:textId="77777777" w:rsidR="0099311D" w:rsidRDefault="00FD74F5">
      <w:pPr>
        <w:spacing w:line="360" w:lineRule="auto"/>
        <w:jc w:val="both"/>
      </w:pPr>
      <w:r>
        <w:rPr>
          <w:rFonts w:ascii="Book Antiqua" w:eastAsia="Book Antiqua" w:hAnsi="Book Antiqua" w:cs="Book Antiqua"/>
          <w:b/>
          <w:i/>
          <w:color w:val="000000"/>
        </w:rPr>
        <w:t>Imaging examinations</w:t>
      </w:r>
    </w:p>
    <w:p w14:paraId="5A951F2E" w14:textId="77777777" w:rsidR="0099311D" w:rsidRDefault="00FD74F5">
      <w:pPr>
        <w:spacing w:line="360" w:lineRule="auto"/>
        <w:jc w:val="both"/>
      </w:pPr>
      <w:r>
        <w:rPr>
          <w:rFonts w:ascii="Book Antiqua" w:eastAsia="Book Antiqua" w:hAnsi="Book Antiqua" w:cs="Book Antiqua"/>
          <w:color w:val="000000"/>
        </w:rPr>
        <w:t xml:space="preserve">Transabdominal ultrasound indicated dilation of the common bile duct and the presence of stones. Magnetic resonance imaging showed that the common bile duct was dilated with stones, was severely angled, and did not merge normally with the </w:t>
      </w:r>
      <w:r>
        <w:rPr>
          <w:rFonts w:ascii="Book Antiqua" w:eastAsia="Book Antiqua" w:hAnsi="Book Antiqua" w:cs="Book Antiqua"/>
          <w:color w:val="000000"/>
        </w:rPr>
        <w:lastRenderedPageBreak/>
        <w:t>pancreatic duct (Figure 1). ERCP revealed an abnormal opening of the common bile duct into the duodenal bulb and the presence of common bile duct stones (Figure 2).</w:t>
      </w:r>
    </w:p>
    <w:p w14:paraId="25DA20F2" w14:textId="77777777" w:rsidR="0099311D" w:rsidRDefault="0099311D">
      <w:pPr>
        <w:spacing w:line="360" w:lineRule="auto"/>
        <w:jc w:val="both"/>
      </w:pPr>
    </w:p>
    <w:p w14:paraId="3C2EB9B5" w14:textId="77777777" w:rsidR="0099311D" w:rsidRDefault="00FD74F5">
      <w:pPr>
        <w:spacing w:line="360" w:lineRule="auto"/>
        <w:jc w:val="both"/>
      </w:pPr>
      <w:r>
        <w:rPr>
          <w:rFonts w:ascii="Book Antiqua" w:eastAsia="Book Antiqua" w:hAnsi="Book Antiqua" w:cs="Book Antiqua"/>
          <w:b/>
          <w:caps/>
          <w:color w:val="000000"/>
          <w:u w:val="single"/>
        </w:rPr>
        <w:t>FINAL DIAGNOSIS</w:t>
      </w:r>
    </w:p>
    <w:p w14:paraId="67972DC4" w14:textId="77777777" w:rsidR="0099311D" w:rsidRDefault="00FD74F5">
      <w:pPr>
        <w:spacing w:line="360" w:lineRule="auto"/>
        <w:jc w:val="both"/>
      </w:pPr>
      <w:r>
        <w:rPr>
          <w:rFonts w:ascii="Book Antiqua" w:eastAsia="Book Antiqua" w:hAnsi="Book Antiqua" w:cs="Book Antiqua"/>
          <w:color w:val="000000"/>
        </w:rPr>
        <w:t>Following the imaging and laboratory examinations, the diagnoses were common bile duct stones along with ectopic opening of the common bile duct and acute cholangitis.</w:t>
      </w:r>
    </w:p>
    <w:p w14:paraId="2DC3B051" w14:textId="77777777" w:rsidR="0099311D" w:rsidRDefault="0099311D">
      <w:pPr>
        <w:spacing w:line="360" w:lineRule="auto"/>
        <w:jc w:val="both"/>
      </w:pPr>
    </w:p>
    <w:p w14:paraId="474FCD6C" w14:textId="77777777" w:rsidR="0099311D" w:rsidRDefault="00FD74F5">
      <w:pPr>
        <w:spacing w:line="360" w:lineRule="auto"/>
        <w:jc w:val="both"/>
      </w:pPr>
      <w:r>
        <w:rPr>
          <w:rFonts w:ascii="Book Antiqua" w:eastAsia="Book Antiqua" w:hAnsi="Book Antiqua" w:cs="Book Antiqua"/>
          <w:b/>
          <w:caps/>
          <w:color w:val="000000"/>
          <w:u w:val="single"/>
        </w:rPr>
        <w:t>TREATMENT</w:t>
      </w:r>
    </w:p>
    <w:p w14:paraId="5B887256" w14:textId="7BA60EF6" w:rsidR="0099311D" w:rsidRDefault="00FD74F5">
      <w:pPr>
        <w:spacing w:line="360" w:lineRule="auto"/>
        <w:jc w:val="both"/>
      </w:pPr>
      <w:r>
        <w:rPr>
          <w:rFonts w:ascii="Book Antiqua" w:eastAsia="Book Antiqua" w:hAnsi="Book Antiqua" w:cs="Book Antiqua"/>
          <w:color w:val="000000"/>
        </w:rPr>
        <w:t>Considering the patient</w:t>
      </w:r>
      <w:r w:rsidR="00420573">
        <w:rPr>
          <w:rFonts w:ascii="Book Antiqua" w:hAnsi="Book Antiqua" w:cs="Book Antiqua"/>
          <w:color w:val="000000"/>
          <w:lang w:eastAsia="zh-CN"/>
        </w:rPr>
        <w:t>’</w:t>
      </w:r>
      <w:r>
        <w:rPr>
          <w:rFonts w:ascii="Book Antiqua" w:eastAsia="Book Antiqua" w:hAnsi="Book Antiqua" w:cs="Book Antiqua"/>
          <w:color w:val="000000"/>
        </w:rPr>
        <w:t xml:space="preserve">s repeated episodes of common bile duct stones along with the ectopic opening of the common bile duct, recurrent abdominal pain and acute cholangitis, the common bile duct stones could not be completely resolved with ERCP. After communicating with the patient and family members, laparoscopic extrahepatic common bile duct resection and </w:t>
      </w:r>
      <w:proofErr w:type="spellStart"/>
      <w:r>
        <w:rPr>
          <w:rFonts w:ascii="Book Antiqua" w:eastAsia="Book Antiqua" w:hAnsi="Book Antiqua" w:cs="Book Antiqua"/>
          <w:color w:val="000000"/>
        </w:rPr>
        <w:t>hepatoenteric</w:t>
      </w:r>
      <w:proofErr w:type="spellEnd"/>
      <w:r>
        <w:rPr>
          <w:rFonts w:ascii="Book Antiqua" w:eastAsia="Book Antiqua" w:hAnsi="Book Antiqua" w:cs="Book Antiqua"/>
          <w:color w:val="000000"/>
        </w:rPr>
        <w:t xml:space="preserve"> anastomosis were performed (Figure 3).</w:t>
      </w:r>
    </w:p>
    <w:p w14:paraId="1C973FBC" w14:textId="77777777" w:rsidR="0099311D" w:rsidRDefault="0099311D">
      <w:pPr>
        <w:spacing w:line="360" w:lineRule="auto"/>
        <w:jc w:val="both"/>
      </w:pPr>
    </w:p>
    <w:p w14:paraId="7174D7C0" w14:textId="77777777" w:rsidR="0099311D" w:rsidRDefault="00FD74F5">
      <w:pPr>
        <w:spacing w:line="360" w:lineRule="auto"/>
        <w:jc w:val="both"/>
      </w:pPr>
      <w:r>
        <w:rPr>
          <w:rFonts w:ascii="Book Antiqua" w:eastAsia="Book Antiqua" w:hAnsi="Book Antiqua" w:cs="Book Antiqua"/>
          <w:b/>
          <w:caps/>
          <w:color w:val="000000"/>
          <w:u w:val="single"/>
        </w:rPr>
        <w:t>OUTCOME AND FOLLOW-UP</w:t>
      </w:r>
    </w:p>
    <w:p w14:paraId="2A85D364" w14:textId="77777777" w:rsidR="0099311D" w:rsidRDefault="00FD74F5">
      <w:pPr>
        <w:spacing w:line="360" w:lineRule="auto"/>
        <w:jc w:val="both"/>
      </w:pPr>
      <w:r>
        <w:rPr>
          <w:rFonts w:ascii="Book Antiqua" w:eastAsia="Book Antiqua" w:hAnsi="Book Antiqua" w:cs="Book Antiqua"/>
          <w:color w:val="000000"/>
        </w:rPr>
        <w:t>After the operation, the patient recovered well and was discharged. The patient has been followed up for 2 years since the operation. He has not experienced stone recurrence, and his liver function and quality of life are good.</w:t>
      </w:r>
    </w:p>
    <w:p w14:paraId="6B0B79DE" w14:textId="77777777" w:rsidR="0099311D" w:rsidRDefault="0099311D">
      <w:pPr>
        <w:spacing w:line="360" w:lineRule="auto"/>
        <w:jc w:val="both"/>
      </w:pPr>
    </w:p>
    <w:p w14:paraId="324F31FC" w14:textId="77777777" w:rsidR="0099311D" w:rsidRDefault="00FD74F5">
      <w:pPr>
        <w:spacing w:line="360" w:lineRule="auto"/>
        <w:jc w:val="both"/>
      </w:pPr>
      <w:r>
        <w:rPr>
          <w:rFonts w:ascii="Book Antiqua" w:eastAsia="Book Antiqua" w:hAnsi="Book Antiqua" w:cs="Book Antiqua"/>
          <w:b/>
          <w:caps/>
          <w:color w:val="000000"/>
          <w:u w:val="single"/>
        </w:rPr>
        <w:t>DISCUSSION</w:t>
      </w:r>
    </w:p>
    <w:p w14:paraId="233D5F99" w14:textId="77777777" w:rsidR="0099311D" w:rsidRDefault="00FD74F5">
      <w:pPr>
        <w:spacing w:line="360" w:lineRule="auto"/>
        <w:jc w:val="both"/>
      </w:pPr>
      <w:r>
        <w:rPr>
          <w:rFonts w:ascii="Book Antiqua" w:eastAsia="Book Antiqua" w:hAnsi="Book Antiqua" w:cs="Book Antiqua"/>
          <w:color w:val="000000"/>
        </w:rPr>
        <w:t xml:space="preserve">An ectopic opening of the common bile duct is more commonly located in the distal end of the descending duodenum and is rarely present in the duodenal bulb. The duodenal papilla is mostly located in the middle 1/3 of the descending segment of the duodenum (accounting for approximately 66% of cases), with 27% of cases in the lower 1/3 of the descending segment, and approximately 3% of cases in the upper 1/3 of the descending segment. Only 4% of cases are near the horizontal segment of the </w:t>
      </w:r>
      <w:proofErr w:type="gramStart"/>
      <w:r>
        <w:rPr>
          <w:rFonts w:ascii="Book Antiqua" w:eastAsia="Book Antiqua" w:hAnsi="Book Antiqua" w:cs="Book Antiqua"/>
          <w:color w:val="000000"/>
        </w:rPr>
        <w:t>duodenum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Sezgin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reported 11 cases of ectopic opening, of which 3 cases opened into the third segment of the duodenum. There is no consensus on the cause of ectopic opening of the </w:t>
      </w:r>
      <w:r>
        <w:rPr>
          <w:rFonts w:ascii="Book Antiqua" w:eastAsia="Book Antiqua" w:hAnsi="Book Antiqua" w:cs="Book Antiqua"/>
          <w:color w:val="000000"/>
        </w:rPr>
        <w:lastRenderedPageBreak/>
        <w:t xml:space="preserve">common bile duct.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proposed that an ectopic distal hepatic diverticulum in the early embryonic stage can lead to abnormal fusion.</w:t>
      </w:r>
    </w:p>
    <w:p w14:paraId="04893C43" w14:textId="77777777" w:rsidR="0099311D" w:rsidRDefault="00FD74F5">
      <w:pPr>
        <w:spacing w:line="360" w:lineRule="auto"/>
        <w:ind w:firstLine="720"/>
        <w:jc w:val="both"/>
      </w:pPr>
      <w:r>
        <w:rPr>
          <w:rFonts w:ascii="Book Antiqua" w:eastAsia="Book Antiqua" w:hAnsi="Book Antiqua" w:cs="Book Antiqua"/>
          <w:color w:val="000000"/>
        </w:rPr>
        <w:t xml:space="preserve">The clinical manifestations of an ectopic common bile duct opening are nonspecific and easily </w:t>
      </w:r>
      <w:proofErr w:type="gramStart"/>
      <w:r>
        <w:rPr>
          <w:rFonts w:ascii="Book Antiqua" w:eastAsia="Book Antiqua" w:hAnsi="Book Antiqua" w:cs="Book Antiqua"/>
          <w:color w:val="000000"/>
        </w:rPr>
        <w:t>missed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recent years, magnetic resonance cholangiopancreatography has been used to identify a portion of the duodenal papilla and abnormal bile duct confluence. The advantages of this technique are noninvasiveness, a simple and safe operation, the absence of complications, and lack of pain in patients. It is not necessary to use contrast agents, but cases of missed diagnoses and misdiagnoses can occur. Ordinary gastroscopy, especially duodenoscopy, carefully conducted under endoscopy and negative pressure suction applied to observe the bile outflow can confirm the location of the duodenal </w:t>
      </w:r>
      <w:proofErr w:type="gramStart"/>
      <w:r>
        <w:rPr>
          <w:rFonts w:ascii="Book Antiqua" w:eastAsia="Book Antiqua" w:hAnsi="Book Antiqua" w:cs="Book Antiqua"/>
          <w:color w:val="000000"/>
        </w:rPr>
        <w:t>papilla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If the nipple in the middle of the descending part of the duodenum cannot be located, the possibility of a near ectopic opening should be considered, and exploration should be continued deep into the horizontal section. If the nipple opening is still not located, the lens should be slowly withdrawn to the duodenal bulb while searching. ERCP is the gold standard for the diagnosis of ectopic opening of the common bile </w:t>
      </w:r>
      <w:proofErr w:type="gramStart"/>
      <w:r>
        <w:rPr>
          <w:rFonts w:ascii="Book Antiqua" w:eastAsia="Book Antiqua" w:hAnsi="Book Antiqua" w:cs="Book Antiqua"/>
          <w:color w:val="000000"/>
        </w:rPr>
        <w:t>duct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However, ERCP is not ideal for diagnosing cases of ectopic opening into the third segment of the duodenum.</w:t>
      </w:r>
    </w:p>
    <w:p w14:paraId="1FD99B5A" w14:textId="77777777" w:rsidR="0099311D" w:rsidRDefault="00FD74F5">
      <w:pPr>
        <w:spacing w:line="360" w:lineRule="auto"/>
        <w:ind w:firstLine="720"/>
        <w:jc w:val="both"/>
      </w:pPr>
      <w:r>
        <w:rPr>
          <w:rFonts w:ascii="Book Antiqua" w:eastAsia="Book Antiqua" w:hAnsi="Book Antiqua" w:cs="Book Antiqua"/>
          <w:color w:val="000000"/>
        </w:rPr>
        <w:t xml:space="preserve">ERCP treatment can be attempted for patients with an ectopic common bile duct opening and common bile duct stones. However, when the ectopic opening is in the duodenal bulb, local deformation and stenosis often occur, which are prone to cause bleeding and perforation. In addition, when ERCP examination or Oddi sphincterotomy is performed, because the opening is located at the level of the duodenum, it is difficult to locate the large papilla of the duodenum and perform intubation, which leads to failure of the </w:t>
      </w:r>
      <w:proofErr w:type="gramStart"/>
      <w:r>
        <w:rPr>
          <w:rFonts w:ascii="Book Antiqua" w:eastAsia="Book Antiqua" w:hAnsi="Book Antiqua" w:cs="Book Antiqua"/>
          <w:color w:val="000000"/>
        </w:rPr>
        <w:t>operation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p>
    <w:p w14:paraId="7A298A55" w14:textId="77777777" w:rsidR="0099311D" w:rsidRDefault="00FD74F5">
      <w:pPr>
        <w:spacing w:line="360" w:lineRule="auto"/>
        <w:ind w:firstLine="720"/>
        <w:jc w:val="both"/>
      </w:pPr>
      <w:r>
        <w:rPr>
          <w:rFonts w:ascii="Book Antiqua" w:eastAsia="Book Antiqua" w:hAnsi="Book Antiqua" w:cs="Book Antiqua"/>
          <w:color w:val="000000"/>
        </w:rPr>
        <w:t xml:space="preserve">At present, the problem of recurrent common bile duct stones after surgery has not been resolved. The recurrence of stones seriously affects the quality of life of patients, and elderly individuals experience more harm due to physical frailty and weakened </w:t>
      </w:r>
      <w:proofErr w:type="gramStart"/>
      <w:r>
        <w:rPr>
          <w:rFonts w:ascii="Book Antiqua" w:eastAsia="Book Antiqua" w:hAnsi="Book Antiqua" w:cs="Book Antiqua"/>
          <w:color w:val="000000"/>
        </w:rPr>
        <w:t>immunity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Some </w:t>
      </w:r>
      <w:proofErr w:type="gramStart"/>
      <w:r>
        <w:rPr>
          <w:rFonts w:ascii="Book Antiqua" w:eastAsia="Book Antiqua" w:hAnsi="Book Antiqua" w:cs="Book Antiqua"/>
          <w:color w:val="000000"/>
        </w:rPr>
        <w:t>scholars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have shown that a common bile duct diameter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15 mm is a risk factor for stone recurrence after endoscopic stone removal. Bile duct </w:t>
      </w:r>
      <w:r>
        <w:rPr>
          <w:rFonts w:ascii="Book Antiqua" w:eastAsia="Book Antiqua" w:hAnsi="Book Antiqua" w:cs="Book Antiqua"/>
          <w:color w:val="000000"/>
        </w:rPr>
        <w:lastRenderedPageBreak/>
        <w:t xml:space="preserve">dilatation can promote cholestasis and bacterial infection, which are potential risk factors for the recurrence of </w:t>
      </w:r>
      <w:proofErr w:type="gramStart"/>
      <w:r>
        <w:rPr>
          <w:rFonts w:ascii="Book Antiqua" w:eastAsia="Book Antiqua" w:hAnsi="Book Antiqua" w:cs="Book Antiqua"/>
          <w:color w:val="000000"/>
        </w:rPr>
        <w:t>stones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If chronic inflammation and fibrosis of the bile duct are present, the elasticity of the tube wall is lost, and even if the stone is removed, bile duct dilation will continue to exist. Bile duct stenosis can directly lead to cholestasis and easily formed stones. Under normal circumstances, the extrahepatic bile duct is only slightly curved and is similar to a straight line. Factors such as a history of biliary surgery can cause the bile duct to bend or even form an angle. An angle in the common bile duct can cause cholestasis and bile duct dilation. A smaller angle results in slower flow of bile, a longer bile-emptying time, and a higher concentration of bile. This in turn increases the cholesterol saturation in the bile, and the contraction of the bile duct decreases, making it impossible to exclude supersaturated bile, which easily causes stone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17-19]</w:t>
      </w:r>
      <w:r>
        <w:rPr>
          <w:rFonts w:ascii="Book Antiqua" w:eastAsia="Book Antiqua" w:hAnsi="Book Antiqua" w:cs="Book Antiqua"/>
          <w:color w:val="000000"/>
        </w:rPr>
        <w:t xml:space="preserve">. Ectopic opening of the common bile duct will change the angulation of the common bile duct, which will increase the recurrence rate of bile duct stones and the incidence of acute cholangitis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 If the bile duct path is too long or too short and bile duct confluence abnormalities or congenital bile duct cysts are present, altered angulation of the bile duct may be related to a combined functional abnormality of the sphincter of Oddi.</w:t>
      </w:r>
    </w:p>
    <w:p w14:paraId="26ACD963" w14:textId="77777777" w:rsidR="0099311D" w:rsidRDefault="00FD74F5">
      <w:pPr>
        <w:spacing w:line="360" w:lineRule="auto"/>
        <w:ind w:firstLine="720"/>
        <w:jc w:val="both"/>
      </w:pPr>
      <w:r>
        <w:rPr>
          <w:rFonts w:ascii="Book Antiqua" w:eastAsia="Book Antiqua" w:hAnsi="Book Antiqua" w:cs="Book Antiqua"/>
          <w:color w:val="000000"/>
        </w:rPr>
        <w:t xml:space="preserve">Due to the existence of the duodenal papillary sphincter and the relative negative pressure in the duodenal cavity, it is difficult for digestive juice to flow back into the common bile duct under normal circumstances, and thus, the incidence of common bile duct stones and cholangitis is very low. In patients with an ectopic common bile duct, due to the lack of sphincter function and absence of negative pressure in the cavity, especially in the case of ectopic opening of the common bile duct into the duodenal bulb or near the gastric pylorus, high pressure in the stomach after eating can cause digestive juice and food residue to easily flow back into the common bile duct. This can cause recurrent cholangitis and the recurrence of common bile duct stones, resulting in uncomfortable symptoms. In the present case, cholangitis and common bile duct stones recurred. Laboratory tests showed abnormal liver enzyme and bilirubin levels. During ERCP, the common bile duct was incidentally found to have an ectopic opening into the </w:t>
      </w:r>
      <w:r>
        <w:rPr>
          <w:rFonts w:ascii="Book Antiqua" w:eastAsia="Book Antiqua" w:hAnsi="Book Antiqua" w:cs="Book Antiqua"/>
          <w:color w:val="000000"/>
        </w:rPr>
        <w:lastRenderedPageBreak/>
        <w:t xml:space="preserve">duodenal bulb. The patient had undergone cholecystectomy and common bile duct exploration in the past, and common bile duct stones and acute cholangitis occurred again 4 years later, which was considered. In view of the anatomical variation associated with this condition, the fundamental solution is to perform extrahepatic bile duct resection and </w:t>
      </w:r>
      <w:proofErr w:type="spellStart"/>
      <w:r>
        <w:rPr>
          <w:rFonts w:ascii="Book Antiqua" w:eastAsia="Book Antiqua" w:hAnsi="Book Antiqua" w:cs="Book Antiqua"/>
          <w:color w:val="000000"/>
        </w:rPr>
        <w:t>cholangioenterostomy</w:t>
      </w:r>
      <w:proofErr w:type="spellEnd"/>
      <w:r>
        <w:rPr>
          <w:rFonts w:ascii="Book Antiqua" w:eastAsia="Book Antiqua" w:hAnsi="Book Antiqua" w:cs="Book Antiqua"/>
          <w:color w:val="000000"/>
        </w:rPr>
        <w:t xml:space="preserve"> to eliminate the structural basis of common bile duct stones.</w:t>
      </w:r>
    </w:p>
    <w:p w14:paraId="501C8434" w14:textId="77777777" w:rsidR="0099311D" w:rsidRDefault="0099311D">
      <w:pPr>
        <w:spacing w:line="360" w:lineRule="auto"/>
        <w:ind w:firstLine="720"/>
        <w:jc w:val="both"/>
      </w:pPr>
    </w:p>
    <w:p w14:paraId="7108A58A" w14:textId="77777777" w:rsidR="0099311D" w:rsidRDefault="00FD74F5">
      <w:pPr>
        <w:spacing w:line="360" w:lineRule="auto"/>
        <w:jc w:val="both"/>
      </w:pPr>
      <w:r>
        <w:rPr>
          <w:rFonts w:ascii="Book Antiqua" w:eastAsia="Book Antiqua" w:hAnsi="Book Antiqua" w:cs="Book Antiqua"/>
          <w:b/>
          <w:caps/>
          <w:color w:val="000000"/>
          <w:u w:val="single"/>
        </w:rPr>
        <w:t>CONCLUSION</w:t>
      </w:r>
    </w:p>
    <w:p w14:paraId="73C3997D" w14:textId="77777777" w:rsidR="0099311D" w:rsidRDefault="00FD74F5">
      <w:pPr>
        <w:spacing w:line="360" w:lineRule="auto"/>
        <w:jc w:val="both"/>
      </w:pPr>
      <w:r>
        <w:rPr>
          <w:rFonts w:ascii="Book Antiqua" w:eastAsia="Book Antiqua" w:hAnsi="Book Antiqua" w:cs="Book Antiqua"/>
          <w:color w:val="000000"/>
        </w:rPr>
        <w:t>Ectopic opening of the common bile duct is relatively rare in clinical practice; clinicians have insufficient experience in diagnosing and treating this anomaly, and it is easy to miss or misdiagnose. Therefore, it is necessary to raise awareness of this condition in clinical work. At the same time, for patients with difficult stone retrieval by ERCP, postoperative stone recurrence and recurrence of acute cholangitis, attention should be given to etiological treatment, such as controlling biliary tract infection, improving biliary motility, and removing biliary obstruction while removing stones. Treating both symptoms and root causes can effectively solve the problem of recurrence of stones after surgery.</w:t>
      </w:r>
    </w:p>
    <w:p w14:paraId="31E44214" w14:textId="77777777" w:rsidR="0099311D" w:rsidRDefault="0099311D">
      <w:pPr>
        <w:spacing w:line="360" w:lineRule="auto"/>
        <w:jc w:val="both"/>
      </w:pPr>
    </w:p>
    <w:p w14:paraId="1CC7C1E0" w14:textId="77777777" w:rsidR="0099311D" w:rsidRDefault="00FD74F5">
      <w:pPr>
        <w:spacing w:line="360" w:lineRule="auto"/>
        <w:jc w:val="both"/>
      </w:pPr>
      <w:r>
        <w:rPr>
          <w:rFonts w:ascii="Book Antiqua" w:eastAsia="Book Antiqua" w:hAnsi="Book Antiqua" w:cs="Book Antiqua"/>
          <w:b/>
          <w:caps/>
          <w:color w:val="000000"/>
          <w:u w:val="single"/>
        </w:rPr>
        <w:t>ACKNOWLEDGEMENTS</w:t>
      </w:r>
    </w:p>
    <w:p w14:paraId="3665623A" w14:textId="77777777" w:rsidR="0099311D" w:rsidRDefault="00FD74F5">
      <w:pPr>
        <w:spacing w:line="360" w:lineRule="auto"/>
        <w:jc w:val="both"/>
      </w:pPr>
      <w:r>
        <w:rPr>
          <w:rFonts w:ascii="Book Antiqua" w:eastAsia="Book Antiqua" w:hAnsi="Book Antiqua" w:cs="Book Antiqua"/>
          <w:color w:val="000000"/>
        </w:rPr>
        <w:t>We sincerely thank the ERCP Diagnosis and Treatment Center and the Department of Radiology in our hospital for providing information.</w:t>
      </w:r>
    </w:p>
    <w:p w14:paraId="6A761938" w14:textId="77777777" w:rsidR="0099311D" w:rsidRDefault="0099311D">
      <w:pPr>
        <w:spacing w:line="360" w:lineRule="auto"/>
        <w:jc w:val="both"/>
      </w:pPr>
    </w:p>
    <w:p w14:paraId="4FB2647E" w14:textId="77777777" w:rsidR="0099311D" w:rsidRDefault="00FD74F5">
      <w:pPr>
        <w:spacing w:line="360" w:lineRule="auto"/>
        <w:jc w:val="both"/>
      </w:pPr>
      <w:r>
        <w:rPr>
          <w:rFonts w:ascii="Book Antiqua" w:eastAsia="Book Antiqua" w:hAnsi="Book Antiqua" w:cs="Book Antiqua"/>
          <w:b/>
          <w:color w:val="000000"/>
        </w:rPr>
        <w:t>REFERENCES</w:t>
      </w:r>
    </w:p>
    <w:p w14:paraId="09C605E0" w14:textId="6D931275" w:rsidR="0099311D" w:rsidRDefault="00FD74F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Peng YC</w:t>
      </w:r>
      <w:r>
        <w:rPr>
          <w:rFonts w:ascii="Book Antiqua" w:eastAsia="Book Antiqua" w:hAnsi="Book Antiqua" w:cs="Book Antiqua"/>
          <w:color w:val="000000"/>
        </w:rPr>
        <w:t xml:space="preserve">, Chow WK. Ectopic papilla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in duodenum bulb: A hospital-based study.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e14642 [PMID: 30813203 DOI: 10.1097/</w:t>
      </w:r>
      <w:r w:rsidR="00DC4A4D">
        <w:rPr>
          <w:rFonts w:ascii="Book Antiqua" w:hAnsi="Book Antiqua" w:cs="Book Antiqua" w:hint="eastAsia"/>
          <w:color w:val="000000"/>
          <w:lang w:eastAsia="zh-CN"/>
        </w:rPr>
        <w:t>MD</w:t>
      </w:r>
      <w:r>
        <w:rPr>
          <w:rFonts w:ascii="Book Antiqua" w:eastAsia="Book Antiqua" w:hAnsi="Book Antiqua" w:cs="Book Antiqua"/>
          <w:color w:val="000000"/>
        </w:rPr>
        <w:t>.0000000000014642]</w:t>
      </w:r>
    </w:p>
    <w:p w14:paraId="0CDC1C86" w14:textId="77777777" w:rsidR="0099311D" w:rsidRDefault="00FD74F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Disibeyaz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Parlak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Cicek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Cengiz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Kuran</w:t>
      </w:r>
      <w:proofErr w:type="spellEnd"/>
      <w:r>
        <w:rPr>
          <w:rFonts w:ascii="Book Antiqua" w:eastAsia="Book Antiqua" w:hAnsi="Book Antiqua" w:cs="Book Antiqua"/>
          <w:color w:val="000000"/>
        </w:rPr>
        <w:t xml:space="preserve"> SO, </w:t>
      </w:r>
      <w:proofErr w:type="spellStart"/>
      <w:r>
        <w:rPr>
          <w:rFonts w:ascii="Book Antiqua" w:eastAsia="Book Antiqua" w:hAnsi="Book Antiqua" w:cs="Book Antiqua"/>
          <w:color w:val="000000"/>
        </w:rPr>
        <w:t>Oguz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Güzel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B. Anomalous opening of the common bile duct into the duodenal bulb: endoscopic treatment.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7</w:t>
      </w:r>
      <w:r>
        <w:rPr>
          <w:rFonts w:ascii="Book Antiqua" w:eastAsia="Book Antiqua" w:hAnsi="Book Antiqua" w:cs="Book Antiqua"/>
          <w:color w:val="000000"/>
        </w:rPr>
        <w:t>: 26 [PMID: 17610747 DOI: 10.1186/1471-230x-7-26]</w:t>
      </w:r>
    </w:p>
    <w:p w14:paraId="733EF25B" w14:textId="77777777" w:rsidR="0099311D" w:rsidRDefault="00FD74F5">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Sezgin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Altintaş</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Uçbilek</w:t>
      </w:r>
      <w:proofErr w:type="spellEnd"/>
      <w:r>
        <w:rPr>
          <w:rFonts w:ascii="Book Antiqua" w:eastAsia="Book Antiqua" w:hAnsi="Book Antiqua" w:cs="Book Antiqua"/>
          <w:color w:val="000000"/>
        </w:rPr>
        <w:t xml:space="preserve"> E. Ectopic opening of the common bile duct into various sites of the upper digestive tract: a case series.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72</w:t>
      </w:r>
      <w:r>
        <w:rPr>
          <w:rFonts w:ascii="Book Antiqua" w:eastAsia="Book Antiqua" w:hAnsi="Book Antiqua" w:cs="Book Antiqua"/>
          <w:color w:val="000000"/>
        </w:rPr>
        <w:t>: 198-203 [PMID: 20493479 DOI: 10.1016/j.gie.2010.02.012]</w:t>
      </w:r>
    </w:p>
    <w:p w14:paraId="50E4774E" w14:textId="06D3CB48" w:rsidR="0099311D" w:rsidRDefault="00FD74F5">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Saritas</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Senol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Ustundag</w:t>
      </w:r>
      <w:proofErr w:type="spellEnd"/>
      <w:r>
        <w:rPr>
          <w:rFonts w:ascii="Book Antiqua" w:eastAsia="Book Antiqua" w:hAnsi="Book Antiqua" w:cs="Book Antiqua"/>
          <w:color w:val="000000"/>
        </w:rPr>
        <w:t xml:space="preserve"> Y. The clinical presentations of ectopic biliary drainage into duodenal bulbus and stomach with a thorough review of the current literature.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2 [PMID: 20064279 DOI: 10.1186/1471-230</w:t>
      </w:r>
      <w:r w:rsidR="00DC4A4D">
        <w:rPr>
          <w:rFonts w:ascii="Book Antiqua" w:hAnsi="Book Antiqua" w:cs="Book Antiqua" w:hint="eastAsia"/>
          <w:color w:val="000000"/>
          <w:lang w:eastAsia="zh-CN"/>
        </w:rPr>
        <w:t>X</w:t>
      </w:r>
      <w:r>
        <w:rPr>
          <w:rFonts w:ascii="Book Antiqua" w:eastAsia="Book Antiqua" w:hAnsi="Book Antiqua" w:cs="Book Antiqua"/>
          <w:color w:val="000000"/>
        </w:rPr>
        <w:t>-10-2]</w:t>
      </w:r>
    </w:p>
    <w:p w14:paraId="67C1DB0D" w14:textId="1EFA324A" w:rsidR="0099311D" w:rsidRDefault="00FD74F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Parlak</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Dişibeyaz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Cengiz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Ciçek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Ozin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Kacar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Saşmaz</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B. Ectopic opening of the common bile duct and duodenal stenosis: an overlooked association.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142 [PMID: 21129223 DOI: 10.1186/1471-230</w:t>
      </w:r>
      <w:r w:rsidR="00DC4A4D">
        <w:rPr>
          <w:rFonts w:ascii="Book Antiqua" w:hAnsi="Book Antiqua" w:cs="Book Antiqua" w:hint="eastAsia"/>
          <w:color w:val="000000"/>
          <w:lang w:eastAsia="zh-CN"/>
        </w:rPr>
        <w:t>X</w:t>
      </w:r>
      <w:r>
        <w:rPr>
          <w:rFonts w:ascii="Book Antiqua" w:eastAsia="Book Antiqua" w:hAnsi="Book Antiqua" w:cs="Book Antiqua"/>
          <w:color w:val="000000"/>
        </w:rPr>
        <w:t>-10-142]</w:t>
      </w:r>
    </w:p>
    <w:p w14:paraId="12FD7B42" w14:textId="77777777" w:rsidR="0099311D" w:rsidRDefault="00FD74F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Hekimoglu</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Ustundag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Saritas</w:t>
      </w:r>
      <w:proofErr w:type="spellEnd"/>
      <w:r>
        <w:rPr>
          <w:rFonts w:ascii="Book Antiqua" w:eastAsia="Book Antiqua" w:hAnsi="Book Antiqua" w:cs="Book Antiqua"/>
          <w:color w:val="000000"/>
        </w:rPr>
        <w:t xml:space="preserve"> U. Ectopic openings of the </w:t>
      </w:r>
      <w:proofErr w:type="spellStart"/>
      <w:r>
        <w:rPr>
          <w:rFonts w:ascii="Book Antiqua" w:eastAsia="Book Antiqua" w:hAnsi="Book Antiqua" w:cs="Book Antiqua"/>
          <w:color w:val="000000"/>
        </w:rPr>
        <w:t>bilio</w:t>
      </w:r>
      <w:proofErr w:type="spellEnd"/>
      <w:r>
        <w:rPr>
          <w:rFonts w:ascii="Book Antiqua" w:eastAsia="Book Antiqua" w:hAnsi="Book Antiqua" w:cs="Book Antiqua"/>
          <w:color w:val="000000"/>
        </w:rPr>
        <w:t xml:space="preserve">-pancreatic ducts in the stomach in an elderly case presenting with choledocholithiasis and acute cholangitis.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238-239 [PMID: 18568154 DOI: 10.1007/s11749-008-0116-8]</w:t>
      </w:r>
    </w:p>
    <w:p w14:paraId="216E5E48" w14:textId="77777777" w:rsidR="0099311D" w:rsidRDefault="00FD74F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Han X</w:t>
      </w:r>
      <w:r w:rsidRPr="002E5649">
        <w:rPr>
          <w:rFonts w:ascii="Book Antiqua" w:eastAsia="Book Antiqua" w:hAnsi="Book Antiqua" w:cs="Book Antiqua"/>
          <w:bCs/>
          <w:color w:val="000000"/>
        </w:rPr>
        <w:t>,</w:t>
      </w:r>
      <w:r w:rsidRPr="002E5649">
        <w:rPr>
          <w:rFonts w:ascii="Book Antiqua" w:eastAsia="Book Antiqua" w:hAnsi="Book Antiqua" w:cs="Book Antiqua"/>
          <w:color w:val="000000"/>
        </w:rPr>
        <w:t xml:space="preserve"> </w:t>
      </w:r>
      <w:r>
        <w:rPr>
          <w:rFonts w:ascii="Book Antiqua" w:eastAsia="Book Antiqua" w:hAnsi="Book Antiqua" w:cs="Book Antiqua"/>
          <w:color w:val="000000"/>
        </w:rPr>
        <w:t xml:space="preserve">Li Z, Zhang W. The relative analysis between duodenal papilla </w:t>
      </w:r>
      <w:proofErr w:type="spellStart"/>
      <w:r>
        <w:rPr>
          <w:rFonts w:ascii="Book Antiqua" w:eastAsia="Book Antiqua" w:hAnsi="Book Antiqua" w:cs="Book Antiqua"/>
          <w:color w:val="000000"/>
        </w:rPr>
        <w:t>ectope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pancreaticobiliary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color w:val="000000"/>
        </w:rPr>
        <w:t>Linchuang</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Fangshexue</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Zazhi</w:t>
      </w:r>
      <w:proofErr w:type="spellEnd"/>
      <w:r w:rsidRPr="003164A1">
        <w:rPr>
          <w:rFonts w:ascii="Book Antiqua" w:eastAsia="Book Antiqua" w:hAnsi="Book Antiqua" w:cs="Book Antiqua"/>
          <w:color w:val="000000"/>
        </w:rPr>
        <w:t xml:space="preserve"> </w:t>
      </w:r>
      <w:r>
        <w:rPr>
          <w:rFonts w:ascii="Book Antiqua" w:eastAsia="Book Antiqua" w:hAnsi="Book Antiqua" w:cs="Book Antiqua"/>
          <w:color w:val="000000"/>
        </w:rPr>
        <w:t xml:space="preserve">2008; </w:t>
      </w:r>
      <w:r>
        <w:rPr>
          <w:rFonts w:ascii="Book Antiqua" w:eastAsia="Book Antiqua" w:hAnsi="Book Antiqua" w:cs="Book Antiqua"/>
          <w:b/>
          <w:color w:val="000000"/>
        </w:rPr>
        <w:t>27</w:t>
      </w:r>
      <w:r>
        <w:rPr>
          <w:rFonts w:ascii="Book Antiqua" w:eastAsia="Book Antiqua" w:hAnsi="Book Antiqua" w:cs="Book Antiqua"/>
          <w:color w:val="000000"/>
        </w:rPr>
        <w:t>: 1050-1052</w:t>
      </w:r>
    </w:p>
    <w:p w14:paraId="2223B8B0" w14:textId="77777777" w:rsidR="0099311D" w:rsidRDefault="00FD74F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Yamataka</w:t>
      </w:r>
      <w:proofErr w:type="spellEnd"/>
      <w:r>
        <w:rPr>
          <w:rFonts w:ascii="Book Antiqua" w:eastAsia="Book Antiqua" w:hAnsi="Book Antiqua" w:cs="Book Antiqua"/>
          <w:color w:val="000000"/>
        </w:rPr>
        <w:t xml:space="preserve"> A, Wang YX, Wang DY, Wang K, Li ZX, Shimizu T, Yamashiro Y, Zhang JZ, Lane GJ, </w:t>
      </w:r>
      <w:proofErr w:type="spellStart"/>
      <w:r>
        <w:rPr>
          <w:rFonts w:ascii="Book Antiqua" w:eastAsia="Book Antiqua" w:hAnsi="Book Antiqua" w:cs="Book Antiqua"/>
          <w:color w:val="000000"/>
        </w:rPr>
        <w:t>Miyano</w:t>
      </w:r>
      <w:proofErr w:type="spellEnd"/>
      <w:r>
        <w:rPr>
          <w:rFonts w:ascii="Book Antiqua" w:eastAsia="Book Antiqua" w:hAnsi="Book Antiqua" w:cs="Book Antiqua"/>
          <w:color w:val="000000"/>
        </w:rPr>
        <w:t xml:space="preserve"> T. Anomalous pancreatic duct anatomy, ectopic distal location of the papilla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and congenital biliary dilatation: a new developmental triad?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19</w:t>
      </w:r>
      <w:r>
        <w:rPr>
          <w:rFonts w:ascii="Book Antiqua" w:eastAsia="Book Antiqua" w:hAnsi="Book Antiqua" w:cs="Book Antiqua"/>
          <w:color w:val="000000"/>
        </w:rPr>
        <w:t>: 180-185 [PMID: 12698266 DOI: 10.1007/s00383-002-0914-0]</w:t>
      </w:r>
    </w:p>
    <w:p w14:paraId="4F710B2F" w14:textId="77777777" w:rsidR="0099311D" w:rsidRDefault="00FD74F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Lu QL</w:t>
      </w:r>
      <w:r w:rsidRPr="002E5649">
        <w:rPr>
          <w:rFonts w:ascii="Book Antiqua" w:eastAsia="Book Antiqua" w:hAnsi="Book Antiqua" w:cs="Book Antiqua"/>
          <w:bCs/>
          <w:color w:val="000000"/>
        </w:rPr>
        <w:t>,</w:t>
      </w:r>
      <w:r w:rsidRPr="002E5649">
        <w:rPr>
          <w:rFonts w:ascii="Book Antiqua" w:eastAsia="Book Antiqua" w:hAnsi="Book Antiqua" w:cs="Book Antiqua"/>
          <w:color w:val="000000"/>
        </w:rPr>
        <w:t xml:space="preserve"> </w:t>
      </w:r>
      <w:r>
        <w:rPr>
          <w:rFonts w:ascii="Book Antiqua" w:eastAsia="Book Antiqua" w:hAnsi="Book Antiqua" w:cs="Book Antiqua"/>
          <w:color w:val="000000"/>
        </w:rPr>
        <w:t xml:space="preserve">Lin F, Duan HQ, Liu H. Clinical effects of endoscopic retrograde cholangiopancreatography on the treatment of acute biliary pancreatitis. </w:t>
      </w:r>
      <w:proofErr w:type="spellStart"/>
      <w:r>
        <w:rPr>
          <w:rFonts w:ascii="Book Antiqua" w:eastAsia="Book Antiqua" w:hAnsi="Book Antiqua" w:cs="Book Antiqua"/>
          <w:i/>
          <w:color w:val="000000"/>
        </w:rPr>
        <w:t>Xiandai</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Yiyuan</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Zazhi</w:t>
      </w:r>
      <w:proofErr w:type="spellEnd"/>
      <w:r w:rsidRPr="003164A1">
        <w:rPr>
          <w:rFonts w:ascii="Book Antiqua" w:eastAsia="Book Antiqua" w:hAnsi="Book Antiqua" w:cs="Book Antiqua"/>
          <w:color w:val="000000"/>
        </w:rPr>
        <w:t xml:space="preserve"> </w:t>
      </w:r>
      <w:r>
        <w:rPr>
          <w:rFonts w:ascii="Book Antiqua" w:eastAsia="Book Antiqua" w:hAnsi="Book Antiqua" w:cs="Book Antiqua"/>
          <w:color w:val="000000"/>
        </w:rPr>
        <w:t xml:space="preserve">2014; </w:t>
      </w:r>
      <w:r>
        <w:rPr>
          <w:rFonts w:ascii="Book Antiqua" w:eastAsia="Book Antiqua" w:hAnsi="Book Antiqua" w:cs="Book Antiqua"/>
          <w:b/>
          <w:color w:val="000000"/>
        </w:rPr>
        <w:t>14</w:t>
      </w:r>
      <w:r>
        <w:rPr>
          <w:rFonts w:ascii="Book Antiqua" w:eastAsia="Book Antiqua" w:hAnsi="Book Antiqua" w:cs="Book Antiqua"/>
          <w:color w:val="000000"/>
        </w:rPr>
        <w:t>: 90-92</w:t>
      </w:r>
    </w:p>
    <w:p w14:paraId="3EC6DC59" w14:textId="77777777" w:rsidR="0099311D" w:rsidRDefault="00FD74F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Amano Y</w:t>
      </w:r>
      <w:r>
        <w:rPr>
          <w:rFonts w:ascii="Book Antiqua" w:eastAsia="Book Antiqua" w:hAnsi="Book Antiqua" w:cs="Book Antiqua"/>
          <w:color w:val="000000"/>
        </w:rPr>
        <w:t xml:space="preserve">, Takahashi M, </w:t>
      </w:r>
      <w:proofErr w:type="spellStart"/>
      <w:r>
        <w:rPr>
          <w:rFonts w:ascii="Book Antiqua" w:eastAsia="Book Antiqua" w:hAnsi="Book Antiqua" w:cs="Book Antiqua"/>
          <w:color w:val="000000"/>
        </w:rPr>
        <w:t>Oishi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Kumazaki</w:t>
      </w:r>
      <w:proofErr w:type="spellEnd"/>
      <w:r>
        <w:rPr>
          <w:rFonts w:ascii="Book Antiqua" w:eastAsia="Book Antiqua" w:hAnsi="Book Antiqua" w:cs="Book Antiqua"/>
          <w:color w:val="000000"/>
        </w:rPr>
        <w:t xml:space="preserve"> T. MR cholangiopancreatography of double common bile duct with ectopic drainage into stomach.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26</w:t>
      </w:r>
      <w:r>
        <w:rPr>
          <w:rFonts w:ascii="Book Antiqua" w:eastAsia="Book Antiqua" w:hAnsi="Book Antiqua" w:cs="Book Antiqua"/>
          <w:color w:val="000000"/>
        </w:rPr>
        <w:t>: 141-142 [PMID: 11801920 DOI: 10.1097/00004728-200201000-00024]</w:t>
      </w:r>
    </w:p>
    <w:p w14:paraId="6E0006BD" w14:textId="77777777" w:rsidR="0099311D" w:rsidRDefault="00FD74F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Krstic</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Stimec</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Krstic</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Ugljesic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Knezevic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Jovanovic</w:t>
      </w:r>
      <w:proofErr w:type="spellEnd"/>
      <w:r>
        <w:rPr>
          <w:rFonts w:ascii="Book Antiqua" w:eastAsia="Book Antiqua" w:hAnsi="Book Antiqua" w:cs="Book Antiqua"/>
          <w:color w:val="000000"/>
        </w:rPr>
        <w:t xml:space="preserve"> I. EUS diagnosis of ectopic opening of the common bile duct in the duodenal bulb: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5068-5071 [PMID: 16124069 DOI: 10.3748/wjg.v11.i32.5068]</w:t>
      </w:r>
    </w:p>
    <w:p w14:paraId="120F7AA6" w14:textId="4F6EC8A9" w:rsidR="0099311D" w:rsidRDefault="00FD74F5">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Muhammedoğlu</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Ectopic Opening of the Common Bile Duct into the Duodenal Bulb: Diagnosis and Therapeutic Management and Considerations for Timing of Surgery and Duration of Follow-up After Initial Endoscopic Retrograde Cholangiopancreatography.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399-404 [PMID: 31246750 DOI: 10.1097/</w:t>
      </w:r>
      <w:r w:rsidR="00DC4A4D">
        <w:rPr>
          <w:rFonts w:ascii="Book Antiqua" w:hAnsi="Book Antiqua" w:cs="Book Antiqua" w:hint="eastAsia"/>
          <w:color w:val="000000"/>
          <w:lang w:eastAsia="zh-CN"/>
        </w:rPr>
        <w:t>SLE</w:t>
      </w:r>
      <w:r>
        <w:rPr>
          <w:rFonts w:ascii="Book Antiqua" w:eastAsia="Book Antiqua" w:hAnsi="Book Antiqua" w:cs="Book Antiqua"/>
          <w:color w:val="000000"/>
        </w:rPr>
        <w:t>.0000000000000695]</w:t>
      </w:r>
    </w:p>
    <w:p w14:paraId="76E0DAB0" w14:textId="77777777" w:rsidR="0099311D" w:rsidRDefault="00FD74F5">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Takikawa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Masamune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Hongo</w:t>
      </w:r>
      <w:proofErr w:type="spellEnd"/>
      <w:r>
        <w:rPr>
          <w:rFonts w:ascii="Book Antiqua" w:eastAsia="Book Antiqua" w:hAnsi="Book Antiqua" w:cs="Book Antiqua"/>
          <w:color w:val="000000"/>
        </w:rPr>
        <w:t xml:space="preserve"> S, Yoshida N, Nakano E, Miura S, Hamada S, </w:t>
      </w:r>
      <w:proofErr w:type="spellStart"/>
      <w:r>
        <w:rPr>
          <w:rFonts w:ascii="Book Antiqua" w:eastAsia="Book Antiqua" w:hAnsi="Book Antiqua" w:cs="Book Antiqua"/>
          <w:color w:val="000000"/>
        </w:rPr>
        <w:t>Kume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Kikuta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Ectopic Opening of the Common Bile Duct Accompanied by </w:t>
      </w:r>
      <w:proofErr w:type="spellStart"/>
      <w:r>
        <w:rPr>
          <w:rFonts w:ascii="Book Antiqua" w:eastAsia="Book Antiqua" w:hAnsi="Book Antiqua" w:cs="Book Antiqua"/>
          <w:color w:val="000000"/>
        </w:rPr>
        <w:t>Choledochocele</w:t>
      </w:r>
      <w:proofErr w:type="spellEnd"/>
      <w:r>
        <w:rPr>
          <w:rFonts w:ascii="Book Antiqua" w:eastAsia="Book Antiqua" w:hAnsi="Book Antiqua" w:cs="Book Antiqua"/>
          <w:color w:val="000000"/>
        </w:rPr>
        <w:t xml:space="preserve"> and Pancreas </w:t>
      </w:r>
      <w:proofErr w:type="spellStart"/>
      <w:r>
        <w:rPr>
          <w:rFonts w:ascii="Book Antiqua" w:eastAsia="Book Antiqua" w:hAnsi="Book Antiqua" w:cs="Book Antiqua"/>
          <w:color w:val="000000"/>
        </w:rPr>
        <w:t>Divisum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1097-1102 [PMID: 27150861 DOI: 10.2169/internalmedicine.55.6240]</w:t>
      </w:r>
    </w:p>
    <w:p w14:paraId="2B328E78" w14:textId="15E0FF2C" w:rsidR="0099311D" w:rsidRDefault="00FD74F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Hong J</w:t>
      </w:r>
      <w:r>
        <w:rPr>
          <w:rFonts w:ascii="Book Antiqua" w:eastAsia="Book Antiqua" w:hAnsi="Book Antiqua" w:cs="Book Antiqua"/>
          <w:color w:val="000000"/>
        </w:rPr>
        <w:t xml:space="preserve">, Pan W,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W, Wang A, Zhu L, Zhou X, Zhou X, Li G, Liu Z, Liu P, Zhen H, Zhu Y, Ma J, Yuan J, Shu X, Zhu Y, Lu N, Chen Y. Efficacy and safety of therapeutic ERCP in patients with ectopic papilla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e18536 [PMID: 31895789 DOI: 10.1097/</w:t>
      </w:r>
      <w:r w:rsidR="00DC4A4D">
        <w:rPr>
          <w:rFonts w:ascii="Book Antiqua" w:hAnsi="Book Antiqua" w:cs="Book Antiqua" w:hint="eastAsia"/>
          <w:color w:val="000000"/>
          <w:lang w:eastAsia="zh-CN"/>
        </w:rPr>
        <w:t>MD</w:t>
      </w:r>
      <w:r>
        <w:rPr>
          <w:rFonts w:ascii="Book Antiqua" w:eastAsia="Book Antiqua" w:hAnsi="Book Antiqua" w:cs="Book Antiqua"/>
          <w:color w:val="000000"/>
        </w:rPr>
        <w:t>.0000000000018536]</w:t>
      </w:r>
    </w:p>
    <w:p w14:paraId="4D90673C" w14:textId="77777777" w:rsidR="0099311D" w:rsidRDefault="00FD74F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Cheon</w:t>
      </w:r>
      <w:proofErr w:type="spellEnd"/>
      <w:r>
        <w:rPr>
          <w:rFonts w:ascii="Book Antiqua" w:eastAsia="Book Antiqua" w:hAnsi="Book Antiqua" w:cs="Book Antiqua"/>
          <w:b/>
          <w:bCs/>
          <w:color w:val="000000"/>
        </w:rPr>
        <w:t xml:space="preserve"> YK</w:t>
      </w:r>
      <w:r>
        <w:rPr>
          <w:rFonts w:ascii="Book Antiqua" w:eastAsia="Book Antiqua" w:hAnsi="Book Antiqua" w:cs="Book Antiqua"/>
          <w:color w:val="000000"/>
        </w:rPr>
        <w:t xml:space="preserve">, Lehman GA. Identification of risk factors for stone recurrence after endoscopic treatment of bile duct stones.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18</w:t>
      </w:r>
      <w:r>
        <w:rPr>
          <w:rFonts w:ascii="Book Antiqua" w:eastAsia="Book Antiqua" w:hAnsi="Book Antiqua" w:cs="Book Antiqua"/>
          <w:color w:val="000000"/>
        </w:rPr>
        <w:t>: 461-464 [PMID: 16607138 DOI: 10.1097/00042737-200605000-00001]</w:t>
      </w:r>
    </w:p>
    <w:p w14:paraId="37D55A3D" w14:textId="77777777" w:rsidR="0099311D" w:rsidRDefault="00FD74F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Song ME</w:t>
      </w:r>
      <w:r>
        <w:rPr>
          <w:rFonts w:ascii="Book Antiqua" w:eastAsia="Book Antiqua" w:hAnsi="Book Antiqua" w:cs="Book Antiqua"/>
          <w:color w:val="000000"/>
        </w:rPr>
        <w:t xml:space="preserve">, Chung MJ, Lee DJ, Oh TG, Park JY, Bang S, Park SW, Song SY, Chung JB. Cholecystectomy for Prevention of Recurrence after Endoscopic Clearance of Bile Duct Stones in Korea.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2016; </w:t>
      </w:r>
      <w:r>
        <w:rPr>
          <w:rFonts w:ascii="Book Antiqua" w:eastAsia="Book Antiqua" w:hAnsi="Book Antiqua" w:cs="Book Antiqua"/>
          <w:b/>
          <w:bCs/>
          <w:color w:val="000000"/>
        </w:rPr>
        <w:t>57</w:t>
      </w:r>
      <w:r>
        <w:rPr>
          <w:rFonts w:ascii="Book Antiqua" w:eastAsia="Book Antiqua" w:hAnsi="Book Antiqua" w:cs="Book Antiqua"/>
          <w:color w:val="000000"/>
        </w:rPr>
        <w:t>: 132-137 [PMID: 26632393 DOI: 10.3349/ymj.2016.57.1.132]</w:t>
      </w:r>
    </w:p>
    <w:p w14:paraId="0EF3B027" w14:textId="77777777" w:rsidR="0099311D" w:rsidRDefault="00FD74F5">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DB</w:t>
      </w:r>
      <w:r>
        <w:rPr>
          <w:rFonts w:ascii="Book Antiqua" w:eastAsia="Book Antiqua" w:hAnsi="Book Antiqua" w:cs="Book Antiqua"/>
          <w:color w:val="000000"/>
        </w:rPr>
        <w:t xml:space="preserve">, Bang BW,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 Lee DH, Park SG, Jeon YS, Lee JI, Lee JW. Does the bile duct angulation affect recurrence of choledocholithiasis?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4118-4123 [PMID: 22039327 DOI: 10.3748/wjg.v17.i36.4118]</w:t>
      </w:r>
    </w:p>
    <w:p w14:paraId="35B9816A" w14:textId="77777777" w:rsidR="0099311D" w:rsidRDefault="00FD74F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Wu LY</w:t>
      </w:r>
      <w:r w:rsidRPr="002E5649">
        <w:rPr>
          <w:rFonts w:ascii="Book Antiqua" w:eastAsia="Book Antiqua" w:hAnsi="Book Antiqua" w:cs="Book Antiqua"/>
          <w:bCs/>
          <w:color w:val="000000"/>
        </w:rPr>
        <w:t>,</w:t>
      </w:r>
      <w:r w:rsidRPr="002E5649">
        <w:rPr>
          <w:rFonts w:ascii="Book Antiqua" w:eastAsia="Book Antiqua" w:hAnsi="Book Antiqua" w:cs="Book Antiqua"/>
          <w:color w:val="000000"/>
        </w:rPr>
        <w:t xml:space="preserve"> </w:t>
      </w:r>
      <w:r>
        <w:rPr>
          <w:rFonts w:ascii="Book Antiqua" w:eastAsia="Book Antiqua" w:hAnsi="Book Antiqua" w:cs="Book Antiqua"/>
          <w:color w:val="000000"/>
        </w:rPr>
        <w:t xml:space="preserve">Wang SH, Jia GF, Zhu LS, Ling MD, Wang XX, Shan H. Risk factors for recurrent common bile duct stones after endoscopic sphincterotomy. </w:t>
      </w:r>
      <w:proofErr w:type="spellStart"/>
      <w:r>
        <w:rPr>
          <w:rFonts w:ascii="Book Antiqua" w:eastAsia="Book Antiqua" w:hAnsi="Book Antiqua" w:cs="Book Antiqua"/>
          <w:i/>
          <w:color w:val="000000"/>
        </w:rPr>
        <w:t>Zhonghua</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Xiaohuabing</w:t>
      </w:r>
      <w:proofErr w:type="spellEnd"/>
      <w:r>
        <w:rPr>
          <w:rFonts w:ascii="Book Antiqua" w:eastAsia="Book Antiqua" w:hAnsi="Book Antiqua" w:cs="Book Antiqua"/>
          <w:i/>
          <w:color w:val="000000"/>
        </w:rPr>
        <w:t xml:space="preserve"> Yu </w:t>
      </w:r>
      <w:proofErr w:type="spellStart"/>
      <w:r>
        <w:rPr>
          <w:rFonts w:ascii="Book Antiqua" w:eastAsia="Book Antiqua" w:hAnsi="Book Antiqua" w:cs="Book Antiqua"/>
          <w:i/>
          <w:color w:val="000000"/>
        </w:rPr>
        <w:t>Yingxiang</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Zazhi</w:t>
      </w:r>
      <w:proofErr w:type="spellEnd"/>
      <w:r w:rsidRPr="003164A1">
        <w:rPr>
          <w:rFonts w:ascii="Book Antiqua" w:eastAsia="Book Antiqua" w:hAnsi="Book Antiqua" w:cs="Book Antiqua"/>
          <w:color w:val="000000"/>
        </w:rPr>
        <w:t xml:space="preserve"> </w:t>
      </w:r>
      <w:r>
        <w:rPr>
          <w:rFonts w:ascii="Book Antiqua" w:eastAsia="Book Antiqua" w:hAnsi="Book Antiqua" w:cs="Book Antiqua"/>
          <w:color w:val="000000"/>
        </w:rPr>
        <w:t>2015;</w:t>
      </w:r>
      <w:r>
        <w:rPr>
          <w:rFonts w:ascii="Book Antiqua" w:eastAsia="Book Antiqua" w:hAnsi="Book Antiqua" w:cs="Book Antiqua"/>
          <w:b/>
          <w:color w:val="000000"/>
        </w:rPr>
        <w:t xml:space="preserve"> 5</w:t>
      </w:r>
      <w:r>
        <w:rPr>
          <w:rFonts w:ascii="Book Antiqua" w:eastAsia="Book Antiqua" w:hAnsi="Book Antiqua" w:cs="Book Antiqua"/>
          <w:color w:val="000000"/>
        </w:rPr>
        <w:t>: 5-9</w:t>
      </w:r>
    </w:p>
    <w:p w14:paraId="28A690A8" w14:textId="77777777" w:rsidR="0099311D" w:rsidRDefault="00FD74F5">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Strnad</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Figura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Gruss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Jareis</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Stiehl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Kulaksiz</w:t>
      </w:r>
      <w:proofErr w:type="spellEnd"/>
      <w:r>
        <w:rPr>
          <w:rFonts w:ascii="Book Antiqua" w:eastAsia="Book Antiqua" w:hAnsi="Book Antiqua" w:cs="Book Antiqua"/>
          <w:color w:val="000000"/>
        </w:rPr>
        <w:t xml:space="preserve"> H. Oblique bile duct predisposes to the recurrence of bile duct stones.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e54601 [PMID: 23365676 DOI: 10.1371/journal.pone.0054601]</w:t>
      </w:r>
    </w:p>
    <w:p w14:paraId="19084C02" w14:textId="77777777" w:rsidR="0099311D" w:rsidRDefault="00FD74F5">
      <w:pPr>
        <w:spacing w:line="360" w:lineRule="auto"/>
        <w:jc w:val="both"/>
      </w:pPr>
      <w:proofErr w:type="gramStart"/>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Zeng AX</w:t>
      </w:r>
      <w:r w:rsidRPr="002E5649">
        <w:rPr>
          <w:rFonts w:ascii="Book Antiqua" w:eastAsia="Book Antiqua" w:hAnsi="Book Antiqua" w:cs="Book Antiqua"/>
          <w:bCs/>
          <w:color w:val="000000"/>
        </w:rPr>
        <w:t>,</w:t>
      </w:r>
      <w:r w:rsidRPr="002E5649">
        <w:rPr>
          <w:rFonts w:ascii="Book Antiqua" w:eastAsia="Book Antiqua" w:hAnsi="Book Antiqua" w:cs="Book Antiqua"/>
          <w:color w:val="000000"/>
        </w:rPr>
        <w:t xml:space="preserve"> </w:t>
      </w:r>
      <w:r>
        <w:rPr>
          <w:rFonts w:ascii="Book Antiqua" w:eastAsia="Book Antiqua" w:hAnsi="Book Antiqua" w:cs="Book Antiqua"/>
          <w:color w:val="000000"/>
        </w:rPr>
        <w:t>Liu BY, Zeng DH.</w:t>
      </w:r>
      <w:proofErr w:type="gramEnd"/>
      <w:r>
        <w:rPr>
          <w:rFonts w:ascii="Book Antiqua" w:eastAsia="Book Antiqua" w:hAnsi="Book Antiqua" w:cs="Book Antiqua"/>
          <w:color w:val="000000"/>
        </w:rPr>
        <w:t xml:space="preserve"> Relationship between duodenal papilla ectopic and recurrent bile duct stones postoperative.</w:t>
      </w:r>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Xiandai</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Yiyuan</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Zazhi</w:t>
      </w:r>
      <w:proofErr w:type="spellEnd"/>
      <w:r>
        <w:rPr>
          <w:rFonts w:ascii="Book Antiqua" w:eastAsia="Book Antiqua" w:hAnsi="Book Antiqua" w:cs="Book Antiqua"/>
          <w:color w:val="000000"/>
        </w:rPr>
        <w:t xml:space="preserve"> 2015: 32-33</w:t>
      </w:r>
    </w:p>
    <w:p w14:paraId="6E58AD6F" w14:textId="77777777" w:rsidR="0099311D" w:rsidRDefault="00FD74F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Lee SS</w:t>
      </w:r>
      <w:r>
        <w:rPr>
          <w:rFonts w:ascii="Book Antiqua" w:eastAsia="Book Antiqua" w:hAnsi="Book Antiqua" w:cs="Book Antiqua"/>
          <w:color w:val="000000"/>
        </w:rPr>
        <w:t xml:space="preserve">, Kim MH, Lee SK, Kim KP, Kim HJ, Bae JS, Kim HJ,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DW, Ha HK, Kim JS, Kim CD, Chung JP, Min YI. Ectopic opening of the common bile duct in the duodenal bulb: clinical implications.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57</w:t>
      </w:r>
      <w:r>
        <w:rPr>
          <w:rFonts w:ascii="Book Antiqua" w:eastAsia="Book Antiqua" w:hAnsi="Book Antiqua" w:cs="Book Antiqua"/>
          <w:color w:val="000000"/>
        </w:rPr>
        <w:t>: 679-682 [PMID: 12709696 DOI: 10.1067/mge.2003.210]</w:t>
      </w:r>
    </w:p>
    <w:p w14:paraId="5B026AD1" w14:textId="77777777" w:rsidR="0099311D" w:rsidRDefault="00FD74F5">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Taş</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Kara B, </w:t>
      </w:r>
      <w:proofErr w:type="spellStart"/>
      <w:r>
        <w:rPr>
          <w:rFonts w:ascii="Book Antiqua" w:eastAsia="Book Antiqua" w:hAnsi="Book Antiqua" w:cs="Book Antiqua"/>
          <w:color w:val="000000"/>
        </w:rPr>
        <w:t>Ölmez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Yalçın</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Öztürk</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Saritas</w:t>
      </w:r>
      <w:proofErr w:type="spellEnd"/>
      <w:r>
        <w:rPr>
          <w:rFonts w:ascii="Book Antiqua" w:eastAsia="Book Antiqua" w:hAnsi="Book Antiqua" w:cs="Book Antiqua"/>
          <w:color w:val="000000"/>
        </w:rPr>
        <w:t xml:space="preserve"> B. Retrospective analysis of cases with an ectopic opening of the common bile duct into duodenal bulb. </w:t>
      </w:r>
      <w:r>
        <w:rPr>
          <w:rFonts w:ascii="Book Antiqua" w:eastAsia="Book Antiqua" w:hAnsi="Book Antiqua" w:cs="Book Antiqua"/>
          <w:i/>
          <w:iCs/>
          <w:color w:val="000000"/>
        </w:rPr>
        <w:t>Adv Clin Exp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1361-1364 [PMID: 30062869 DOI: 10.17219/</w:t>
      </w:r>
      <w:proofErr w:type="spellStart"/>
      <w:r>
        <w:rPr>
          <w:rFonts w:ascii="Book Antiqua" w:eastAsia="Book Antiqua" w:hAnsi="Book Antiqua" w:cs="Book Antiqua"/>
          <w:color w:val="000000"/>
        </w:rPr>
        <w:t>acem</w:t>
      </w:r>
      <w:proofErr w:type="spellEnd"/>
      <w:r>
        <w:rPr>
          <w:rFonts w:ascii="Book Antiqua" w:eastAsia="Book Antiqua" w:hAnsi="Book Antiqua" w:cs="Book Antiqua"/>
          <w:color w:val="000000"/>
        </w:rPr>
        <w:t>/69691]</w:t>
      </w:r>
    </w:p>
    <w:p w14:paraId="06C8B88F" w14:textId="77777777" w:rsidR="0099311D" w:rsidRDefault="0099311D">
      <w:pPr>
        <w:spacing w:line="360" w:lineRule="auto"/>
        <w:jc w:val="both"/>
        <w:sectPr w:rsidR="0099311D">
          <w:pgSz w:w="12240" w:h="15840"/>
          <w:pgMar w:top="1440" w:right="1440" w:bottom="1440" w:left="1440" w:header="720" w:footer="720" w:gutter="0"/>
          <w:cols w:space="720"/>
          <w:docGrid w:linePitch="360"/>
        </w:sectPr>
      </w:pPr>
    </w:p>
    <w:p w14:paraId="5D5CF740" w14:textId="77777777" w:rsidR="0099311D" w:rsidRDefault="00FD74F5">
      <w:pPr>
        <w:spacing w:line="360" w:lineRule="auto"/>
        <w:jc w:val="both"/>
      </w:pPr>
      <w:r>
        <w:rPr>
          <w:rFonts w:ascii="Book Antiqua" w:eastAsia="Book Antiqua" w:hAnsi="Book Antiqua" w:cs="Book Antiqua"/>
          <w:b/>
          <w:color w:val="000000"/>
        </w:rPr>
        <w:lastRenderedPageBreak/>
        <w:t>Footnotes</w:t>
      </w:r>
    </w:p>
    <w:p w14:paraId="52864005" w14:textId="77777777" w:rsidR="0099311D" w:rsidRDefault="00FD74F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Written informed consent was obtained from the patient for publication of this case report and any accompanying images. </w:t>
      </w:r>
    </w:p>
    <w:p w14:paraId="0352DDA1" w14:textId="77777777" w:rsidR="0099311D" w:rsidRDefault="0099311D">
      <w:pPr>
        <w:spacing w:line="360" w:lineRule="auto"/>
        <w:jc w:val="both"/>
      </w:pPr>
    </w:p>
    <w:p w14:paraId="1D0D2CDA" w14:textId="77777777" w:rsidR="0099311D" w:rsidRDefault="00FD74F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D7E65FD" w14:textId="77777777" w:rsidR="0099311D" w:rsidRDefault="0099311D">
      <w:pPr>
        <w:spacing w:line="360" w:lineRule="auto"/>
        <w:jc w:val="both"/>
      </w:pPr>
    </w:p>
    <w:p w14:paraId="151B6DA2" w14:textId="77777777" w:rsidR="0099311D" w:rsidRDefault="00FD74F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849A7B5" w14:textId="77777777" w:rsidR="0099311D" w:rsidRDefault="0099311D">
      <w:pPr>
        <w:spacing w:line="360" w:lineRule="auto"/>
        <w:jc w:val="both"/>
      </w:pPr>
    </w:p>
    <w:p w14:paraId="1CB3AC03" w14:textId="77777777" w:rsidR="0099311D" w:rsidRDefault="00FD74F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DAC017" w14:textId="77777777" w:rsidR="0099311D" w:rsidRDefault="0099311D">
      <w:pPr>
        <w:spacing w:line="360" w:lineRule="auto"/>
        <w:jc w:val="both"/>
      </w:pPr>
    </w:p>
    <w:p w14:paraId="6A07F364" w14:textId="77777777" w:rsidR="0099311D" w:rsidRDefault="00FD74F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E1136A4" w14:textId="77777777" w:rsidR="0099311D" w:rsidRDefault="0099311D">
      <w:pPr>
        <w:spacing w:line="360" w:lineRule="auto"/>
        <w:jc w:val="both"/>
      </w:pPr>
    </w:p>
    <w:p w14:paraId="056A2053" w14:textId="77777777" w:rsidR="0099311D" w:rsidRDefault="00FD74F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28, 2021</w:t>
      </w:r>
    </w:p>
    <w:p w14:paraId="5366D576" w14:textId="77777777" w:rsidR="0099311D" w:rsidRDefault="00FD74F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14, 2021</w:t>
      </w:r>
    </w:p>
    <w:p w14:paraId="2B17EA62" w14:textId="184D3C70" w:rsidR="0099311D" w:rsidRDefault="00FD74F5">
      <w:pPr>
        <w:spacing w:line="360" w:lineRule="auto"/>
        <w:jc w:val="both"/>
      </w:pPr>
      <w:r>
        <w:rPr>
          <w:rFonts w:ascii="Book Antiqua" w:eastAsia="Book Antiqua" w:hAnsi="Book Antiqua" w:cs="Book Antiqua"/>
          <w:b/>
          <w:color w:val="000000"/>
        </w:rPr>
        <w:t xml:space="preserve">Article in press: </w:t>
      </w:r>
      <w:r w:rsidR="009A4E17" w:rsidRPr="009A4E17">
        <w:rPr>
          <w:rFonts w:ascii="Book Antiqua" w:eastAsia="Book Antiqua" w:hAnsi="Book Antiqua" w:cs="Book Antiqua"/>
          <w:color w:val="000000"/>
        </w:rPr>
        <w:t>May 20, 2021</w:t>
      </w:r>
    </w:p>
    <w:p w14:paraId="4F877543" w14:textId="77777777" w:rsidR="0099311D" w:rsidRDefault="0099311D">
      <w:pPr>
        <w:spacing w:line="360" w:lineRule="auto"/>
        <w:jc w:val="both"/>
      </w:pPr>
    </w:p>
    <w:p w14:paraId="1AAA6601" w14:textId="77777777" w:rsidR="0099311D" w:rsidRDefault="00FD74F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161805F7" w14:textId="77777777" w:rsidR="0099311D" w:rsidRDefault="00FD74F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A980CA" w14:textId="77777777" w:rsidR="0099311D" w:rsidRDefault="00FD74F5">
      <w:pPr>
        <w:spacing w:line="360" w:lineRule="auto"/>
        <w:jc w:val="both"/>
      </w:pPr>
      <w:r>
        <w:rPr>
          <w:rFonts w:ascii="Book Antiqua" w:eastAsia="Book Antiqua" w:hAnsi="Book Antiqua" w:cs="Book Antiqua"/>
          <w:b/>
          <w:color w:val="000000"/>
        </w:rPr>
        <w:t>Peer-review report’s scientific quality classification</w:t>
      </w:r>
    </w:p>
    <w:p w14:paraId="2BBE97BB" w14:textId="77777777" w:rsidR="0099311D" w:rsidRDefault="00FD74F5">
      <w:pPr>
        <w:spacing w:line="360" w:lineRule="auto"/>
        <w:jc w:val="both"/>
      </w:pPr>
      <w:r>
        <w:rPr>
          <w:rFonts w:ascii="Book Antiqua" w:eastAsia="Book Antiqua" w:hAnsi="Book Antiqua" w:cs="Book Antiqua"/>
          <w:color w:val="000000"/>
        </w:rPr>
        <w:t>Grade A (Excellent): 0</w:t>
      </w:r>
    </w:p>
    <w:p w14:paraId="49CFAC50" w14:textId="77777777" w:rsidR="0099311D" w:rsidRDefault="00FD74F5">
      <w:pPr>
        <w:spacing w:line="360" w:lineRule="auto"/>
        <w:jc w:val="both"/>
      </w:pPr>
      <w:r>
        <w:rPr>
          <w:rFonts w:ascii="Book Antiqua" w:eastAsia="Book Antiqua" w:hAnsi="Book Antiqua" w:cs="Book Antiqua"/>
          <w:color w:val="000000"/>
        </w:rPr>
        <w:t>Grade B (Very good): 0</w:t>
      </w:r>
    </w:p>
    <w:p w14:paraId="3F124890" w14:textId="77777777" w:rsidR="0099311D" w:rsidRDefault="00FD74F5">
      <w:pPr>
        <w:spacing w:line="360" w:lineRule="auto"/>
        <w:jc w:val="both"/>
      </w:pPr>
      <w:r>
        <w:rPr>
          <w:rFonts w:ascii="Book Antiqua" w:eastAsia="Book Antiqua" w:hAnsi="Book Antiqua" w:cs="Book Antiqua"/>
          <w:color w:val="000000"/>
        </w:rPr>
        <w:t>Grade C (Good): C, C, C</w:t>
      </w:r>
    </w:p>
    <w:p w14:paraId="3B768B70" w14:textId="77777777" w:rsidR="0099311D" w:rsidRDefault="00FD74F5">
      <w:pPr>
        <w:spacing w:line="360" w:lineRule="auto"/>
        <w:jc w:val="both"/>
      </w:pPr>
      <w:r>
        <w:rPr>
          <w:rFonts w:ascii="Book Antiqua" w:eastAsia="Book Antiqua" w:hAnsi="Book Antiqua" w:cs="Book Antiqua"/>
          <w:color w:val="000000"/>
        </w:rPr>
        <w:lastRenderedPageBreak/>
        <w:t>Grade D (Fair): 0</w:t>
      </w:r>
    </w:p>
    <w:p w14:paraId="4DD01A55" w14:textId="77777777" w:rsidR="0099311D" w:rsidRDefault="00FD74F5">
      <w:pPr>
        <w:spacing w:line="360" w:lineRule="auto"/>
        <w:jc w:val="both"/>
      </w:pPr>
      <w:r>
        <w:rPr>
          <w:rFonts w:ascii="Book Antiqua" w:eastAsia="Book Antiqua" w:hAnsi="Book Antiqua" w:cs="Book Antiqua"/>
          <w:color w:val="000000"/>
        </w:rPr>
        <w:t>Grade E (Poor): E</w:t>
      </w:r>
    </w:p>
    <w:p w14:paraId="438F1621" w14:textId="77777777" w:rsidR="0099311D" w:rsidRDefault="0099311D">
      <w:pPr>
        <w:spacing w:line="360" w:lineRule="auto"/>
        <w:jc w:val="both"/>
      </w:pPr>
    </w:p>
    <w:p w14:paraId="6350D55D" w14:textId="165C26DA" w:rsidR="0099311D" w:rsidRDefault="00FD74F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Cocca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Contini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Karakus</w:t>
      </w:r>
      <w:proofErr w:type="spellEnd"/>
      <w:r>
        <w:rPr>
          <w:rFonts w:ascii="Book Antiqua" w:eastAsia="Book Antiqua" w:hAnsi="Book Antiqua" w:cs="Book Antiqua"/>
          <w:color w:val="000000"/>
        </w:rPr>
        <w:t xml:space="preserve"> OZ, </w:t>
      </w:r>
      <w:proofErr w:type="spellStart"/>
      <w:r>
        <w:rPr>
          <w:rFonts w:ascii="Book Antiqua" w:eastAsia="Book Antiqua" w:hAnsi="Book Antiqua" w:cs="Book Antiqua"/>
          <w:color w:val="000000"/>
        </w:rPr>
        <w:t>Villarejo</w:t>
      </w:r>
      <w:proofErr w:type="spellEnd"/>
      <w:r>
        <w:rPr>
          <w:rFonts w:ascii="Book Antiqua" w:eastAsia="Book Antiqua" w:hAnsi="Book Antiqua" w:cs="Book Antiqua"/>
          <w:color w:val="000000"/>
        </w:rPr>
        <w:t>-Campos P</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C90438" w:rsidRPr="00C90438">
        <w:rPr>
          <w:rFonts w:ascii="Book Antiqua" w:eastAsia="Book Antiqua" w:hAnsi="Book Antiqua" w:cs="Book Antiqua"/>
          <w:color w:val="000000"/>
        </w:rPr>
        <w:t>Yuan YY</w:t>
      </w:r>
    </w:p>
    <w:p w14:paraId="2F1647C6" w14:textId="77777777" w:rsidR="0099311D" w:rsidRDefault="0099311D">
      <w:pPr>
        <w:spacing w:line="360" w:lineRule="auto"/>
        <w:jc w:val="both"/>
        <w:rPr>
          <w:lang w:eastAsia="zh-CN"/>
        </w:rPr>
        <w:sectPr w:rsidR="0099311D">
          <w:pgSz w:w="12240" w:h="15840"/>
          <w:pgMar w:top="1440" w:right="1440" w:bottom="1440" w:left="1440" w:header="720" w:footer="720" w:gutter="0"/>
          <w:cols w:space="720"/>
          <w:docGrid w:linePitch="360"/>
        </w:sectPr>
      </w:pPr>
    </w:p>
    <w:p w14:paraId="04CC3B7E" w14:textId="77777777" w:rsidR="0099311D" w:rsidRDefault="00FD74F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A130BF8" w14:textId="77777777" w:rsidR="0099311D" w:rsidRDefault="00FD74F5">
      <w:pPr>
        <w:spacing w:line="360" w:lineRule="auto"/>
        <w:rPr>
          <w:rFonts w:ascii="Book Antiqua" w:hAnsi="Book Antiqua"/>
          <w:b/>
          <w:bCs/>
          <w:color w:val="000000" w:themeColor="text1"/>
          <w:lang w:bidi="ar"/>
        </w:rPr>
      </w:pPr>
      <w:r>
        <w:rPr>
          <w:noProof/>
          <w:lang w:eastAsia="zh-CN"/>
        </w:rPr>
        <w:drawing>
          <wp:inline distT="0" distB="0" distL="0" distR="0" wp14:anchorId="150B94F4" wp14:editId="785E1AB2">
            <wp:extent cx="4413250" cy="216535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4413477" cy="2165461"/>
                    </a:xfrm>
                    <a:prstGeom prst="rect">
                      <a:avLst/>
                    </a:prstGeom>
                  </pic:spPr>
                </pic:pic>
              </a:graphicData>
            </a:graphic>
          </wp:inline>
        </w:drawing>
      </w:r>
    </w:p>
    <w:p w14:paraId="37BEEF9A" w14:textId="77777777" w:rsidR="0099311D" w:rsidRDefault="00FD74F5">
      <w:pPr>
        <w:spacing w:line="360" w:lineRule="auto"/>
        <w:rPr>
          <w:rFonts w:ascii="Book Antiqua" w:hAnsi="Book Antiqua"/>
          <w:bCs/>
          <w:color w:val="000000" w:themeColor="text1"/>
          <w:lang w:bidi="ar"/>
        </w:rPr>
      </w:pPr>
      <w:r>
        <w:rPr>
          <w:rFonts w:ascii="Book Antiqua" w:hAnsi="Book Antiqua" w:hint="eastAsia"/>
          <w:bCs/>
          <w:color w:val="000000" w:themeColor="text1"/>
          <w:lang w:bidi="ar"/>
        </w:rPr>
        <w:t xml:space="preserve">A                            </w:t>
      </w:r>
      <w:r>
        <w:rPr>
          <w:rFonts w:ascii="Book Antiqua" w:hAnsi="Book Antiqua" w:hint="eastAsia"/>
          <w:bCs/>
          <w:color w:val="000000" w:themeColor="text1"/>
          <w:lang w:eastAsia="zh-CN" w:bidi="ar"/>
        </w:rPr>
        <w:t xml:space="preserve">                            </w:t>
      </w:r>
      <w:r>
        <w:rPr>
          <w:rFonts w:ascii="Book Antiqua" w:hAnsi="Book Antiqua" w:hint="eastAsia"/>
          <w:bCs/>
          <w:color w:val="000000" w:themeColor="text1"/>
          <w:lang w:bidi="ar"/>
        </w:rPr>
        <w:t xml:space="preserve"> B</w:t>
      </w:r>
    </w:p>
    <w:p w14:paraId="32FABDDD" w14:textId="77777777" w:rsidR="0099311D" w:rsidRDefault="00FD74F5">
      <w:pPr>
        <w:spacing w:line="360" w:lineRule="auto"/>
        <w:rPr>
          <w:rFonts w:ascii="Book Antiqua" w:hAnsi="Book Antiqua"/>
          <w:b/>
          <w:bCs/>
          <w:color w:val="000000" w:themeColor="text1"/>
          <w:lang w:bidi="ar"/>
        </w:rPr>
      </w:pPr>
      <w:r>
        <w:rPr>
          <w:noProof/>
          <w:lang w:eastAsia="zh-CN"/>
        </w:rPr>
        <w:drawing>
          <wp:inline distT="0" distB="0" distL="0" distR="0" wp14:anchorId="4D33187F" wp14:editId="3C3FA777">
            <wp:extent cx="2139950" cy="21082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2140060" cy="2108308"/>
                    </a:xfrm>
                    <a:prstGeom prst="rect">
                      <a:avLst/>
                    </a:prstGeom>
                  </pic:spPr>
                </pic:pic>
              </a:graphicData>
            </a:graphic>
          </wp:inline>
        </w:drawing>
      </w:r>
    </w:p>
    <w:p w14:paraId="585295BC" w14:textId="77777777" w:rsidR="0099311D" w:rsidRDefault="00FD74F5">
      <w:pPr>
        <w:spacing w:line="360" w:lineRule="auto"/>
        <w:rPr>
          <w:rFonts w:ascii="Book Antiqua" w:hAnsi="Book Antiqua"/>
          <w:bCs/>
          <w:color w:val="000000" w:themeColor="text1"/>
          <w:lang w:eastAsia="zh-CN" w:bidi="ar"/>
        </w:rPr>
      </w:pPr>
      <w:r>
        <w:rPr>
          <w:rFonts w:ascii="Book Antiqua" w:hAnsi="Book Antiqua" w:hint="eastAsia"/>
          <w:bCs/>
          <w:color w:val="000000" w:themeColor="text1"/>
          <w:lang w:bidi="ar"/>
        </w:rPr>
        <w:t>C</w:t>
      </w:r>
    </w:p>
    <w:p w14:paraId="73472DF4" w14:textId="6F002C75" w:rsidR="0099311D" w:rsidRDefault="00FD74F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w:t>
      </w:r>
      <w:r>
        <w:rPr>
          <w:rFonts w:ascii="Book Antiqua" w:eastAsia="Book Antiqua" w:hAnsi="Book Antiqua" w:cs="Book Antiqua"/>
          <w:b/>
          <w:bCs/>
          <w:caps/>
          <w:color w:val="000000"/>
        </w:rPr>
        <w:t>e</w:t>
      </w:r>
      <w:r>
        <w:rPr>
          <w:rFonts w:ascii="Book Antiqua" w:eastAsia="Book Antiqua" w:hAnsi="Book Antiqua" w:cs="Book Antiqua"/>
          <w:b/>
          <w:bCs/>
          <w:color w:val="000000"/>
        </w:rPr>
        <w:t>ndoscopic retrograde cholangiopancreatography images.</w:t>
      </w:r>
      <w:r>
        <w:rPr>
          <w:rFonts w:ascii="Book Antiqua" w:eastAsia="Book Antiqua" w:hAnsi="Book Antiqua" w:cs="Book Antiqua"/>
          <w:color w:val="000000"/>
        </w:rPr>
        <w:t xml:space="preserve"> A: The ectopic opening of the common bile duct into the duodenal bulb (</w:t>
      </w:r>
      <w:r w:rsidR="00441D75">
        <w:rPr>
          <w:rFonts w:ascii="Book Antiqua" w:hAnsi="Book Antiqua" w:cs="Book Antiqua" w:hint="eastAsia"/>
          <w:color w:val="000000"/>
          <w:lang w:eastAsia="zh-CN"/>
        </w:rPr>
        <w:t xml:space="preserve">white </w:t>
      </w:r>
      <w:r>
        <w:rPr>
          <w:rFonts w:ascii="Book Antiqua" w:eastAsia="Book Antiqua" w:hAnsi="Book Antiqua" w:cs="Book Antiqua"/>
          <w:color w:val="000000"/>
        </w:rPr>
        <w:t>arrow); B: Injection of contrast medium through the ectopic opening of the common bile duct with acute angulation (</w:t>
      </w:r>
      <w:r w:rsidR="007A1F5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 C: Indwelling nasal bile duct after endoscopic treatment (</w:t>
      </w:r>
      <w:r w:rsidR="007A1F5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w:t>
      </w:r>
    </w:p>
    <w:p w14:paraId="0CBACF9F" w14:textId="77777777" w:rsidR="0099311D" w:rsidRDefault="00FD74F5">
      <w:pPr>
        <w:spacing w:line="360" w:lineRule="auto"/>
        <w:rPr>
          <w:rFonts w:ascii="Book Antiqua" w:hAnsi="Book Antiqua"/>
          <w:b/>
          <w:bCs/>
          <w:color w:val="000000" w:themeColor="text1"/>
          <w:lang w:bidi="ar"/>
        </w:rPr>
      </w:pPr>
      <w:r>
        <w:rPr>
          <w:rFonts w:ascii="Book Antiqua" w:eastAsia="Book Antiqua" w:hAnsi="Book Antiqua" w:cs="Book Antiqua"/>
          <w:color w:val="000000"/>
        </w:rPr>
        <w:br w:type="page"/>
      </w:r>
      <w:r>
        <w:rPr>
          <w:noProof/>
          <w:lang w:eastAsia="zh-CN"/>
        </w:rPr>
        <w:lastRenderedPageBreak/>
        <w:drawing>
          <wp:inline distT="0" distB="0" distL="0" distR="0" wp14:anchorId="71084636" wp14:editId="657A787B">
            <wp:extent cx="5200650" cy="1924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00917" cy="1924149"/>
                    </a:xfrm>
                    <a:prstGeom prst="rect">
                      <a:avLst/>
                    </a:prstGeom>
                  </pic:spPr>
                </pic:pic>
              </a:graphicData>
            </a:graphic>
          </wp:inline>
        </w:drawing>
      </w:r>
    </w:p>
    <w:p w14:paraId="75BBC27A" w14:textId="77777777" w:rsidR="0099311D" w:rsidRDefault="00FD74F5">
      <w:pPr>
        <w:spacing w:line="360" w:lineRule="auto"/>
        <w:rPr>
          <w:rFonts w:ascii="Book Antiqua" w:hAnsi="Book Antiqua"/>
          <w:b/>
          <w:bCs/>
          <w:color w:val="000000" w:themeColor="text1"/>
          <w:lang w:eastAsia="zh-CN" w:bidi="ar"/>
        </w:rPr>
      </w:pPr>
      <w:r>
        <w:rPr>
          <w:noProof/>
          <w:lang w:eastAsia="zh-CN"/>
        </w:rPr>
        <w:drawing>
          <wp:inline distT="0" distB="0" distL="0" distR="0" wp14:anchorId="266CF20F" wp14:editId="3C8EE817">
            <wp:extent cx="2501900" cy="1962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2502029" cy="1962251"/>
                    </a:xfrm>
                    <a:prstGeom prst="rect">
                      <a:avLst/>
                    </a:prstGeom>
                  </pic:spPr>
                </pic:pic>
              </a:graphicData>
            </a:graphic>
          </wp:inline>
        </w:drawing>
      </w:r>
    </w:p>
    <w:p w14:paraId="3F20B99B" w14:textId="5C75A3CF" w:rsidR="0099311D" w:rsidRDefault="00FD74F5">
      <w:pPr>
        <w:spacing w:line="360" w:lineRule="auto"/>
        <w:rPr>
          <w:rFonts w:ascii="Book Antiqua" w:eastAsia="E-BZ" w:hAnsi="Book Antiqua"/>
          <w:b/>
          <w:bCs/>
          <w:color w:val="000000" w:themeColor="text1"/>
          <w:lang w:bidi="ar"/>
        </w:rPr>
      </w:pPr>
      <w:r>
        <w:rPr>
          <w:rFonts w:ascii="Book Antiqua" w:eastAsia="Book Antiqua" w:hAnsi="Book Antiqua" w:cs="Book Antiqua"/>
          <w:b/>
          <w:bCs/>
          <w:color w:val="000000"/>
        </w:rPr>
        <w:t>Figure 2 Magnetic resonance imaging findings.</w:t>
      </w:r>
      <w:r>
        <w:rPr>
          <w:rFonts w:ascii="Book Antiqua" w:eastAsia="Book Antiqua" w:hAnsi="Book Antiqua" w:cs="Book Antiqua"/>
          <w:color w:val="000000"/>
        </w:rPr>
        <w:t xml:space="preserve"> </w:t>
      </w:r>
      <w:r>
        <w:rPr>
          <w:rFonts w:ascii="Book Antiqua" w:eastAsia="E-BZ" w:hAnsi="Book Antiqua"/>
          <w:color w:val="000000" w:themeColor="text1"/>
          <w:lang w:bidi="ar"/>
        </w:rPr>
        <w:t xml:space="preserve">Magnetic resonance imaging showed a hook-shaped change at the lower end of the common bile duct, which merged into the lower posterior wall of the duodenal bulb. The </w:t>
      </w:r>
      <w:r w:rsidR="007A1F58">
        <w:rPr>
          <w:rFonts w:ascii="Book Antiqua" w:hAnsi="Book Antiqua" w:hint="eastAsia"/>
          <w:color w:val="000000" w:themeColor="text1"/>
          <w:lang w:eastAsia="zh-CN" w:bidi="ar"/>
        </w:rPr>
        <w:t>orange</w:t>
      </w:r>
      <w:r>
        <w:rPr>
          <w:rFonts w:ascii="Book Antiqua" w:eastAsia="E-BZ" w:hAnsi="Book Antiqua"/>
          <w:color w:val="000000" w:themeColor="text1"/>
          <w:lang w:bidi="ar"/>
        </w:rPr>
        <w:t xml:space="preserve"> arrow shows the hook shape.</w:t>
      </w:r>
    </w:p>
    <w:p w14:paraId="657D4FBD" w14:textId="77777777" w:rsidR="0099311D" w:rsidRDefault="00FD74F5">
      <w:pPr>
        <w:spacing w:line="360" w:lineRule="auto"/>
        <w:contextualSpacing/>
        <w:rPr>
          <w:rFonts w:ascii="Book Antiqua" w:hAnsi="Book Antiqua"/>
          <w:b/>
          <w:bCs/>
          <w:color w:val="000000" w:themeColor="text1"/>
          <w:lang w:bidi="ar"/>
        </w:rPr>
      </w:pPr>
      <w:r>
        <w:br w:type="page"/>
      </w:r>
      <w:r>
        <w:rPr>
          <w:noProof/>
          <w:lang w:eastAsia="zh-CN"/>
        </w:rPr>
        <w:lastRenderedPageBreak/>
        <w:drawing>
          <wp:inline distT="0" distB="0" distL="0" distR="0" wp14:anchorId="516A8E80" wp14:editId="7FE99DA9">
            <wp:extent cx="5010150" cy="1701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010407" cy="1701887"/>
                    </a:xfrm>
                    <a:prstGeom prst="rect">
                      <a:avLst/>
                    </a:prstGeom>
                  </pic:spPr>
                </pic:pic>
              </a:graphicData>
            </a:graphic>
          </wp:inline>
        </w:drawing>
      </w:r>
    </w:p>
    <w:p w14:paraId="1368FD19" w14:textId="77777777" w:rsidR="0099311D" w:rsidRDefault="00FD74F5">
      <w:pPr>
        <w:spacing w:line="360" w:lineRule="auto"/>
        <w:contextualSpacing/>
        <w:rPr>
          <w:rFonts w:ascii="Book Antiqua" w:hAnsi="Book Antiqua"/>
          <w:bCs/>
          <w:color w:val="000000" w:themeColor="text1"/>
          <w:lang w:bidi="ar"/>
        </w:rPr>
      </w:pPr>
      <w:r>
        <w:rPr>
          <w:rFonts w:ascii="Book Antiqua" w:hAnsi="Book Antiqua" w:hint="eastAsia"/>
          <w:bCs/>
          <w:color w:val="000000" w:themeColor="text1"/>
          <w:lang w:bidi="ar"/>
        </w:rPr>
        <w:t xml:space="preserve">A                                  </w:t>
      </w:r>
      <w:r>
        <w:rPr>
          <w:rFonts w:ascii="Book Antiqua" w:hAnsi="Book Antiqua" w:hint="eastAsia"/>
          <w:bCs/>
          <w:color w:val="000000" w:themeColor="text1"/>
          <w:lang w:eastAsia="zh-CN" w:bidi="ar"/>
        </w:rPr>
        <w:t xml:space="preserve">                                  </w:t>
      </w:r>
      <w:r>
        <w:rPr>
          <w:rFonts w:ascii="Book Antiqua" w:hAnsi="Book Antiqua" w:hint="eastAsia"/>
          <w:bCs/>
          <w:color w:val="000000" w:themeColor="text1"/>
          <w:lang w:bidi="ar"/>
        </w:rPr>
        <w:t>B</w:t>
      </w:r>
    </w:p>
    <w:p w14:paraId="3DC27017" w14:textId="77777777" w:rsidR="0099311D" w:rsidRDefault="00FD74F5">
      <w:pPr>
        <w:spacing w:line="360" w:lineRule="auto"/>
        <w:contextualSpacing/>
        <w:rPr>
          <w:rFonts w:ascii="Book Antiqua" w:hAnsi="Book Antiqua"/>
          <w:b/>
          <w:bCs/>
          <w:color w:val="000000" w:themeColor="text1"/>
          <w:lang w:bidi="ar"/>
        </w:rPr>
      </w:pPr>
      <w:r>
        <w:rPr>
          <w:noProof/>
          <w:lang w:eastAsia="zh-CN"/>
        </w:rPr>
        <w:drawing>
          <wp:inline distT="0" distB="0" distL="0" distR="0" wp14:anchorId="40526271" wp14:editId="3397613E">
            <wp:extent cx="5035550" cy="18224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035809" cy="1822544"/>
                    </a:xfrm>
                    <a:prstGeom prst="rect">
                      <a:avLst/>
                    </a:prstGeom>
                  </pic:spPr>
                </pic:pic>
              </a:graphicData>
            </a:graphic>
          </wp:inline>
        </w:drawing>
      </w:r>
    </w:p>
    <w:p w14:paraId="6752EB2F" w14:textId="77777777" w:rsidR="0099311D" w:rsidRDefault="00FD74F5">
      <w:pPr>
        <w:spacing w:line="360" w:lineRule="auto"/>
        <w:contextualSpacing/>
        <w:rPr>
          <w:rFonts w:ascii="Book Antiqua" w:hAnsi="Book Antiqua"/>
          <w:bCs/>
          <w:color w:val="000000" w:themeColor="text1"/>
          <w:lang w:eastAsia="zh-CN" w:bidi="ar"/>
        </w:rPr>
      </w:pPr>
      <w:r>
        <w:rPr>
          <w:rFonts w:ascii="Book Antiqua" w:hAnsi="Book Antiqua" w:hint="eastAsia"/>
          <w:bCs/>
          <w:color w:val="000000" w:themeColor="text1"/>
          <w:lang w:bidi="ar"/>
        </w:rPr>
        <w:t xml:space="preserve">C                                  </w:t>
      </w:r>
      <w:r>
        <w:rPr>
          <w:rFonts w:ascii="Book Antiqua" w:hAnsi="Book Antiqua" w:hint="eastAsia"/>
          <w:bCs/>
          <w:color w:val="000000" w:themeColor="text1"/>
          <w:lang w:eastAsia="zh-CN" w:bidi="ar"/>
        </w:rPr>
        <w:t xml:space="preserve">                                  </w:t>
      </w:r>
      <w:r>
        <w:rPr>
          <w:rFonts w:ascii="Book Antiqua" w:hAnsi="Book Antiqua" w:hint="eastAsia"/>
          <w:bCs/>
          <w:color w:val="000000" w:themeColor="text1"/>
          <w:lang w:bidi="ar"/>
        </w:rPr>
        <w:t>D</w:t>
      </w:r>
    </w:p>
    <w:p w14:paraId="73155931" w14:textId="1A01DC75" w:rsidR="0031665E" w:rsidRDefault="00FD74F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Surgical procedure. </w:t>
      </w:r>
      <w:r>
        <w:rPr>
          <w:rFonts w:ascii="Book Antiqua" w:eastAsia="Book Antiqua" w:hAnsi="Book Antiqua" w:cs="Book Antiqua"/>
          <w:color w:val="000000"/>
        </w:rPr>
        <w:t>A: Dissection of the extrahepatic bile duct (</w:t>
      </w:r>
      <w:r w:rsidR="006553AF" w:rsidRPr="006553AF">
        <w:rPr>
          <w:rFonts w:ascii="Book Antiqua" w:hAnsi="Book Antiqua" w:cs="Book Antiqua"/>
          <w:color w:val="000000"/>
          <w:lang w:eastAsia="zh-CN"/>
        </w:rPr>
        <w:t>white</w:t>
      </w:r>
      <w:r>
        <w:rPr>
          <w:rFonts w:ascii="Book Antiqua" w:eastAsia="Book Antiqua" w:hAnsi="Book Antiqua" w:cs="Book Antiqua"/>
          <w:color w:val="000000"/>
        </w:rPr>
        <w:t xml:space="preserve"> arrow); B: Superficial common bile duct under the pylorus, which exhibited an ectopic opening into the duodenal bulb (</w:t>
      </w:r>
      <w:r w:rsidR="006553AF">
        <w:rPr>
          <w:rFonts w:ascii="Book Antiqua" w:hAnsi="Book Antiqua" w:cs="Book Antiqua" w:hint="eastAsia"/>
          <w:color w:val="000000"/>
          <w:lang w:eastAsia="zh-CN"/>
        </w:rPr>
        <w:t>white</w:t>
      </w:r>
      <w:r>
        <w:rPr>
          <w:rFonts w:ascii="Book Antiqua" w:eastAsia="Book Antiqua" w:hAnsi="Book Antiqua" w:cs="Book Antiqua"/>
          <w:color w:val="000000"/>
        </w:rPr>
        <w:t xml:space="preserve"> arrow); C: After incising the common bile duct and removing the stone, the nasal bile duct in the common bile duct was visible (</w:t>
      </w:r>
      <w:r w:rsidR="006553AF" w:rsidRPr="006553AF">
        <w:rPr>
          <w:rFonts w:ascii="Book Antiqua" w:hAnsi="Book Antiqua" w:cs="Book Antiqua"/>
          <w:color w:val="000000"/>
          <w:lang w:eastAsia="zh-CN"/>
        </w:rPr>
        <w:t>white</w:t>
      </w:r>
      <w:r>
        <w:rPr>
          <w:rFonts w:ascii="Book Antiqua" w:eastAsia="Book Antiqua" w:hAnsi="Book Antiqua" w:cs="Book Antiqua"/>
          <w:color w:val="000000"/>
        </w:rPr>
        <w:t xml:space="preserve"> arrow); D: Excision of the extrahepatic bile duct and complete</w:t>
      </w:r>
      <w:r w:rsidR="006553AF">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cholangiojejunostomy</w:t>
      </w:r>
      <w:proofErr w:type="spellEnd"/>
      <w:r>
        <w:rPr>
          <w:rFonts w:ascii="Book Antiqua" w:eastAsia="Book Antiqua" w:hAnsi="Book Antiqua" w:cs="Book Antiqua"/>
          <w:color w:val="000000"/>
        </w:rPr>
        <w:t>.</w:t>
      </w:r>
    </w:p>
    <w:p w14:paraId="54734474" w14:textId="77777777" w:rsidR="0031665E" w:rsidRDefault="0031665E">
      <w:pPr>
        <w:rPr>
          <w:rFonts w:ascii="Book Antiqua" w:eastAsia="Book Antiqua" w:hAnsi="Book Antiqua" w:cs="Book Antiqua"/>
          <w:color w:val="000000"/>
        </w:rPr>
      </w:pPr>
      <w:r>
        <w:rPr>
          <w:rFonts w:ascii="Book Antiqua" w:eastAsia="Book Antiqua" w:hAnsi="Book Antiqua" w:cs="Book Antiqua"/>
          <w:color w:val="000000"/>
        </w:rPr>
        <w:br w:type="page"/>
      </w:r>
    </w:p>
    <w:p w14:paraId="3952B5FC" w14:textId="77777777" w:rsidR="0031665E" w:rsidRDefault="0031665E" w:rsidP="0031665E">
      <w:pPr>
        <w:jc w:val="center"/>
        <w:rPr>
          <w:rFonts w:ascii="Book Antiqua" w:hAnsi="Book Antiqua"/>
        </w:rPr>
      </w:pPr>
    </w:p>
    <w:p w14:paraId="351C4C54" w14:textId="77777777" w:rsidR="0031665E" w:rsidRDefault="0031665E" w:rsidP="0031665E">
      <w:pPr>
        <w:jc w:val="center"/>
        <w:rPr>
          <w:rFonts w:ascii="Book Antiqua" w:hAnsi="Book Antiqua"/>
        </w:rPr>
      </w:pPr>
    </w:p>
    <w:p w14:paraId="19A90CCF" w14:textId="77777777" w:rsidR="0031665E" w:rsidRDefault="0031665E" w:rsidP="0031665E">
      <w:pPr>
        <w:jc w:val="center"/>
        <w:rPr>
          <w:rFonts w:ascii="Book Antiqua" w:hAnsi="Book Antiqua"/>
        </w:rPr>
      </w:pPr>
    </w:p>
    <w:p w14:paraId="055D0FF5" w14:textId="77777777" w:rsidR="0031665E" w:rsidRDefault="0031665E" w:rsidP="0031665E">
      <w:pPr>
        <w:jc w:val="center"/>
        <w:rPr>
          <w:rFonts w:ascii="Book Antiqua" w:hAnsi="Book Antiqua"/>
        </w:rPr>
      </w:pPr>
    </w:p>
    <w:p w14:paraId="5E39EAAA" w14:textId="77777777" w:rsidR="0031665E" w:rsidRDefault="0031665E" w:rsidP="0031665E">
      <w:pPr>
        <w:jc w:val="center"/>
        <w:rPr>
          <w:rFonts w:ascii="Book Antiqua" w:hAnsi="Book Antiqua"/>
        </w:rPr>
      </w:pPr>
    </w:p>
    <w:p w14:paraId="6EEC7297" w14:textId="2A3BA3D5" w:rsidR="0031665E" w:rsidRDefault="0031665E" w:rsidP="0031665E">
      <w:pPr>
        <w:jc w:val="center"/>
        <w:rPr>
          <w:rFonts w:ascii="Book Antiqua" w:hAnsi="Book Antiqua"/>
        </w:rPr>
      </w:pPr>
      <w:r>
        <w:rPr>
          <w:rFonts w:ascii="Book Antiqua" w:hAnsi="Book Antiqua"/>
          <w:noProof/>
          <w:lang w:eastAsia="zh-CN"/>
        </w:rPr>
        <w:drawing>
          <wp:inline distT="0" distB="0" distL="0" distR="0" wp14:anchorId="13EDB884" wp14:editId="56FC5AFE">
            <wp:extent cx="2497455" cy="1437005"/>
            <wp:effectExtent l="0" t="0" r="0" b="0"/>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7FF50E34" w14:textId="77777777" w:rsidR="0031665E" w:rsidRDefault="0031665E" w:rsidP="0031665E">
      <w:pPr>
        <w:jc w:val="center"/>
        <w:rPr>
          <w:rFonts w:ascii="Book Antiqua" w:hAnsi="Book Antiqua"/>
        </w:rPr>
      </w:pPr>
    </w:p>
    <w:p w14:paraId="772ECAC3" w14:textId="77777777" w:rsidR="0031665E" w:rsidRDefault="0031665E" w:rsidP="0031665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9258E01" w14:textId="77777777" w:rsidR="0031665E" w:rsidRDefault="0031665E" w:rsidP="0031665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0C59D40" w14:textId="77777777" w:rsidR="0031665E" w:rsidRDefault="0031665E" w:rsidP="0031665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82E4E69" w14:textId="77777777" w:rsidR="0031665E" w:rsidRDefault="0031665E" w:rsidP="0031665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382C16C" w14:textId="77777777" w:rsidR="0031665E" w:rsidRDefault="0031665E" w:rsidP="0031665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A433DAC" w14:textId="77777777" w:rsidR="0031665E" w:rsidRDefault="0031665E" w:rsidP="0031665E">
      <w:pPr>
        <w:jc w:val="center"/>
        <w:rPr>
          <w:rFonts w:ascii="Book Antiqua" w:hAnsi="Book Antiqua"/>
        </w:rPr>
      </w:pPr>
      <w:r>
        <w:rPr>
          <w:rFonts w:ascii="Book Antiqua" w:eastAsia="TimesNewRomanPSMT" w:hAnsi="Book Antiqua" w:cs="Garamond"/>
          <w:color w:val="D56400"/>
          <w:sz w:val="28"/>
          <w:szCs w:val="28"/>
        </w:rPr>
        <w:t>https://www.wjgnet.com</w:t>
      </w:r>
    </w:p>
    <w:p w14:paraId="00A1EFD7" w14:textId="77777777" w:rsidR="0031665E" w:rsidRDefault="0031665E" w:rsidP="0031665E">
      <w:pPr>
        <w:jc w:val="center"/>
        <w:rPr>
          <w:rFonts w:ascii="Book Antiqua" w:hAnsi="Book Antiqua"/>
        </w:rPr>
      </w:pPr>
    </w:p>
    <w:p w14:paraId="5F7AC46D" w14:textId="77777777" w:rsidR="0031665E" w:rsidRDefault="0031665E" w:rsidP="0031665E">
      <w:pPr>
        <w:jc w:val="center"/>
        <w:rPr>
          <w:rFonts w:ascii="Book Antiqua" w:hAnsi="Book Antiqua"/>
        </w:rPr>
      </w:pPr>
    </w:p>
    <w:p w14:paraId="03CE61B8" w14:textId="77777777" w:rsidR="0031665E" w:rsidRDefault="0031665E" w:rsidP="0031665E">
      <w:pPr>
        <w:jc w:val="center"/>
        <w:rPr>
          <w:rFonts w:ascii="Book Antiqua" w:hAnsi="Book Antiqua"/>
        </w:rPr>
      </w:pPr>
    </w:p>
    <w:p w14:paraId="1F877FCD" w14:textId="2492D224" w:rsidR="0031665E" w:rsidRDefault="0031665E" w:rsidP="0031665E">
      <w:pPr>
        <w:jc w:val="center"/>
        <w:rPr>
          <w:rFonts w:ascii="Book Antiqua" w:hAnsi="Book Antiqua"/>
        </w:rPr>
      </w:pPr>
      <w:r>
        <w:rPr>
          <w:rFonts w:ascii="Book Antiqua" w:hAnsi="Book Antiqua"/>
          <w:noProof/>
          <w:lang w:eastAsia="zh-CN"/>
        </w:rPr>
        <w:drawing>
          <wp:inline distT="0" distB="0" distL="0" distR="0" wp14:anchorId="21CC6530" wp14:editId="5DD7382C">
            <wp:extent cx="1444625" cy="1437005"/>
            <wp:effectExtent l="0" t="0" r="3175" b="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2C3E988A" w14:textId="77777777" w:rsidR="0031665E" w:rsidRDefault="0031665E" w:rsidP="0031665E">
      <w:pPr>
        <w:jc w:val="center"/>
        <w:rPr>
          <w:rFonts w:ascii="Book Antiqua" w:hAnsi="Book Antiqua"/>
        </w:rPr>
      </w:pPr>
    </w:p>
    <w:p w14:paraId="786EC164" w14:textId="77777777" w:rsidR="0031665E" w:rsidRDefault="0031665E" w:rsidP="0031665E">
      <w:pPr>
        <w:jc w:val="center"/>
        <w:rPr>
          <w:rFonts w:ascii="Book Antiqua" w:hAnsi="Book Antiqua"/>
        </w:rPr>
      </w:pPr>
    </w:p>
    <w:p w14:paraId="4BFE22AC" w14:textId="77777777" w:rsidR="0031665E" w:rsidRDefault="0031665E" w:rsidP="0031665E">
      <w:pPr>
        <w:jc w:val="center"/>
        <w:rPr>
          <w:rFonts w:ascii="Book Antiqua" w:hAnsi="Book Antiqua"/>
        </w:rPr>
      </w:pPr>
    </w:p>
    <w:p w14:paraId="6F84F85F" w14:textId="77777777" w:rsidR="0031665E" w:rsidRDefault="0031665E" w:rsidP="0031665E">
      <w:pPr>
        <w:jc w:val="center"/>
        <w:rPr>
          <w:rFonts w:ascii="Book Antiqua" w:hAnsi="Book Antiqua"/>
        </w:rPr>
      </w:pPr>
    </w:p>
    <w:p w14:paraId="5B39572F" w14:textId="77777777" w:rsidR="0031665E" w:rsidRDefault="0031665E" w:rsidP="0031665E">
      <w:pPr>
        <w:jc w:val="center"/>
        <w:rPr>
          <w:rFonts w:ascii="Book Antiqua" w:hAnsi="Book Antiqua"/>
        </w:rPr>
      </w:pPr>
    </w:p>
    <w:p w14:paraId="41D29DE3" w14:textId="77777777" w:rsidR="0031665E" w:rsidRDefault="0031665E" w:rsidP="0031665E">
      <w:pPr>
        <w:jc w:val="center"/>
        <w:rPr>
          <w:rFonts w:ascii="Book Antiqua" w:hAnsi="Book Antiqua"/>
        </w:rPr>
      </w:pPr>
    </w:p>
    <w:p w14:paraId="47FFD1F3" w14:textId="77777777" w:rsidR="0031665E" w:rsidRDefault="0031665E" w:rsidP="0031665E">
      <w:pPr>
        <w:jc w:val="center"/>
        <w:rPr>
          <w:rFonts w:ascii="Book Antiqua" w:hAnsi="Book Antiqua"/>
        </w:rPr>
      </w:pPr>
    </w:p>
    <w:p w14:paraId="3C2631DE" w14:textId="77777777" w:rsidR="0031665E" w:rsidRDefault="0031665E" w:rsidP="0031665E">
      <w:pPr>
        <w:jc w:val="center"/>
        <w:rPr>
          <w:rFonts w:ascii="Book Antiqua" w:hAnsi="Book Antiqua"/>
        </w:rPr>
      </w:pPr>
    </w:p>
    <w:p w14:paraId="2053DC47" w14:textId="77777777" w:rsidR="0031665E" w:rsidRDefault="0031665E" w:rsidP="0031665E">
      <w:pPr>
        <w:jc w:val="center"/>
        <w:rPr>
          <w:rFonts w:ascii="Book Antiqua" w:hAnsi="Book Antiqua"/>
        </w:rPr>
      </w:pPr>
    </w:p>
    <w:p w14:paraId="4C366656" w14:textId="77777777" w:rsidR="0031665E" w:rsidRDefault="0031665E" w:rsidP="0031665E">
      <w:pPr>
        <w:jc w:val="right"/>
        <w:rPr>
          <w:rFonts w:ascii="Book Antiqua" w:hAnsi="Book Antiqua"/>
          <w:color w:val="000000" w:themeColor="text1"/>
        </w:rPr>
      </w:pPr>
    </w:p>
    <w:p w14:paraId="5E00C336" w14:textId="77777777" w:rsidR="0031665E" w:rsidRDefault="0031665E" w:rsidP="0031665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1D741BD" w14:textId="77777777" w:rsidR="0099311D" w:rsidRDefault="0099311D">
      <w:pPr>
        <w:spacing w:line="360" w:lineRule="auto"/>
        <w:jc w:val="both"/>
      </w:pPr>
      <w:bookmarkStart w:id="2" w:name="_GoBack"/>
      <w:bookmarkEnd w:id="2"/>
    </w:p>
    <w:sectPr w:rsidR="009931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8826C" w14:textId="77777777" w:rsidR="000B76E6" w:rsidRDefault="000B76E6">
      <w:r>
        <w:separator/>
      </w:r>
    </w:p>
  </w:endnote>
  <w:endnote w:type="continuationSeparator" w:id="0">
    <w:p w14:paraId="367B6628" w14:textId="77777777" w:rsidR="000B76E6" w:rsidRDefault="000B7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E-BZ">
    <w:altName w:val="Segoe Print"/>
    <w:charset w:val="81"/>
    <w:family w:val="roman"/>
    <w:pitch w:val="fixed"/>
    <w:sig w:usb0="800002BF" w:usb1="19DF7CF8" w:usb2="00000033" w:usb3="00000000" w:csb0="0008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105064"/>
      <w:docPartObj>
        <w:docPartGallery w:val="AutoText"/>
      </w:docPartObj>
    </w:sdtPr>
    <w:sdtEndPr/>
    <w:sdtContent>
      <w:sdt>
        <w:sdtPr>
          <w:id w:val="98381352"/>
          <w:docPartObj>
            <w:docPartGallery w:val="AutoText"/>
          </w:docPartObj>
        </w:sdtPr>
        <w:sdtEndPr/>
        <w:sdtContent>
          <w:p w14:paraId="5BA96B8B" w14:textId="77777777" w:rsidR="0099311D" w:rsidRDefault="00FD74F5">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31665E">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31665E">
              <w:rPr>
                <w:rFonts w:ascii="Book Antiqua" w:hAnsi="Book Antiqua"/>
                <w:noProof/>
                <w:sz w:val="24"/>
                <w:szCs w:val="24"/>
              </w:rPr>
              <w:t>19</w:t>
            </w:r>
            <w:r>
              <w:rPr>
                <w:rFonts w:ascii="Book Antiqua" w:hAnsi="Book Antiqua"/>
                <w:sz w:val="24"/>
                <w:szCs w:val="24"/>
              </w:rPr>
              <w:fldChar w:fldCharType="end"/>
            </w:r>
          </w:p>
        </w:sdtContent>
      </w:sdt>
    </w:sdtContent>
  </w:sdt>
  <w:p w14:paraId="0D8FA039" w14:textId="77777777" w:rsidR="0099311D" w:rsidRDefault="009931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F81DE" w14:textId="77777777" w:rsidR="000B76E6" w:rsidRDefault="000B76E6">
      <w:r>
        <w:separator/>
      </w:r>
    </w:p>
  </w:footnote>
  <w:footnote w:type="continuationSeparator" w:id="0">
    <w:p w14:paraId="5F5BEBAC" w14:textId="77777777" w:rsidR="000B76E6" w:rsidRDefault="000B76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75A5"/>
    <w:rsid w:val="000848E1"/>
    <w:rsid w:val="000A2890"/>
    <w:rsid w:val="000B76E6"/>
    <w:rsid w:val="000C6C5E"/>
    <w:rsid w:val="00113E27"/>
    <w:rsid w:val="001474AA"/>
    <w:rsid w:val="001C617F"/>
    <w:rsid w:val="00216928"/>
    <w:rsid w:val="002B6E14"/>
    <w:rsid w:val="002E5649"/>
    <w:rsid w:val="0030220A"/>
    <w:rsid w:val="003164A1"/>
    <w:rsid w:val="0031665E"/>
    <w:rsid w:val="00405E85"/>
    <w:rsid w:val="0041526B"/>
    <w:rsid w:val="00420573"/>
    <w:rsid w:val="00441D75"/>
    <w:rsid w:val="00622809"/>
    <w:rsid w:val="006553AF"/>
    <w:rsid w:val="00736971"/>
    <w:rsid w:val="00736DE5"/>
    <w:rsid w:val="00742409"/>
    <w:rsid w:val="007A1F58"/>
    <w:rsid w:val="008D2629"/>
    <w:rsid w:val="008E1DB2"/>
    <w:rsid w:val="009133C9"/>
    <w:rsid w:val="00930BE9"/>
    <w:rsid w:val="009417CC"/>
    <w:rsid w:val="0099311D"/>
    <w:rsid w:val="009A4E17"/>
    <w:rsid w:val="009F0AD1"/>
    <w:rsid w:val="00A77B3E"/>
    <w:rsid w:val="00AE4425"/>
    <w:rsid w:val="00B5310B"/>
    <w:rsid w:val="00B55CAE"/>
    <w:rsid w:val="00BC62D0"/>
    <w:rsid w:val="00BD688B"/>
    <w:rsid w:val="00C90438"/>
    <w:rsid w:val="00CA2A55"/>
    <w:rsid w:val="00CB3279"/>
    <w:rsid w:val="00DB43EA"/>
    <w:rsid w:val="00DC4A4D"/>
    <w:rsid w:val="00E4498F"/>
    <w:rsid w:val="00F52486"/>
    <w:rsid w:val="00F92F39"/>
    <w:rsid w:val="00FB14EE"/>
    <w:rsid w:val="00FD7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143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qFormat/>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rPr>
      <w:sz w:val="21"/>
      <w:szCs w:val="21"/>
    </w:rPr>
  </w:style>
  <w:style w:type="character" w:customStyle="1" w:styleId="Char0">
    <w:name w:val="批注框文本 Char"/>
    <w:basedOn w:val="a0"/>
    <w:link w:val="a4"/>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qFormat/>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rPr>
      <w:sz w:val="21"/>
      <w:szCs w:val="21"/>
    </w:rPr>
  </w:style>
  <w:style w:type="character" w:customStyle="1" w:styleId="Char0">
    <w:name w:val="批注框文本 Char"/>
    <w:basedOn w:val="a0"/>
    <w:link w:val="a4"/>
    <w:rPr>
      <w:sz w:val="18"/>
      <w:szCs w:val="18"/>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399347">
      <w:bodyDiv w:val="1"/>
      <w:marLeft w:val="0"/>
      <w:marRight w:val="0"/>
      <w:marTop w:val="0"/>
      <w:marBottom w:val="0"/>
      <w:divBdr>
        <w:top w:val="none" w:sz="0" w:space="0" w:color="auto"/>
        <w:left w:val="none" w:sz="0" w:space="0" w:color="auto"/>
        <w:bottom w:val="none" w:sz="0" w:space="0" w:color="auto"/>
        <w:right w:val="none" w:sz="0" w:space="0" w:color="auto"/>
      </w:divBdr>
    </w:div>
    <w:div w:id="1583022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3528</Words>
  <Characters>20110</Characters>
  <Application>Microsoft Office Word</Application>
  <DocSecurity>0</DocSecurity>
  <Lines>167</Lines>
  <Paragraphs>47</Paragraphs>
  <ScaleCrop>false</ScaleCrop>
  <Company/>
  <LinksUpToDate>false</LinksUpToDate>
  <CharactersWithSpaces>23591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邢燕霞</cp:lastModifiedBy>
  <cp:revision>19</cp:revision>
  <dcterms:created xsi:type="dcterms:W3CDTF">2021-05-24T19:21:00Z</dcterms:created>
  <dcterms:modified xsi:type="dcterms:W3CDTF">2021-06-17T17:33:00Z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9DA0EDBA56274CAD9E4AA2E934D8B04D</vt:lpwstr>
  </property>
</Properties>
</file>