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70BB" w14:textId="268575D0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27BEE" w:rsidRPr="00C468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27BEE" w:rsidRPr="00C468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color w:val="000000" w:themeColor="text1"/>
        </w:rPr>
        <w:t>Cells</w:t>
      </w:r>
    </w:p>
    <w:p w14:paraId="2326A641" w14:textId="37CE5B9D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65122</w:t>
      </w:r>
    </w:p>
    <w:p w14:paraId="1CC4C9CE" w14:textId="1DCAEB3C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447EB489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E0B74C" w14:textId="6A7720C6" w:rsidR="00A77B3E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biotechnology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products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option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treatment</w:t>
      </w:r>
    </w:p>
    <w:p w14:paraId="06E4BC0C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0EDF3F" w14:textId="28AF6157" w:rsidR="00A77B3E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Gordiienko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</w:t>
      </w:r>
    </w:p>
    <w:p w14:paraId="259720EC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D6B795" w14:textId="6131C420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Inna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Gordiienko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Olga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Gubar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Roman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Sulik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Taras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Kunakh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Igor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Zlatskiy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Alona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Zlatska</w:t>
      </w:r>
      <w:proofErr w:type="spellEnd"/>
    </w:p>
    <w:p w14:paraId="154D8B4D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D09DB0" w14:textId="030AEBF7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Inna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Gordiienko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Roman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Sulik</w:t>
      </w:r>
      <w:proofErr w:type="spellEnd"/>
      <w:r w:rsidRPr="00C4681C">
        <w:rPr>
          <w:rFonts w:ascii="Book Antiqua" w:hAnsi="Book Antiqua"/>
          <w:b/>
          <w:bCs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Taras</w:t>
      </w:r>
      <w:proofErr w:type="spellEnd"/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Kunakh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Alona</w:t>
      </w:r>
      <w:proofErr w:type="spellEnd"/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Zlatska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Biotechnology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Laboratory,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Company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“Good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Cells”,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="00B13CCB" w:rsidRPr="00C4681C">
        <w:rPr>
          <w:rFonts w:ascii="Book Antiqua" w:hAnsi="Book Antiqua"/>
          <w:color w:val="000000" w:themeColor="text1"/>
        </w:rPr>
        <w:t>Kyiv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03115,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</w:t>
      </w:r>
    </w:p>
    <w:p w14:paraId="47A25C1E" w14:textId="77777777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916968" w14:textId="60622B1E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b/>
          <w:bCs/>
          <w:color w:val="000000" w:themeColor="text1"/>
        </w:rPr>
        <w:t>Inna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="00B50CCE" w:rsidRPr="00C4681C">
        <w:rPr>
          <w:rFonts w:ascii="Book Antiqua" w:hAnsi="Book Antiqua"/>
          <w:b/>
          <w:bCs/>
          <w:color w:val="000000" w:themeColor="text1"/>
        </w:rPr>
        <w:t>M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Gordiienko</w:t>
      </w:r>
      <w:proofErr w:type="spellEnd"/>
      <w:r w:rsidRPr="00C4681C">
        <w:rPr>
          <w:rFonts w:ascii="Book Antiqua" w:hAnsi="Book Antiqua"/>
          <w:b/>
          <w:bCs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R.E.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Kavetsky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Institute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Experimental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Pathology,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Oncology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Radiobiology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Kyiv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03022,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</w:t>
      </w:r>
    </w:p>
    <w:p w14:paraId="061126C0" w14:textId="7385A4BA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1BA875" w14:textId="2529F143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Olga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Gubar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Institute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Molecular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Genetics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Kyiv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03143,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</w:t>
      </w:r>
    </w:p>
    <w:p w14:paraId="4BFFA267" w14:textId="6B1A4660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D1562EB" w14:textId="291F12B6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Igor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Zlatskiy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Alona</w:t>
      </w:r>
      <w:proofErr w:type="spellEnd"/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Zlatska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Institute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Genetic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Medicine,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National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Academy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Sciences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="00EA63AC" w:rsidRPr="00C4681C">
        <w:rPr>
          <w:rFonts w:ascii="Book Antiqua" w:hAnsi="Book Antiqua"/>
          <w:color w:val="000000" w:themeColor="text1"/>
        </w:rPr>
        <w:t>Kyiv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04114,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Ukraine</w:t>
      </w:r>
    </w:p>
    <w:p w14:paraId="546CCC30" w14:textId="77777777" w:rsidR="00937676" w:rsidRPr="00C4681C" w:rsidRDefault="00937676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0614CC" w14:textId="3FB056E5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authors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contributed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equally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work.</w:t>
      </w:r>
    </w:p>
    <w:p w14:paraId="6958A59B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D620CD" w14:textId="1A3AEC57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Igor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Zlatskiy</w:t>
      </w:r>
      <w:proofErr w:type="spellEnd"/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Senior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Researcher,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Institute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Genetic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National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Academy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Sciences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Ukraine,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Vyshgorodskaja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Street,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67,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0CCE" w:rsidRPr="00C4681C">
        <w:rPr>
          <w:rFonts w:ascii="Book Antiqua" w:hAnsi="Book Antiqua"/>
          <w:color w:val="000000" w:themeColor="text1"/>
        </w:rPr>
        <w:t>Kyiv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04114,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Ukraine.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zlatskiy@ukr.net</w:t>
      </w:r>
    </w:p>
    <w:p w14:paraId="19B504C2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84475D" w14:textId="6FA6D77A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February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28,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2021</w:t>
      </w:r>
    </w:p>
    <w:p w14:paraId="7DB2A029" w14:textId="30FE8AAF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April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29,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2021</w:t>
      </w:r>
    </w:p>
    <w:p w14:paraId="48B73BE1" w14:textId="0E387167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27BEE" w:rsidRPr="00C4681C">
        <w:rPr>
          <w:rFonts w:ascii="Book Antiqua" w:eastAsia="宋体" w:hAnsi="Book Antiqua" w:hint="eastAsia"/>
          <w:color w:val="000000" w:themeColor="text1"/>
        </w:rPr>
        <w:t>Au</w:t>
      </w:r>
      <w:r w:rsidR="00C27BEE" w:rsidRPr="00C4681C">
        <w:rPr>
          <w:rFonts w:ascii="Book Antiqua" w:eastAsia="宋体" w:hAnsi="Book Antiqua"/>
          <w:color w:val="000000" w:themeColor="text1"/>
        </w:rPr>
        <w:t>gust 13, 2021</w:t>
      </w:r>
      <w:bookmarkEnd w:id="0"/>
      <w:bookmarkEnd w:id="1"/>
      <w:bookmarkEnd w:id="2"/>
    </w:p>
    <w:p w14:paraId="388111A9" w14:textId="7658E22C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62480" w:rsidRPr="00C4681C">
        <w:rPr>
          <w:rFonts w:ascii="Book Antiqua" w:eastAsia="Book Antiqua" w:hAnsi="Book Antiqua" w:cs="Book Antiqua"/>
          <w:bCs/>
          <w:color w:val="000000" w:themeColor="text1"/>
        </w:rPr>
        <w:t>September 26, 2021</w:t>
      </w:r>
    </w:p>
    <w:p w14:paraId="1D608113" w14:textId="77777777" w:rsidR="00D90DAF" w:rsidRPr="00C4681C" w:rsidRDefault="00D90DAF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259C88F" w14:textId="77777777" w:rsidR="00D90DAF" w:rsidRPr="00C4681C" w:rsidRDefault="00D90DAF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9AD9425" w14:textId="1A448973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65DFA7C4" w14:textId="560FBC3B" w:rsidR="00D90DAF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(ENS)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turbinectomy.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feature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paradoxical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obstruction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feeling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despite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objectively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airway.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multifactorial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includes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laminar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airflow,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disruption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deficient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symptomatology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dyspnea,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dryness,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burning,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obstruction,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feeling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suffocation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even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comorbid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psychiatric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disorders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impairs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life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quality.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Specific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does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exist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date.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review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outline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existing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discuss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perspective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technologies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management.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focus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directed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justification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rationality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adult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(MSCs)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origin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(NCSCs)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intrinsic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direct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transdifferentiation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epithelial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pronounced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immunosuppressive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hand,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postulate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tissue-engineered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help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symptomatology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approach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aimed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functionality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sensation.</w:t>
      </w:r>
    </w:p>
    <w:p w14:paraId="762718F8" w14:textId="77777777" w:rsidR="00D90DAF" w:rsidRPr="00C4681C" w:rsidRDefault="00D90DAF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E1C4B0" w14:textId="63C185EC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Key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Pr="00C4681C">
        <w:rPr>
          <w:rFonts w:ascii="Book Antiqua" w:eastAsia="Book Antiqua" w:hAnsi="Book Antiqua" w:cs="Book Antiqua"/>
          <w:color w:val="000000" w:themeColor="text1"/>
        </w:rPr>
        <w:t>-cell-based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technologies;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Implants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Grafts</w:t>
      </w:r>
      <w:r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Hydrogels</w:t>
      </w:r>
      <w:r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</w:p>
    <w:p w14:paraId="357EE80F" w14:textId="77777777" w:rsidR="00C4681C" w:rsidRPr="00C4681C" w:rsidRDefault="00C4681C" w:rsidP="00C4681C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60995406" w14:textId="77777777" w:rsidR="00C4681C" w:rsidRPr="00C4681C" w:rsidRDefault="00C4681C" w:rsidP="00C4681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C4681C">
        <w:rPr>
          <w:rFonts w:ascii="Book Antiqua" w:eastAsia="Book Antiqua" w:hAnsi="Book Antiqua" w:cs="Book Antiqua"/>
          <w:b/>
          <w:color w:val="000000"/>
        </w:rPr>
        <w:t>©The</w:t>
      </w:r>
      <w:r w:rsidRPr="00C4681C">
        <w:rPr>
          <w:rFonts w:ascii="Book Antiqua" w:eastAsia="Book Antiqua" w:hAnsi="Book Antiqua" w:cs="Book Antiqua"/>
          <w:color w:val="000000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C4681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C4681C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C4681C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C4681C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C4379EA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F21A31" w14:textId="3318F97F" w:rsidR="00C4681C" w:rsidRPr="00C4681C" w:rsidRDefault="00C4681C" w:rsidP="00E46019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Citation:</w:t>
      </w:r>
      <w:r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0C3D" w:rsidRPr="00C4681C">
        <w:rPr>
          <w:rFonts w:ascii="Book Antiqua" w:eastAsia="Book Antiqua" w:hAnsi="Book Antiqua" w:cs="Book Antiqua"/>
          <w:color w:val="000000" w:themeColor="text1"/>
        </w:rPr>
        <w:t>Gordiienko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IM,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0C3D" w:rsidRPr="00C4681C">
        <w:rPr>
          <w:rFonts w:ascii="Book Antiqua" w:eastAsia="Book Antiqua" w:hAnsi="Book Antiqua" w:cs="Book Antiqua"/>
          <w:color w:val="000000" w:themeColor="text1"/>
        </w:rPr>
        <w:t>Gubar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OS,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0C3D" w:rsidRPr="00C4681C">
        <w:rPr>
          <w:rFonts w:ascii="Book Antiqua" w:eastAsia="Book Antiqua" w:hAnsi="Book Antiqua" w:cs="Book Antiqua"/>
          <w:color w:val="000000" w:themeColor="text1"/>
        </w:rPr>
        <w:t>Sulik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0C3D" w:rsidRPr="00C4681C">
        <w:rPr>
          <w:rFonts w:ascii="Book Antiqua" w:eastAsia="Book Antiqua" w:hAnsi="Book Antiqua" w:cs="Book Antiqua"/>
          <w:color w:val="000000" w:themeColor="text1"/>
        </w:rPr>
        <w:t>Kunakh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0C3D" w:rsidRPr="00C4681C">
        <w:rPr>
          <w:rFonts w:ascii="Book Antiqua" w:eastAsia="Book Antiqua" w:hAnsi="Book Antiqua" w:cs="Book Antiqua"/>
          <w:color w:val="000000" w:themeColor="text1"/>
        </w:rPr>
        <w:t>Zlatskiy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B0C3D" w:rsidRPr="00C4681C">
        <w:rPr>
          <w:rFonts w:ascii="Book Antiqua" w:eastAsia="Book Antiqua" w:hAnsi="Book Antiqua" w:cs="Book Antiqua"/>
          <w:color w:val="000000" w:themeColor="text1"/>
        </w:rPr>
        <w:t>Zlatska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biotechnology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products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option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0DAF"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i/>
          <w:iCs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i/>
          <w:iCs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2021;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2480" w:rsidRPr="00C4681C">
        <w:rPr>
          <w:rFonts w:ascii="Book Antiqua" w:eastAsia="Book Antiqua" w:hAnsi="Book Antiqua" w:cs="Book Antiqua"/>
          <w:color w:val="000000" w:themeColor="text1"/>
        </w:rPr>
        <w:t xml:space="preserve">13(9): </w:t>
      </w:r>
      <w:r w:rsidR="006A3C0E" w:rsidRPr="00C4681C">
        <w:rPr>
          <w:rFonts w:ascii="Book Antiqua" w:hAnsi="Book Antiqua" w:cs="Book Antiqua" w:hint="eastAsia"/>
          <w:color w:val="000000" w:themeColor="text1"/>
          <w:lang w:eastAsia="zh-CN"/>
        </w:rPr>
        <w:t>1293-</w:t>
      </w:r>
      <w:r w:rsidRPr="00C4681C">
        <w:rPr>
          <w:rFonts w:ascii="Book Antiqua" w:hAnsi="Book Antiqua" w:cs="Book Antiqua" w:hint="eastAsia"/>
          <w:color w:val="000000" w:themeColor="text1"/>
          <w:lang w:eastAsia="zh-CN"/>
        </w:rPr>
        <w:t>1306</w:t>
      </w:r>
      <w:r w:rsidR="00C62480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6F894A2" w14:textId="77777777" w:rsidR="00C4681C" w:rsidRPr="00C4681C" w:rsidRDefault="00C62480" w:rsidP="00E46019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URL: https://www.wjgnet.com/1948-0210/full/v13/i9/</w:t>
      </w:r>
      <w:r w:rsidR="00C4681C" w:rsidRPr="00C4681C">
        <w:rPr>
          <w:rFonts w:ascii="Book Antiqua" w:hAnsi="Book Antiqua" w:cs="Book Antiqua" w:hint="eastAsia"/>
          <w:color w:val="000000" w:themeColor="text1"/>
          <w:lang w:eastAsia="zh-CN"/>
        </w:rPr>
        <w:t>1293</w:t>
      </w:r>
      <w:r w:rsidRPr="00C4681C">
        <w:rPr>
          <w:rFonts w:ascii="Book Antiqua" w:eastAsia="Book Antiqua" w:hAnsi="Book Antiqua" w:cs="Book Antiqua"/>
          <w:color w:val="000000" w:themeColor="text1"/>
        </w:rPr>
        <w:t xml:space="preserve">.htm </w:t>
      </w:r>
    </w:p>
    <w:p w14:paraId="23A8E804" w14:textId="4818055B" w:rsidR="00A77B3E" w:rsidRPr="00C4681C" w:rsidRDefault="00C62480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DOI: https://dx.doi.org/10.4252/wjsc.v13.i9.</w:t>
      </w:r>
      <w:r w:rsidR="00C4681C" w:rsidRPr="00C4681C">
        <w:rPr>
          <w:rFonts w:ascii="Book Antiqua" w:hAnsi="Book Antiqua" w:cs="Book Antiqua" w:hint="eastAsia"/>
          <w:color w:val="000000" w:themeColor="text1"/>
          <w:lang w:eastAsia="zh-CN"/>
        </w:rPr>
        <w:t>1293</w:t>
      </w:r>
    </w:p>
    <w:p w14:paraId="21D9AB69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919956" w14:textId="73A722CD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associated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architecture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passages,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also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receptor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status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disorders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perception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external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stimuli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systemic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level.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lack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convencial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protocols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approaches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architecture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passages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return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functionality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addition,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proposed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methods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minimally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invasive,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implemented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advancement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biotechnology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contributes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various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help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protocols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syndrome.</w:t>
      </w:r>
    </w:p>
    <w:p w14:paraId="0AB448F2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5F1114" w14:textId="366836D7" w:rsidR="00A77B3E" w:rsidRPr="00C4681C" w:rsidRDefault="0098181C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8B0C3D" w:rsidRPr="00C468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771F09B3" w14:textId="07B83D16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first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time,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term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"empty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syndrome"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(ENS)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introduced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practice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Kern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Stenkvist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1994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describe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place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middle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computed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tomography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turbinectomy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Today,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defined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rhinological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characterized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paradoxical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obstruction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feeling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despite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objectively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broad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airway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usually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delayed,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months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years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postoperatively,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severity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strictly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dependent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resected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volume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frequency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known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exactly,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several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studies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reported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about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8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%</w:t>
      </w:r>
      <w:r w:rsidRPr="00C4681C">
        <w:rPr>
          <w:rFonts w:ascii="Book Antiqua" w:eastAsia="Book Antiqua" w:hAnsi="Book Antiqua" w:cs="Book Antiqua"/>
          <w:color w:val="000000" w:themeColor="text1"/>
        </w:rPr>
        <w:t>-22%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occurrence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undergone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resection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cautery,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resection,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laser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cryosurgery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also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performed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overly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aggressive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manner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Existing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methods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diagnostics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drawbacks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understood.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review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focus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latest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concept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discuss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technologies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management.</w:t>
      </w:r>
    </w:p>
    <w:p w14:paraId="7CC40545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0B21FB" w14:textId="110AD557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Etiology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="0098181C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Pathogenesis</w:t>
      </w:r>
    </w:p>
    <w:p w14:paraId="05A7B77F" w14:textId="78162E91" w:rsidR="0098181C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divided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four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subtypes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depending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resected: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(ENS-IT),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middle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(ENS-MT),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ENS-both,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means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middle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turbinates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removal;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turbinate-sparing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procedures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(ENS-type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ENS-IT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common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type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frequently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report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dyspnea,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dryness,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burning,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obstruction,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feelings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suffocation.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excessive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airflow;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lack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airflow;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hypersensitivity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dyspnea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(also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paradoxical),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breathlessness,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hyperventilation;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variable,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sometimes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pseudoneuralgic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types;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headache;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pharyngeal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dryness;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difficulty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falling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asleep,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general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fatigue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1)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Anxiety,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depression,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psychological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Depression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reported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71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%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correlation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between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volume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depression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severity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diagnosis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patient’s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subjective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reliable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objective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tests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exist.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makes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diagnostics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evaluation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challenging.</w:t>
      </w:r>
    </w:p>
    <w:p w14:paraId="1E8923F5" w14:textId="42CB9131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patency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depends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adequate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cooling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appropriate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TRPM8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(transient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receptor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channel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subfamily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8)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thermoreceptors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general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surface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laminar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airflow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characteristics.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decreasing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TRPM8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receptors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violation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inspired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humidification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cavity,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contact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between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lowered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airway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resistance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removal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humidity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23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%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compensatory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mechanism.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Consequently,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cooling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does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occur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TRPM8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activated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restricted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signaling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respiratory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center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misinterpreted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obstruction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apnea,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breathing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efforts.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important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associated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risk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middle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removal.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recommended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preserve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50%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procedure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allows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sufficient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keep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moderate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volume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essential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airflow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minimize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occurrence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</w:p>
    <w:p w14:paraId="0AFDBA5D" w14:textId="41E8C717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Reduction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causes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compensatory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squamous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metaplasia,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fibrosis,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goblet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metaplasia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glands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cases,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respiratory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epithelium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similar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rhinitis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absence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preserved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49973C" w14:textId="5ED124F1" w:rsidR="00A77B3E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Taking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together,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multifactorial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including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disruption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deficiency.</w:t>
      </w:r>
    </w:p>
    <w:p w14:paraId="3D3BCC1D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123CEB" w14:textId="5EA5A59A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Current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management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strategy</w:t>
      </w:r>
    </w:p>
    <w:p w14:paraId="75F29BB4" w14:textId="74704CF7" w:rsidR="0098181C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Taking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consideration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polygenic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pathophysiology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strategy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overcome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three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challenges: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(1)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airway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resistance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increasing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(2)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edema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decreasing,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normalizing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humidifying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(3)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sensitivity.</w:t>
      </w:r>
    </w:p>
    <w:p w14:paraId="520CFE8D" w14:textId="591E9C4F" w:rsidR="00A77B3E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arsenal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conservative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methods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limited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today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measures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humidification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saline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irrigation,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saline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sprays,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moisturizing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agents,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humidifiers),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antibiotics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corticosteroids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Psychological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successfully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inhibitors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serotonin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norepinephrine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reuptake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inhibitors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cognitive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behavior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therapy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techniques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airflow.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Positioning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septum,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floor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lateral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principle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surgery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Unfortunately,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unambiguous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require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further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investigation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improvements.</w:t>
      </w:r>
    </w:p>
    <w:p w14:paraId="578E3586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A82868" w14:textId="6C9B8780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Overview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implant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materials</w:t>
      </w:r>
    </w:p>
    <w:p w14:paraId="7E16045B" w14:textId="75332099" w:rsidR="0098181C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What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reconstitution?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Synthetic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natural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augment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replace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organs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called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construction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scaffold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seeding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replace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Physical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chemical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varied,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imposes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certain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requirements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biofunctionality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biodegradation,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bioresorbability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non-toxicity.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Namely,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maximally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safely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integrate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without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adverse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mechanical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correspond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replaced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body,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toxic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compounds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surface,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pores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degradation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common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synthetic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engineering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synthetic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polymers,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include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relatively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hydrophobic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α-hydroxy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acids,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polyanhydrides,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others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synthetic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disadvantages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composition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tissues/organ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nature,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remodeling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low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Collagen,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gelatin,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silk,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cellulose,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chitin/chitosan,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decellularized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matrix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examples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natural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widely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instruments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medicine.</w:t>
      </w:r>
    </w:p>
    <w:p w14:paraId="0112FA67" w14:textId="07BA3A1E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repair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inert,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good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compact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dense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enough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avoid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extrusion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shrinkage,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keep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shape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well,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rejection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common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reconstruction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porous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polyethylene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cartilage,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dermis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672854" w14:textId="51A3BBC2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Commercialized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porous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polyethylene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alloplastic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medical-grade,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density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polyethylene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flexible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framework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interconnecting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pores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size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150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µm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diameter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allows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blood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vessels,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ingrowth,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together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collagen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deposition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forming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absent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tissue/organ.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optimistic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studies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described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sino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-nasal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outcome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test)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score,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level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depression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anxiety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14,24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year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surgery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14,24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Huang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absence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crusting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pain/pressure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time,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serious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drawback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extrusion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6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surgery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24,25]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Besides,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reported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chronic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rhinitis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16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4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year</w:t>
      </w:r>
      <w:r w:rsidR="00DA0001" w:rsidRPr="00C4681C">
        <w:rPr>
          <w:rFonts w:ascii="Book Antiqua" w:eastAsia="Book Antiqua" w:hAnsi="Book Antiqua" w:cs="Book Antiqua"/>
          <w:color w:val="000000" w:themeColor="text1"/>
        </w:rPr>
        <w:t>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BB5630" w14:textId="73AE3BAA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cartilage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provide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resistance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degree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resorption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compared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synthetic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hand,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autologous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cartilage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requires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additional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surgery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traumatic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longer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post-operative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period.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Submucoperiosteal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autologus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cartilage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lateral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decreasing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SNOT-25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good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12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difficulties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autologus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cartilage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harvesting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restricted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data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about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limit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conchal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cartilage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C387777" w14:textId="6D74065C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Another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popular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defect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cell-free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allograft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comprised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integrated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membrane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matrix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collagen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bundles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elastic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fibers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components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alien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present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does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immune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compared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allografts.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Alloderm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patients’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SNOT-20/25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score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5,31,32]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similar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Allodem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extrusion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cases.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Besides,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subject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shrinkage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time.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Taken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together,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disadvantages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5,32]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302BEF" w14:textId="441EFEE6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Single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studies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hydroxyapatite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cement,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hyaluronic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acid,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β-tricalcium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phosphate,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silastic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sheet,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carboxymethylcellulose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/glycerin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Prolaryn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autologous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graft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septal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bone,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porcine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small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intestine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submucosal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xenograft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1).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Small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enrolled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drawbacks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detected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restrictions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Despite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meta-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analysis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autograft/allograft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foreign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graft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</w:t>
      </w:r>
      <w:r w:rsidRPr="00C4681C">
        <w:rPr>
          <w:rFonts w:ascii="Book Antiqua" w:eastAsia="Book Antiqua" w:hAnsi="Book Antiqua" w:cs="Book Antiqua"/>
          <w:strike/>
          <w:color w:val="000000" w:themeColor="text1"/>
        </w:rPr>
        <w:t>s</w:t>
      </w:r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searching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optimal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good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integration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actual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task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Moreover,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presented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conventional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solves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key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issues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underlie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pathogenesis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and/or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sustainable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enough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patient’s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postulate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developing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technologies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overcome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existing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limitations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quality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life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C14F29E" w14:textId="5C8E2984" w:rsidR="00A77B3E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matrix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methylcellulose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hydrogels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alternative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inferior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reconsctruction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Strong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limitation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despite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excellent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biocompatibility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resorption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90%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5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Decellularized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matrix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(ECM)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alternative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ECM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methylcellulose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hydrogels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promising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laryngoplasty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augmentation.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ECM/MC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hydrogel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fibrosis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site,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collagen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fibers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fatty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granules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increased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study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demonstrated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ECM/MC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hydrogels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excellent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scaffold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delivery.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ECM/MC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hydrogels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cutaneous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rapid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re-epithelialization,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neovasculation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minimal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formation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advantages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ECM/MC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hydrogel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composition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biocompatibility,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thermosensitivity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minimal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traumatization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possibility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cells.</w:t>
      </w:r>
    </w:p>
    <w:p w14:paraId="7AAC9846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5A9F74" w14:textId="4F73B5FC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Perspectives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stem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cell-based</w:t>
      </w:r>
      <w:r w:rsidR="00C27BEE"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therapy</w:t>
      </w:r>
    </w:p>
    <w:p w14:paraId="3BF0DAB5" w14:textId="392F7E19" w:rsidR="0098181C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belonging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advances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innovative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strategy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conventional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inefficient.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great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replacing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organs.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including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adult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derivatives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embryonic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induced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pluripotent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undergo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clinical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evaluation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safety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effectivity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Anti-aging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wound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healing,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neurodegenerative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metabolic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disorders,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musculoskeletal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disorders,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autoimmune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targets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Taking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consideration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ethical,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legal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political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concerns,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tissue-specific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preferable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source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multilineage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immunomodulatory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large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soluble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vesicle-bound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growth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cytokines,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microRNAs,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multipotent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stromal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(MSCs)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become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key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player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rapidly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growing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field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last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30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years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950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clinical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registered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worldwide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2011-2018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37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,38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graft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perianal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fistulas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Crohn's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osteoarthritis,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II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diabetes,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wound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healing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39-41]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marrow,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umbilical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cord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placenta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abundant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sources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isolation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expansion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next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taking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consideration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ethical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problems,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source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availability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quantity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output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isolated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characterized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common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features: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adhesion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plastic,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fibroblast-like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morphology,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positive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CD73,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CD90,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CD105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negative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CD34,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CD45,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CD14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CD11b,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CD79-α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CD19,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HLA-DR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surface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markers,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multilineage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adipocytes,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chondrocytes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osteocytes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98181C" w:rsidRPr="00C4681C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37,42]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broad-range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explained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proliferation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–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proliferate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rapidly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allowing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biotechnologists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appropriate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amount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(1)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Multipotency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–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multiple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under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appropriate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stimuli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replace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(2)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–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numerous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grows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(Ang-1,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GDFN,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BDNF,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IGF-1,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PDGF,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SDF-1,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VEGF)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support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(3)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Homing/migration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–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migrate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systemic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express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adhesion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molecules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(CD44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integrins),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chemokines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receptors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(CCR2,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CCR7,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CCR10,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CXCR4,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CXCR5,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CXCR6),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metalloproteinases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(MMP-1,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MMP-9)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(4</w:t>
      </w:r>
      <w:r w:rsidR="0098181C" w:rsidRPr="00C4681C">
        <w:rPr>
          <w:rFonts w:ascii="Book Antiqua" w:eastAsia="宋体" w:hAnsi="Book Antiqua" w:cs="宋体"/>
          <w:color w:val="000000" w:themeColor="text1"/>
          <w:lang w:eastAsia="zh-CN"/>
        </w:rPr>
        <w:t>)</w:t>
      </w:r>
      <w:r w:rsidR="00C27BEE" w:rsidRPr="00C468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Immunomodulation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–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suppress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proliferation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CD4+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helper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CD8+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cytotoxic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proinflammatory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macrophages,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neutrophils,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killer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same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time,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regulatory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anti-inflammation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macrophages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immature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dendritic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Immunomodulation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realized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TGF-β,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IL-6,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IL-10,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prostaglandin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E2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(PGE2),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TSG-6,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inducible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nitric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oxide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synthase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iNOS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indoleamine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,3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</w:rPr>
        <w:t>-dioxygenase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(IDO),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1DBA638" w14:textId="61D455FF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including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mechanisms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repair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injured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direct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replenishment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paracrine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growth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cytokines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hormones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protein/peptide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miRNA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transfer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vesicles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2A70068" w14:textId="77E72145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Published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data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about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limited.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Kim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47]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reported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autologous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stromal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vascular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fraction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(SVF)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Two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enrolled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totally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statistically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differences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SNOT-25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score.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level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cytokines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IL-1β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IL-8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secretions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decreased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SVF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SVF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explained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SVF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non-cultivated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mixture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progenitor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percent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(up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3%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between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shown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particles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significantly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confirmed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Friji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="00C27BEE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when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lipoaspirate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primary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atrophy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rhinitis.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appearance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atrophied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crusting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glistening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suppose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homogeneous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enriched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population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isolated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from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umbilical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cord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management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prominent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C4681C">
        <w:rPr>
          <w:rFonts w:ascii="Book Antiqua" w:eastAsia="Book Antiqua" w:hAnsi="Book Antiqua" w:cs="Book Antiqua"/>
          <w:color w:val="000000" w:themeColor="text1"/>
        </w:rPr>
        <w:t>2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lipoaspirate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SVF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48FF5AC" w14:textId="5206DD4C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mentioned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previously,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surface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level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TRPM8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thermoreceptors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number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patient’s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Role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signaling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pathophysiology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approach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sensitivity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renewal.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enriched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possible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solutions.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Besides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already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known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PRP,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SVF,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purpose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Adult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neural-crest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(NCSCs)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unique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population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found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follicle,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skin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dermis,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adipose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marrow,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palate,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dental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pulp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proofErr w:type="spellEnd"/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Numerous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studies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demonstrate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wider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range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compared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precisely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glial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lineages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Moreover,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spectrum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cytokines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growth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like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IL-2Ra,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IL-3,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IL-5,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IL-8,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IL-16,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MCP-1,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SDF1a,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GM-CSF,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M-CSF,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bFGF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specific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NGF,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NTF3,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NTF4,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BDNF,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GDNF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cultured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defects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C4681C">
        <w:rPr>
          <w:rFonts w:ascii="Book Antiqua" w:eastAsia="Book Antiqua" w:hAnsi="Book Antiqua" w:cs="Book Antiqua"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peripheral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spinal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cord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rats.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experimental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model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glaucoma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edema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cytoarchitectonics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layers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experimental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orbital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trauma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oculomotor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muscles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retrobulbar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abovementioned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successful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pre-clinical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clinical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together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several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accessible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sources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adult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organism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make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attractive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candidates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especially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field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neurology.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also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support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direct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reintegration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C4681C">
        <w:rPr>
          <w:rFonts w:ascii="Book Antiqua" w:eastAsia="Book Antiqua" w:hAnsi="Book Antiqua" w:cs="Book Antiqua"/>
          <w:color w:val="000000" w:themeColor="text1"/>
        </w:rPr>
        <w:t>2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3).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7526C5" w14:textId="6A441BE4" w:rsidR="0098181C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Efficiency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product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proofErr w:type="gram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management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depend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numerous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severity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autologous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donor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source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amount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quality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our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own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experimental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clinical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experiences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neurodegenerative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diseases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published),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suggest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archive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valuable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depending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severity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2).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epithelium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decrease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efficient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neurosensory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C4681C">
        <w:rPr>
          <w:rFonts w:ascii="Book Antiqua" w:eastAsia="Book Antiqua" w:hAnsi="Book Antiqua" w:cs="Book Antiqua"/>
          <w:color w:val="000000" w:themeColor="text1"/>
        </w:rPr>
        <w:t>2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8181C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3).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Taking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account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intrinsic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following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high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quality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cultured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leading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sensation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(Figure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3).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Thus,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might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epithelial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consequently,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edema,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neurosensory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systems,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contribute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regression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symptoms.</w:t>
      </w:r>
    </w:p>
    <w:p w14:paraId="6CED72F0" w14:textId="54CE0E33" w:rsidR="00A77B3E" w:rsidRPr="00C4681C" w:rsidRDefault="008B0C3D" w:rsidP="00E460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There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ways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option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engineering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approach,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application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encapsulated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bioactive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chemical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physical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support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survival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proliferation.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imitation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niche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allowing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interaction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each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artificial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“extracellular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matrix”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3D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dimension.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approach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cells’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stress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increased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survival,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secretome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enrichment,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proofErr w:type="gramStart"/>
      <w:r w:rsidR="00C27BEE" w:rsidRPr="00C4681C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98181C"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4681C">
        <w:rPr>
          <w:rFonts w:ascii="Book Antiqua" w:eastAsia="Book Antiqua" w:hAnsi="Book Antiqua" w:cs="Book Antiqua"/>
          <w:color w:val="000000" w:themeColor="text1"/>
          <w:vertAlign w:val="superscript"/>
        </w:rPr>
        <w:t>59]</w:t>
      </w:r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Thus,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depending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severity,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encapsulated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both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reconstitute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functionality,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specifically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inhibit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after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manipulation,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edema,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epithelium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neurosensation</w:t>
      </w:r>
      <w:proofErr w:type="spellEnd"/>
      <w:r w:rsidRPr="00C4681C">
        <w:rPr>
          <w:rFonts w:ascii="Book Antiqua" w:eastAsia="Book Antiqua" w:hAnsi="Book Antiqua" w:cs="Book Antiqua"/>
          <w:color w:val="000000" w:themeColor="text1"/>
        </w:rPr>
        <w:t>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tissue-engineering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methods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expect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achieve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lifetime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positive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approach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help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obtain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long-awaited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relief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costs.</w:t>
      </w:r>
    </w:p>
    <w:p w14:paraId="6C5F4CDB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146E83" w14:textId="77777777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427B4C1" w14:textId="7E06A9D0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advancement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technologies,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medicine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instrument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reconstruction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cavity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greatly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improve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conventional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methods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treatment,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gaining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anatomical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returning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function.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years,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therapies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extensively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studied,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promising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results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acquired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various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types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combined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grafts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biomaterials.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challenges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solved,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low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survival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difficulty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restoring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volume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normal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architecture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organ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tissue.</w:t>
      </w:r>
    </w:p>
    <w:p w14:paraId="124E4455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A019CA" w14:textId="6E65EFAE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lastRenderedPageBreak/>
        <w:t>REFERENCES</w:t>
      </w:r>
    </w:p>
    <w:p w14:paraId="5F912B47" w14:textId="139D931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29"/>
      <w:r w:rsidRPr="00C4681C">
        <w:rPr>
          <w:rFonts w:ascii="Book Antiqua" w:hAnsi="Book Antiqua"/>
          <w:color w:val="000000" w:themeColor="text1"/>
        </w:rPr>
        <w:t>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Scheithauer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MO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Surgery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turbinates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"empty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nose"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GMS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Top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Surg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Doc03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22073107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10.3205/cto000067]</w:t>
      </w:r>
    </w:p>
    <w:p w14:paraId="5F3639DA" w14:textId="1F83F8B4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Gill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AS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Said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Tollefson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TT,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Steele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Update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disease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mechanisms,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diagnostic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tools,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strategies.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Surg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237-242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31116142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10.1097/MOO.0000000000000544]</w:t>
      </w:r>
    </w:p>
    <w:p w14:paraId="3E565216" w14:textId="5D218194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Keime-Guibert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F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Napolitano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Delattre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Neurological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complications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radiotherapy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chemotherapy.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Neurol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1998;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245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695-708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9808237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10.1007/s004150050271]</w:t>
      </w:r>
    </w:p>
    <w:p w14:paraId="1097F36E" w14:textId="3C0AE7EC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Di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Girolamo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S</w:t>
      </w:r>
      <w:r w:rsidR="00FA74FB"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="00FA74FB" w:rsidRPr="00C4681C">
        <w:rPr>
          <w:rFonts w:ascii="Book Antiqua" w:hAnsi="Book Antiqua"/>
          <w:color w:val="000000" w:themeColor="text1"/>
        </w:rPr>
        <w:t>editor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Atrophic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Rhinitis</w:t>
      </w:r>
      <w:r w:rsidR="00FA74FB"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From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Voluptuary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Pathology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Springer,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2020: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XII,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10.1007/978-3-030-51705-2]</w:t>
      </w:r>
    </w:p>
    <w:p w14:paraId="306289D8" w14:textId="6E8C7A4B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Houser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SM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Surgical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hAnsi="Book Antiqua"/>
          <w:color w:val="000000" w:themeColor="text1"/>
        </w:rPr>
        <w:t>treatment</w:t>
      </w:r>
      <w:proofErr w:type="gram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Arch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2007;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133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858-863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17875850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10.1001/archotol.133.9.858]</w:t>
      </w:r>
    </w:p>
    <w:p w14:paraId="4F4EF6DD" w14:textId="5485DA75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Kuan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EC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JD,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MB.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Allergy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Asthma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Rep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2015;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493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25430954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10.1007/s11882-014-0493-x]</w:t>
      </w:r>
    </w:p>
    <w:p w14:paraId="23615C7F" w14:textId="766D9EAB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Sozansky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Houser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SM.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Pathophysiology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2015;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70-74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24978195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10.1002/lary.24813]</w:t>
      </w:r>
    </w:p>
    <w:p w14:paraId="6926304D" w14:textId="692807F3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Coste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A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Dessi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Serrano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Ann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Dis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2012;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93-97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22513047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10.1016/j.anorl.2012.02.001]</w:t>
      </w:r>
    </w:p>
    <w:p w14:paraId="7917F4B4" w14:textId="0640C349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Manji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Nayak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Thamboo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functional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psychological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burden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Forum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Allergy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707-712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29443458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10.1002/alr.22097]</w:t>
      </w:r>
    </w:p>
    <w:p w14:paraId="27138B76" w14:textId="0589C401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Kim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CH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Kim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Choi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Kwon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JH.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Degree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Stress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Patients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Compared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Chronic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Rhinosinusitis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Allergic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Rhinitis.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Ear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Nose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Throat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100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NP87-NP92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31272211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10.1177/0145561319858912]</w:t>
      </w:r>
    </w:p>
    <w:p w14:paraId="33DA0143" w14:textId="08D6008B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lastRenderedPageBreak/>
        <w:t>11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Thune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EL,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Kosinski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Balakin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Alyaev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numerical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study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flow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field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particle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deposition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channels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deviant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geometry.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Eng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App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Comput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Fluid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Mech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180</w:t>
      </w:r>
      <w:r w:rsidR="00153CB5" w:rsidRPr="00C4681C">
        <w:rPr>
          <w:rFonts w:ascii="Book Antiqua" w:hAnsi="Book Antiqua"/>
          <w:color w:val="000000" w:themeColor="text1"/>
        </w:rPr>
        <w:t>-</w:t>
      </w:r>
      <w:r w:rsidRPr="00C4681C">
        <w:rPr>
          <w:rFonts w:ascii="Book Antiqua" w:hAnsi="Book Antiqua"/>
          <w:color w:val="000000" w:themeColor="text1"/>
        </w:rPr>
        <w:t>193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10.1080/19942060.2020.1863267]</w:t>
      </w:r>
    </w:p>
    <w:p w14:paraId="4D6F478C" w14:textId="155C6AE6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Freund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W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Wunderlich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AP,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Stöcker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Schmitz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Scheithauer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MO.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limbic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activation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observed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functional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magnetic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resonance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imaging.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121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2019-2025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22024858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10.1002/lary.21903]</w:t>
      </w:r>
    </w:p>
    <w:p w14:paraId="4118A864" w14:textId="24AF59FA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Bhandarkar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ND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Smith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TL.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surgery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inferior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turbinate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hypertrophy.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Surg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49-53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19915467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10.1097/MOO.0b013e328334d974]</w:t>
      </w:r>
    </w:p>
    <w:p w14:paraId="6A00D8B2" w14:textId="1B8F4CF0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Huang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TJ.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Impact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Psychologic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Burden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Surgical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131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E694-E701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32692881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10.1002/lary.28845]</w:t>
      </w:r>
    </w:p>
    <w:p w14:paraId="3D8612BC" w14:textId="51687A24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Lemogne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Consoli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Limosin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Bonfils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somatic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symptom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disorder.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Gen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Hosp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Psychiatry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2015;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37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273.e9-273.10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25754986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10.1016/j.genhosppsych.2015.02.005]</w:t>
      </w:r>
    </w:p>
    <w:p w14:paraId="5B89899E" w14:textId="41AF164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Xu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Y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Hellwarth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PB,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Bao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X.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Biomaterials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engineering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biomanufacturing.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Bioact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Mater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4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366-379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31872161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10.1016/j.bioactmat.2019.11.002]</w:t>
      </w:r>
    </w:p>
    <w:p w14:paraId="46714BA3" w14:textId="414F3269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Sekuła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Zuba</w:t>
      </w:r>
      <w:r w:rsidR="00562D25" w:rsidRPr="00C4681C">
        <w:rPr>
          <w:rFonts w:ascii="Book Antiqua" w:eastAsia="宋体" w:hAnsi="Book Antiqua" w:cs="宋体"/>
          <w:color w:val="000000" w:themeColor="text1"/>
          <w:lang w:eastAsia="zh-CN"/>
        </w:rPr>
        <w:t>-</w:t>
      </w:r>
      <w:r w:rsidRPr="00C4681C">
        <w:rPr>
          <w:rFonts w:ascii="Book Antiqua" w:hAnsi="Book Antiqua"/>
          <w:color w:val="000000" w:themeColor="text1"/>
        </w:rPr>
        <w:t>Surma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EK.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Biomaterials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Promising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Tools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Engineering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Biomedical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Applications.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Dobrza</w:t>
      </w:r>
      <w:r w:rsidRPr="00C4681C">
        <w:rPr>
          <w:rFonts w:ascii="Book Antiqua" w:hAnsi="Book Antiqua" w:cs="Book Antiqua"/>
          <w:color w:val="000000" w:themeColor="text1"/>
        </w:rPr>
        <w:t>ń</w:t>
      </w:r>
      <w:r w:rsidRPr="00C4681C">
        <w:rPr>
          <w:rFonts w:ascii="Book Antiqua" w:hAnsi="Book Antiqua"/>
          <w:color w:val="000000" w:themeColor="text1"/>
        </w:rPr>
        <w:t>ski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editor.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Biomaterials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Medicine.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IntechOpen</w:t>
      </w:r>
      <w:proofErr w:type="spellEnd"/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10.5772/intechopen.70122]</w:t>
      </w:r>
    </w:p>
    <w:p w14:paraId="036F92DF" w14:textId="44878C0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Kohane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DS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Langer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Polymeric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biomaterials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engineering.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63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487-491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18427292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10.1203/01.pdr.0000305937.26105.e7]</w:t>
      </w:r>
    </w:p>
    <w:p w14:paraId="6A6222A4" w14:textId="1E62C14A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19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Ha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TLB,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Quan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DM.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Naturally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Biomaterials: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Preparation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Application.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Andrades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editor.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Medicine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Engineering.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IntechOpen</w:t>
      </w:r>
      <w:proofErr w:type="spellEnd"/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10.5772/55668]</w:t>
      </w:r>
    </w:p>
    <w:p w14:paraId="51D7DF2B" w14:textId="0DD95C95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Bastier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PL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Bennani-Baiti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Stoll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Gabory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β-Tricalcium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phosphate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repair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preliminary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results.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2013;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148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519-522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23300225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10.1177/0194599812472436]</w:t>
      </w:r>
    </w:p>
    <w:p w14:paraId="61995C8B" w14:textId="3E65B760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lastRenderedPageBreak/>
        <w:t>21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Ma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ZX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Quan</w:t>
      </w:r>
      <w:proofErr w:type="spellEnd"/>
      <w:r w:rsidRPr="00C4681C">
        <w:rPr>
          <w:rFonts w:ascii="Book Antiqua" w:hAnsi="Book Antiqua"/>
          <w:color w:val="000000" w:themeColor="text1"/>
        </w:rPr>
        <w:t>-Zeng,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Jie</w:t>
      </w:r>
      <w:proofErr w:type="spellEnd"/>
      <w:r w:rsidRPr="00C4681C">
        <w:rPr>
          <w:rFonts w:ascii="Book Antiqua" w:hAnsi="Book Antiqua"/>
          <w:color w:val="000000" w:themeColor="text1"/>
        </w:rPr>
        <w:t>-Liu,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GH.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Assessment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postsurgical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between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different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patients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meta-analysis.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Int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2017;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45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1939-1948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29098901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10.1177/0300060517715167]</w:t>
      </w:r>
    </w:p>
    <w:p w14:paraId="53803E3A" w14:textId="389D7AFB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Khorasani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Janbaz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Rayati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Maxillofacial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reconstruction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porous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polyethylene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series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study.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Korean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Assoc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Oral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Maxillofac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44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128-135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29963494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10.5125/jkaoms.2018.44.3.128]</w:t>
      </w:r>
    </w:p>
    <w:p w14:paraId="79E008F7" w14:textId="10BDA22D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Boccieri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A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Marano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conchal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cartilage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graft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reconstruction.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Plast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Reconstr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Aesthet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2007;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60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188-194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17223517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10.1016/j.bjps.2006.02.005]</w:t>
      </w:r>
    </w:p>
    <w:p w14:paraId="22C4DA07" w14:textId="4123F94E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Jiang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Shi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Study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inferior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turbinate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reconstruction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2013;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123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1106-1111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23208803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10.1002/lary.23908]</w:t>
      </w:r>
    </w:p>
    <w:p w14:paraId="74ED0067" w14:textId="2D2A33D8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Tam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YY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TJ,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CC.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Clinical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analysis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submucosal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Medpor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Rhinology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2014;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52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35-40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24618626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10.4193/Rhin13.086]</w:t>
      </w:r>
    </w:p>
    <w:p w14:paraId="433562A8" w14:textId="53BAB064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Lee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TJ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Tam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MH.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Evaluation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depression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anxiety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after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surgical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2016;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126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1284-1289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26667794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10.1002/lary.25814]</w:t>
      </w:r>
    </w:p>
    <w:p w14:paraId="7216AEF4" w14:textId="5D4F9A5C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Lee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TJ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Tseng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HJ.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Surgical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Impact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site.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554-559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28714537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10.1002/lary.26769]</w:t>
      </w:r>
    </w:p>
    <w:p w14:paraId="6B42C45E" w14:textId="076022EA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Huang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TJ.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What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drives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depression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syndrome?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Sinonasal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Test-25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subdomain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analysis.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Rhinology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57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469-476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31502597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10.4193/Rhin19.085]</w:t>
      </w:r>
    </w:p>
    <w:p w14:paraId="7B74428E" w14:textId="4BD765D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29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Agarwal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Kumar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BT,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Mehta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acellular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dermal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matrix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allograft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(</w:t>
      </w:r>
      <w:proofErr w:type="spellStart"/>
      <w:proofErr w:type="gramStart"/>
      <w:r w:rsidRPr="00C4681C">
        <w:rPr>
          <w:rFonts w:ascii="Book Antiqua" w:hAnsi="Book Antiqua"/>
          <w:color w:val="000000" w:themeColor="text1"/>
        </w:rPr>
        <w:t>Alloderm</w:t>
      </w:r>
      <w:proofErr w:type="spellEnd"/>
      <w:r w:rsidRPr="00C4681C">
        <w:rPr>
          <w:rFonts w:ascii="Book Antiqua" w:hAnsi="Book Antiqua"/>
          <w:color w:val="000000" w:themeColor="text1"/>
        </w:rPr>
        <w:t>(</w:t>
      </w:r>
      <w:proofErr w:type="gramEnd"/>
      <w:r w:rsidRPr="00C4681C">
        <w:rPr>
          <w:rFonts w:ascii="Book Antiqua" w:hAnsi="Book Antiqua"/>
          <w:color w:val="000000" w:themeColor="text1"/>
        </w:rPr>
        <w:t>®))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increasing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keratinized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attached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gingiva: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series.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Indian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Soc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Periodontol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2015;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216-220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26015676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10.4103/0972-124X.149938]</w:t>
      </w:r>
    </w:p>
    <w:p w14:paraId="362A3DE5" w14:textId="7E2DE03B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Jung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JH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Baguindali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Park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JT,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YJ.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Costal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cartilage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superior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material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conchal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cartilage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2013;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149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500-505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23728068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10.1177/0194599813491223]</w:t>
      </w:r>
    </w:p>
    <w:p w14:paraId="0D953ADC" w14:textId="3411570A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lastRenderedPageBreak/>
        <w:t>31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Houser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SM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C4681C">
        <w:rPr>
          <w:rFonts w:ascii="Book Antiqua" w:hAnsi="Book Antiqua"/>
          <w:color w:val="000000" w:themeColor="text1"/>
        </w:rPr>
        <w:t>syndrome</w:t>
      </w:r>
      <w:proofErr w:type="gram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associated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middle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turbinate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resection.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Neck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2006;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135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972-973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17141099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10.1016/j.otohns.2005.04.017]</w:t>
      </w:r>
    </w:p>
    <w:p w14:paraId="30FFB408" w14:textId="1BF43EAF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Saafan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ME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Acellular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dermal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(</w:t>
      </w:r>
      <w:proofErr w:type="spellStart"/>
      <w:r w:rsidRPr="00C4681C">
        <w:rPr>
          <w:rFonts w:ascii="Book Antiqua" w:hAnsi="Book Antiqua"/>
          <w:color w:val="000000" w:themeColor="text1"/>
        </w:rPr>
        <w:t>alloderm</w:t>
      </w:r>
      <w:proofErr w:type="spellEnd"/>
      <w:r w:rsidRPr="00C4681C">
        <w:rPr>
          <w:rFonts w:ascii="Book Antiqua" w:hAnsi="Book Antiqua"/>
          <w:color w:val="000000" w:themeColor="text1"/>
        </w:rPr>
        <w:t>)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grafts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versus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silastic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sheets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management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Arch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2013;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270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527-533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22526572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10.1007/s00405-012-1955-1]</w:t>
      </w:r>
    </w:p>
    <w:p w14:paraId="5CAA73E4" w14:textId="45907DDA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Patrick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CW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Jr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engineering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strategies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adipose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repair.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Anat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263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361-366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11500812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10.1002/ar.1113]</w:t>
      </w:r>
    </w:p>
    <w:p w14:paraId="122CDBA1" w14:textId="10D1CB96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Kim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DW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Kim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EJ,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Kim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Kwon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TK,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Kwon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SK.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Human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Adipose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Extracellular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Matrix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Methylcellulose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Hydrogels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Augments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Paralyzed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Vocal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Fold.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One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2016;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11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e0165265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27768757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10.1371/journal.pone.0165265]</w:t>
      </w:r>
    </w:p>
    <w:p w14:paraId="5DF2753F" w14:textId="6B50E1E6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Kim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EJ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Choi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Kim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Choi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YW.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Injectable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Thermosensitive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Soluble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Extracellular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Matrix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Methylcellulose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Hydrogels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Delivery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Skin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Wounds.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Biomacromolecules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2016;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4-11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26607961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10.1021/acs.biomac.5b01566]</w:t>
      </w:r>
    </w:p>
    <w:p w14:paraId="3988CFD9" w14:textId="783AC82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Balistreri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CR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Falco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Bordin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Maslova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Koliada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Vaiserman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therapy: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old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challenges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new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solutions.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Mol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Biol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Rep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47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3117-3131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32128709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10.1007/s11033-020-05353-2]</w:t>
      </w:r>
    </w:p>
    <w:p w14:paraId="509A8921" w14:textId="2FFBFC61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Pittenger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MF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Discher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Péault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Phinney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DG,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Hare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Caplan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AI.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perspective: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biology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clinical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progress.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NPJ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Regen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4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31815001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10.1038/s41536-019-0083-6]</w:t>
      </w:r>
    </w:p>
    <w:p w14:paraId="538B93E6" w14:textId="67DD4388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Hoogduijn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Lombardo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Anno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Dawn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Therapeutic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Era?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Concise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Review.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1126-1134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31282113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10.1002/sctm.19-0073]</w:t>
      </w:r>
    </w:p>
    <w:p w14:paraId="2CB5C163" w14:textId="58B8D64C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39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Godoy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JAP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Paiva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RMA,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Souza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Kondo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AT,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Kutner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Okamoto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OK.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Clinical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Translation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Therapy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Graft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Versus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Host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Disease.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Front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Dev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Biol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255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31824942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10.3389/fcell.2019.00255]</w:t>
      </w:r>
    </w:p>
    <w:p w14:paraId="53C8BCD8" w14:textId="1D6408E8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lastRenderedPageBreak/>
        <w:t>40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Galipeau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Sensébé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Clinical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Challenges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Therapeutic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Opportunities.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22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824-833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29859173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10.1016/j.stem.2018.05.004]</w:t>
      </w:r>
    </w:p>
    <w:p w14:paraId="5701880E" w14:textId="116F181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Shariatzadeh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Wilson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SL.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efficacy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different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sources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knee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osteoarthritis.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Tissue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378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399-410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31309317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10.1007/s00441-019-03069-9]</w:t>
      </w:r>
    </w:p>
    <w:p w14:paraId="70CD55E7" w14:textId="2CC52B37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Fitzsimmons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REB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Mazurek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Soos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Simmons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Stromal/Stem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Medicine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Engineering.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Int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2018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8031718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30210552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10.1155/2018/8031718]</w:t>
      </w:r>
    </w:p>
    <w:p w14:paraId="10657070" w14:textId="4B919052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Naji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A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Eitoku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Favier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Deschaseaux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Rouas-Freiss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Suganuma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Biological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functions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clinical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implications.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Mol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Life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Sci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76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3323-3348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31055643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10.1007/s00018-019-03125-1]</w:t>
      </w:r>
    </w:p>
    <w:p w14:paraId="1E97335C" w14:textId="1E037908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Harrell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CR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Fellabaum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Jovicic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Djonov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Arsenijevic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Volarevic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Molecular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Mechanisms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Responsible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Therapeutic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Potential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Secretome</w:t>
      </w:r>
      <w:proofErr w:type="spellEnd"/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31100966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10.3390/cells8050467]</w:t>
      </w:r>
    </w:p>
    <w:p w14:paraId="299A0C84" w14:textId="546D1F21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Shi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Y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Q,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Hou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Shao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Immunoregulatory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mechanisms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inflammatory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diseases.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Nat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Rev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Nephrol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14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493-507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29895977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10.1038/s41581-018-0023-5]</w:t>
      </w:r>
    </w:p>
    <w:p w14:paraId="15DEF15B" w14:textId="2B2B5668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Spees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JL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Lee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Gregory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Mechanisms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stem/stromal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function.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2016;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125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27581859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10.1186/s13287-016-0363-7]</w:t>
      </w:r>
    </w:p>
    <w:p w14:paraId="24DDFBE3" w14:textId="2CA2EAD5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Kim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DY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Hong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HR,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Choi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Yoon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SW,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YJ.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Efficacy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Safety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Autologous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Vascular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Fraction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Exp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Otorhinolaryngol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11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281-287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29764011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10.21053/ceo.2017.01634]</w:t>
      </w:r>
    </w:p>
    <w:p w14:paraId="73150668" w14:textId="29F3A2A8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48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Baer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PC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Geiger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Adipose-derived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stromal/stem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localization,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characterization,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heterogeneity.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Int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2012;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2012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812693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22577397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10.1155/2012/812693]</w:t>
      </w:r>
    </w:p>
    <w:p w14:paraId="08A3C6E9" w14:textId="640C27C5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lastRenderedPageBreak/>
        <w:t>49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Xu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X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Liu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Chen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expansion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autologous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adipose-derived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vitro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functional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reconstruction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mucosal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Biosci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2015;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54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26388989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10.1186/s13578-015-0045-7]</w:t>
      </w:r>
    </w:p>
    <w:p w14:paraId="0E128754" w14:textId="7125BED1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Friji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MT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Gopalakrishnan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Verma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SK,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Parida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PK,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Mohapatra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DP.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New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approach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atrophic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rhinitis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using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autologous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lipoaspirate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transfer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platelet-rich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plasma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patients: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Experience.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Otolaryngol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2014;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39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289-292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24938860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10.1111/coa.12269]</w:t>
      </w:r>
    </w:p>
    <w:p w14:paraId="77DE5B35" w14:textId="2522F85D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Mehrotra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P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Tseropoulos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Bronner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Andreadis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Adult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crest-like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Sources,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regulatory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networks,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translational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potential.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328-341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31738018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10.1002/sctm.19-0173]</w:t>
      </w:r>
    </w:p>
    <w:p w14:paraId="285DFB37" w14:textId="5A8EAE9A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Vasyliev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RG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Gubar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Gordiienko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Litvinova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Rodnichenko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Shupletsova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Zlatska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Yurova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Todosenko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Khadzhynova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Shulha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Novikova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SN,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Zubov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Comparative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Analysis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Biological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Properties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Large-Scale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Expanded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Adult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Isolated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from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Human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Hair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Follicle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Skin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Dermis.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Int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2019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9640790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30915126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10.1155/2019/9640790]</w:t>
      </w:r>
    </w:p>
    <w:p w14:paraId="387B234E" w14:textId="5E6F6710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Nagoshi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N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Shibata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Nakamura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Matsuzaki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Toyama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Okano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display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wide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variety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characteristics.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107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1046-1052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19479900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10.1002/jcb.22213]</w:t>
      </w:r>
    </w:p>
    <w:p w14:paraId="67063542" w14:textId="52286C31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Pelttari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K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Pippenger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Mumme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Feliciano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Scotti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Mainil</w:t>
      </w:r>
      <w:proofErr w:type="spellEnd"/>
      <w:r w:rsidRPr="00C4681C">
        <w:rPr>
          <w:rFonts w:ascii="Book Antiqua" w:hAnsi="Book Antiqua"/>
          <w:color w:val="000000" w:themeColor="text1"/>
        </w:rPr>
        <w:t>-Varlet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Procino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Rechenberg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Schwamborn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Jakob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Cillo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Barbero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Martin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Adult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human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articular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cartilage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repair.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2014;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6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251ra119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25163479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10.1126/scitranslmed.3009688]</w:t>
      </w:r>
    </w:p>
    <w:p w14:paraId="74362194" w14:textId="35B91946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55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Pisciotta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A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Bertoni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Vallarola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Bertani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Mecugni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Carnevale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from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dental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pulp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tooth-associated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peripheral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nerve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regeneration.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Neural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Regen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Res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373-381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31571644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10.4103/1673-5374.266043]</w:t>
      </w:r>
    </w:p>
    <w:p w14:paraId="5BB32D97" w14:textId="299424BB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Neirinckx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V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Cantinieaux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Coste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Rogister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Franzen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Wislet-Gendebien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Concise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review: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Spinal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cord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injuries: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how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could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adult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mesenchymal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lastRenderedPageBreak/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take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up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challenge?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Stem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2014;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32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829-843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24155224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10.1002/stem.1579]</w:t>
      </w:r>
    </w:p>
    <w:p w14:paraId="03E8D965" w14:textId="2413383E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Rykov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Petrenko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Yakovets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Zubov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Vasyliev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Experimental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rationale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therapy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glaucoma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optical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neuropathy.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Eureka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Health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Sci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2020;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40-46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10.21303/2504-5679.2020.001187]</w:t>
      </w:r>
    </w:p>
    <w:p w14:paraId="16E89B83" w14:textId="463BEE00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Chepurnyi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YV,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Kustrjo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Korsak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Likhodievskyi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VV,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Rodnichenko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AE,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Gubar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Zlatska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Kopchak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AV,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Zabila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AO,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Olefir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Zubov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Vasyliev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RG,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Chaikovskyi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YB.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Influence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Adult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Neural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Crest-Derived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Multipotent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Orbital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Soft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Tissue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Content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After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Experimental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Injury.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Probl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Cryobiol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Cryomed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2018;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28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59-63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10.15407/cryo28.01.059]</w:t>
      </w:r>
    </w:p>
    <w:p w14:paraId="74A29D52" w14:textId="68B78D83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59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Zhao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X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Cui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Z.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role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biomaterials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stem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cell-based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regenerative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medicine.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Future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Med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Chem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11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1777-1790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31288586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10.4155/fmc-2018-0347]</w:t>
      </w:r>
    </w:p>
    <w:p w14:paraId="1D7A3D7D" w14:textId="5EE4C87D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60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Rice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DH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Rebuilding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inferior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turbinate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hydroxyapatite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cement.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Ear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Nose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Throat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2000;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79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276-277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10786390]</w:t>
      </w:r>
    </w:p>
    <w:p w14:paraId="7595B10F" w14:textId="41656879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61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Modrzyński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M</w:t>
      </w:r>
      <w:r w:rsidRPr="00C4681C">
        <w:rPr>
          <w:rFonts w:ascii="Book Antiqua" w:hAnsi="Book Antiqua"/>
          <w:color w:val="000000" w:themeColor="text1"/>
        </w:rPr>
        <w:t>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Hyaluronic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acid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gel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J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Allergy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25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103-106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21679513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10.2500/ajra.2011.25.3577]</w:t>
      </w:r>
    </w:p>
    <w:p w14:paraId="0AB685B0" w14:textId="0A7A1066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62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b/>
          <w:bCs/>
          <w:color w:val="000000" w:themeColor="text1"/>
        </w:rPr>
        <w:t>Borchard</w:t>
      </w:r>
      <w:proofErr w:type="spellEnd"/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NA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Dholakia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SS,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Yan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Zarabanda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Thamboo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Nayak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JV.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intranasal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submucosal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fillers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transient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to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alter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upper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airway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aerodynamics: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implications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the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assessment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Forum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Allergy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2019;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9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681-687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30715801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10.1002/alr.22299]</w:t>
      </w:r>
    </w:p>
    <w:p w14:paraId="17336085" w14:textId="24A02640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63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Velasquez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N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Huang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Z,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Humphreys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Nayak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JV.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Inferior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turbinate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reconstruction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using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porcine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small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intestine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submucosal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xenograft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demonstrates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improved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quality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life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in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patients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with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Forum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Allergy</w:t>
      </w:r>
      <w:r w:rsidR="00C27BEE" w:rsidRPr="00C468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i/>
          <w:iCs/>
          <w:color w:val="000000" w:themeColor="text1"/>
        </w:rPr>
        <w:t>Rhinol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2015;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5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1077-1081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26332403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10.1002/alr.21633]</w:t>
      </w:r>
    </w:p>
    <w:p w14:paraId="290A8EE8" w14:textId="026E8489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hAnsi="Book Antiqua"/>
          <w:color w:val="000000" w:themeColor="text1"/>
        </w:rPr>
        <w:t>64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Jang</w:t>
      </w:r>
      <w:r w:rsidR="00C27BEE" w:rsidRPr="00C4681C">
        <w:rPr>
          <w:rFonts w:ascii="Book Antiqua" w:hAnsi="Book Antiqua"/>
          <w:b/>
          <w:bCs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YJ</w:t>
      </w:r>
      <w:r w:rsidRPr="00C4681C">
        <w:rPr>
          <w:rFonts w:ascii="Book Antiqua" w:hAnsi="Book Antiqua"/>
          <w:color w:val="000000" w:themeColor="text1"/>
        </w:rPr>
        <w:t>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Kim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JH,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Song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HY.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Empty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nose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syndrome: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radiologic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findings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and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treatment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outcomes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of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endonasal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hAnsi="Book Antiqua"/>
          <w:color w:val="000000" w:themeColor="text1"/>
        </w:rPr>
        <w:t>microplasty</w:t>
      </w:r>
      <w:proofErr w:type="spellEnd"/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using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cartilage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implants.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i/>
          <w:iCs/>
          <w:color w:val="000000" w:themeColor="text1"/>
        </w:rPr>
        <w:t>Laryngoscope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2011;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b/>
          <w:bCs/>
          <w:color w:val="000000" w:themeColor="text1"/>
        </w:rPr>
        <w:t>121</w:t>
      </w:r>
      <w:r w:rsidRPr="00C4681C">
        <w:rPr>
          <w:rFonts w:ascii="Book Antiqua" w:hAnsi="Book Antiqua"/>
          <w:color w:val="000000" w:themeColor="text1"/>
        </w:rPr>
        <w:t>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1308-1312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[PMID: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21557228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DOI:</w:t>
      </w:r>
      <w:r w:rsidR="00C27BEE" w:rsidRPr="00C4681C">
        <w:rPr>
          <w:rFonts w:ascii="Book Antiqua" w:hAnsi="Book Antiqua"/>
          <w:color w:val="000000" w:themeColor="text1"/>
        </w:rPr>
        <w:t xml:space="preserve"> </w:t>
      </w:r>
      <w:r w:rsidRPr="00C4681C">
        <w:rPr>
          <w:rFonts w:ascii="Book Antiqua" w:hAnsi="Book Antiqua"/>
          <w:color w:val="000000" w:themeColor="text1"/>
        </w:rPr>
        <w:t>10.1002/lary.21734]</w:t>
      </w:r>
    </w:p>
    <w:bookmarkEnd w:id="3"/>
    <w:p w14:paraId="57A8C97D" w14:textId="77777777" w:rsidR="00C648EA" w:rsidRPr="00C4681C" w:rsidRDefault="00C648EA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02A83A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C4681C" w:rsidSect="007A0CF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C96A9" w14:textId="77777777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42C7FDA" w14:textId="7CA87EDA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Authors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declare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conflict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interests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7A319958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D4CC4A" w14:textId="214ECB8F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article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open-access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article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selected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in-house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editor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fully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peer-reviewed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external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reviewers.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distributed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accordance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Creative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Commons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Attribution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(CC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BY-NC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4.0)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license,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permits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others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distribute,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remix,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adapt,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build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upon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work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license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their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derivative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works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terms,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provided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original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work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properly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cited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non-commercial.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See: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DAE0E86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6FE3C6" w14:textId="668E6598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Invited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3A58" w:rsidRPr="00C4681C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4820C82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268815" w14:textId="66927BC2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February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28,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2021</w:t>
      </w:r>
    </w:p>
    <w:p w14:paraId="3D3F5197" w14:textId="59DFE93A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April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19,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2021</w:t>
      </w:r>
    </w:p>
    <w:p w14:paraId="4129DE07" w14:textId="3B60167E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62480" w:rsidRPr="00C4681C">
        <w:rPr>
          <w:rFonts w:ascii="Book Antiqua" w:eastAsia="宋体" w:hAnsi="Book Antiqua" w:hint="eastAsia"/>
          <w:color w:val="000000" w:themeColor="text1"/>
        </w:rPr>
        <w:t>Au</w:t>
      </w:r>
      <w:r w:rsidR="00C62480" w:rsidRPr="00C4681C">
        <w:rPr>
          <w:rFonts w:ascii="Book Antiqua" w:eastAsia="宋体" w:hAnsi="Book Antiqua"/>
          <w:color w:val="000000" w:themeColor="text1"/>
        </w:rPr>
        <w:t>gust 13, 2021</w:t>
      </w:r>
    </w:p>
    <w:p w14:paraId="7E379A04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1C85BD" w14:textId="4D4473F0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>Cell biology</w:t>
      </w:r>
    </w:p>
    <w:p w14:paraId="7F4367EB" w14:textId="6F47BFA4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Ukraine</w:t>
      </w:r>
    </w:p>
    <w:p w14:paraId="57F68E6B" w14:textId="6848F2A1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8C27604" w14:textId="3B90406F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Grade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(Excellent):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0</w:t>
      </w:r>
    </w:p>
    <w:p w14:paraId="47363472" w14:textId="7146815B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Grade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good):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</w:t>
      </w:r>
    </w:p>
    <w:p w14:paraId="0586CDB6" w14:textId="1F555960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Grade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(Good):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0</w:t>
      </w:r>
    </w:p>
    <w:p w14:paraId="1F8E7FDC" w14:textId="767CB7F3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Grade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(Fair):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0</w:t>
      </w:r>
    </w:p>
    <w:p w14:paraId="38CBCC00" w14:textId="7A8C470D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t>Grade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(Poor):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0</w:t>
      </w:r>
    </w:p>
    <w:p w14:paraId="7D5DF4DD" w14:textId="77777777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0EE5CD" w14:textId="647F06D7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Gong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4681C">
        <w:rPr>
          <w:rFonts w:ascii="Book Antiqua" w:eastAsia="Book Antiqua" w:hAnsi="Book Antiqua" w:cs="Book Antiqua"/>
          <w:color w:val="000000" w:themeColor="text1"/>
        </w:rPr>
        <w:t>Salzano</w:t>
      </w:r>
      <w:proofErr w:type="spellEnd"/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3A58" w:rsidRPr="00C4681C">
        <w:rPr>
          <w:rFonts w:ascii="Book Antiqua" w:eastAsia="Book Antiqua" w:hAnsi="Book Antiqua" w:cs="Book Antiqua"/>
          <w:color w:val="000000" w:themeColor="text1"/>
        </w:rPr>
        <w:t>Wang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3A58" w:rsidRPr="00C4681C">
        <w:rPr>
          <w:rFonts w:ascii="Book Antiqua" w:eastAsia="Book Antiqua" w:hAnsi="Book Antiqua" w:cs="Book Antiqua"/>
          <w:color w:val="000000" w:themeColor="text1"/>
        </w:rPr>
        <w:t>JL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62480" w:rsidRPr="00C4681C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C62480" w:rsidRPr="00C4681C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62480" w:rsidRPr="00C4681C">
        <w:rPr>
          <w:rFonts w:ascii="Book Antiqua" w:eastAsia="Book Antiqua" w:hAnsi="Book Antiqua" w:cs="Book Antiqua"/>
          <w:color w:val="000000" w:themeColor="text1"/>
        </w:rPr>
        <w:t>Xing YX</w:t>
      </w:r>
    </w:p>
    <w:p w14:paraId="1887AC76" w14:textId="30E9B699" w:rsidR="00193A58" w:rsidRPr="00C4681C" w:rsidRDefault="00193A58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193A58" w:rsidRPr="00C4681C" w:rsidSect="007A0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FED2E" w14:textId="452AA773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7CE0B9DC" w14:textId="51A7972E" w:rsidR="00B5222E" w:rsidRPr="00C4681C" w:rsidRDefault="00C27BEE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14E23" w:rsidRPr="00C4681C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658122E5" wp14:editId="33316C5A">
            <wp:extent cx="5943600" cy="55537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D856" w14:textId="7D484B1C" w:rsidR="00B5222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Fig</w:t>
      </w:r>
      <w:r w:rsidR="00193A58" w:rsidRPr="00C4681C">
        <w:rPr>
          <w:rFonts w:ascii="Book Antiqua" w:eastAsia="Book Antiqua" w:hAnsi="Book Antiqua" w:cs="Book Antiqua"/>
          <w:b/>
          <w:bCs/>
          <w:color w:val="000000" w:themeColor="text1"/>
        </w:rPr>
        <w:t>ure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bCs/>
          <w:color w:val="000000" w:themeColor="text1"/>
        </w:rPr>
        <w:t>Causes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symptoms,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diagnostics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current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strategy.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C4681C">
        <w:rPr>
          <w:rFonts w:ascii="Book Antiqua" w:eastAsia="Book Antiqua" w:hAnsi="Book Antiqua" w:cs="Book Antiqua"/>
          <w:color w:val="000000" w:themeColor="text1"/>
        </w:rPr>
        <w:t>ENS: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E23" w:rsidRPr="00C4681C">
        <w:rPr>
          <w:rFonts w:ascii="Book Antiqua" w:eastAsia="Book Antiqua" w:hAnsi="Book Antiqua" w:cs="Book Antiqua"/>
          <w:color w:val="000000" w:themeColor="text1"/>
        </w:rPr>
        <w:t>syndrome.</w:t>
      </w:r>
    </w:p>
    <w:p w14:paraId="3A6ACE09" w14:textId="1AE15EE5" w:rsidR="00A77B3E" w:rsidRPr="00C4681C" w:rsidRDefault="00A77B3E" w:rsidP="00E46019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3BC695" w14:textId="5DDFC78D" w:rsidR="007302F8" w:rsidRPr="00C4681C" w:rsidRDefault="00B5222E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41A6C8C1" w14:textId="09028056" w:rsidR="00D14E23" w:rsidRPr="00C4681C" w:rsidRDefault="00D14E23" w:rsidP="00D14E2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4681C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52537350" wp14:editId="36770E1B">
            <wp:extent cx="5943600" cy="5064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Fig</w:t>
      </w:r>
      <w:r w:rsidR="00193A58" w:rsidRPr="00C4681C">
        <w:rPr>
          <w:rFonts w:ascii="Book Antiqua" w:eastAsia="Book Antiqua" w:hAnsi="Book Antiqua" w:cs="Book Antiqua"/>
          <w:b/>
          <w:bCs/>
          <w:color w:val="000000" w:themeColor="text1"/>
        </w:rPr>
        <w:t>ure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Conception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approach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using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cell-based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technologies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b/>
          <w:bCs/>
          <w:color w:val="000000" w:themeColor="text1"/>
        </w:rPr>
        <w:t>engineering.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treatment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complex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solving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three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issues: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C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hanges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anatomy,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tissue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dysfunction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sensing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disruption.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Biomaterial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implantation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may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performed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alone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together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with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encapsulated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restore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turbinate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structure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physiological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airflow.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function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directed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decrease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inflammation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regenerate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nasal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mucosa,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while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should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neurosensory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system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B0C3D" w:rsidRPr="00C4681C">
        <w:rPr>
          <w:rFonts w:ascii="Book Antiqua" w:eastAsia="Book Antiqua" w:hAnsi="Book Antiqua" w:cs="Book Antiqua"/>
          <w:color w:val="000000" w:themeColor="text1"/>
        </w:rPr>
        <w:t>sensitivity.</w:t>
      </w:r>
      <w:r w:rsidR="00C27BEE" w:rsidRPr="00C468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syndrome;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cells.</w:t>
      </w:r>
    </w:p>
    <w:p w14:paraId="47D2A781" w14:textId="36705DD8" w:rsidR="00072FCA" w:rsidRPr="00C4681C" w:rsidRDefault="00072FCA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19D6128" w14:textId="77777777" w:rsidR="00072FCA" w:rsidRPr="00C4681C" w:rsidRDefault="00072FCA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C4681C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0DC3C677" wp14:editId="1EC511B1">
            <wp:extent cx="5943600" cy="3602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5B77" w14:textId="27FD8D2A" w:rsidR="00A77B3E" w:rsidRPr="00C4681C" w:rsidRDefault="008B0C3D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Fig</w:t>
      </w:r>
      <w:r w:rsidR="00193A58" w:rsidRPr="00C4681C">
        <w:rPr>
          <w:rFonts w:ascii="Book Antiqua" w:eastAsia="Book Antiqua" w:hAnsi="Book Antiqua" w:cs="Book Antiqua"/>
          <w:b/>
          <w:bCs/>
          <w:color w:val="000000" w:themeColor="text1"/>
        </w:rPr>
        <w:t>ure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Realization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management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F7868" w:rsidRPr="00C4681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(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ossible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b/>
          <w:bCs/>
          <w:color w:val="000000" w:themeColor="text1"/>
        </w:rPr>
        <w:t>mechanisms).</w:t>
      </w:r>
      <w:r w:rsidR="00C27BEE" w:rsidRPr="00C46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realized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two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main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ways.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first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direct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under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impact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specific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environmental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such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hypoxia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inflammation.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(</w:t>
      </w:r>
      <w:r w:rsidRPr="00C4681C">
        <w:rPr>
          <w:rFonts w:ascii="Book Antiqua" w:eastAsia="Book Antiqua" w:hAnsi="Book Antiqua" w:cs="Book Antiqua"/>
          <w:color w:val="000000" w:themeColor="text1"/>
        </w:rPr>
        <w:t>MSCs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ability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transdifferentiate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epithelial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while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(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3C5BE5" w:rsidRPr="00C4681C">
        <w:rPr>
          <w:rFonts w:ascii="Book Antiqua" w:eastAsia="Book Antiqua" w:hAnsi="Book Antiqua" w:cs="Book Antiqua"/>
          <w:color w:val="000000" w:themeColor="text1"/>
        </w:rPr>
        <w:t>)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peripheral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neurons.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However,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small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amount,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around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1-3%,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transplanted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can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differentiate.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95%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cells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therapeutic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potential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are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implemented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indirect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way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secreting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plethora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of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paracrine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extracellular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vesicles.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MSCs-derived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secretory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factors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promote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neovascularization,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immunomodulatory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anti-inflammatory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anti-apoptotic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anti-fibrotic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effect,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and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reduce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oxidative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stress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that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create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favorable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environment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for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mucosa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regeneration.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particular,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have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strong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neuroprotective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properties,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thus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local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NCSCs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injection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empty nose syndrome </w:t>
      </w:r>
      <w:r w:rsidRPr="00C4681C">
        <w:rPr>
          <w:rFonts w:ascii="Book Antiqua" w:eastAsia="Book Antiqua" w:hAnsi="Book Antiqua" w:cs="Book Antiqua"/>
          <w:color w:val="000000" w:themeColor="text1"/>
        </w:rPr>
        <w:t>patients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could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also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stimulate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nerve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recovery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by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lastRenderedPageBreak/>
        <w:t>trophic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support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or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direct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reintegration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in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damaged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4681C">
        <w:rPr>
          <w:rFonts w:ascii="Book Antiqua" w:eastAsia="Book Antiqua" w:hAnsi="Book Antiqua" w:cs="Book Antiqua"/>
          <w:color w:val="000000" w:themeColor="text1"/>
        </w:rPr>
        <w:t>tissue.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MSCs: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Mesenchymal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cells;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NCSCs: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Neural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crest-derived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stem</w:t>
      </w:r>
      <w:r w:rsidR="00C27BEE" w:rsidRPr="00C468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2FCA" w:rsidRPr="00C4681C">
        <w:rPr>
          <w:rFonts w:ascii="Book Antiqua" w:eastAsia="Book Antiqua" w:hAnsi="Book Antiqua" w:cs="Book Antiqua"/>
          <w:color w:val="000000" w:themeColor="text1"/>
        </w:rPr>
        <w:t>cells.</w:t>
      </w:r>
    </w:p>
    <w:p w14:paraId="699D2AEC" w14:textId="77777777" w:rsidR="0075034A" w:rsidRPr="00C4681C" w:rsidRDefault="0075034A" w:rsidP="00B010FC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color w:val="000000" w:themeColor="text1"/>
        </w:rPr>
        <w:sectPr w:rsidR="0075034A" w:rsidRPr="00C4681C" w:rsidSect="007A0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27EE3" w14:textId="46FFAB19" w:rsidR="00E46019" w:rsidRPr="00C4681C" w:rsidRDefault="00E46019" w:rsidP="00B010FC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color w:val="000000" w:themeColor="text1"/>
        </w:rPr>
      </w:pPr>
      <w:r w:rsidRPr="00C4681C">
        <w:rPr>
          <w:rFonts w:ascii="Book Antiqua" w:eastAsia="Calibri" w:hAnsi="Book Antiqua"/>
          <w:b/>
          <w:color w:val="000000" w:themeColor="text1"/>
        </w:rPr>
        <w:lastRenderedPageBreak/>
        <w:t>Table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1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Comparative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analysis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of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existing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="00A807C8" w:rsidRPr="00C4681C">
        <w:rPr>
          <w:rFonts w:ascii="Book Antiqua" w:eastAsia="Book Antiqua" w:hAnsi="Book Antiqua" w:cs="Book Antiqua"/>
          <w:b/>
          <w:color w:val="000000" w:themeColor="text1"/>
        </w:rPr>
        <w:t>empty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807C8" w:rsidRPr="00C4681C">
        <w:rPr>
          <w:rFonts w:ascii="Book Antiqua" w:eastAsia="Book Antiqua" w:hAnsi="Book Antiqua" w:cs="Book Antiqua"/>
          <w:b/>
          <w:color w:val="000000" w:themeColor="text1"/>
        </w:rPr>
        <w:t>nose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807C8" w:rsidRPr="00C4681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C27BEE" w:rsidRPr="00C468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treatment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approaches,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clinical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  <w:r w:rsidRPr="00C4681C">
        <w:rPr>
          <w:rFonts w:ascii="Book Antiqua" w:eastAsia="Calibri" w:hAnsi="Book Antiqua"/>
          <w:b/>
          <w:color w:val="000000" w:themeColor="text1"/>
        </w:rPr>
        <w:t>results</w:t>
      </w:r>
      <w:r w:rsidR="00C27BEE" w:rsidRPr="00C4681C">
        <w:rPr>
          <w:rFonts w:ascii="Book Antiqua" w:eastAsia="Calibri" w:hAnsi="Book Antiqua"/>
          <w:b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753"/>
        <w:gridCol w:w="1120"/>
        <w:gridCol w:w="1873"/>
        <w:gridCol w:w="1715"/>
        <w:gridCol w:w="1371"/>
        <w:gridCol w:w="1371"/>
        <w:gridCol w:w="1179"/>
        <w:gridCol w:w="1324"/>
        <w:gridCol w:w="745"/>
        <w:gridCol w:w="1007"/>
      </w:tblGrid>
      <w:tr w:rsidR="00E46019" w:rsidRPr="00C4681C" w14:paraId="29F60C87" w14:textId="77777777" w:rsidTr="008B0C3D"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533AA2BB" w14:textId="3912D9A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No.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0B81B8BA" w14:textId="2C7D7B5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No.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patients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A98746A" w14:textId="29D9799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Type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study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15B6CCDE" w14:textId="7CD9F16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Material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used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for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transplantation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(implant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material?)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05EFDC2F" w14:textId="41F69EA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Treatment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details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5DDEB09E" w14:textId="395E671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ENS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score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before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surgical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intervention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32A8A6B" w14:textId="343829A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ENS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score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after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surgical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intervention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520D0FB9" w14:textId="2496DCD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Other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effects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14:paraId="5A2118C7" w14:textId="35A65D9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Complications,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undesired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effects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42C06BB3" w14:textId="2ABAE67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Follow-up</w:t>
            </w:r>
            <w:r w:rsidR="00C27BEE" w:rsidRPr="00C4681C">
              <w:rPr>
                <w:rFonts w:ascii="Book Antiqua" w:eastAsia="Calibri" w:hAnsi="Book Antiqua"/>
                <w:b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time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AF090F6" w14:textId="502E558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color w:val="000000" w:themeColor="text1"/>
              </w:rPr>
              <w:t>Ref.</w:t>
            </w:r>
          </w:p>
        </w:tc>
      </w:tr>
      <w:tr w:rsidR="00E46019" w:rsidRPr="00C4681C" w14:paraId="4A60910A" w14:textId="77777777" w:rsidTr="008B0C3D">
        <w:tc>
          <w:tcPr>
            <w:tcW w:w="285" w:type="pct"/>
            <w:tcBorders>
              <w:top w:val="single" w:sz="4" w:space="0" w:color="auto"/>
            </w:tcBorders>
          </w:tcPr>
          <w:p w14:paraId="5F4B64E4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6A6A7477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1102D9D1" w14:textId="33A26FA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self-controlled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356ADF93" w14:textId="1CCA73BF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58CB9D33" w14:textId="7AEAD626" w:rsidR="00E46019" w:rsidRPr="00C4681C" w:rsidRDefault="00E46019" w:rsidP="0039074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turbinate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(or)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(or)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opposite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concha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165A959B" w14:textId="004E4B3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50.1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18.7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22D37C8D" w14:textId="2716A795" w:rsidR="00E46019" w:rsidRPr="00C4681C" w:rsidRDefault="00E46019" w:rsidP="00233E77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22.6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233E7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0.037)</w:t>
            </w:r>
            <w:r w:rsidR="00233E77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20.4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18.9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233E7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0.007)</w:t>
            </w:r>
            <w:r w:rsidR="00233E77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37.7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7.6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233E7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0.736)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000C0B67" w14:textId="2D5C1904" w:rsidR="00E46019" w:rsidRPr="00C4681C" w:rsidRDefault="00E46019" w:rsidP="001172F1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Improvements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resistance,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volume,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minimum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cross-sectional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area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(CT,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acoustic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rhinometry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mucociliary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clearance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non-significa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ntly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691E1468" w14:textId="5B2178C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Partial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follow-up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4201B725" w14:textId="0C357C9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3-18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56DBD3FE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[24]</w:t>
            </w:r>
          </w:p>
        </w:tc>
      </w:tr>
      <w:tr w:rsidR="00E46019" w:rsidRPr="00C4681C" w14:paraId="644088D8" w14:textId="77777777" w:rsidTr="008B0C3D">
        <w:tc>
          <w:tcPr>
            <w:tcW w:w="285" w:type="pct"/>
          </w:tcPr>
          <w:p w14:paraId="75A8F755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2</w:t>
            </w:r>
          </w:p>
        </w:tc>
        <w:tc>
          <w:tcPr>
            <w:tcW w:w="285" w:type="pct"/>
          </w:tcPr>
          <w:p w14:paraId="6E257BC0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16</w:t>
            </w:r>
          </w:p>
        </w:tc>
        <w:tc>
          <w:tcPr>
            <w:tcW w:w="424" w:type="pct"/>
          </w:tcPr>
          <w:p w14:paraId="2F0968F7" w14:textId="317054E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170C9B15" w14:textId="535D0CA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586B6DD0" w14:textId="5C8DBA34" w:rsidR="00E46019" w:rsidRPr="00C4681C" w:rsidRDefault="00E46019" w:rsidP="0067384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mainly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unilaterally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bilaterally</w:t>
            </w:r>
          </w:p>
        </w:tc>
        <w:tc>
          <w:tcPr>
            <w:tcW w:w="519" w:type="pct"/>
          </w:tcPr>
          <w:p w14:paraId="2C60AB11" w14:textId="06B0314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39.25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21.44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</w:p>
        </w:tc>
        <w:tc>
          <w:tcPr>
            <w:tcW w:w="519" w:type="pct"/>
          </w:tcPr>
          <w:p w14:paraId="4016BDE1" w14:textId="5B2549E9" w:rsidR="00E46019" w:rsidRPr="00C4681C" w:rsidRDefault="00E46019" w:rsidP="0037216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19.81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16.17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37216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37216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16.19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13.98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37216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</w:p>
        </w:tc>
        <w:tc>
          <w:tcPr>
            <w:tcW w:w="446" w:type="pct"/>
          </w:tcPr>
          <w:p w14:paraId="437F3F26" w14:textId="2307515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3E3D69F" w14:textId="130BB4B0" w:rsidR="00E46019" w:rsidRPr="00C4681C" w:rsidRDefault="00E46019" w:rsidP="005E193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Chronic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hypertrophic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rhinitis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implantation.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protrusion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surgery</w:t>
            </w:r>
          </w:p>
        </w:tc>
        <w:tc>
          <w:tcPr>
            <w:tcW w:w="282" w:type="pct"/>
          </w:tcPr>
          <w:p w14:paraId="76AD6621" w14:textId="59655BD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-1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1172F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7533EE0E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  <w:shd w:val="clear" w:color="auto" w:fill="FFFFFF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[25]</w:t>
            </w:r>
          </w:p>
        </w:tc>
      </w:tr>
      <w:tr w:rsidR="00E46019" w:rsidRPr="00C4681C" w14:paraId="56996B12" w14:textId="77777777" w:rsidTr="008B0C3D">
        <w:tc>
          <w:tcPr>
            <w:tcW w:w="285" w:type="pct"/>
          </w:tcPr>
          <w:p w14:paraId="1ACEA6C1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</w:p>
        </w:tc>
        <w:tc>
          <w:tcPr>
            <w:tcW w:w="285" w:type="pct"/>
          </w:tcPr>
          <w:p w14:paraId="04DFFD41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13</w:t>
            </w:r>
          </w:p>
        </w:tc>
        <w:tc>
          <w:tcPr>
            <w:tcW w:w="424" w:type="pct"/>
          </w:tcPr>
          <w:p w14:paraId="20035080" w14:textId="3B63602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cohort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3A340695" w14:textId="69619A2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78ED51ED" w14:textId="468B3D4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</w:t>
            </w:r>
          </w:p>
        </w:tc>
        <w:tc>
          <w:tcPr>
            <w:tcW w:w="519" w:type="pct"/>
          </w:tcPr>
          <w:p w14:paraId="42446D3E" w14:textId="37EA298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E1933" w:rsidRPr="00C4681C">
              <w:rPr>
                <w:rFonts w:ascii="Book Antiqua" w:hAnsi="Book Antiqua" w:hint="eastAsia"/>
                <w:color w:val="000000" w:themeColor="text1"/>
                <w:lang w:eastAsia="zh-CN"/>
              </w:rPr>
              <w:t>;</w:t>
            </w:r>
            <w:r w:rsidR="00C27BEE" w:rsidRPr="00C4681C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24.4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519" w:type="pct"/>
          </w:tcPr>
          <w:p w14:paraId="1CEC70B9" w14:textId="2B457167" w:rsidR="00E46019" w:rsidRPr="00C4681C" w:rsidRDefault="00E46019" w:rsidP="005E193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E1933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6.25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446" w:type="pct"/>
          </w:tcPr>
          <w:p w14:paraId="6E95BD0D" w14:textId="63F81CD8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Mucosa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covering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smooth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intact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0182927D" w14:textId="418642E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093A7525" w14:textId="49B6A11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22ACB49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[26]</w:t>
            </w:r>
          </w:p>
        </w:tc>
      </w:tr>
      <w:tr w:rsidR="00E46019" w:rsidRPr="00C4681C" w14:paraId="457A9B9F" w14:textId="77777777" w:rsidTr="008B0C3D">
        <w:tc>
          <w:tcPr>
            <w:tcW w:w="285" w:type="pct"/>
          </w:tcPr>
          <w:p w14:paraId="56AD820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4</w:t>
            </w:r>
          </w:p>
        </w:tc>
        <w:tc>
          <w:tcPr>
            <w:tcW w:w="285" w:type="pct"/>
          </w:tcPr>
          <w:p w14:paraId="5962C2C0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424" w:type="pct"/>
          </w:tcPr>
          <w:p w14:paraId="3CD62906" w14:textId="55EB29C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7EF0ACE2" w14:textId="7234958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722554E8" w14:textId="096D983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</w:p>
        </w:tc>
        <w:tc>
          <w:tcPr>
            <w:tcW w:w="519" w:type="pct"/>
          </w:tcPr>
          <w:p w14:paraId="5691AA49" w14:textId="48A593B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40.7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23.4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5E1933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22.6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27.0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5E1933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13.8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19.5</w:t>
            </w:r>
          </w:p>
          <w:p w14:paraId="2D3E920E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1089A8CF" w14:textId="30DBA62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21.1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0.002)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5E1933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BDI-II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decrease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5E1933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0.031)</w:t>
            </w:r>
          </w:p>
          <w:p w14:paraId="0C1DD9DB" w14:textId="07299DF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BAI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decrease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5E1933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0.004)</w:t>
            </w:r>
          </w:p>
        </w:tc>
        <w:tc>
          <w:tcPr>
            <w:tcW w:w="446" w:type="pct"/>
          </w:tcPr>
          <w:p w14:paraId="703B5310" w14:textId="7DB7DAB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EEE88F8" w14:textId="2ADDFDC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10096B30" w14:textId="2813791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5E1933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5461C2CA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[27]</w:t>
            </w:r>
          </w:p>
        </w:tc>
      </w:tr>
      <w:tr w:rsidR="00E46019" w:rsidRPr="00C4681C" w14:paraId="70A707DC" w14:textId="77777777" w:rsidTr="008B0C3D">
        <w:tc>
          <w:tcPr>
            <w:tcW w:w="285" w:type="pct"/>
          </w:tcPr>
          <w:p w14:paraId="0BB0ED3E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5</w:t>
            </w:r>
          </w:p>
        </w:tc>
        <w:tc>
          <w:tcPr>
            <w:tcW w:w="285" w:type="pct"/>
          </w:tcPr>
          <w:p w14:paraId="1D8A2C22" w14:textId="218C3E0F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followed-up)</w:t>
            </w:r>
          </w:p>
        </w:tc>
        <w:tc>
          <w:tcPr>
            <w:tcW w:w="424" w:type="pct"/>
          </w:tcPr>
          <w:p w14:paraId="58CBC833" w14:textId="138F8C4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1CCC410B" w14:textId="04AA181A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62E807C7" w14:textId="573E556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</w:p>
        </w:tc>
        <w:tc>
          <w:tcPr>
            <w:tcW w:w="519" w:type="pct"/>
          </w:tcPr>
          <w:p w14:paraId="12A18CBA" w14:textId="48546164" w:rsidR="00E46019" w:rsidRPr="00C4681C" w:rsidRDefault="00E46019" w:rsidP="00F50BDE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49.3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20.5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20.5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20.1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214B6812" w14:textId="2168777D" w:rsidR="00E46019" w:rsidRPr="00C4681C" w:rsidRDefault="00E46019" w:rsidP="006E7F2E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11.8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6E7F2E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BDI-II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decrease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E7F2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6E7F2E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BAI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decrease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E7F2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0.001)</w:t>
            </w:r>
          </w:p>
        </w:tc>
        <w:tc>
          <w:tcPr>
            <w:tcW w:w="446" w:type="pct"/>
          </w:tcPr>
          <w:p w14:paraId="64E44DDB" w14:textId="44B710A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58BCA2A" w14:textId="2ED4457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7ED76D8B" w14:textId="6F6D1B9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299267D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[27]</w:t>
            </w:r>
          </w:p>
        </w:tc>
      </w:tr>
      <w:tr w:rsidR="00E46019" w:rsidRPr="00C4681C" w14:paraId="7B31353E" w14:textId="77777777" w:rsidTr="008B0C3D">
        <w:tc>
          <w:tcPr>
            <w:tcW w:w="285" w:type="pct"/>
          </w:tcPr>
          <w:p w14:paraId="52E571D1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</w:t>
            </w:r>
          </w:p>
        </w:tc>
        <w:tc>
          <w:tcPr>
            <w:tcW w:w="285" w:type="pct"/>
          </w:tcPr>
          <w:p w14:paraId="474C322C" w14:textId="493596C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followed-up)</w:t>
            </w:r>
          </w:p>
        </w:tc>
        <w:tc>
          <w:tcPr>
            <w:tcW w:w="424" w:type="pct"/>
          </w:tcPr>
          <w:p w14:paraId="512D9441" w14:textId="53DD633F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5C9D6C62" w14:textId="12340C88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1E53E596" w14:textId="2544884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3151E041" w14:textId="5DE9B6B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62.9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25.3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19.3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17.7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12.9</w:t>
            </w:r>
            <w:r w:rsidR="00C27BEE" w:rsidRPr="00C4681C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56475FC2" w14:textId="385C9C9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35.5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24.4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10.1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A4267A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10.5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11.5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A4267A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446" w:type="pct"/>
          </w:tcPr>
          <w:p w14:paraId="0B317CCE" w14:textId="619EBE0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048DB0D3" w14:textId="1E03701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crusting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facial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pain/pressure</w:t>
            </w:r>
          </w:p>
        </w:tc>
        <w:tc>
          <w:tcPr>
            <w:tcW w:w="282" w:type="pct"/>
          </w:tcPr>
          <w:p w14:paraId="4AC534CA" w14:textId="7976486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0A8714AF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[28]</w:t>
            </w:r>
          </w:p>
        </w:tc>
      </w:tr>
      <w:tr w:rsidR="00E46019" w:rsidRPr="00C4681C" w14:paraId="4D74C7C8" w14:textId="77777777" w:rsidTr="008B0C3D">
        <w:tc>
          <w:tcPr>
            <w:tcW w:w="285" w:type="pct"/>
          </w:tcPr>
          <w:p w14:paraId="29D48A27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7</w:t>
            </w:r>
          </w:p>
        </w:tc>
        <w:tc>
          <w:tcPr>
            <w:tcW w:w="285" w:type="pct"/>
          </w:tcPr>
          <w:p w14:paraId="59C4D31B" w14:textId="3B0FE3C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54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(46-38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followed-up)</w:t>
            </w:r>
          </w:p>
        </w:tc>
        <w:tc>
          <w:tcPr>
            <w:tcW w:w="424" w:type="pct"/>
          </w:tcPr>
          <w:p w14:paraId="6EE3A3F3" w14:textId="33A5331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series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2E1585C2" w14:textId="5ADA088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polyethylene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Medpor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0AB92D49" w14:textId="5632476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57AAAADD" w14:textId="2A5FEA3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64.9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24.7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20.7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19.8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13.3</w:t>
            </w:r>
          </w:p>
          <w:p w14:paraId="4969CBB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519" w:type="pct"/>
          </w:tcPr>
          <w:p w14:paraId="35B5314A" w14:textId="166C0CFC" w:rsidR="00E46019" w:rsidRPr="00C4681C" w:rsidRDefault="00E46019" w:rsidP="006C30E5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32.9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20.7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30.2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22.9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29.1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23.8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C30E5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11.2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9.8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7.8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10.7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C30E5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9.8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9.6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11.0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10.1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6C30E5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6C30E5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</w:p>
        </w:tc>
        <w:tc>
          <w:tcPr>
            <w:tcW w:w="446" w:type="pct"/>
          </w:tcPr>
          <w:p w14:paraId="0330AAFE" w14:textId="4ED8122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7D1C9435" w14:textId="3758BE9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4C6EAF77" w14:textId="7403566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3-12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4D4E3C86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[14]</w:t>
            </w:r>
          </w:p>
        </w:tc>
      </w:tr>
      <w:tr w:rsidR="00E46019" w:rsidRPr="00C4681C" w14:paraId="474D29B5" w14:textId="77777777" w:rsidTr="008B0C3D">
        <w:tc>
          <w:tcPr>
            <w:tcW w:w="285" w:type="pct"/>
          </w:tcPr>
          <w:p w14:paraId="14211B1A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8</w:t>
            </w:r>
          </w:p>
        </w:tc>
        <w:tc>
          <w:tcPr>
            <w:tcW w:w="285" w:type="pct"/>
          </w:tcPr>
          <w:p w14:paraId="551966F2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</w:p>
        </w:tc>
        <w:tc>
          <w:tcPr>
            <w:tcW w:w="424" w:type="pct"/>
          </w:tcPr>
          <w:p w14:paraId="4A8F3C16" w14:textId="4CE2897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</w:t>
            </w:r>
          </w:p>
        </w:tc>
        <w:tc>
          <w:tcPr>
            <w:tcW w:w="709" w:type="pct"/>
          </w:tcPr>
          <w:p w14:paraId="74010097" w14:textId="2E4F9F1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Hydroxyapatite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cement</w:t>
            </w:r>
          </w:p>
        </w:tc>
        <w:tc>
          <w:tcPr>
            <w:tcW w:w="649" w:type="pct"/>
          </w:tcPr>
          <w:p w14:paraId="65809092" w14:textId="13EEC36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subperiosteal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tunnel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wall</w:t>
            </w:r>
          </w:p>
        </w:tc>
        <w:tc>
          <w:tcPr>
            <w:tcW w:w="519" w:type="pct"/>
          </w:tcPr>
          <w:p w14:paraId="10372AA7" w14:textId="2CF2CF7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2F6BF494" w14:textId="248C8C4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5B92962C" w14:textId="486A2BE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21980FF8" w14:textId="4894614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61A96BD7" w14:textId="6BF331B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3B9B13A3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[60]</w:t>
            </w:r>
          </w:p>
        </w:tc>
      </w:tr>
      <w:tr w:rsidR="00E46019" w:rsidRPr="00C4681C" w14:paraId="7694337A" w14:textId="77777777" w:rsidTr="008B0C3D">
        <w:tc>
          <w:tcPr>
            <w:tcW w:w="285" w:type="pct"/>
          </w:tcPr>
          <w:p w14:paraId="7645E841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9</w:t>
            </w:r>
          </w:p>
        </w:tc>
        <w:tc>
          <w:tcPr>
            <w:tcW w:w="285" w:type="pct"/>
          </w:tcPr>
          <w:p w14:paraId="72EC0E34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</w:p>
        </w:tc>
        <w:tc>
          <w:tcPr>
            <w:tcW w:w="424" w:type="pct"/>
          </w:tcPr>
          <w:p w14:paraId="64E9E630" w14:textId="3A09F6B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7C309EAB" w14:textId="5838772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Hyaluronic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acid</w:t>
            </w:r>
          </w:p>
        </w:tc>
        <w:tc>
          <w:tcPr>
            <w:tcW w:w="649" w:type="pct"/>
          </w:tcPr>
          <w:p w14:paraId="7BED18E5" w14:textId="7073615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injections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concha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under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mucous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membrane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septum</w:t>
            </w:r>
          </w:p>
        </w:tc>
        <w:tc>
          <w:tcPr>
            <w:tcW w:w="519" w:type="pct"/>
          </w:tcPr>
          <w:p w14:paraId="51E10067" w14:textId="0819E1E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3FD948F5" w14:textId="44D5844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0DD0BB2B" w14:textId="2442C66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Subjective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symptoms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improvement,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acoustic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rhinometry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results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(3-6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501" w:type="pct"/>
          </w:tcPr>
          <w:p w14:paraId="1BA92422" w14:textId="7F13DC0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absorbed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patients,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symptoms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restored</w:t>
            </w:r>
          </w:p>
        </w:tc>
        <w:tc>
          <w:tcPr>
            <w:tcW w:w="282" w:type="pct"/>
          </w:tcPr>
          <w:p w14:paraId="42DBF914" w14:textId="181E140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0BEF4E1C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[61]</w:t>
            </w:r>
          </w:p>
        </w:tc>
      </w:tr>
      <w:tr w:rsidR="00E46019" w:rsidRPr="00C4681C" w14:paraId="2B084E42" w14:textId="77777777" w:rsidTr="008B0C3D">
        <w:tc>
          <w:tcPr>
            <w:tcW w:w="285" w:type="pct"/>
          </w:tcPr>
          <w:p w14:paraId="2E87CF13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10</w:t>
            </w:r>
          </w:p>
        </w:tc>
        <w:tc>
          <w:tcPr>
            <w:tcW w:w="285" w:type="pct"/>
          </w:tcPr>
          <w:p w14:paraId="2B1FDA34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5</w:t>
            </w:r>
          </w:p>
        </w:tc>
        <w:tc>
          <w:tcPr>
            <w:tcW w:w="424" w:type="pct"/>
          </w:tcPr>
          <w:p w14:paraId="0002CF9E" w14:textId="272D495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observational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06E381E5" w14:textId="7EB44FF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β-tricalcium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phosphate</w:t>
            </w:r>
          </w:p>
        </w:tc>
        <w:tc>
          <w:tcPr>
            <w:tcW w:w="649" w:type="pct"/>
          </w:tcPr>
          <w:p w14:paraId="60FAE916" w14:textId="7A7231C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pocket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along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site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former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turbinate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head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between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ostium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nasolacrimal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duct</w:t>
            </w:r>
          </w:p>
        </w:tc>
        <w:tc>
          <w:tcPr>
            <w:tcW w:w="519" w:type="pct"/>
          </w:tcPr>
          <w:p w14:paraId="5482A0F9" w14:textId="2B1E246F" w:rsidR="00E46019" w:rsidRPr="00C4681C" w:rsidRDefault="00E46019" w:rsidP="00821E7B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90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(90-95)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(NOSE)</w:t>
            </w:r>
            <w:r w:rsidR="00821E7B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18.7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(18.7-43.7)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frequency)</w:t>
            </w:r>
            <w:r w:rsidR="00821E7B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(20-43.3)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bothersomeness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821E7B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62.5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(57.6-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68.7)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impact)</w:t>
            </w:r>
          </w:p>
        </w:tc>
        <w:tc>
          <w:tcPr>
            <w:tcW w:w="519" w:type="pct"/>
          </w:tcPr>
          <w:p w14:paraId="2817DF73" w14:textId="48B5698F" w:rsidR="00E46019" w:rsidRPr="00C4681C" w:rsidRDefault="00E46019" w:rsidP="006403FC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(5-25)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(NOSE)</w:t>
            </w:r>
            <w:r w:rsidR="00F47A9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81.2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(75-81.2)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F47A9A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frequency)</w:t>
            </w:r>
            <w:r w:rsidR="00F47A9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(76.7-90)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bothersomeness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F47A9A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(5.5-11)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RhinoQoL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impact)</w:t>
            </w:r>
          </w:p>
        </w:tc>
        <w:tc>
          <w:tcPr>
            <w:tcW w:w="446" w:type="pct"/>
          </w:tcPr>
          <w:p w14:paraId="62A62FB7" w14:textId="7E3D8FFC" w:rsidR="00E46019" w:rsidRPr="00C4681C" w:rsidRDefault="00E46019" w:rsidP="00F80F60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Median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nasolacrimal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duct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80F60" w:rsidRPr="00C4681C">
              <w:rPr>
                <w:rFonts w:ascii="Book Antiqua" w:eastAsia="Calibri" w:hAnsi="Book Antiqua"/>
                <w:color w:val="000000" w:themeColor="text1"/>
              </w:rPr>
              <w:t>aperture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(DNLI)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4.2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(1.8-6.6)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(CT)</w:t>
            </w:r>
          </w:p>
        </w:tc>
        <w:tc>
          <w:tcPr>
            <w:tcW w:w="501" w:type="pct"/>
          </w:tcPr>
          <w:p w14:paraId="1C815AD2" w14:textId="7247682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One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832DEC" w:rsidRPr="00C4681C">
              <w:rPr>
                <w:rFonts w:ascii="Book Antiqua" w:eastAsia="Calibri" w:hAnsi="Book Antiqua"/>
                <w:color w:val="000000" w:themeColor="text1"/>
              </w:rPr>
              <w:t>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after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surgery</w:t>
            </w:r>
          </w:p>
        </w:tc>
        <w:tc>
          <w:tcPr>
            <w:tcW w:w="282" w:type="pct"/>
          </w:tcPr>
          <w:p w14:paraId="2985EDE0" w14:textId="5DABD7E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13.5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(8.2-21)</w:t>
            </w:r>
          </w:p>
        </w:tc>
        <w:tc>
          <w:tcPr>
            <w:tcW w:w="381" w:type="pct"/>
          </w:tcPr>
          <w:p w14:paraId="12037E13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[20]</w:t>
            </w:r>
          </w:p>
        </w:tc>
      </w:tr>
      <w:tr w:rsidR="00E46019" w:rsidRPr="00C4681C" w14:paraId="6DE78BBB" w14:textId="77777777" w:rsidTr="008B0C3D">
        <w:tc>
          <w:tcPr>
            <w:tcW w:w="285" w:type="pct"/>
          </w:tcPr>
          <w:p w14:paraId="78AF0C05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11</w:t>
            </w:r>
          </w:p>
        </w:tc>
        <w:tc>
          <w:tcPr>
            <w:tcW w:w="285" w:type="pct"/>
          </w:tcPr>
          <w:p w14:paraId="6E6D180C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424" w:type="pct"/>
          </w:tcPr>
          <w:p w14:paraId="435C1169" w14:textId="40BA854C" w:rsidR="00E46019" w:rsidRPr="00C4681C" w:rsidRDefault="00E46019" w:rsidP="0039074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randomized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blind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3E14C89B" w14:textId="4E21DD8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Silastic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sheet</w:t>
            </w:r>
          </w:p>
        </w:tc>
        <w:tc>
          <w:tcPr>
            <w:tcW w:w="649" w:type="pct"/>
          </w:tcPr>
          <w:p w14:paraId="41F969BB" w14:textId="13BCC3EA" w:rsidR="00E46019" w:rsidRPr="00C4681C" w:rsidRDefault="00E46019" w:rsidP="0039074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submucoperichondrial</w:t>
            </w:r>
            <w:proofErr w:type="spellEnd"/>
            <w:r w:rsidR="00C27BEE" w:rsidRPr="00C4681C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and/or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pockets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fashioned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along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septum,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1859FB1C" w14:textId="5C3F78D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61.4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16.3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4F032249" w14:textId="5BCA30F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33.6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17.1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46471E70" w14:textId="5E90767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Decreased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crustling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(anterior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rhinoscopy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endoscopic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examination)</w:t>
            </w:r>
          </w:p>
        </w:tc>
        <w:tc>
          <w:tcPr>
            <w:tcW w:w="501" w:type="pct"/>
          </w:tcPr>
          <w:p w14:paraId="31679950" w14:textId="50DF766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patients</w:t>
            </w:r>
          </w:p>
        </w:tc>
        <w:tc>
          <w:tcPr>
            <w:tcW w:w="282" w:type="pct"/>
          </w:tcPr>
          <w:p w14:paraId="6E7157BE" w14:textId="410BE01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9-24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0D401162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[32]</w:t>
            </w:r>
          </w:p>
        </w:tc>
      </w:tr>
      <w:tr w:rsidR="00E46019" w:rsidRPr="00C4681C" w14:paraId="16EC1860" w14:textId="77777777" w:rsidTr="008B0C3D">
        <w:tc>
          <w:tcPr>
            <w:tcW w:w="285" w:type="pct"/>
          </w:tcPr>
          <w:p w14:paraId="66E86870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285" w:type="pct"/>
          </w:tcPr>
          <w:p w14:paraId="7CFB72EA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424" w:type="pct"/>
          </w:tcPr>
          <w:p w14:paraId="5574803B" w14:textId="2EB3222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44FD9EB0" w14:textId="2872EB42" w:rsidR="00E46019" w:rsidRPr="00C4681C" w:rsidRDefault="00E46019" w:rsidP="00F025C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Carboxymethylcellulose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/glycerin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gel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Prolaryn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55F3B33F" w14:textId="62747D0B" w:rsidR="00E46019" w:rsidRPr="00C4681C" w:rsidRDefault="00E46019" w:rsidP="00F025C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injection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meatuses</w:t>
            </w:r>
          </w:p>
        </w:tc>
        <w:tc>
          <w:tcPr>
            <w:tcW w:w="519" w:type="pct"/>
          </w:tcPr>
          <w:p w14:paraId="5B43D580" w14:textId="0DD02A8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20.8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4.9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(ENS6Q)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50.3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(SNOT-22)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8.6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(GAD-7)</w:t>
            </w:r>
          </w:p>
          <w:p w14:paraId="54626943" w14:textId="125494D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11.6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(PHQ-9)</w:t>
            </w:r>
          </w:p>
        </w:tc>
        <w:tc>
          <w:tcPr>
            <w:tcW w:w="519" w:type="pct"/>
          </w:tcPr>
          <w:p w14:paraId="53C3ACFB" w14:textId="18084873" w:rsidR="00E46019" w:rsidRPr="00C4681C" w:rsidRDefault="00E46019" w:rsidP="00F025C4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>ENS6Q:</w:t>
            </w:r>
            <w:r w:rsidR="00C27BEE" w:rsidRPr="00C4681C">
              <w:rPr>
                <w:rFonts w:ascii="Book Antiqua" w:eastAsia="Calibri" w:hAnsi="Book Antiqua"/>
                <w:b/>
                <w:i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10.5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0.0001)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13.7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0.002)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>SNOT-22:</w:t>
            </w:r>
            <w:r w:rsidR="00C27BEE"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29.3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35.5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0.04)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39.3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>GAD-7:</w:t>
            </w:r>
            <w:r w:rsidR="00C27BEE"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5.4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4.9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0.02)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0.02)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>PHQ-9:</w:t>
            </w:r>
            <w:r w:rsidR="00C27BEE" w:rsidRPr="00C4681C">
              <w:rPr>
                <w:rFonts w:ascii="Book Antiqua" w:eastAsia="Calibri" w:hAnsi="Book Antiqua"/>
                <w:b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0.004)</w:t>
            </w:r>
            <w:r w:rsidR="00F025C4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7.4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F025C4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</w:p>
        </w:tc>
        <w:tc>
          <w:tcPr>
            <w:tcW w:w="446" w:type="pct"/>
          </w:tcPr>
          <w:p w14:paraId="14CFF127" w14:textId="1B07968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08632217" w14:textId="432A752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5E1F7351" w14:textId="05A63E4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–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7797D5A5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[62]</w:t>
            </w:r>
          </w:p>
        </w:tc>
      </w:tr>
      <w:tr w:rsidR="00E46019" w:rsidRPr="00C4681C" w14:paraId="584CD411" w14:textId="77777777" w:rsidTr="008B0C3D">
        <w:tc>
          <w:tcPr>
            <w:tcW w:w="285" w:type="pct"/>
          </w:tcPr>
          <w:p w14:paraId="7A6FD10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13</w:t>
            </w:r>
          </w:p>
        </w:tc>
        <w:tc>
          <w:tcPr>
            <w:tcW w:w="285" w:type="pct"/>
          </w:tcPr>
          <w:p w14:paraId="2EB39FB6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</w:p>
        </w:tc>
        <w:tc>
          <w:tcPr>
            <w:tcW w:w="424" w:type="pct"/>
          </w:tcPr>
          <w:p w14:paraId="3C02E7C1" w14:textId="555C901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Observational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cohort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56819A66" w14:textId="16FFC378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Porcine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small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intestine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xenograft</w:t>
            </w:r>
          </w:p>
        </w:tc>
        <w:tc>
          <w:tcPr>
            <w:tcW w:w="649" w:type="pct"/>
          </w:tcPr>
          <w:p w14:paraId="450D193D" w14:textId="4D42231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turbinate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reconstruction,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pocket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228E1F5D" w14:textId="13CDA49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77.6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4AFB4C0E" w14:textId="054D10D4" w:rsidR="00E46019" w:rsidRPr="00C4681C" w:rsidRDefault="00E46019" w:rsidP="0014597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145973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57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A4267A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145973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55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A4267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A4267A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0.01)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25A1A196" w14:textId="0FC559D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01" w:type="pct"/>
          </w:tcPr>
          <w:p w14:paraId="44C0AB91" w14:textId="06BE87B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Mild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reabsorption</w:t>
            </w:r>
          </w:p>
        </w:tc>
        <w:tc>
          <w:tcPr>
            <w:tcW w:w="282" w:type="pct"/>
          </w:tcPr>
          <w:p w14:paraId="2E82BCBB" w14:textId="2760836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1-12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381" w:type="pct"/>
          </w:tcPr>
          <w:p w14:paraId="688F30B7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[63]</w:t>
            </w:r>
          </w:p>
        </w:tc>
      </w:tr>
      <w:tr w:rsidR="00E46019" w:rsidRPr="00C4681C" w14:paraId="6A323FEC" w14:textId="77777777" w:rsidTr="008B0C3D">
        <w:tc>
          <w:tcPr>
            <w:tcW w:w="285" w:type="pct"/>
          </w:tcPr>
          <w:p w14:paraId="1670661F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14</w:t>
            </w:r>
          </w:p>
        </w:tc>
        <w:tc>
          <w:tcPr>
            <w:tcW w:w="285" w:type="pct"/>
          </w:tcPr>
          <w:p w14:paraId="710A73D9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424" w:type="pct"/>
          </w:tcPr>
          <w:p w14:paraId="390B3BB3" w14:textId="4E5EDC1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Retrospective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chart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review</w:t>
            </w:r>
          </w:p>
        </w:tc>
        <w:tc>
          <w:tcPr>
            <w:tcW w:w="709" w:type="pct"/>
          </w:tcPr>
          <w:p w14:paraId="7EFE2335" w14:textId="7464D24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conchal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cartilage;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nautologous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homologous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costal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cartilage</w:t>
            </w:r>
          </w:p>
        </w:tc>
        <w:tc>
          <w:tcPr>
            <w:tcW w:w="649" w:type="pct"/>
          </w:tcPr>
          <w:p w14:paraId="769998A5" w14:textId="6808CC8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7D81DD76" w14:textId="69BF26D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7A19EAE1" w14:textId="1AD1758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7B254A06" w14:textId="28184DA3" w:rsidR="00E46019" w:rsidRPr="00C4681C" w:rsidRDefault="00E46019" w:rsidP="00145973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75%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were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satisfied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outcome;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significantly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decreased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excessive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airflow,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obstruction,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facial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(VAS)</w:t>
            </w:r>
          </w:p>
        </w:tc>
        <w:tc>
          <w:tcPr>
            <w:tcW w:w="501" w:type="pct"/>
          </w:tcPr>
          <w:p w14:paraId="6095BCB1" w14:textId="2407526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Under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correction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patients</w:t>
            </w:r>
          </w:p>
        </w:tc>
        <w:tc>
          <w:tcPr>
            <w:tcW w:w="282" w:type="pct"/>
          </w:tcPr>
          <w:p w14:paraId="6B74BD85" w14:textId="2BA1ADD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11.8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(6-27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381" w:type="pct"/>
          </w:tcPr>
          <w:p w14:paraId="789794BE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[64]</w:t>
            </w:r>
          </w:p>
        </w:tc>
      </w:tr>
      <w:tr w:rsidR="00E46019" w:rsidRPr="00C4681C" w14:paraId="55A0664A" w14:textId="77777777" w:rsidTr="008B0C3D">
        <w:tc>
          <w:tcPr>
            <w:tcW w:w="285" w:type="pct"/>
          </w:tcPr>
          <w:p w14:paraId="24CB272A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15</w:t>
            </w:r>
          </w:p>
        </w:tc>
        <w:tc>
          <w:tcPr>
            <w:tcW w:w="285" w:type="pct"/>
          </w:tcPr>
          <w:p w14:paraId="20AA355A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17</w:t>
            </w:r>
          </w:p>
        </w:tc>
        <w:tc>
          <w:tcPr>
            <w:tcW w:w="424" w:type="pct"/>
          </w:tcPr>
          <w:p w14:paraId="3CCD6EEC" w14:textId="353D49B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series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chart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review</w:t>
            </w:r>
          </w:p>
        </w:tc>
        <w:tc>
          <w:tcPr>
            <w:tcW w:w="709" w:type="pct"/>
          </w:tcPr>
          <w:p w14:paraId="30253A8A" w14:textId="6917E41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Conchal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cartilage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(autologous)</w:t>
            </w:r>
          </w:p>
        </w:tc>
        <w:tc>
          <w:tcPr>
            <w:tcW w:w="649" w:type="pct"/>
          </w:tcPr>
          <w:p w14:paraId="1F437BB4" w14:textId="341ADC5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7AED6B60" w14:textId="1509281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54.0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(27.0-57.8)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013D2A8E" w14:textId="2487316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35.9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(24.0-51.5)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0.007)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2296339F" w14:textId="295A431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Good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healing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774730C7" w14:textId="631C04F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01273BB8" w14:textId="41ACF18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6-12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592AAFA0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[30]</w:t>
            </w:r>
          </w:p>
        </w:tc>
      </w:tr>
      <w:tr w:rsidR="00E46019" w:rsidRPr="00C4681C" w14:paraId="6CABEF60" w14:textId="77777777" w:rsidTr="008B0C3D">
        <w:tc>
          <w:tcPr>
            <w:tcW w:w="285" w:type="pct"/>
          </w:tcPr>
          <w:p w14:paraId="05811009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16</w:t>
            </w:r>
          </w:p>
        </w:tc>
        <w:tc>
          <w:tcPr>
            <w:tcW w:w="285" w:type="pct"/>
          </w:tcPr>
          <w:p w14:paraId="4350D301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14</w:t>
            </w:r>
          </w:p>
        </w:tc>
        <w:tc>
          <w:tcPr>
            <w:tcW w:w="424" w:type="pct"/>
          </w:tcPr>
          <w:p w14:paraId="0EBBADE0" w14:textId="0C0C2F9A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series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chart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review</w:t>
            </w:r>
          </w:p>
        </w:tc>
        <w:tc>
          <w:tcPr>
            <w:tcW w:w="709" w:type="pct"/>
          </w:tcPr>
          <w:p w14:paraId="510A1C0D" w14:textId="47A1761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Costal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cartilage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(autologous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homologous)</w:t>
            </w:r>
          </w:p>
        </w:tc>
        <w:tc>
          <w:tcPr>
            <w:tcW w:w="649" w:type="pct"/>
          </w:tcPr>
          <w:p w14:paraId="0BE308F9" w14:textId="79783F1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1FDC01AA" w14:textId="2F4E5AB8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46.6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(45-67.5)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56389BFE" w14:textId="6B2B208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21.9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(9.0-40.8)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  <w:vertAlign w:val="superscript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=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0.002)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54C532D1" w14:textId="35D2F82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Good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healing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2C3B6A12" w14:textId="23B828B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7E610ED3" w14:textId="36C5E8B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6-12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6C82B022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[30]</w:t>
            </w:r>
          </w:p>
        </w:tc>
      </w:tr>
      <w:tr w:rsidR="00E46019" w:rsidRPr="00C4681C" w14:paraId="7E2E8C42" w14:textId="77777777" w:rsidTr="008B0C3D">
        <w:tc>
          <w:tcPr>
            <w:tcW w:w="285" w:type="pct"/>
          </w:tcPr>
          <w:p w14:paraId="1B0B2CCA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17</w:t>
            </w:r>
          </w:p>
        </w:tc>
        <w:tc>
          <w:tcPr>
            <w:tcW w:w="285" w:type="pct"/>
          </w:tcPr>
          <w:p w14:paraId="16C1FF0D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7</w:t>
            </w:r>
          </w:p>
        </w:tc>
        <w:tc>
          <w:tcPr>
            <w:tcW w:w="424" w:type="pct"/>
          </w:tcPr>
          <w:p w14:paraId="2B625C02" w14:textId="41D3052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cohort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tertiary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medical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center</w:t>
            </w:r>
          </w:p>
        </w:tc>
        <w:tc>
          <w:tcPr>
            <w:tcW w:w="709" w:type="pct"/>
          </w:tcPr>
          <w:p w14:paraId="77707ABC" w14:textId="7ABBD25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bone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from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bone</w:t>
            </w:r>
          </w:p>
        </w:tc>
        <w:tc>
          <w:tcPr>
            <w:tcW w:w="649" w:type="pct"/>
          </w:tcPr>
          <w:p w14:paraId="31217F79" w14:textId="6D36DD3C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</w:t>
            </w:r>
          </w:p>
        </w:tc>
        <w:tc>
          <w:tcPr>
            <w:tcW w:w="519" w:type="pct"/>
          </w:tcPr>
          <w:p w14:paraId="1E98BFF4" w14:textId="01BE5DA0" w:rsidR="00E46019" w:rsidRPr="00C4681C" w:rsidRDefault="00E46019" w:rsidP="00567741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67741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24.4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519" w:type="pct"/>
          </w:tcPr>
          <w:p w14:paraId="1CC2C4BD" w14:textId="1F24E900" w:rsidR="00E46019" w:rsidRPr="00C4681C" w:rsidRDefault="00E46019" w:rsidP="00567741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(BAI)</w:t>
            </w:r>
            <w:r w:rsidR="00567741" w:rsidRPr="00C4681C">
              <w:rPr>
                <w:rFonts w:ascii="Book Antiqua" w:eastAsia="Calibri" w:hAnsi="Book Antiqua"/>
                <w:color w:val="000000" w:themeColor="text1"/>
              </w:rPr>
              <w:t>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6.25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(BDI-II)</w:t>
            </w:r>
          </w:p>
        </w:tc>
        <w:tc>
          <w:tcPr>
            <w:tcW w:w="446" w:type="pct"/>
          </w:tcPr>
          <w:p w14:paraId="2E06C529" w14:textId="43843510" w:rsidR="00E46019" w:rsidRPr="00C4681C" w:rsidRDefault="00E46019" w:rsidP="00C61FD6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Mucosa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covering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smooth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intact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(endoscopy)</w:t>
            </w:r>
          </w:p>
        </w:tc>
        <w:tc>
          <w:tcPr>
            <w:tcW w:w="501" w:type="pct"/>
          </w:tcPr>
          <w:p w14:paraId="54C684A5" w14:textId="5B4EBFF8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5EDB841B" w14:textId="3F84BAE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2667FBA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[26]</w:t>
            </w:r>
          </w:p>
        </w:tc>
      </w:tr>
      <w:tr w:rsidR="00E46019" w:rsidRPr="00C4681C" w14:paraId="00B7F3DB" w14:textId="77777777" w:rsidTr="008B0C3D">
        <w:tc>
          <w:tcPr>
            <w:tcW w:w="285" w:type="pct"/>
          </w:tcPr>
          <w:p w14:paraId="5AC7C892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18</w:t>
            </w:r>
          </w:p>
        </w:tc>
        <w:tc>
          <w:tcPr>
            <w:tcW w:w="285" w:type="pct"/>
          </w:tcPr>
          <w:p w14:paraId="3D6667F9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</w:p>
        </w:tc>
        <w:tc>
          <w:tcPr>
            <w:tcW w:w="424" w:type="pct"/>
          </w:tcPr>
          <w:p w14:paraId="1CAF9A9E" w14:textId="2425280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</w:t>
            </w:r>
          </w:p>
        </w:tc>
        <w:tc>
          <w:tcPr>
            <w:tcW w:w="709" w:type="pct"/>
          </w:tcPr>
          <w:p w14:paraId="17CB6D1A" w14:textId="2A1D3F8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dermis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Alloderm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+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Cymetra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(injectable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dermis)</w:t>
            </w:r>
          </w:p>
        </w:tc>
        <w:tc>
          <w:tcPr>
            <w:tcW w:w="649" w:type="pct"/>
          </w:tcPr>
          <w:p w14:paraId="72253FC8" w14:textId="0F63FD0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</w:p>
        </w:tc>
        <w:tc>
          <w:tcPr>
            <w:tcW w:w="519" w:type="pct"/>
          </w:tcPr>
          <w:p w14:paraId="1A0CC47C" w14:textId="48CAECE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76DA8104" w14:textId="6D0C7C0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37946A98" w14:textId="6F3D6B8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40%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better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(subjective)</w:t>
            </w:r>
          </w:p>
        </w:tc>
        <w:tc>
          <w:tcPr>
            <w:tcW w:w="501" w:type="pct"/>
          </w:tcPr>
          <w:p w14:paraId="53CA11AC" w14:textId="67D8236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0A14E621" w14:textId="08F2EF8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5ECD3004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[31]</w:t>
            </w:r>
          </w:p>
        </w:tc>
      </w:tr>
      <w:tr w:rsidR="00E46019" w:rsidRPr="00C4681C" w14:paraId="7CA3FB5B" w14:textId="77777777" w:rsidTr="008B0C3D">
        <w:tc>
          <w:tcPr>
            <w:tcW w:w="285" w:type="pct"/>
          </w:tcPr>
          <w:p w14:paraId="2C12C957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19</w:t>
            </w:r>
          </w:p>
        </w:tc>
        <w:tc>
          <w:tcPr>
            <w:tcW w:w="285" w:type="pct"/>
          </w:tcPr>
          <w:p w14:paraId="67C2CB99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8</w:t>
            </w:r>
          </w:p>
        </w:tc>
        <w:tc>
          <w:tcPr>
            <w:tcW w:w="424" w:type="pct"/>
          </w:tcPr>
          <w:p w14:paraId="37098C61" w14:textId="7B73771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Case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series</w:t>
            </w:r>
          </w:p>
        </w:tc>
        <w:tc>
          <w:tcPr>
            <w:tcW w:w="709" w:type="pct"/>
          </w:tcPr>
          <w:p w14:paraId="045B34AB" w14:textId="75126CD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dermis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Alloderm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</w:p>
        </w:tc>
        <w:tc>
          <w:tcPr>
            <w:tcW w:w="649" w:type="pct"/>
          </w:tcPr>
          <w:p w14:paraId="3A0025EA" w14:textId="2A28B14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Submucoperichondrial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former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turbinate;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and/or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</w:t>
            </w:r>
          </w:p>
        </w:tc>
        <w:tc>
          <w:tcPr>
            <w:tcW w:w="519" w:type="pct"/>
          </w:tcPr>
          <w:p w14:paraId="32BB58C7" w14:textId="16842F2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58.3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519" w:type="pct"/>
          </w:tcPr>
          <w:p w14:paraId="58498ACE" w14:textId="6E4ABA2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38.3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="00C61FD6"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≤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0.02)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(SNOT-20)</w:t>
            </w:r>
          </w:p>
        </w:tc>
        <w:tc>
          <w:tcPr>
            <w:tcW w:w="446" w:type="pct"/>
          </w:tcPr>
          <w:p w14:paraId="185EE9BD" w14:textId="2C09B41F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Subjective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improve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ment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smell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threshold</w:t>
            </w:r>
          </w:p>
        </w:tc>
        <w:tc>
          <w:tcPr>
            <w:tcW w:w="501" w:type="pct"/>
          </w:tcPr>
          <w:p w14:paraId="0C39B687" w14:textId="1D8BF4B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initial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shrinks,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appears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maintain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stable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size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years</w:t>
            </w:r>
          </w:p>
        </w:tc>
        <w:tc>
          <w:tcPr>
            <w:tcW w:w="282" w:type="pct"/>
          </w:tcPr>
          <w:p w14:paraId="1D1C1BBB" w14:textId="5E9BF19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–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DA0001" w:rsidRPr="00C4681C">
              <w:rPr>
                <w:rFonts w:ascii="Book Antiqua" w:eastAsia="Calibr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381" w:type="pct"/>
          </w:tcPr>
          <w:p w14:paraId="5A60A1BC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[5]</w:t>
            </w:r>
          </w:p>
          <w:p w14:paraId="48298A1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</w:p>
        </w:tc>
      </w:tr>
      <w:tr w:rsidR="00E46019" w:rsidRPr="00C4681C" w14:paraId="53BB9C27" w14:textId="77777777" w:rsidTr="008B0C3D">
        <w:tc>
          <w:tcPr>
            <w:tcW w:w="285" w:type="pct"/>
          </w:tcPr>
          <w:p w14:paraId="39EED230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20</w:t>
            </w:r>
          </w:p>
        </w:tc>
        <w:tc>
          <w:tcPr>
            <w:tcW w:w="285" w:type="pct"/>
          </w:tcPr>
          <w:p w14:paraId="1A02464B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12</w:t>
            </w:r>
          </w:p>
        </w:tc>
        <w:tc>
          <w:tcPr>
            <w:tcW w:w="424" w:type="pct"/>
          </w:tcPr>
          <w:p w14:paraId="644F7054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Prospective</w:t>
            </w:r>
          </w:p>
          <w:p w14:paraId="5695327C" w14:textId="70FDEFF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randomized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blind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34BEB56F" w14:textId="5D423F2B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Acellular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dermis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Alloderm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</w:p>
        </w:tc>
        <w:tc>
          <w:tcPr>
            <w:tcW w:w="649" w:type="pct"/>
          </w:tcPr>
          <w:p w14:paraId="13433CDE" w14:textId="09F7573A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Implantation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submucoperichondrial</w:t>
            </w:r>
            <w:proofErr w:type="spellEnd"/>
          </w:p>
          <w:p w14:paraId="5503ED49" w14:textId="2BD350CA" w:rsidR="00E46019" w:rsidRPr="00C4681C" w:rsidRDefault="00E46019" w:rsidP="00C61FD6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and/or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submucoperiosteal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pockets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fashioned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along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septum,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floor,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lateral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wall</w:t>
            </w:r>
          </w:p>
        </w:tc>
        <w:tc>
          <w:tcPr>
            <w:tcW w:w="519" w:type="pct"/>
          </w:tcPr>
          <w:p w14:paraId="12B2FC9D" w14:textId="398C2D4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63.7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519" w:type="pct"/>
          </w:tcPr>
          <w:p w14:paraId="7791C682" w14:textId="0BF4A9E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34.2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15.2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2E796143" w14:textId="17AEF69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Decreased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crustling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(anterior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rhinoscopy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endoscopic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examination)</w:t>
            </w:r>
          </w:p>
        </w:tc>
        <w:tc>
          <w:tcPr>
            <w:tcW w:w="501" w:type="pct"/>
          </w:tcPr>
          <w:p w14:paraId="019520E2" w14:textId="78B934E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implant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extrusion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during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first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wk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but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all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healed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sequelae.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Partial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graft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shrinkage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cases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postoperatively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</w:p>
        </w:tc>
        <w:tc>
          <w:tcPr>
            <w:tcW w:w="282" w:type="pct"/>
          </w:tcPr>
          <w:p w14:paraId="511B33E6" w14:textId="46BD789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9-24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1BA2E86F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[32]</w:t>
            </w:r>
          </w:p>
        </w:tc>
      </w:tr>
      <w:tr w:rsidR="00E46019" w:rsidRPr="00C4681C" w14:paraId="01EAC983" w14:textId="77777777" w:rsidTr="008B0C3D">
        <w:tc>
          <w:tcPr>
            <w:tcW w:w="285" w:type="pct"/>
          </w:tcPr>
          <w:p w14:paraId="5F6255FD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21</w:t>
            </w:r>
          </w:p>
        </w:tc>
        <w:tc>
          <w:tcPr>
            <w:tcW w:w="285" w:type="pct"/>
          </w:tcPr>
          <w:p w14:paraId="5A89B23C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9</w:t>
            </w:r>
          </w:p>
        </w:tc>
        <w:tc>
          <w:tcPr>
            <w:tcW w:w="424" w:type="pct"/>
          </w:tcPr>
          <w:p w14:paraId="6F879424" w14:textId="462DD830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Prospec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tive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observational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3F4B1BF2" w14:textId="21B29BB9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Autologous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stromal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vascular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fraction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(SVF)</w:t>
            </w:r>
          </w:p>
        </w:tc>
        <w:tc>
          <w:tcPr>
            <w:tcW w:w="649" w:type="pct"/>
          </w:tcPr>
          <w:p w14:paraId="3F7BD7EC" w14:textId="31D5EB2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Injection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medial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surface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inferior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turbinates</w:t>
            </w:r>
            <w:proofErr w:type="spellEnd"/>
          </w:p>
        </w:tc>
        <w:tc>
          <w:tcPr>
            <w:tcW w:w="519" w:type="pct"/>
          </w:tcPr>
          <w:p w14:paraId="0D175DBE" w14:textId="5F1A1FE6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70.1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24.7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(SNOT-25)</w:t>
            </w:r>
          </w:p>
        </w:tc>
        <w:tc>
          <w:tcPr>
            <w:tcW w:w="519" w:type="pct"/>
          </w:tcPr>
          <w:p w14:paraId="5473EFCE" w14:textId="0231525D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62.4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±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35.8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&gt;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(SNOT-25)</w:t>
            </w:r>
          </w:p>
        </w:tc>
        <w:tc>
          <w:tcPr>
            <w:tcW w:w="446" w:type="pct"/>
          </w:tcPr>
          <w:p w14:paraId="7EC38AFF" w14:textId="43A40D1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Decrease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IL-1β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IL-8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</w:t>
            </w:r>
            <w:r w:rsidRPr="00C4681C">
              <w:rPr>
                <w:rFonts w:ascii="Book Antiqua" w:eastAsia="Calibri" w:hAnsi="Book Antiqua"/>
                <w:i/>
                <w:iCs/>
                <w:color w:val="000000" w:themeColor="text1"/>
              </w:rPr>
              <w:t>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&lt;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0.005)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(ELISA)</w:t>
            </w:r>
          </w:p>
        </w:tc>
        <w:tc>
          <w:tcPr>
            <w:tcW w:w="501" w:type="pct"/>
          </w:tcPr>
          <w:p w14:paraId="2EB85EAF" w14:textId="150C096A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Seroma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patient</w:t>
            </w:r>
          </w:p>
        </w:tc>
        <w:tc>
          <w:tcPr>
            <w:tcW w:w="282" w:type="pct"/>
          </w:tcPr>
          <w:p w14:paraId="721537C3" w14:textId="544BF5E3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6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33092C07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[47]</w:t>
            </w:r>
          </w:p>
        </w:tc>
      </w:tr>
      <w:tr w:rsidR="00E46019" w:rsidRPr="00C4681C" w14:paraId="1904D7B6" w14:textId="77777777" w:rsidTr="008B0C3D">
        <w:tc>
          <w:tcPr>
            <w:tcW w:w="285" w:type="pct"/>
          </w:tcPr>
          <w:p w14:paraId="27414636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22</w:t>
            </w:r>
          </w:p>
        </w:tc>
        <w:tc>
          <w:tcPr>
            <w:tcW w:w="285" w:type="pct"/>
          </w:tcPr>
          <w:p w14:paraId="0E2F5220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30</w:t>
            </w:r>
          </w:p>
        </w:tc>
        <w:tc>
          <w:tcPr>
            <w:tcW w:w="424" w:type="pct"/>
          </w:tcPr>
          <w:p w14:paraId="486E4B33" w14:textId="02015DB2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Clinical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study</w:t>
            </w:r>
          </w:p>
        </w:tc>
        <w:tc>
          <w:tcPr>
            <w:tcW w:w="709" w:type="pct"/>
          </w:tcPr>
          <w:p w14:paraId="4A47B87F" w14:textId="2A0E36E4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ADSCs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combined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with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autologous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fat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granules</w:t>
            </w:r>
          </w:p>
        </w:tc>
        <w:tc>
          <w:tcPr>
            <w:tcW w:w="649" w:type="pct"/>
          </w:tcPr>
          <w:p w14:paraId="3C7DB93A" w14:textId="233E6955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Injections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into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areas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of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damage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(every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10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937C58" w:rsidRPr="00C4681C">
              <w:rPr>
                <w:rFonts w:ascii="Book Antiqua" w:eastAsia="Calibri" w:hAnsi="Book Antiqua"/>
                <w:color w:val="000000" w:themeColor="text1"/>
              </w:rPr>
              <w:t>d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3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total)</w:t>
            </w:r>
          </w:p>
        </w:tc>
        <w:tc>
          <w:tcPr>
            <w:tcW w:w="519" w:type="pct"/>
          </w:tcPr>
          <w:p w14:paraId="3E37BEC9" w14:textId="546308DA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519" w:type="pct"/>
          </w:tcPr>
          <w:p w14:paraId="7B9F0141" w14:textId="1717F4BE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evaluated</w:t>
            </w:r>
          </w:p>
        </w:tc>
        <w:tc>
          <w:tcPr>
            <w:tcW w:w="446" w:type="pct"/>
          </w:tcPr>
          <w:p w14:paraId="02C45043" w14:textId="34D897A4" w:rsidR="00E46019" w:rsidRPr="00C4681C" w:rsidRDefault="00E46019" w:rsidP="00937C58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Inflammation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significantly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reduced,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collagenous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fibers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became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aligned,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fewer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deposits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observed,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the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mucosal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proteins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increased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1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6B38DA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post-op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(H&amp;E,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Masson’s,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AB-PAS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stainings</w:t>
            </w:r>
            <w:proofErr w:type="spellEnd"/>
            <w:r w:rsidRPr="00C4681C">
              <w:rPr>
                <w:rFonts w:ascii="Book Antiqua" w:eastAsia="Calibri" w:hAnsi="Book Antiqua"/>
                <w:color w:val="000000" w:themeColor="text1"/>
              </w:rPr>
              <w:t>).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resistance,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nasal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volume,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minimum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crosssectional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area,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and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Pr="00C4681C">
              <w:rPr>
                <w:rFonts w:ascii="Book Antiqua" w:eastAsia="Calibri" w:hAnsi="Book Antiqua"/>
                <w:color w:val="000000" w:themeColor="text1"/>
              </w:rPr>
              <w:t>mucociliary</w:t>
            </w:r>
            <w:proofErr w:type="spellEnd"/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clearance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improved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(acoustic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rhinometry)</w:t>
            </w:r>
          </w:p>
        </w:tc>
        <w:tc>
          <w:tcPr>
            <w:tcW w:w="501" w:type="pct"/>
          </w:tcPr>
          <w:p w14:paraId="4047DC21" w14:textId="11B841B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lastRenderedPageBreak/>
              <w:t>Not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4681C">
              <w:rPr>
                <w:rFonts w:ascii="Book Antiqua" w:eastAsia="Calibri" w:hAnsi="Book Antiqua"/>
                <w:color w:val="000000" w:themeColor="text1"/>
              </w:rPr>
              <w:t>reported</w:t>
            </w:r>
          </w:p>
        </w:tc>
        <w:tc>
          <w:tcPr>
            <w:tcW w:w="282" w:type="pct"/>
          </w:tcPr>
          <w:p w14:paraId="1FD4A3E7" w14:textId="5D549CB1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3-9</w:t>
            </w:r>
            <w:r w:rsidR="00C27BEE" w:rsidRPr="00C4681C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proofErr w:type="spellStart"/>
            <w:r w:rsidR="009911E7" w:rsidRPr="00C4681C">
              <w:rPr>
                <w:rFonts w:ascii="Book Antiqua" w:eastAsia="Calibri" w:hAnsi="Book Antiqua"/>
                <w:color w:val="000000" w:themeColor="text1"/>
              </w:rPr>
              <w:t>mo</w:t>
            </w:r>
            <w:proofErr w:type="spellEnd"/>
          </w:p>
        </w:tc>
        <w:tc>
          <w:tcPr>
            <w:tcW w:w="381" w:type="pct"/>
          </w:tcPr>
          <w:p w14:paraId="3BA08B17" w14:textId="77777777" w:rsidR="00E46019" w:rsidRPr="00C4681C" w:rsidRDefault="00E46019" w:rsidP="00E46019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color w:val="000000" w:themeColor="text1"/>
              </w:rPr>
            </w:pPr>
            <w:r w:rsidRPr="00C4681C">
              <w:rPr>
                <w:rFonts w:ascii="Book Antiqua" w:eastAsia="Calibri" w:hAnsi="Book Antiqua"/>
                <w:color w:val="000000" w:themeColor="text1"/>
              </w:rPr>
              <w:t>[49]</w:t>
            </w:r>
          </w:p>
        </w:tc>
      </w:tr>
    </w:tbl>
    <w:p w14:paraId="467B8A42" w14:textId="73F0FE19" w:rsidR="00C4681C" w:rsidRPr="00C4681C" w:rsidRDefault="00C4681C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C806EA4" w14:textId="0521AF05" w:rsidR="00C4681C" w:rsidRPr="00C4681C" w:rsidRDefault="00C4681C" w:rsidP="00C4681C">
      <w:pPr>
        <w:jc w:val="center"/>
        <w:rPr>
          <w:rFonts w:ascii="Book Antiqua" w:hAnsi="Book Antiqua"/>
        </w:rPr>
      </w:pPr>
      <w:r w:rsidRPr="00C4681C">
        <w:rPr>
          <w:rFonts w:ascii="Book Antiqua" w:eastAsia="Book Antiqua" w:hAnsi="Book Antiqua" w:cs="Book Antiqua"/>
          <w:color w:val="000000" w:themeColor="text1"/>
        </w:rPr>
        <w:br w:type="page"/>
      </w:r>
      <w:r w:rsidRPr="00C4681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64605D6" wp14:editId="65E108F6">
            <wp:extent cx="2501265" cy="1438910"/>
            <wp:effectExtent l="0" t="0" r="0" b="0"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613E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599C754B" w14:textId="77777777" w:rsidR="00C4681C" w:rsidRPr="00C4681C" w:rsidRDefault="00C4681C" w:rsidP="00C4681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4681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C4681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C4681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C4681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24C9C0E" w14:textId="77777777" w:rsidR="00C4681C" w:rsidRPr="00C4681C" w:rsidRDefault="00C4681C" w:rsidP="00C4681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4681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00BAED0" w14:textId="77777777" w:rsidR="00C4681C" w:rsidRPr="00C4681C" w:rsidRDefault="00C4681C" w:rsidP="00C4681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4681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4681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B3E205A" w14:textId="77777777" w:rsidR="00C4681C" w:rsidRPr="00C4681C" w:rsidRDefault="00C4681C" w:rsidP="00C4681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4681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4681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96BFEC7" w14:textId="77777777" w:rsidR="00C4681C" w:rsidRPr="00C4681C" w:rsidRDefault="00C4681C" w:rsidP="00C4681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4681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4681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19E938" w14:textId="77777777" w:rsidR="00C4681C" w:rsidRPr="00C4681C" w:rsidRDefault="00C4681C" w:rsidP="00C4681C">
      <w:pPr>
        <w:jc w:val="center"/>
        <w:rPr>
          <w:rFonts w:ascii="Book Antiqua" w:hAnsi="Book Antiqua"/>
        </w:rPr>
      </w:pPr>
      <w:r w:rsidRPr="00C4681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014C36B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07998A96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28663E23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756A8D8B" w14:textId="1F706A9F" w:rsidR="00C4681C" w:rsidRPr="00C4681C" w:rsidRDefault="00C4681C" w:rsidP="00C4681C">
      <w:pPr>
        <w:jc w:val="center"/>
        <w:rPr>
          <w:rFonts w:ascii="Book Antiqua" w:hAnsi="Book Antiqua"/>
        </w:rPr>
      </w:pPr>
      <w:r w:rsidRPr="00C4681C">
        <w:rPr>
          <w:rFonts w:ascii="Book Antiqua" w:hAnsi="Book Antiqua"/>
          <w:noProof/>
          <w:lang w:eastAsia="zh-CN"/>
        </w:rPr>
        <w:drawing>
          <wp:inline distT="0" distB="0" distL="0" distR="0" wp14:anchorId="375AABE0" wp14:editId="1A8946DE">
            <wp:extent cx="1447800" cy="1438910"/>
            <wp:effectExtent l="0" t="0" r="0" b="0"/>
            <wp:docPr id="4" name="图片 4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FC9E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071BFB44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57830637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589253C1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00A402E9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2F10586C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211CEE6B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6DF35346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2ACEA92B" w14:textId="77777777" w:rsidR="00C4681C" w:rsidRPr="00C4681C" w:rsidRDefault="00C4681C" w:rsidP="00C4681C">
      <w:pPr>
        <w:jc w:val="center"/>
        <w:rPr>
          <w:rFonts w:ascii="Book Antiqua" w:hAnsi="Book Antiqua"/>
        </w:rPr>
      </w:pPr>
    </w:p>
    <w:p w14:paraId="553C94BC" w14:textId="77777777" w:rsidR="00C4681C" w:rsidRPr="00C4681C" w:rsidRDefault="00C4681C" w:rsidP="00C4681C">
      <w:pPr>
        <w:jc w:val="center"/>
        <w:rPr>
          <w:rFonts w:ascii="Book Antiqua" w:hAnsi="Book Antiqua"/>
          <w:color w:val="000000" w:themeColor="text1"/>
        </w:rPr>
      </w:pPr>
    </w:p>
    <w:p w14:paraId="1022E065" w14:textId="77777777" w:rsidR="00C4681C" w:rsidRDefault="00C4681C" w:rsidP="00C4681C">
      <w:pPr>
        <w:spacing w:line="360" w:lineRule="auto"/>
        <w:jc w:val="center"/>
        <w:rPr>
          <w:lang w:eastAsia="zh-CN"/>
        </w:rPr>
      </w:pPr>
      <w:r w:rsidRPr="00C4681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C4681C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C4681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Start w:id="4" w:name="_GoBack"/>
      <w:bookmarkEnd w:id="4"/>
    </w:p>
    <w:p w14:paraId="06EE02E0" w14:textId="77777777" w:rsidR="00072FCA" w:rsidRPr="00E46019" w:rsidRDefault="00072FCA" w:rsidP="00E4601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sectPr w:rsidR="00072FCA" w:rsidRPr="00E46019" w:rsidSect="007A0CF8">
      <w:pgSz w:w="15876" w:h="158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8997" w14:textId="77777777" w:rsidR="00191B3E" w:rsidRDefault="00191B3E" w:rsidP="00D90DAF">
      <w:r>
        <w:separator/>
      </w:r>
    </w:p>
  </w:endnote>
  <w:endnote w:type="continuationSeparator" w:id="0">
    <w:p w14:paraId="7DD77B63" w14:textId="77777777" w:rsidR="00191B3E" w:rsidRDefault="00191B3E" w:rsidP="00D9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4289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5A495B" w14:textId="5FF8E67C" w:rsidR="006A3C0E" w:rsidRDefault="006A3C0E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81C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81C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938457" w14:textId="77777777" w:rsidR="006A3C0E" w:rsidRDefault="006A3C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0419" w14:textId="77777777" w:rsidR="00191B3E" w:rsidRDefault="00191B3E" w:rsidP="00D90DAF">
      <w:r>
        <w:separator/>
      </w:r>
    </w:p>
  </w:footnote>
  <w:footnote w:type="continuationSeparator" w:id="0">
    <w:p w14:paraId="1B5742E0" w14:textId="77777777" w:rsidR="00191B3E" w:rsidRDefault="00191B3E" w:rsidP="00D9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72FCA"/>
    <w:rsid w:val="001172F1"/>
    <w:rsid w:val="00145973"/>
    <w:rsid w:val="00153CB5"/>
    <w:rsid w:val="00191B3E"/>
    <w:rsid w:val="00193A58"/>
    <w:rsid w:val="00233E77"/>
    <w:rsid w:val="002F31DE"/>
    <w:rsid w:val="00372164"/>
    <w:rsid w:val="00390744"/>
    <w:rsid w:val="0039329A"/>
    <w:rsid w:val="003C5BE5"/>
    <w:rsid w:val="00562D25"/>
    <w:rsid w:val="00567741"/>
    <w:rsid w:val="00582824"/>
    <w:rsid w:val="005876F8"/>
    <w:rsid w:val="005E1933"/>
    <w:rsid w:val="005F7868"/>
    <w:rsid w:val="006403FC"/>
    <w:rsid w:val="00673843"/>
    <w:rsid w:val="006A12DE"/>
    <w:rsid w:val="006A3C0E"/>
    <w:rsid w:val="006B38DA"/>
    <w:rsid w:val="006C30E5"/>
    <w:rsid w:val="006E7F2E"/>
    <w:rsid w:val="00705545"/>
    <w:rsid w:val="00717DD5"/>
    <w:rsid w:val="007302F8"/>
    <w:rsid w:val="00733A75"/>
    <w:rsid w:val="0075034A"/>
    <w:rsid w:val="007A0CF8"/>
    <w:rsid w:val="00821E7B"/>
    <w:rsid w:val="00832DEC"/>
    <w:rsid w:val="008B0C3D"/>
    <w:rsid w:val="00937676"/>
    <w:rsid w:val="00937C58"/>
    <w:rsid w:val="0098181C"/>
    <w:rsid w:val="009911E7"/>
    <w:rsid w:val="00A4267A"/>
    <w:rsid w:val="00A77B3E"/>
    <w:rsid w:val="00A807C8"/>
    <w:rsid w:val="00B010FC"/>
    <w:rsid w:val="00B13CCB"/>
    <w:rsid w:val="00B50CCE"/>
    <w:rsid w:val="00B5222E"/>
    <w:rsid w:val="00BF4311"/>
    <w:rsid w:val="00C27BEE"/>
    <w:rsid w:val="00C4681C"/>
    <w:rsid w:val="00C61FD6"/>
    <w:rsid w:val="00C62480"/>
    <w:rsid w:val="00C648EA"/>
    <w:rsid w:val="00C67C36"/>
    <w:rsid w:val="00CA0E41"/>
    <w:rsid w:val="00CA2A55"/>
    <w:rsid w:val="00D14E23"/>
    <w:rsid w:val="00D711EB"/>
    <w:rsid w:val="00D90DAF"/>
    <w:rsid w:val="00DA0001"/>
    <w:rsid w:val="00E44233"/>
    <w:rsid w:val="00E46019"/>
    <w:rsid w:val="00EA63AC"/>
    <w:rsid w:val="00F025C4"/>
    <w:rsid w:val="00F47A9A"/>
    <w:rsid w:val="00F50BDE"/>
    <w:rsid w:val="00F80F60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D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0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AF"/>
    <w:rPr>
      <w:sz w:val="18"/>
      <w:szCs w:val="18"/>
    </w:rPr>
  </w:style>
  <w:style w:type="paragraph" w:styleId="a5">
    <w:name w:val="Balloon Text"/>
    <w:basedOn w:val="a"/>
    <w:link w:val="Char1"/>
    <w:rsid w:val="00C62480"/>
    <w:rPr>
      <w:sz w:val="18"/>
      <w:szCs w:val="18"/>
    </w:rPr>
  </w:style>
  <w:style w:type="character" w:customStyle="1" w:styleId="Char1">
    <w:name w:val="批注框文本 Char"/>
    <w:basedOn w:val="a0"/>
    <w:link w:val="a5"/>
    <w:rsid w:val="00C624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7960</Words>
  <Characters>45373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62</cp:revision>
  <dcterms:created xsi:type="dcterms:W3CDTF">2021-08-11T02:40:00Z</dcterms:created>
  <dcterms:modified xsi:type="dcterms:W3CDTF">2021-09-17T16:43:00Z</dcterms:modified>
</cp:coreProperties>
</file>