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DFA7" w14:textId="77777777" w:rsidR="00A77B3E" w:rsidRDefault="00D67C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937D975" w14:textId="77777777" w:rsidR="00A77B3E" w:rsidRDefault="00D67C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65149</w:t>
      </w:r>
    </w:p>
    <w:p w14:paraId="5E9E3941" w14:textId="77777777" w:rsidR="00A77B3E" w:rsidRDefault="00D67C97">
      <w:pPr>
        <w:spacing w:line="360" w:lineRule="auto"/>
        <w:jc w:val="both"/>
      </w:pPr>
      <w:r>
        <w:rPr>
          <w:rFonts w:ascii="Book Antiqua" w:eastAsia="Book Antiqua" w:hAnsi="Book Antiqua" w:cs="Book Antiqua"/>
          <w:b/>
          <w:color w:val="000000"/>
        </w:rPr>
        <w:t xml:space="preserve">Manuscript Type: </w:t>
      </w:r>
      <w:bookmarkStart w:id="0" w:name="OLE_LINK36"/>
      <w:bookmarkStart w:id="1" w:name="OLE_LINK37"/>
      <w:r>
        <w:rPr>
          <w:rFonts w:ascii="Book Antiqua" w:eastAsia="Book Antiqua" w:hAnsi="Book Antiqua" w:cs="Book Antiqua"/>
          <w:color w:val="000000"/>
        </w:rPr>
        <w:t>MINIREVIEWS</w:t>
      </w:r>
      <w:bookmarkEnd w:id="0"/>
      <w:bookmarkEnd w:id="1"/>
    </w:p>
    <w:p w14:paraId="77074957" w14:textId="77777777" w:rsidR="00A77B3E" w:rsidRDefault="00A77B3E">
      <w:pPr>
        <w:spacing w:line="360" w:lineRule="auto"/>
        <w:jc w:val="both"/>
      </w:pPr>
    </w:p>
    <w:p w14:paraId="6D958524" w14:textId="77777777" w:rsidR="00A77B3E" w:rsidRDefault="00D67C97">
      <w:pPr>
        <w:spacing w:line="360" w:lineRule="auto"/>
        <w:jc w:val="both"/>
      </w:pPr>
      <w:bookmarkStart w:id="2" w:name="OLE_LINK34"/>
      <w:bookmarkStart w:id="3" w:name="OLE_LINK35"/>
      <w:bookmarkStart w:id="4" w:name="OLE_LINK44"/>
      <w:r>
        <w:rPr>
          <w:rFonts w:ascii="Book Antiqua" w:eastAsia="Book Antiqua" w:hAnsi="Book Antiqua" w:cs="Book Antiqua"/>
          <w:b/>
          <w:color w:val="000000"/>
        </w:rPr>
        <w:t>Metabotropic glutamate receptors and nitric oxide in dopaminergic neurotoxicity</w:t>
      </w:r>
    </w:p>
    <w:bookmarkEnd w:id="2"/>
    <w:bookmarkEnd w:id="3"/>
    <w:bookmarkEnd w:id="4"/>
    <w:p w14:paraId="1C219DB5" w14:textId="77777777" w:rsidR="00A77B3E" w:rsidRDefault="00A77B3E">
      <w:pPr>
        <w:spacing w:line="360" w:lineRule="auto"/>
        <w:jc w:val="both"/>
      </w:pPr>
    </w:p>
    <w:p w14:paraId="50ABE452" w14:textId="77777777" w:rsidR="00A77B3E" w:rsidRDefault="00D67C97">
      <w:pPr>
        <w:spacing w:line="360" w:lineRule="auto"/>
        <w:jc w:val="both"/>
      </w:pPr>
      <w:proofErr w:type="spellStart"/>
      <w:r>
        <w:rPr>
          <w:rFonts w:ascii="Book Antiqua" w:eastAsia="Book Antiqua" w:hAnsi="Book Antiqua" w:cs="Book Antiqua"/>
          <w:color w:val="000000"/>
        </w:rPr>
        <w:t>Bashkatova</w:t>
      </w:r>
      <w:proofErr w:type="spellEnd"/>
      <w:r>
        <w:rPr>
          <w:rFonts w:ascii="Book Antiqua" w:eastAsia="Book Antiqua" w:hAnsi="Book Antiqua" w:cs="Book Antiqua"/>
          <w:color w:val="000000"/>
        </w:rPr>
        <w:t xml:space="preserve"> V</w:t>
      </w:r>
      <w:r w:rsidR="00845AC2">
        <w:rPr>
          <w:rFonts w:ascii="Book Antiqua" w:hAnsi="Book Antiqua" w:cs="Book Antiqua" w:hint="eastAsia"/>
          <w:color w:val="000000"/>
          <w:lang w:eastAsia="zh-CN"/>
        </w:rPr>
        <w:t>.</w:t>
      </w:r>
      <w:bookmarkStart w:id="5" w:name="OLE_LINK45"/>
      <w:bookmarkStart w:id="6" w:name="OLE_LINK46"/>
      <w:r>
        <w:rPr>
          <w:rFonts w:ascii="Book Antiqua" w:eastAsia="Book Antiqua" w:hAnsi="Book Antiqua" w:cs="Book Antiqua"/>
          <w:color w:val="000000"/>
        </w:rPr>
        <w:t xml:space="preserve"> </w:t>
      </w:r>
      <w:bookmarkStart w:id="7" w:name="OLE_LINK3"/>
      <w:bookmarkStart w:id="8" w:name="OLE_LINK5"/>
      <w:bookmarkStart w:id="9" w:name="OLE_LINK6"/>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and NO neurotoxicity</w:t>
      </w:r>
      <w:bookmarkEnd w:id="5"/>
      <w:bookmarkEnd w:id="6"/>
      <w:bookmarkEnd w:id="7"/>
      <w:bookmarkEnd w:id="8"/>
      <w:bookmarkEnd w:id="9"/>
    </w:p>
    <w:p w14:paraId="6D630723" w14:textId="77777777" w:rsidR="00A77B3E" w:rsidRDefault="00A77B3E">
      <w:pPr>
        <w:spacing w:line="360" w:lineRule="auto"/>
        <w:jc w:val="both"/>
      </w:pPr>
    </w:p>
    <w:p w14:paraId="0B15B265" w14:textId="77777777" w:rsidR="00A77B3E" w:rsidRDefault="00D67C97">
      <w:pPr>
        <w:spacing w:line="360" w:lineRule="auto"/>
        <w:jc w:val="both"/>
      </w:pPr>
      <w:r>
        <w:rPr>
          <w:rFonts w:ascii="Book Antiqua" w:eastAsia="Book Antiqua" w:hAnsi="Book Antiqua" w:cs="Book Antiqua"/>
          <w:color w:val="000000"/>
        </w:rPr>
        <w:t xml:space="preserve">Valentina </w:t>
      </w:r>
      <w:proofErr w:type="spellStart"/>
      <w:r>
        <w:rPr>
          <w:rFonts w:ascii="Book Antiqua" w:eastAsia="Book Antiqua" w:hAnsi="Book Antiqua" w:cs="Book Antiqua"/>
          <w:color w:val="000000"/>
        </w:rPr>
        <w:t>Bashkatova</w:t>
      </w:r>
      <w:proofErr w:type="spellEnd"/>
    </w:p>
    <w:p w14:paraId="5A6976BA" w14:textId="77777777" w:rsidR="00A77B3E" w:rsidRDefault="00A77B3E">
      <w:pPr>
        <w:spacing w:line="360" w:lineRule="auto"/>
        <w:jc w:val="both"/>
      </w:pPr>
    </w:p>
    <w:p w14:paraId="1AFC9397" w14:textId="77777777" w:rsidR="00A77B3E" w:rsidRDefault="00D67C97">
      <w:pPr>
        <w:spacing w:line="360" w:lineRule="auto"/>
        <w:jc w:val="both"/>
      </w:pPr>
      <w:r>
        <w:rPr>
          <w:rFonts w:ascii="Book Antiqua" w:eastAsia="Book Antiqua" w:hAnsi="Book Antiqua" w:cs="Book Antiqua"/>
          <w:b/>
          <w:bCs/>
          <w:color w:val="000000"/>
        </w:rPr>
        <w:t xml:space="preserve">Valentina </w:t>
      </w:r>
      <w:proofErr w:type="spellStart"/>
      <w:r>
        <w:rPr>
          <w:rFonts w:ascii="Book Antiqua" w:eastAsia="Book Antiqua" w:hAnsi="Book Antiqua" w:cs="Book Antiqua"/>
          <w:b/>
          <w:bCs/>
          <w:color w:val="000000"/>
        </w:rPr>
        <w:t>Bashkatova</w:t>
      </w:r>
      <w:proofErr w:type="spellEnd"/>
      <w:r>
        <w:rPr>
          <w:rFonts w:ascii="Book Antiqua" w:eastAsia="Book Antiqua" w:hAnsi="Book Antiqua" w:cs="Book Antiqua"/>
          <w:b/>
          <w:bCs/>
          <w:color w:val="000000"/>
        </w:rPr>
        <w:t xml:space="preserve">, </w:t>
      </w:r>
      <w:r w:rsidR="0034490E">
        <w:rPr>
          <w:rFonts w:ascii="Book Antiqua" w:eastAsia="Book Antiqua" w:hAnsi="Book Antiqua" w:cs="Book Antiqua"/>
          <w:color w:val="000000"/>
        </w:rPr>
        <w:t xml:space="preserve">Laboratory of </w:t>
      </w:r>
      <w:r w:rsidR="0034490E">
        <w:rPr>
          <w:rFonts w:ascii="Book Antiqua" w:hAnsi="Book Antiqua" w:cs="Book Antiqua" w:hint="eastAsia"/>
          <w:color w:val="000000"/>
          <w:lang w:eastAsia="zh-CN"/>
        </w:rPr>
        <w:t>P</w:t>
      </w:r>
      <w:r w:rsidR="0034490E">
        <w:rPr>
          <w:rFonts w:ascii="Book Antiqua" w:eastAsia="Book Antiqua" w:hAnsi="Book Antiqua" w:cs="Book Antiqua"/>
          <w:color w:val="000000"/>
        </w:rPr>
        <w:t xml:space="preserve">hysiology </w:t>
      </w:r>
      <w:r w:rsidR="0034490E">
        <w:rPr>
          <w:rFonts w:ascii="Book Antiqua" w:hAnsi="Book Antiqua" w:cs="Book Antiqua" w:hint="eastAsia"/>
          <w:color w:val="000000"/>
          <w:lang w:eastAsia="zh-CN"/>
        </w:rPr>
        <w:t>R</w:t>
      </w:r>
      <w:r>
        <w:rPr>
          <w:rFonts w:ascii="Book Antiqua" w:eastAsia="Book Antiqua" w:hAnsi="Book Antiqua" w:cs="Book Antiqua"/>
          <w:color w:val="000000"/>
        </w:rPr>
        <w:t xml:space="preserve">einforcements, </w:t>
      </w:r>
      <w:proofErr w:type="spellStart"/>
      <w:r>
        <w:rPr>
          <w:rFonts w:ascii="Book Antiqua" w:eastAsia="Book Antiqua" w:hAnsi="Book Antiqua" w:cs="Book Antiqua"/>
          <w:color w:val="000000"/>
        </w:rPr>
        <w:t>Anokhin</w:t>
      </w:r>
      <w:proofErr w:type="spellEnd"/>
      <w:r>
        <w:rPr>
          <w:rFonts w:ascii="Book Antiqua" w:eastAsia="Book Antiqua" w:hAnsi="Book Antiqua" w:cs="Book Antiqua"/>
          <w:color w:val="000000"/>
        </w:rPr>
        <w:t xml:space="preserve"> Institute of Normal Physiology, Moscow 125315, </w:t>
      </w:r>
      <w:bookmarkStart w:id="10" w:name="OLE_LINK13"/>
      <w:bookmarkStart w:id="11" w:name="OLE_LINK14"/>
      <w:r>
        <w:rPr>
          <w:rFonts w:ascii="Book Antiqua" w:eastAsia="Book Antiqua" w:hAnsi="Book Antiqua" w:cs="Book Antiqua"/>
          <w:color w:val="000000"/>
        </w:rPr>
        <w:t>Russia</w:t>
      </w:r>
      <w:bookmarkEnd w:id="10"/>
      <w:bookmarkEnd w:id="11"/>
    </w:p>
    <w:p w14:paraId="66B6CF69" w14:textId="77777777" w:rsidR="00A77B3E" w:rsidRDefault="00A77B3E">
      <w:pPr>
        <w:spacing w:line="360" w:lineRule="auto"/>
        <w:jc w:val="both"/>
      </w:pPr>
    </w:p>
    <w:p w14:paraId="0E3FDAE5" w14:textId="77777777" w:rsidR="00A77B3E" w:rsidRPr="00845AC2" w:rsidRDefault="00D67C97">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Bashkatova</w:t>
      </w:r>
      <w:proofErr w:type="spellEnd"/>
      <w:r>
        <w:rPr>
          <w:rFonts w:ascii="Book Antiqua" w:eastAsia="Book Antiqua" w:hAnsi="Book Antiqua" w:cs="Book Antiqua"/>
          <w:color w:val="000000"/>
        </w:rPr>
        <w:t xml:space="preserve"> V wrote the paper</w:t>
      </w:r>
      <w:r w:rsidR="00845AC2">
        <w:rPr>
          <w:rFonts w:ascii="Book Antiqua" w:hAnsi="Book Antiqua" w:cs="Book Antiqua" w:hint="eastAsia"/>
          <w:color w:val="000000"/>
          <w:lang w:eastAsia="zh-CN"/>
        </w:rPr>
        <w:t>.</w:t>
      </w:r>
    </w:p>
    <w:p w14:paraId="42BD3E4F" w14:textId="77777777" w:rsidR="00A77B3E" w:rsidRDefault="00A77B3E">
      <w:pPr>
        <w:spacing w:line="360" w:lineRule="auto"/>
        <w:jc w:val="both"/>
      </w:pPr>
    </w:p>
    <w:p w14:paraId="710C4299" w14:textId="77777777" w:rsidR="00A77B3E" w:rsidRDefault="00D67C97">
      <w:pPr>
        <w:spacing w:line="360" w:lineRule="auto"/>
        <w:jc w:val="both"/>
      </w:pPr>
      <w:r>
        <w:rPr>
          <w:rFonts w:ascii="Book Antiqua" w:eastAsia="Book Antiqua" w:hAnsi="Book Antiqua" w:cs="Book Antiqua"/>
          <w:b/>
          <w:bCs/>
          <w:color w:val="000000"/>
        </w:rPr>
        <w:t xml:space="preserve">Corresponding author: Valentina </w:t>
      </w:r>
      <w:proofErr w:type="spellStart"/>
      <w:r>
        <w:rPr>
          <w:rFonts w:ascii="Book Antiqua" w:eastAsia="Book Antiqua" w:hAnsi="Book Antiqua" w:cs="Book Antiqua"/>
          <w:b/>
          <w:bCs/>
          <w:color w:val="000000"/>
        </w:rPr>
        <w:t>Bashkatova</w:t>
      </w:r>
      <w:proofErr w:type="spellEnd"/>
      <w:r>
        <w:rPr>
          <w:rFonts w:ascii="Book Antiqua" w:eastAsia="Book Antiqua" w:hAnsi="Book Antiqua" w:cs="Book Antiqua"/>
          <w:b/>
          <w:bCs/>
          <w:color w:val="000000"/>
        </w:rPr>
        <w:t xml:space="preserve">, PhD, Professor, </w:t>
      </w:r>
      <w:r w:rsidR="007126D6">
        <w:rPr>
          <w:rFonts w:ascii="Book Antiqua" w:eastAsia="Book Antiqua" w:hAnsi="Book Antiqua" w:cs="Book Antiqua"/>
          <w:color w:val="000000"/>
        </w:rPr>
        <w:t xml:space="preserve">Laboratory of </w:t>
      </w:r>
      <w:r w:rsidR="007126D6">
        <w:rPr>
          <w:rFonts w:ascii="Book Antiqua" w:hAnsi="Book Antiqua" w:cs="Book Antiqua" w:hint="eastAsia"/>
          <w:color w:val="000000"/>
          <w:lang w:eastAsia="zh-CN"/>
        </w:rPr>
        <w:t>P</w:t>
      </w:r>
      <w:r w:rsidR="007126D6">
        <w:rPr>
          <w:rFonts w:ascii="Book Antiqua" w:eastAsia="Book Antiqua" w:hAnsi="Book Antiqua" w:cs="Book Antiqua"/>
          <w:color w:val="000000"/>
        </w:rPr>
        <w:t xml:space="preserve">hysiology </w:t>
      </w:r>
      <w:r w:rsidR="007126D6">
        <w:rPr>
          <w:rFonts w:ascii="Book Antiqua" w:hAnsi="Book Antiqua" w:cs="Book Antiqua" w:hint="eastAsia"/>
          <w:color w:val="000000"/>
          <w:lang w:eastAsia="zh-CN"/>
        </w:rPr>
        <w:t>R</w:t>
      </w:r>
      <w:r>
        <w:rPr>
          <w:rFonts w:ascii="Book Antiqua" w:eastAsia="Book Antiqua" w:hAnsi="Book Antiqua" w:cs="Book Antiqua"/>
          <w:color w:val="000000"/>
        </w:rPr>
        <w:t xml:space="preserve">einforcements, </w:t>
      </w:r>
      <w:proofErr w:type="spellStart"/>
      <w:r>
        <w:rPr>
          <w:rFonts w:ascii="Book Antiqua" w:eastAsia="Book Antiqua" w:hAnsi="Book Antiqua" w:cs="Book Antiqua"/>
          <w:color w:val="000000"/>
        </w:rPr>
        <w:t>Anokhin</w:t>
      </w:r>
      <w:proofErr w:type="spellEnd"/>
      <w:r>
        <w:rPr>
          <w:rFonts w:ascii="Book Antiqua" w:eastAsia="Book Antiqua" w:hAnsi="Book Antiqua" w:cs="Book Antiqua"/>
          <w:color w:val="000000"/>
        </w:rPr>
        <w:t xml:space="preserve"> Institute of Normal Physiology, 8 </w:t>
      </w:r>
      <w:proofErr w:type="spellStart"/>
      <w:r>
        <w:rPr>
          <w:rFonts w:ascii="Book Antiqua" w:eastAsia="Book Antiqua" w:hAnsi="Book Antiqua" w:cs="Book Antiqua"/>
          <w:color w:val="000000"/>
        </w:rPr>
        <w:t>Baltiyskaya</w:t>
      </w:r>
      <w:proofErr w:type="spellEnd"/>
      <w:r>
        <w:rPr>
          <w:rFonts w:ascii="Book Antiqua" w:eastAsia="Book Antiqua" w:hAnsi="Book Antiqua" w:cs="Book Antiqua"/>
          <w:color w:val="000000"/>
        </w:rPr>
        <w:t xml:space="preserve"> str., Moscow 125315, Russia. v.bashkatova@nphys.ru</w:t>
      </w:r>
    </w:p>
    <w:p w14:paraId="7E63E8FB" w14:textId="77777777" w:rsidR="00A77B3E" w:rsidRDefault="00A77B3E">
      <w:pPr>
        <w:spacing w:line="360" w:lineRule="auto"/>
        <w:jc w:val="both"/>
      </w:pPr>
    </w:p>
    <w:p w14:paraId="59EDD9B2" w14:textId="77777777" w:rsidR="00A77B3E" w:rsidRDefault="00D67C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14C56CE4" w14:textId="77777777" w:rsidR="00A77B3E" w:rsidRPr="00845AC2" w:rsidRDefault="00D67C97">
      <w:pPr>
        <w:spacing w:line="360" w:lineRule="auto"/>
        <w:jc w:val="both"/>
        <w:rPr>
          <w:lang w:eastAsia="zh-CN"/>
        </w:rPr>
      </w:pPr>
      <w:r>
        <w:rPr>
          <w:rFonts w:ascii="Book Antiqua" w:eastAsia="Book Antiqua" w:hAnsi="Book Antiqua" w:cs="Book Antiqua"/>
          <w:b/>
          <w:bCs/>
          <w:color w:val="000000"/>
        </w:rPr>
        <w:t xml:space="preserve">Revised: </w:t>
      </w:r>
      <w:r w:rsidR="00845AC2" w:rsidRPr="00845AC2">
        <w:rPr>
          <w:rFonts w:ascii="Book Antiqua" w:hAnsi="Book Antiqua" w:cs="Book Antiqua" w:hint="eastAsia"/>
          <w:bCs/>
          <w:color w:val="000000"/>
          <w:lang w:eastAsia="zh-CN"/>
        </w:rPr>
        <w:t>April 11, 2021</w:t>
      </w:r>
    </w:p>
    <w:p w14:paraId="74EF1787" w14:textId="77EB3912" w:rsidR="00A77B3E" w:rsidRDefault="00D67C97">
      <w:pPr>
        <w:spacing w:line="360" w:lineRule="auto"/>
        <w:jc w:val="both"/>
      </w:pPr>
      <w:r>
        <w:rPr>
          <w:rFonts w:ascii="Book Antiqua" w:eastAsia="Book Antiqua" w:hAnsi="Book Antiqua" w:cs="Book Antiqua"/>
          <w:b/>
          <w:bCs/>
          <w:color w:val="000000"/>
        </w:rPr>
        <w:t xml:space="preserve">Accepted: </w:t>
      </w:r>
      <w:r w:rsidR="008C6CAD">
        <w:rPr>
          <w:rFonts w:ascii="Book Antiqua" w:eastAsia="宋体" w:hAnsi="Book Antiqua" w:hint="eastAsia"/>
          <w:color w:val="000000" w:themeColor="text1"/>
        </w:rPr>
        <w:t>Au</w:t>
      </w:r>
      <w:r w:rsidR="008C6CAD">
        <w:rPr>
          <w:rFonts w:ascii="Book Antiqua" w:eastAsia="宋体" w:hAnsi="Book Antiqua"/>
          <w:color w:val="000000" w:themeColor="text1"/>
        </w:rPr>
        <w:t>gust</w:t>
      </w:r>
      <w:r w:rsidR="008C6CAD" w:rsidRPr="00F06907">
        <w:rPr>
          <w:rFonts w:ascii="Book Antiqua" w:eastAsia="宋体" w:hAnsi="Book Antiqua"/>
          <w:color w:val="000000" w:themeColor="text1"/>
        </w:rPr>
        <w:t xml:space="preserve"> </w:t>
      </w:r>
      <w:r w:rsidR="008C6CAD">
        <w:rPr>
          <w:rFonts w:ascii="Book Antiqua" w:eastAsia="宋体" w:hAnsi="Book Antiqua"/>
          <w:color w:val="000000" w:themeColor="text1"/>
        </w:rPr>
        <w:t>3</w:t>
      </w:r>
      <w:r w:rsidR="008C6CAD" w:rsidRPr="00F06907">
        <w:rPr>
          <w:rFonts w:ascii="Book Antiqua" w:eastAsia="宋体" w:hAnsi="Book Antiqua"/>
          <w:color w:val="000000" w:themeColor="text1"/>
        </w:rPr>
        <w:t>, 2021</w:t>
      </w:r>
    </w:p>
    <w:p w14:paraId="136698CC" w14:textId="77777777" w:rsidR="00A77B3E" w:rsidRDefault="00D67C97">
      <w:pPr>
        <w:spacing w:line="360" w:lineRule="auto"/>
        <w:jc w:val="both"/>
      </w:pPr>
      <w:r>
        <w:rPr>
          <w:rFonts w:ascii="Book Antiqua" w:eastAsia="Book Antiqua" w:hAnsi="Book Antiqua" w:cs="Book Antiqua"/>
          <w:b/>
          <w:bCs/>
          <w:color w:val="000000"/>
        </w:rPr>
        <w:t xml:space="preserve">Published online: </w:t>
      </w:r>
    </w:p>
    <w:p w14:paraId="62007C3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7AAF77E" w14:textId="77777777" w:rsidR="00A77B3E" w:rsidRDefault="00D67C97">
      <w:pPr>
        <w:spacing w:line="360" w:lineRule="auto"/>
        <w:jc w:val="both"/>
      </w:pPr>
      <w:r>
        <w:rPr>
          <w:rFonts w:ascii="Book Antiqua" w:eastAsia="Book Antiqua" w:hAnsi="Book Antiqua" w:cs="Book Antiqua"/>
          <w:b/>
          <w:color w:val="000000"/>
        </w:rPr>
        <w:lastRenderedPageBreak/>
        <w:t>Abstract</w:t>
      </w:r>
    </w:p>
    <w:p w14:paraId="04E5739F" w14:textId="77777777" w:rsidR="00A77B3E" w:rsidRDefault="00D67C97">
      <w:pPr>
        <w:spacing w:line="360" w:lineRule="auto"/>
        <w:jc w:val="both"/>
      </w:pPr>
      <w:bookmarkStart w:id="12" w:name="OLE_LINK50"/>
      <w:bookmarkStart w:id="13" w:name="OLE_LINK51"/>
      <w:r>
        <w:rPr>
          <w:rFonts w:ascii="Book Antiqua" w:eastAsia="Book Antiqua" w:hAnsi="Book Antiqua" w:cs="Book Antiqua"/>
          <w:color w:val="000000"/>
        </w:rPr>
        <w:t xml:space="preserve">Dopaminergic neurotoxicity is characterized by damage and death of dopaminergic neurons. Parkinson's disease (PD) is a neurodegenerative disorder that primarily involves the loss of dopaminergic neurons in the substantia nigra. Therefore, the study of the mechanisms, as well as the search for new targets for the prevention and treatment of neurodegenerative diseases, is an important focus of modern neuroscience. PD is primarily caused by dysfunction of dopaminergic neurons; however, other neurotransmitter systems are also involved. Research reports have indicated that the glutamatergic system is involved in different pathological conditions, including dopaminergic neurotoxicity. Over the last two decades, the important functional interplay between dopaminergic and glutamatergic systems has stimulated interest in the possible role of </w:t>
      </w:r>
      <w:bookmarkStart w:id="14" w:name="OLE_LINK17"/>
      <w:bookmarkStart w:id="15" w:name="OLE_LINK18"/>
      <w:r>
        <w:rPr>
          <w:rFonts w:ascii="Book Antiqua" w:eastAsia="Book Antiqua" w:hAnsi="Book Antiqua" w:cs="Book Antiqua"/>
          <w:color w:val="000000"/>
        </w:rPr>
        <w:t>metabotropic glutamate receptors</w:t>
      </w:r>
      <w:bookmarkEnd w:id="14"/>
      <w:bookmarkEnd w:id="15"/>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in the development of extrapyramidal disorders. However, the specific mechanisms driving these processes are presently unclear. The participation of the universal neuronal messenger nitric oxide (NO) in the mechanisms of dopaminergic neurotoxicity has attracted increased attention. The current paper aims to review the involvement of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and the contribution of NO to dopaminergic neurotoxicity. More precisely, we focused on studies conducted on the rotenone-induced PD model. This review is also an outline of our own results obtained using the method of electron paramagnetic resonance, which allows quantitation of NO radicals in brain structures.</w:t>
      </w:r>
    </w:p>
    <w:bookmarkEnd w:id="12"/>
    <w:bookmarkEnd w:id="13"/>
    <w:p w14:paraId="71913BE1" w14:textId="77777777" w:rsidR="00A77B3E" w:rsidRDefault="00A77B3E">
      <w:pPr>
        <w:spacing w:line="360" w:lineRule="auto"/>
        <w:jc w:val="both"/>
      </w:pPr>
    </w:p>
    <w:p w14:paraId="6BB30B84" w14:textId="77777777" w:rsidR="00A77B3E" w:rsidRDefault="00D67C9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bookmarkStart w:id="16" w:name="OLE_LINK38"/>
      <w:bookmarkStart w:id="17" w:name="OLE_LINK39"/>
      <w:bookmarkStart w:id="18" w:name="OLE_LINK47"/>
      <w:r w:rsidR="00845AC2">
        <w:rPr>
          <w:rFonts w:ascii="Book Antiqua" w:hAnsi="Book Antiqua" w:cs="Book Antiqua" w:hint="eastAsia"/>
          <w:color w:val="000000"/>
          <w:lang w:eastAsia="zh-CN"/>
        </w:rPr>
        <w:t>D</w:t>
      </w:r>
      <w:r>
        <w:rPr>
          <w:rFonts w:ascii="Book Antiqua" w:eastAsia="Book Antiqua" w:hAnsi="Book Antiqua" w:cs="Book Antiqua"/>
          <w:color w:val="000000"/>
        </w:rPr>
        <w:t>opaminergic neurotoxic</w:t>
      </w:r>
      <w:r w:rsidR="00845AC2">
        <w:rPr>
          <w:rFonts w:ascii="Book Antiqua" w:eastAsia="Book Antiqua" w:hAnsi="Book Antiqua" w:cs="Book Antiqua"/>
          <w:color w:val="000000"/>
        </w:rPr>
        <w:t xml:space="preserve">ity; </w:t>
      </w:r>
      <w:r w:rsidR="00845AC2">
        <w:rPr>
          <w:rFonts w:ascii="Book Antiqua" w:hAnsi="Book Antiqua" w:cs="Book Antiqua" w:hint="eastAsia"/>
          <w:color w:val="000000"/>
          <w:lang w:eastAsia="zh-CN"/>
        </w:rPr>
        <w:t>M</w:t>
      </w:r>
      <w:r>
        <w:rPr>
          <w:rFonts w:ascii="Book Antiqua" w:eastAsia="Book Antiqua" w:hAnsi="Book Antiqua" w:cs="Book Antiqua"/>
          <w:color w:val="000000"/>
        </w:rPr>
        <w:t>et</w:t>
      </w:r>
      <w:r w:rsidR="00845AC2">
        <w:rPr>
          <w:rFonts w:ascii="Book Antiqua" w:eastAsia="Book Antiqua" w:hAnsi="Book Antiqua" w:cs="Book Antiqua"/>
          <w:color w:val="000000"/>
        </w:rPr>
        <w:t xml:space="preserve">abotropic glutamate receptors; </w:t>
      </w:r>
      <w:r w:rsidR="00845AC2">
        <w:rPr>
          <w:rFonts w:ascii="Book Antiqua" w:hAnsi="Book Antiqua" w:cs="Book Antiqua" w:hint="eastAsia"/>
          <w:color w:val="000000"/>
          <w:lang w:eastAsia="zh-CN"/>
        </w:rPr>
        <w:t>N</w:t>
      </w:r>
      <w:r w:rsidR="00845AC2">
        <w:rPr>
          <w:rFonts w:ascii="Book Antiqua" w:eastAsia="Book Antiqua" w:hAnsi="Book Antiqua" w:cs="Book Antiqua"/>
          <w:color w:val="000000"/>
        </w:rPr>
        <w:t xml:space="preserve">itric oxide; </w:t>
      </w:r>
      <w:r w:rsidR="00845AC2">
        <w:rPr>
          <w:rFonts w:ascii="Book Antiqua" w:hAnsi="Book Antiqua" w:cs="Book Antiqua" w:hint="eastAsia"/>
          <w:color w:val="000000"/>
          <w:lang w:eastAsia="zh-CN"/>
        </w:rPr>
        <w:t>R</w:t>
      </w:r>
      <w:r>
        <w:rPr>
          <w:rFonts w:ascii="Book Antiqua" w:eastAsia="Book Antiqua" w:hAnsi="Book Antiqua" w:cs="Book Antiqua"/>
          <w:color w:val="000000"/>
        </w:rPr>
        <w:t>otenone; Parkinson's disease</w:t>
      </w:r>
      <w:bookmarkEnd w:id="16"/>
      <w:bookmarkEnd w:id="17"/>
      <w:bookmarkEnd w:id="18"/>
    </w:p>
    <w:p w14:paraId="4ECDACA1" w14:textId="77777777" w:rsidR="00957851" w:rsidRPr="00957851" w:rsidRDefault="00957851">
      <w:pPr>
        <w:spacing w:line="360" w:lineRule="auto"/>
        <w:jc w:val="both"/>
        <w:rPr>
          <w:lang w:eastAsia="zh-CN"/>
        </w:rPr>
      </w:pPr>
    </w:p>
    <w:p w14:paraId="4364890F" w14:textId="77777777" w:rsidR="00A77B3E" w:rsidRDefault="00D67C97">
      <w:pPr>
        <w:spacing w:line="360" w:lineRule="auto"/>
        <w:jc w:val="both"/>
      </w:pPr>
      <w:bookmarkStart w:id="19" w:name="OLE_LINK40"/>
      <w:bookmarkStart w:id="20" w:name="OLE_LINK41"/>
      <w:proofErr w:type="spellStart"/>
      <w:r>
        <w:rPr>
          <w:rFonts w:ascii="Book Antiqua" w:eastAsia="Book Antiqua" w:hAnsi="Book Antiqua" w:cs="Book Antiqua"/>
          <w:color w:val="000000"/>
        </w:rPr>
        <w:t>Bashkatova</w:t>
      </w:r>
      <w:proofErr w:type="spellEnd"/>
      <w:r>
        <w:rPr>
          <w:rFonts w:ascii="Book Antiqua" w:eastAsia="Book Antiqua" w:hAnsi="Book Antiqua" w:cs="Book Antiqua"/>
          <w:color w:val="000000"/>
        </w:rPr>
        <w:t xml:space="preserve"> V. Metabotropic glutamate receptors and nitric oxide in dopaminergic neurotoxicity.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bookmarkEnd w:id="19"/>
    <w:bookmarkEnd w:id="20"/>
    <w:p w14:paraId="02EAE5DC" w14:textId="77777777" w:rsidR="00A77B3E" w:rsidRDefault="00A77B3E">
      <w:pPr>
        <w:spacing w:line="360" w:lineRule="auto"/>
        <w:jc w:val="both"/>
      </w:pPr>
    </w:p>
    <w:p w14:paraId="0880E17F" w14:textId="77777777" w:rsidR="00A77B3E" w:rsidRDefault="00D67C97">
      <w:pPr>
        <w:spacing w:line="360" w:lineRule="auto"/>
        <w:jc w:val="both"/>
      </w:pPr>
      <w:r>
        <w:rPr>
          <w:rFonts w:ascii="Book Antiqua" w:eastAsia="Book Antiqua" w:hAnsi="Book Antiqua" w:cs="Book Antiqua"/>
          <w:b/>
          <w:bCs/>
          <w:color w:val="000000"/>
        </w:rPr>
        <w:t xml:space="preserve">Core Tip: </w:t>
      </w:r>
      <w:bookmarkStart w:id="21" w:name="OLE_LINK48"/>
      <w:bookmarkStart w:id="22" w:name="OLE_LINK49"/>
      <w:bookmarkStart w:id="23" w:name="OLE_LINK42"/>
      <w:bookmarkStart w:id="24" w:name="OLE_LINK43"/>
      <w:r>
        <w:rPr>
          <w:rFonts w:ascii="Book Antiqua" w:eastAsia="Book Antiqua" w:hAnsi="Book Antiqua" w:cs="Book Antiqua"/>
          <w:color w:val="000000"/>
        </w:rPr>
        <w:t xml:space="preserve">Dopaminergic neurotoxicity is characterized by damage and death of dopaminergic neurons. Chronic systemic exposure to rotenone (an inhibitor of </w:t>
      </w:r>
      <w:r>
        <w:rPr>
          <w:rFonts w:ascii="Book Antiqua" w:eastAsia="Book Antiqua" w:hAnsi="Book Antiqua" w:cs="Book Antiqua"/>
          <w:color w:val="000000"/>
        </w:rPr>
        <w:lastRenderedPageBreak/>
        <w:t>mitochondrial complex I and a commonly used pesticide) induced dopaminergic degeneration and reproduced many features of human Parkinson's disease in rats. The current paper aims to review the involvement of metabotropic glutamate receptors and the contribution nitric oxide to dopaminergic neurotoxicity.</w:t>
      </w:r>
      <w:bookmarkEnd w:id="21"/>
      <w:bookmarkEnd w:id="22"/>
    </w:p>
    <w:bookmarkEnd w:id="23"/>
    <w:bookmarkEnd w:id="24"/>
    <w:p w14:paraId="53577DEF" w14:textId="77777777" w:rsidR="00A77B3E" w:rsidRDefault="00976A8C">
      <w:pPr>
        <w:spacing w:line="360" w:lineRule="auto"/>
        <w:jc w:val="both"/>
      </w:pPr>
      <w:r>
        <w:rPr>
          <w:rFonts w:ascii="Book Antiqua" w:eastAsia="Book Antiqua" w:hAnsi="Book Antiqua" w:cs="Book Antiqua"/>
          <w:b/>
          <w:caps/>
          <w:color w:val="000000"/>
          <w:u w:val="single"/>
        </w:rPr>
        <w:br w:type="page"/>
      </w:r>
      <w:r w:rsidR="00D67C97">
        <w:rPr>
          <w:rFonts w:ascii="Book Antiqua" w:eastAsia="Book Antiqua" w:hAnsi="Book Antiqua" w:cs="Book Antiqua"/>
          <w:b/>
          <w:caps/>
          <w:color w:val="000000"/>
          <w:u w:val="single"/>
        </w:rPr>
        <w:lastRenderedPageBreak/>
        <w:t>INTRODUCTION</w:t>
      </w:r>
    </w:p>
    <w:p w14:paraId="5E871E84" w14:textId="77777777" w:rsidR="00A77B3E" w:rsidRDefault="00D67C97">
      <w:pPr>
        <w:spacing w:line="360" w:lineRule="auto"/>
        <w:jc w:val="both"/>
      </w:pPr>
      <w:bookmarkStart w:id="25" w:name="OLE_LINK52"/>
      <w:bookmarkStart w:id="26" w:name="OLE_LINK53"/>
      <w:r>
        <w:rPr>
          <w:rFonts w:ascii="Book Antiqua" w:eastAsia="Book Antiqua" w:hAnsi="Book Antiqua" w:cs="Book Antiqua"/>
          <w:color w:val="000000"/>
        </w:rPr>
        <w:t>The dopaminergic system is a part of the brain that plays a key role in the control of locomotor activity, stress reactions, aggressive behavior, and mechanisms of the formation of dependence in humans and animals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Dopaminergic neurotoxicity is characterized by damage and death of dopaminergic neurons. The contribution of dopaminergic neurotoxicity to the pathogenesis of several disorders of the central nervous system (CNS), such as Parkinson's disease (PD)</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w:t>
      </w:r>
      <w:r>
        <w:rPr>
          <w:rFonts w:ascii="Book Antiqua" w:eastAsia="Book Antiqua" w:hAnsi="Book Antiqua" w:cs="Book Antiqua"/>
          <w:color w:val="000000"/>
          <w:shd w:val="clear" w:color="auto" w:fill="FFFFFF"/>
        </w:rPr>
        <w:t>ourette syndrome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drug abuse</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and schizophrenia</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has been postulated. Currently, neurodegenerative diseases are a major cause of disability around the world. PD is the second-leading cause of neurodegenerative disorder after Alzheimer's disease (AD)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PD is manifested primarily by movement disturbances. Mental health disorders are also a serious nonmotor feature of </w:t>
      </w:r>
      <w:proofErr w:type="gramStart"/>
      <w:r>
        <w:rPr>
          <w:rFonts w:ascii="Book Antiqua" w:eastAsia="Book Antiqua" w:hAnsi="Book Antiqua" w:cs="Book Antiqua"/>
          <w:color w:val="000000"/>
        </w:rPr>
        <w:t>PD</w:t>
      </w:r>
      <w:r w:rsidR="008B2769">
        <w:rPr>
          <w:rFonts w:ascii="Book Antiqua" w:eastAsia="Book Antiqua" w:hAnsi="Book Antiqua" w:cs="Book Antiqua"/>
          <w:color w:val="000000"/>
          <w:szCs w:val="30"/>
          <w:vertAlign w:val="superscript"/>
        </w:rPr>
        <w:t>[</w:t>
      </w:r>
      <w:proofErr w:type="gramEnd"/>
      <w:r w:rsidR="008B2769">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Thus, psychotic symptoms are not uncommon among individuals with PD, with a prevalence rate of approximately 25%-30%</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In this regard, the study of mechanisms, as well as the search for ways to prevent and treat PD, is not only an important medical problem but also a social </w:t>
      </w:r>
      <w:proofErr w:type="gramStart"/>
      <w:r>
        <w:rPr>
          <w:rFonts w:ascii="Book Antiqua" w:eastAsia="Book Antiqua" w:hAnsi="Book Antiqua" w:cs="Book Antiqua"/>
          <w:color w:val="000000"/>
        </w:rPr>
        <w:t>problem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0AAA3AB" w14:textId="77777777" w:rsidR="00A77B3E" w:rsidRPr="00B252DE" w:rsidRDefault="00D67C97" w:rsidP="00B252D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growing body of evidence has demonstrated that glutamatergic neurotransmission plays an important role in the mechanisms of dopaminergic brain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Previous studies have shown that modulation of metabotropic glutamate receptors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may be considered a more promising way to alter the activity of the brain glutamatergic system than direct action on ionotropic glutamate receptors of the </w:t>
      </w:r>
      <w:r w:rsidR="008B2769" w:rsidRPr="008B2769">
        <w:rPr>
          <w:rFonts w:ascii="Book Antiqua" w:eastAsia="Book Antiqua" w:hAnsi="Book Antiqua" w:cs="Book Antiqua"/>
          <w:color w:val="000000"/>
        </w:rPr>
        <w:t>N-methyl-D-aspartate</w:t>
      </w:r>
      <w:r>
        <w:rPr>
          <w:rFonts w:ascii="Book Antiqua" w:eastAsia="Book Antiqua" w:hAnsi="Book Antiqua" w:cs="Book Antiqua"/>
          <w:color w:val="000000"/>
        </w:rPr>
        <w:t xml:space="preserve"> and </w:t>
      </w:r>
      <w:r w:rsidR="008B2769" w:rsidRPr="008B2769">
        <w:rPr>
          <w:rFonts w:ascii="Book Antiqua" w:eastAsia="Book Antiqua" w:hAnsi="Book Antiqua" w:cs="Book Antiqua"/>
          <w:color w:val="000000"/>
        </w:rPr>
        <w:t>amino</w:t>
      </w:r>
      <w:r w:rsidR="008B2769">
        <w:rPr>
          <w:rFonts w:ascii="Book Antiqua" w:hAnsi="Book Antiqua" w:cs="Book Antiqua"/>
          <w:color w:val="000000"/>
          <w:lang w:eastAsia="zh-CN"/>
        </w:rPr>
        <w:t>-</w:t>
      </w:r>
      <w:r w:rsidR="008B2769" w:rsidRPr="008B2769">
        <w:rPr>
          <w:rFonts w:ascii="Book Antiqua" w:eastAsia="Book Antiqua" w:hAnsi="Book Antiqua" w:cs="Book Antiqua"/>
          <w:color w:val="000000"/>
        </w:rPr>
        <w:t>methyl</w:t>
      </w:r>
      <w:r w:rsidR="008B2769">
        <w:rPr>
          <w:rFonts w:ascii="Book Antiqua" w:hAnsi="Book Antiqua" w:cs="Book Antiqua"/>
          <w:color w:val="000000"/>
          <w:lang w:eastAsia="zh-CN"/>
        </w:rPr>
        <w:t>-</w:t>
      </w:r>
      <w:r w:rsidR="008B2769" w:rsidRPr="008B2769">
        <w:rPr>
          <w:rFonts w:ascii="Book Antiqua" w:eastAsia="Book Antiqua" w:hAnsi="Book Antiqua" w:cs="Book Antiqua"/>
          <w:color w:val="000000"/>
        </w:rPr>
        <w:t xml:space="preserve">phosphonic acid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However, the neurochemical and neuropsychological effects of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on dopaminergic neurotoxicity remain poorly understood.</w:t>
      </w:r>
    </w:p>
    <w:p w14:paraId="2D55984F" w14:textId="77777777" w:rsidR="00A77B3E" w:rsidRDefault="00D67C97" w:rsidP="008B2769">
      <w:pPr>
        <w:spacing w:line="360" w:lineRule="auto"/>
        <w:ind w:firstLineChars="100" w:firstLine="240"/>
        <w:jc w:val="both"/>
      </w:pPr>
      <w:r>
        <w:rPr>
          <w:rFonts w:ascii="Book Antiqua" w:eastAsia="Book Antiqua" w:hAnsi="Book Antiqua" w:cs="Book Antiqua"/>
          <w:color w:val="000000"/>
        </w:rPr>
        <w:t>The association between the neurotransmitter function of glutamate and the formation of neuronal messenger nitric oxide (NO) has received increased attention in recent years. NO is considered to be the first representative of a novel family of signaling molecules with neurotransmitter properties</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 NO is a labile free radical that is involved in many physiological processes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It is assumed that together with some important physiological functions in the CNS, NO can have either </w:t>
      </w:r>
      <w:r>
        <w:rPr>
          <w:rFonts w:ascii="Book Antiqua" w:eastAsia="Book Antiqua" w:hAnsi="Book Antiqua" w:cs="Book Antiqua"/>
          <w:color w:val="000000"/>
        </w:rPr>
        <w:lastRenderedPageBreak/>
        <w:t>neuroprotective or neurotoxic actions, depending on its redox state</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There are growing numbers of studies concerning the involvement of NO in the mechanisms of dopaminergic neurotoxicity</w:t>
      </w:r>
      <w:r>
        <w:rPr>
          <w:rFonts w:ascii="Book Antiqua" w:eastAsia="Book Antiqua" w:hAnsi="Book Antiqua" w:cs="Book Antiqua"/>
          <w:color w:val="000000"/>
          <w:szCs w:val="20"/>
          <w:vertAlign w:val="superscript"/>
        </w:rPr>
        <w:t>[22-24]</w:t>
      </w:r>
      <w:r>
        <w:rPr>
          <w:rFonts w:ascii="Book Antiqua" w:eastAsia="Book Antiqua" w:hAnsi="Book Antiqua" w:cs="Book Antiqua"/>
          <w:color w:val="000000"/>
        </w:rPr>
        <w:t xml:space="preserve">. Measurement of NO is technically difficult due to its rapid chemical reactions with a wide range of molecules, such as free radicals, metals, thiols,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Thus, </w:t>
      </w:r>
      <w:r>
        <w:rPr>
          <w:rFonts w:ascii="Book Antiqua" w:eastAsia="Book Antiqua" w:hAnsi="Book Antiqua" w:cs="Book Antiqua"/>
          <w:color w:val="000000"/>
          <w:shd w:val="clear" w:color="auto" w:fill="FFFFFF"/>
        </w:rPr>
        <w:t>accurate detection and quantification are critical to understanding health and disease</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Most of the NO measurement techniques in the literature are indirect</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xml:space="preserve">. In our work, we used the direct </w:t>
      </w:r>
      <w:bookmarkStart w:id="27" w:name="OLE_LINK30"/>
      <w:bookmarkStart w:id="28" w:name="OLE_LINK31"/>
      <w:r>
        <w:rPr>
          <w:rFonts w:ascii="Book Antiqua" w:eastAsia="Book Antiqua" w:hAnsi="Book Antiqua" w:cs="Book Antiqua"/>
          <w:color w:val="000000"/>
        </w:rPr>
        <w:t>electron paramagnetic resonance</w:t>
      </w:r>
      <w:bookmarkEnd w:id="27"/>
      <w:bookmarkEnd w:id="28"/>
      <w:r>
        <w:rPr>
          <w:rFonts w:ascii="Book Antiqua" w:eastAsia="Book Antiqua" w:hAnsi="Book Antiqua" w:cs="Book Antiqua"/>
          <w:color w:val="000000"/>
        </w:rPr>
        <w:t xml:space="preserve"> (EPR) method, which allows us to estimate the generation of NO radicals directly in brain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hyperlink r:id="rId7" w:anchor="B23" w:history="1">
        <w:r w:rsidRPr="0003294F">
          <w:rPr>
            <w:rFonts w:ascii="Book Antiqua" w:eastAsia="Book Antiqua" w:hAnsi="Book Antiqua" w:cs="Book Antiqua"/>
            <w:color w:val="000000"/>
            <w:vertAlign w:val="superscript"/>
          </w:rPr>
          <w:t>3</w:t>
        </w:r>
      </w:hyperlink>
      <w:r w:rsidRPr="0003294F">
        <w:rPr>
          <w:rStyle w:val="MsoHyperlink0"/>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current paper aims to review the involvement of </w:t>
      </w:r>
      <w:proofErr w:type="spellStart"/>
      <w:r>
        <w:rPr>
          <w:rFonts w:ascii="Book Antiqua" w:eastAsia="Book Antiqua" w:hAnsi="Book Antiqua" w:cs="Book Antiqua"/>
          <w:color w:val="000000"/>
          <w:shd w:val="clear" w:color="auto" w:fill="FFFFFF"/>
        </w:rPr>
        <w:t>mGluRs</w:t>
      </w:r>
      <w:proofErr w:type="spellEnd"/>
      <w:r>
        <w:rPr>
          <w:rFonts w:ascii="Book Antiqua" w:eastAsia="Book Antiqua" w:hAnsi="Book Antiqua" w:cs="Book Antiqua"/>
          <w:color w:val="000000"/>
          <w:shd w:val="clear" w:color="auto" w:fill="FFFFFF"/>
        </w:rPr>
        <w:t xml:space="preserve"> and the contribution of NO </w:t>
      </w:r>
      <w:r>
        <w:rPr>
          <w:rFonts w:ascii="Book Antiqua" w:eastAsia="Book Antiqua" w:hAnsi="Book Antiqua" w:cs="Book Antiqua"/>
          <w:color w:val="000000"/>
        </w:rPr>
        <w:t>to</w:t>
      </w:r>
      <w:r>
        <w:rPr>
          <w:rFonts w:ascii="Book Antiqua" w:eastAsia="Book Antiqua" w:hAnsi="Book Antiqua" w:cs="Book Antiqua"/>
          <w:color w:val="000000"/>
          <w:shd w:val="clear" w:color="auto" w:fill="FFFFFF"/>
        </w:rPr>
        <w:t xml:space="preserve"> dopaminergic neurotoxicity. More precisely, we focused on studies conducted on the </w:t>
      </w:r>
      <w:r>
        <w:rPr>
          <w:rFonts w:ascii="Book Antiqua" w:eastAsia="Book Antiqua" w:hAnsi="Book Antiqua" w:cs="Book Antiqua"/>
          <w:color w:val="000000"/>
        </w:rPr>
        <w:t>rotenone-induced Parkinson's disease model. This review is also an outline of our own results obtained using the EPR method, which allows quantitation of NO radicals in brain structures.</w:t>
      </w:r>
      <w:bookmarkEnd w:id="25"/>
      <w:bookmarkEnd w:id="26"/>
    </w:p>
    <w:p w14:paraId="47C0E997" w14:textId="77777777" w:rsidR="00A77B3E" w:rsidRDefault="00A77B3E">
      <w:pPr>
        <w:spacing w:line="360" w:lineRule="auto"/>
        <w:jc w:val="both"/>
      </w:pPr>
    </w:p>
    <w:p w14:paraId="4ECE117F" w14:textId="77777777" w:rsidR="00A77B3E" w:rsidRDefault="00D67C97">
      <w:pPr>
        <w:spacing w:line="360" w:lineRule="auto"/>
        <w:jc w:val="both"/>
      </w:pPr>
      <w:bookmarkStart w:id="29" w:name="OLE_LINK54"/>
      <w:bookmarkStart w:id="30" w:name="OLE_LINK55"/>
      <w:r>
        <w:rPr>
          <w:rFonts w:ascii="Book Antiqua" w:eastAsia="Book Antiqua" w:hAnsi="Book Antiqua" w:cs="Book Antiqua"/>
          <w:b/>
          <w:bCs/>
          <w:caps/>
          <w:color w:val="000000"/>
          <w:u w:val="single"/>
        </w:rPr>
        <w:t>MODELS OF DOPAMINERGIC NEUROTOXICITY</w:t>
      </w:r>
    </w:p>
    <w:p w14:paraId="528209CE" w14:textId="77777777" w:rsidR="00A77B3E" w:rsidRDefault="00D67C97">
      <w:pPr>
        <w:spacing w:line="360" w:lineRule="auto"/>
        <w:jc w:val="both"/>
      </w:pPr>
      <w:bookmarkStart w:id="31" w:name="OLE_LINK56"/>
      <w:bookmarkStart w:id="32" w:name="OLE_LINK57"/>
      <w:bookmarkEnd w:id="29"/>
      <w:bookmarkEnd w:id="30"/>
      <w:r>
        <w:rPr>
          <w:rFonts w:ascii="Book Antiqua" w:eastAsia="Book Antiqua" w:hAnsi="Book Antiqua" w:cs="Book Antiqua"/>
          <w:color w:val="000000"/>
        </w:rPr>
        <w:t xml:space="preserve">The use of animal models to study neurological diseases associated with dopaminergic neurotoxicity allows for in-depth study of their </w:t>
      </w:r>
      <w:proofErr w:type="spellStart"/>
      <w:r>
        <w:rPr>
          <w:rFonts w:ascii="Book Antiqua" w:eastAsia="Book Antiqua" w:hAnsi="Book Antiqua" w:cs="Book Antiqua"/>
          <w:color w:val="000000"/>
        </w:rPr>
        <w:t>neuropathophysiology</w:t>
      </w:r>
      <w:proofErr w:type="spell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Pathologically, the hallmark of idiopathic PD is the loss of dopaminergic neurons in the substantia nigra (SN). However, in the absence of nigral involvement, </w:t>
      </w:r>
      <w:proofErr w:type="spellStart"/>
      <w:r>
        <w:rPr>
          <w:rFonts w:ascii="Book Antiqua" w:eastAsia="Book Antiqua" w:hAnsi="Book Antiqua" w:cs="Book Antiqua"/>
          <w:color w:val="000000"/>
        </w:rPr>
        <w:t>noncatecholaminergic</w:t>
      </w:r>
      <w:proofErr w:type="spellEnd"/>
      <w:r>
        <w:rPr>
          <w:rFonts w:ascii="Book Antiqua" w:eastAsia="Book Antiqua" w:hAnsi="Book Antiqua" w:cs="Book Antiqua"/>
          <w:color w:val="000000"/>
        </w:rPr>
        <w:t xml:space="preserve"> neurons are also affected</w:t>
      </w:r>
      <w:r>
        <w:rPr>
          <w:rFonts w:ascii="Book Antiqua" w:eastAsia="Book Antiqua" w:hAnsi="Book Antiqua" w:cs="Book Antiqua"/>
          <w:color w:val="000000"/>
          <w:vertAlign w:val="superscript"/>
        </w:rPr>
        <w:t>[34]</w:t>
      </w:r>
      <w:r>
        <w:rPr>
          <w:rFonts w:ascii="Book Antiqua" w:eastAsia="Book Antiqua" w:hAnsi="Book Antiqua" w:cs="Book Antiqua"/>
          <w:color w:val="000000"/>
        </w:rPr>
        <w:t>. Agents that selectively damage or disrupt catecholaminergic systems, such as reserpine, methamphetamine (METH), 6-hydroxydopamine (6-OHDA), and 1-methyl-4-phenyl-1,2,3,6-tetrahydropyridine (MPTP), have been used to develop PD models of PD</w:t>
      </w:r>
      <w:r>
        <w:rPr>
          <w:rFonts w:ascii="Book Antiqua" w:eastAsia="Book Antiqua" w:hAnsi="Book Antiqua" w:cs="Book Antiqua"/>
          <w:color w:val="000000"/>
          <w:vertAlign w:val="superscript"/>
        </w:rPr>
        <w:t>[35,36]</w:t>
      </w:r>
      <w:r>
        <w:rPr>
          <w:rFonts w:ascii="Book Antiqua" w:eastAsia="Book Antiqua" w:hAnsi="Book Antiqua" w:cs="Book Antiqua"/>
          <w:color w:val="000000"/>
        </w:rPr>
        <w:t>. Based on experimental and clinical evidence, PD was the first neurological disease to be modeled and subsequently treated with neurotransmitter replacement therapy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Recent studies have shown that nigrostriatal dopamine degeneration can be induced </w:t>
      </w:r>
      <w:r>
        <w:rPr>
          <w:rFonts w:ascii="Book Antiqua" w:eastAsia="Book Antiqua" w:hAnsi="Book Antiqua" w:cs="Book Antiqua"/>
          <w:i/>
          <w:iCs/>
          <w:color w:val="000000"/>
        </w:rPr>
        <w:t>via</w:t>
      </w:r>
      <w:r>
        <w:rPr>
          <w:rFonts w:ascii="Book Antiqua" w:eastAsia="Book Antiqua" w:hAnsi="Book Antiqua" w:cs="Book Antiqua"/>
          <w:color w:val="000000"/>
        </w:rPr>
        <w:t xml:space="preserve"> overexpression of α-synuclein using viral vectors or transgenic techniques. In addition, protein aggregation pathology can be triggered by inoculating pr</w:t>
      </w:r>
      <w:r w:rsidR="00B23D3B">
        <w:rPr>
          <w:rFonts w:ascii="Book Antiqua" w:eastAsia="Book Antiqua" w:hAnsi="Book Antiqua" w:cs="Book Antiqua"/>
          <w:color w:val="000000"/>
        </w:rPr>
        <w:t xml:space="preserve">eformed fibrils of α-synuclein </w:t>
      </w:r>
      <w:r>
        <w:rPr>
          <w:rFonts w:ascii="Book Antiqua" w:eastAsia="Book Antiqua" w:hAnsi="Book Antiqua" w:cs="Book Antiqua"/>
          <w:color w:val="000000"/>
        </w:rPr>
        <w:t xml:space="preserve">in the SN or the </w:t>
      </w:r>
      <w:proofErr w:type="gramStart"/>
      <w:r>
        <w:rPr>
          <w:rFonts w:ascii="Book Antiqua" w:eastAsia="Book Antiqua" w:hAnsi="Book Antiqua" w:cs="Book Antiqua"/>
          <w:color w:val="000000"/>
        </w:rPr>
        <w:t>striatum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Transgenic animal</w:t>
      </w:r>
      <w:r w:rsidR="00B23D3B">
        <w:rPr>
          <w:rFonts w:ascii="Book Antiqua" w:eastAsia="Book Antiqua" w:hAnsi="Book Antiqua" w:cs="Book Antiqua"/>
          <w:color w:val="000000"/>
        </w:rPr>
        <w:t xml:space="preserve">s that overexpress α-synuclein </w:t>
      </w:r>
      <w:r>
        <w:rPr>
          <w:rFonts w:ascii="Book Antiqua" w:eastAsia="Book Antiqua" w:hAnsi="Book Antiqua" w:cs="Book Antiqua"/>
          <w:color w:val="000000"/>
        </w:rPr>
        <w:t xml:space="preserve">were used to study the </w:t>
      </w:r>
      <w:r>
        <w:rPr>
          <w:rFonts w:ascii="Book Antiqua" w:eastAsia="Book Antiqua" w:hAnsi="Book Antiqua" w:cs="Book Antiqua"/>
          <w:color w:val="000000"/>
        </w:rPr>
        <w:lastRenderedPageBreak/>
        <w:t xml:space="preserve">role of this protein in dopaminergic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Nevertheless, although transgenic models offer insight into the causes of the pathogenesis of PD or Lewy body (LB)-like formation, the lack of sequential loss of neurons in the </w:t>
      </w:r>
      <w:proofErr w:type="spellStart"/>
      <w:r>
        <w:rPr>
          <w:rFonts w:ascii="Book Antiqua" w:eastAsia="Book Antiqua" w:hAnsi="Book Antiqua" w:cs="Book Antiqua"/>
          <w:color w:val="000000"/>
        </w:rPr>
        <w:t>SNc</w:t>
      </w:r>
      <w:proofErr w:type="spellEnd"/>
      <w:r>
        <w:rPr>
          <w:rFonts w:ascii="Book Antiqua" w:eastAsia="Book Antiqua" w:hAnsi="Book Antiqua" w:cs="Book Antiqua"/>
          <w:color w:val="000000"/>
        </w:rPr>
        <w:t xml:space="preserve"> remains a major limitation for these models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Conversely, toxin-based models recreate selective nigrostriatal cell death and show extensive motor dysfunction. However, these toxin models do not reproduce the extranigral degeneration that also occurs as part of the disease and lack the pathological hallmark of LB </w:t>
      </w:r>
      <w:proofErr w:type="gramStart"/>
      <w:r>
        <w:rPr>
          <w:rFonts w:ascii="Book Antiqua" w:eastAsia="Book Antiqua" w:hAnsi="Book Antiqua" w:cs="Book Antiqua"/>
          <w:color w:val="000000"/>
        </w:rPr>
        <w:t>inclusions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Betarbet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reported that chronic, systemic introduction of rotenone, an inhibitor of mitochondrial complex I, accurately replicates many aspects of the pathology of PD. Additionally, in rotenone</w:t>
      </w:r>
      <w:r w:rsidR="008F2297">
        <w:rPr>
          <w:rFonts w:ascii="Book Antiqua" w:eastAsia="Book Antiqua" w:hAnsi="Book Antiqua" w:cs="Book Antiqua"/>
          <w:color w:val="000000"/>
        </w:rPr>
        <w:t>-treated animals, α-synuclein-</w:t>
      </w:r>
      <w:r>
        <w:rPr>
          <w:rFonts w:ascii="Book Antiqua" w:eastAsia="Book Antiqua" w:hAnsi="Book Antiqua" w:cs="Book Antiqua"/>
          <w:color w:val="000000"/>
        </w:rPr>
        <w:t>and polyubiquitin-positive aggregates were observed in dopamine neurons of the SN</w:t>
      </w:r>
      <w:r>
        <w:rPr>
          <w:rFonts w:ascii="Book Antiqua" w:eastAsia="Book Antiqua" w:hAnsi="Book Antiqua" w:cs="Book Antiqua"/>
          <w:color w:val="000000"/>
          <w:vertAlign w:val="superscript"/>
        </w:rPr>
        <w:t>[43,44]</w:t>
      </w:r>
      <w:r>
        <w:rPr>
          <w:rFonts w:ascii="Book Antiqua" w:eastAsia="Book Antiqua" w:hAnsi="Book Antiqua" w:cs="Book Antiqua"/>
          <w:color w:val="000000"/>
        </w:rPr>
        <w:t>. The advantages of this model include a slow and specific loss of DA neurons. The disadvantages of the model include the duration of drug administration, as well as sometimes high animal mortality</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Currently, several modifications of rotenone-induced Parkinson's disease models have been created. These modifications are different in the mode of administration as well as in the dosage and duration of treatment with </w:t>
      </w:r>
      <w:proofErr w:type="gramStart"/>
      <w:r>
        <w:rPr>
          <w:rFonts w:ascii="Book Antiqua" w:eastAsia="Book Antiqua" w:hAnsi="Book Antiqua" w:cs="Book Antiqua"/>
          <w:color w:val="000000"/>
        </w:rPr>
        <w:t>rotenone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xml:space="preserve">. The fact that rotenone is still widely used in agriculture as a pesticide increases the relevance of studying this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 However, while the behavioral effects of rotenone administration are well characterized, the mechanisms of rotenone action are still poorly understood.</w:t>
      </w:r>
    </w:p>
    <w:bookmarkEnd w:id="31"/>
    <w:bookmarkEnd w:id="32"/>
    <w:p w14:paraId="61BF076A" w14:textId="77777777" w:rsidR="00A77B3E" w:rsidRDefault="00A77B3E">
      <w:pPr>
        <w:spacing w:line="360" w:lineRule="auto"/>
        <w:jc w:val="both"/>
      </w:pPr>
    </w:p>
    <w:p w14:paraId="788C56B4" w14:textId="77777777" w:rsidR="00A77B3E" w:rsidRDefault="00DF5952">
      <w:pPr>
        <w:spacing w:line="360" w:lineRule="auto"/>
        <w:jc w:val="both"/>
      </w:pPr>
      <w:bookmarkStart w:id="33" w:name="OLE_LINK58"/>
      <w:bookmarkStart w:id="34" w:name="OLE_LINK59"/>
      <w:bookmarkStart w:id="35" w:name="OLE_LINK60"/>
      <w:r>
        <w:rPr>
          <w:rFonts w:ascii="Book Antiqua" w:eastAsia="Book Antiqua" w:hAnsi="Book Antiqua" w:cs="Book Antiqua"/>
          <w:b/>
          <w:bCs/>
          <w:caps/>
          <w:color w:val="000000"/>
          <w:u w:val="single"/>
        </w:rPr>
        <w:t>mGluRs</w:t>
      </w:r>
      <w:r w:rsidR="00D67C97">
        <w:rPr>
          <w:rFonts w:ascii="Book Antiqua" w:eastAsia="Book Antiqua" w:hAnsi="Book Antiqua" w:cs="Book Antiqua"/>
          <w:b/>
          <w:bCs/>
          <w:caps/>
          <w:color w:val="000000"/>
          <w:u w:val="single"/>
        </w:rPr>
        <w:t xml:space="preserve"> IN MODELS OF DOPAMINERGIC NEUROTOXICITY</w:t>
      </w:r>
    </w:p>
    <w:bookmarkEnd w:id="33"/>
    <w:bookmarkEnd w:id="34"/>
    <w:bookmarkEnd w:id="35"/>
    <w:p w14:paraId="3AE7387E" w14:textId="77777777" w:rsidR="00A77B3E" w:rsidRDefault="00D67C97">
      <w:pPr>
        <w:spacing w:line="360" w:lineRule="auto"/>
        <w:jc w:val="both"/>
      </w:pPr>
      <w:r>
        <w:rPr>
          <w:rFonts w:ascii="Book Antiqua" w:eastAsia="Book Antiqua" w:hAnsi="Book Antiqua" w:cs="Book Antiqua"/>
          <w:color w:val="000000"/>
        </w:rPr>
        <w:t xml:space="preserve">A significant number of studies have revealed that the excitotoxicity of glutamate contributes to the development of dopaminergic </w:t>
      </w:r>
      <w:proofErr w:type="gramStart"/>
      <w:r>
        <w:rPr>
          <w:rFonts w:ascii="Book Antiqua" w:eastAsia="Book Antiqua" w:hAnsi="Book Antiqua" w:cs="Book Antiqua"/>
          <w:color w:val="000000"/>
        </w:rPr>
        <w:t>neurotoxicity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It has been reported that </w:t>
      </w:r>
      <w:r>
        <w:rPr>
          <w:rFonts w:ascii="Book Antiqua" w:eastAsia="Book Antiqua" w:hAnsi="Book Antiqua" w:cs="Book Antiqua"/>
          <w:color w:val="000000"/>
        </w:rPr>
        <w:t>various neurotoxic agents, including rotenone and METH, can severely damage both ionotropic and metabotropic glutamate receptors, which leads to the progression of toxic effects</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An important functional interplay between the dopaminergic and glutamatergic systems has stimulated the consideration of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as potential therapeutic targets in PD</w:t>
      </w:r>
      <w:r>
        <w:rPr>
          <w:rFonts w:ascii="Book Antiqua" w:eastAsia="Book Antiqua" w:hAnsi="Book Antiqua" w:cs="Book Antiqua"/>
          <w:color w:val="000000"/>
          <w:vertAlign w:val="superscript"/>
        </w:rPr>
        <w:t>[54-56]</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Eight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(GRM1 to GRM8) have been identified and divided into three groups based on their sequence similarity and </w:t>
      </w:r>
      <w:r>
        <w:rPr>
          <w:rFonts w:ascii="Book Antiqua" w:eastAsia="Book Antiqua" w:hAnsi="Book Antiqua" w:cs="Book Antiqua"/>
          <w:color w:val="000000"/>
        </w:rPr>
        <w:lastRenderedPageBreak/>
        <w:t>pharmacology</w:t>
      </w:r>
      <w:r>
        <w:rPr>
          <w:rFonts w:ascii="Book Antiqua" w:eastAsia="Book Antiqua" w:hAnsi="Book Antiqua" w:cs="Book Antiqua"/>
          <w:color w:val="000000"/>
          <w:vertAlign w:val="superscript"/>
        </w:rPr>
        <w:t>[57,58]</w:t>
      </w:r>
      <w:r>
        <w:rPr>
          <w:rFonts w:ascii="Book Antiqua" w:eastAsia="Book Antiqua" w:hAnsi="Book Antiqua" w:cs="Book Antiqua"/>
          <w:color w:val="000000"/>
        </w:rPr>
        <w:t xml:space="preserve">. All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are family C G-protein-coupled receptors that participate in the modulation of synaptic transmission and neuronal excitability throughout the CNS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Studies have shown that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-mediated mechanisms have been implicated in both neuroprotection and neurotoxicity. The involvement of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in the control of movement, spatial and olfactory memory and nociception has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57,60,61]</w:t>
      </w:r>
      <w:r>
        <w:rPr>
          <w:rFonts w:ascii="Book Antiqua" w:eastAsia="Book Antiqua" w:hAnsi="Book Antiqua" w:cs="Book Antiqua"/>
          <w:color w:val="000000"/>
        </w:rPr>
        <w:t xml:space="preserve">. Studies have shown the antiparkinsonian potential of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modulation in groups I, II and III in experimental MPTP and 6-OHDA models of </w:t>
      </w:r>
      <w:proofErr w:type="gramStart"/>
      <w:r>
        <w:rPr>
          <w:rFonts w:ascii="Book Antiqua" w:eastAsia="Book Antiqua" w:hAnsi="Book Antiqua" w:cs="Book Antiqua"/>
          <w:color w:val="000000"/>
        </w:rPr>
        <w:t>PD</w:t>
      </w:r>
      <w:r w:rsidR="00FF0546">
        <w:rPr>
          <w:rFonts w:ascii="Book Antiqua" w:eastAsia="Book Antiqua" w:hAnsi="Book Antiqua" w:cs="Book Antiqua"/>
          <w:color w:val="000000"/>
          <w:vertAlign w:val="superscript"/>
        </w:rPr>
        <w:t>[</w:t>
      </w:r>
      <w:proofErr w:type="gramEnd"/>
      <w:r w:rsidR="00FF0546">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It has been reported that group I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antagonism and groups II and III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activation improve some motor symptoms of PD by regulating excitatory and inhibitory transmission in the basal ganglia</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the mechanism by which these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ligands may alleviate the symptoms of parkinsonism in animal models is largely unknown.</w:t>
      </w:r>
    </w:p>
    <w:p w14:paraId="536F126A" w14:textId="77777777" w:rsidR="00A77B3E" w:rsidRDefault="00A77B3E">
      <w:pPr>
        <w:spacing w:line="360" w:lineRule="auto"/>
        <w:jc w:val="both"/>
      </w:pPr>
    </w:p>
    <w:p w14:paraId="672241C6" w14:textId="77777777" w:rsidR="00A77B3E" w:rsidRPr="00FF0546" w:rsidRDefault="00FF0546">
      <w:pPr>
        <w:spacing w:line="360" w:lineRule="auto"/>
        <w:jc w:val="both"/>
        <w:rPr>
          <w:b/>
        </w:rPr>
      </w:pPr>
      <w:r w:rsidRPr="00FF0546">
        <w:rPr>
          <w:rStyle w:val="hps"/>
          <w:rFonts w:ascii="Book Antiqua" w:eastAsia="Book Antiqua" w:hAnsi="Book Antiqua" w:cs="Book Antiqua"/>
          <w:b/>
          <w:bCs/>
          <w:i/>
          <w:iCs/>
          <w:color w:val="000000"/>
        </w:rPr>
        <w:t xml:space="preserve">Involvement of </w:t>
      </w:r>
      <w:proofErr w:type="spellStart"/>
      <w:r w:rsidRPr="00FF0546">
        <w:rPr>
          <w:rStyle w:val="hps"/>
          <w:rFonts w:ascii="Book Antiqua" w:eastAsia="Book Antiqua" w:hAnsi="Book Antiqua" w:cs="Book Antiqua"/>
          <w:b/>
          <w:bCs/>
          <w:i/>
          <w:iCs/>
          <w:color w:val="000000"/>
        </w:rPr>
        <w:t>mGluRs</w:t>
      </w:r>
      <w:proofErr w:type="spellEnd"/>
      <w:r w:rsidRPr="00FF0546">
        <w:rPr>
          <w:rStyle w:val="hps"/>
          <w:rFonts w:ascii="Book Antiqua" w:eastAsia="Book Antiqua" w:hAnsi="Book Antiqua" w:cs="Book Antiqua"/>
          <w:b/>
          <w:bCs/>
          <w:i/>
          <w:iCs/>
          <w:color w:val="000000"/>
        </w:rPr>
        <w:t xml:space="preserve"> in neurotoxicity induced</w:t>
      </w:r>
      <w:r w:rsidR="00D67C97" w:rsidRPr="00FF0546">
        <w:rPr>
          <w:rFonts w:ascii="Book Antiqua" w:eastAsia="Book Antiqua" w:hAnsi="Book Antiqua" w:cs="Book Antiqua"/>
          <w:b/>
          <w:bCs/>
          <w:i/>
          <w:iCs/>
          <w:caps/>
          <w:color w:val="000000"/>
        </w:rPr>
        <w:t xml:space="preserve"> </w:t>
      </w:r>
      <w:r w:rsidRPr="00FF0546">
        <w:rPr>
          <w:rStyle w:val="hps"/>
          <w:rFonts w:ascii="Book Antiqua" w:eastAsia="Book Antiqua" w:hAnsi="Book Antiqua" w:cs="Book Antiqua"/>
          <w:b/>
          <w:bCs/>
          <w:i/>
          <w:iCs/>
          <w:color w:val="000000"/>
        </w:rPr>
        <w:t>by rotenone</w:t>
      </w:r>
    </w:p>
    <w:p w14:paraId="28423DE5" w14:textId="77777777" w:rsidR="00A77B3E" w:rsidRDefault="00D67C97">
      <w:pPr>
        <w:spacing w:line="360" w:lineRule="auto"/>
        <w:jc w:val="both"/>
      </w:pPr>
      <w:r>
        <w:rPr>
          <w:rFonts w:ascii="Book Antiqua" w:eastAsia="Book Antiqua" w:hAnsi="Book Antiqua" w:cs="Book Antiqua"/>
          <w:color w:val="000000"/>
        </w:rPr>
        <w:t xml:space="preserve">Because </w:t>
      </w:r>
      <w:r>
        <w:rPr>
          <w:rFonts w:ascii="Book Antiqua" w:eastAsia="Book Antiqua" w:hAnsi="Book Antiqua" w:cs="Book Antiqua"/>
          <w:color w:val="000000"/>
          <w:shd w:val="clear" w:color="auto" w:fill="FFFFFF"/>
        </w:rPr>
        <w:t>the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rotenone model of PD has attracted much attention, we searched the PubMed and Google Scholar databases for articles concerning the effect of </w:t>
      </w:r>
      <w:proofErr w:type="spellStart"/>
      <w:r>
        <w:rPr>
          <w:rFonts w:ascii="Book Antiqua" w:eastAsia="Book Antiqua" w:hAnsi="Book Antiqua" w:cs="Book Antiqua"/>
          <w:color w:val="000000"/>
          <w:shd w:val="clear" w:color="auto" w:fill="FFFFFF"/>
        </w:rPr>
        <w:t>mGluR</w:t>
      </w:r>
      <w:proofErr w:type="spellEnd"/>
      <w:r>
        <w:rPr>
          <w:rFonts w:ascii="Book Antiqua" w:eastAsia="Book Antiqua" w:hAnsi="Book Antiqua" w:cs="Book Antiqua"/>
          <w:color w:val="000000"/>
          <w:shd w:val="clear" w:color="auto" w:fill="FFFFFF"/>
        </w:rPr>
        <w:t xml:space="preserve"> on the rotenone model of neurotoxicity. </w:t>
      </w:r>
      <w:r>
        <w:rPr>
          <w:rFonts w:ascii="Book Antiqua" w:eastAsia="Book Antiqua" w:hAnsi="Book Antiqua" w:cs="Book Antiqua"/>
          <w:color w:val="000000"/>
        </w:rPr>
        <w:t>In the end, by consensus, primary articles were selected as relevant to our goals (Table 1). Thus, i</w:t>
      </w:r>
      <w:r>
        <w:rPr>
          <w:rFonts w:ascii="Book Antiqua" w:eastAsia="Book Antiqua" w:hAnsi="Book Antiqua" w:cs="Book Antiqua"/>
          <w:color w:val="000000"/>
          <w:shd w:val="clear" w:color="auto" w:fill="FFFFFF"/>
        </w:rPr>
        <w:t xml:space="preserve">t has been reported that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application</w:t>
      </w:r>
      <w:r>
        <w:rPr>
          <w:rFonts w:ascii="Book Antiqua" w:eastAsia="Book Antiqua" w:hAnsi="Book Antiqua" w:cs="Book Antiqua"/>
          <w:color w:val="000000"/>
        </w:rPr>
        <w:t xml:space="preserve"> of a group III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agonist (L-AP-4) significantly reduced the toxicity of rotenone in a culture of TH+ midbrain neurons</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 authors hypothesized that activation of group III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decreases the selective toxicity of rotenone to dopamine neurons by activating the MAP kinase pathway to stabilize microtubules</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contrast, activation of group I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enhances rotenone-induced toxicity in MN9D cells</w:t>
      </w:r>
      <w:r>
        <w:rPr>
          <w:rFonts w:ascii="Book Antiqua" w:eastAsia="Book Antiqua" w:hAnsi="Book Antiqua" w:cs="Book Antiqua"/>
          <w:color w:val="000000"/>
          <w:vertAlign w:val="superscript"/>
        </w:rPr>
        <w:t>[64]</w:t>
      </w:r>
      <w:r>
        <w:rPr>
          <w:rFonts w:ascii="Book Antiqua" w:eastAsia="Book Antiqua" w:hAnsi="Book Antiqua" w:cs="Book Antiqua"/>
          <w:color w:val="000000"/>
        </w:rPr>
        <w:t>. The modulation of the mGluR5</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type in rotenone-induced PD models has attracted much attention from researchers. Pharmacological inhibition of mGluR5 has beneficial anti-akinetic effects in animal models of PD; however, the mechanism by which these antagonists alleviate PD symptoms is largely unknown</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Previous studies have shown that downregulation of mGluR5 promotes cell apoptosis in a model of rotenone-induced cellular PD. Moreover, conditioned media derived from rotenone-treated </w:t>
      </w:r>
      <w:r>
        <w:rPr>
          <w:rFonts w:ascii="Book Antiqua" w:eastAsia="Book Antiqua" w:hAnsi="Book Antiqua" w:cs="Book Antiqua"/>
          <w:color w:val="000000"/>
        </w:rPr>
        <w:lastRenderedPageBreak/>
        <w:t>dopaminergic MN9D neuronal cells have been found to enhance the production of reactive oxygen species (ROS), which can be further attenuated by an mGlu5 agonist</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The selective mGluR5 antagonist </w:t>
      </w:r>
      <w:bookmarkStart w:id="36" w:name="OLE_LINK19"/>
      <w:bookmarkStart w:id="37" w:name="OLE_LINK20"/>
      <w:bookmarkStart w:id="38" w:name="OLE_LINK21"/>
      <w:r>
        <w:rPr>
          <w:rFonts w:ascii="Book Antiqua" w:eastAsia="Book Antiqua" w:hAnsi="Book Antiqua" w:cs="Book Antiqua"/>
          <w:color w:val="000000"/>
        </w:rPr>
        <w:t>2</w:t>
      </w:r>
      <w:bookmarkEnd w:id="36"/>
      <w:r>
        <w:rPr>
          <w:rFonts w:ascii="Book Antiqua" w:eastAsia="Book Antiqua" w:hAnsi="Book Antiqua" w:cs="Book Antiqua"/>
          <w:color w:val="000000"/>
        </w:rPr>
        <w:t>-methyl-6-(</w:t>
      </w:r>
      <w:proofErr w:type="spellStart"/>
      <w:r>
        <w:rPr>
          <w:rFonts w:ascii="Book Antiqua" w:eastAsia="Book Antiqua" w:hAnsi="Book Antiqua" w:cs="Book Antiqua"/>
          <w:color w:val="000000"/>
        </w:rPr>
        <w:t>phenylethynyl</w:t>
      </w:r>
      <w:proofErr w:type="spellEnd"/>
      <w:r>
        <w:rPr>
          <w:rFonts w:ascii="Book Antiqua" w:eastAsia="Book Antiqua" w:hAnsi="Book Antiqua" w:cs="Book Antiqua"/>
          <w:color w:val="000000"/>
        </w:rPr>
        <w:t>) pyridine</w:t>
      </w:r>
      <w:bookmarkEnd w:id="37"/>
      <w:bookmarkEnd w:id="38"/>
      <w:r>
        <w:rPr>
          <w:rFonts w:ascii="Book Antiqua" w:eastAsia="Book Antiqua" w:hAnsi="Book Antiqua" w:cs="Book Antiqua"/>
          <w:color w:val="000000"/>
        </w:rPr>
        <w:t xml:space="preserve"> (MPEP) prevented rotenone-induced DNA damage in MN9D dopaminergic neurons through a mechanism involving ROS-related mitochondrial dysfunction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It has been demonstrated that mGluR5 expression is decreased in a time- and dose-dependent manner in rotenone-treated MN9D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It has been reported that oxidized extracellular cysteine/cystine redox potential plays a role in mGluR5 activity in the rotenone rat model of PD</w:t>
      </w:r>
      <w:r>
        <w:rPr>
          <w:rFonts w:ascii="Book Antiqua" w:eastAsia="Book Antiqua" w:hAnsi="Book Antiqua" w:cs="Book Antiqua"/>
          <w:color w:val="000000"/>
          <w:vertAlign w:val="superscript"/>
        </w:rPr>
        <w:t>[68]</w:t>
      </w:r>
      <w:r>
        <w:rPr>
          <w:rFonts w:ascii="Book Antiqua" w:eastAsia="Book Antiqua" w:hAnsi="Book Antiqua" w:cs="Book Antiqua"/>
          <w:color w:val="000000"/>
        </w:rPr>
        <w:t>. In our studies, MPEP (3 mg/kg) reduced the intensity of catalepsy in rats after long-lasting administration of rotenone at a dose of 1.5 mg/</w:t>
      </w:r>
      <w:proofErr w:type="gramStart"/>
      <w:r>
        <w:rPr>
          <w:rFonts w:ascii="Book Antiqua" w:eastAsia="Book Antiqua" w:hAnsi="Book Antiqua" w:cs="Book Antiqua"/>
          <w:color w:val="000000"/>
        </w:rPr>
        <w:t>kg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We observed that the mGluR5 antagonist partially prevented the increase in NO generation evoked by </w:t>
      </w:r>
      <w:proofErr w:type="gramStart"/>
      <w:r>
        <w:rPr>
          <w:rFonts w:ascii="Book Antiqua" w:eastAsia="Book Antiqua" w:hAnsi="Book Antiqua" w:cs="Book Antiqua"/>
          <w:color w:val="000000"/>
        </w:rPr>
        <w:t>rotenone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In another study, it was shown that the behavioral effects of MPEP (2.5 mg/kg) were less pronounced in rats receiving a higher dose of rotenone (2.5 mg/kg) following the same duration of neurotoxin administration</w:t>
      </w:r>
      <w:r>
        <w:rPr>
          <w:rFonts w:ascii="Book Antiqua" w:eastAsia="Book Antiqua" w:hAnsi="Book Antiqua" w:cs="Book Antiqua"/>
          <w:color w:val="000000"/>
          <w:vertAlign w:val="superscript"/>
        </w:rPr>
        <w:t>[70]</w:t>
      </w:r>
      <w:r>
        <w:rPr>
          <w:rFonts w:ascii="Book Antiqua" w:eastAsia="Book Antiqua" w:hAnsi="Book Antiqua" w:cs="Book Antiqua"/>
          <w:color w:val="000000"/>
        </w:rPr>
        <w:t>. It has been reported that coadministration of MPEP with rotenone reduces the descent latency in the grid test at day 60 but does not block the decrease in DA and serotonin levels induced by treatment with this neurotoxin</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Thus, the behavioral effects of mGluR5 were notably dependent on the dose of rotenone administered. The above findings indicate that mGluR5 inhibition produces an inhibitory effect on ROS and NO activity</w:t>
      </w:r>
      <w:r>
        <w:rPr>
          <w:rFonts w:ascii="Book Antiqua" w:eastAsia="Book Antiqua" w:hAnsi="Book Antiqua" w:cs="Book Antiqua"/>
          <w:color w:val="000000"/>
          <w:szCs w:val="30"/>
          <w:vertAlign w:val="superscript"/>
        </w:rPr>
        <w:t>[65,66,69]</w:t>
      </w:r>
      <w:r>
        <w:rPr>
          <w:rFonts w:ascii="Book Antiqua" w:eastAsia="Book Antiqua" w:hAnsi="Book Antiqua" w:cs="Book Antiqua"/>
          <w:color w:val="000000"/>
        </w:rPr>
        <w:t>. In summary, an analysis of the literature data supports the notion that antagonists of mGluR5 are considered promising targets for the treatment of pathological conditions induced by dopaminergic neurotoxicity.</w:t>
      </w:r>
    </w:p>
    <w:p w14:paraId="104D426D" w14:textId="77777777" w:rsidR="00A77B3E" w:rsidRDefault="00A77B3E">
      <w:pPr>
        <w:spacing w:line="360" w:lineRule="auto"/>
        <w:jc w:val="both"/>
      </w:pPr>
    </w:p>
    <w:p w14:paraId="7EFA06F7" w14:textId="77777777" w:rsidR="00A77B3E" w:rsidRDefault="00D67C97">
      <w:pPr>
        <w:spacing w:line="360" w:lineRule="auto"/>
        <w:jc w:val="both"/>
      </w:pPr>
      <w:bookmarkStart w:id="39" w:name="OLE_LINK61"/>
      <w:bookmarkStart w:id="40" w:name="OLE_LINK62"/>
      <w:r>
        <w:rPr>
          <w:rStyle w:val="hps"/>
          <w:rFonts w:ascii="Book Antiqua" w:eastAsia="Book Antiqua" w:hAnsi="Book Antiqua" w:cs="Book Antiqua"/>
          <w:b/>
          <w:bCs/>
          <w:caps/>
          <w:color w:val="000000"/>
          <w:u w:val="single"/>
        </w:rPr>
        <w:t>INVOLVEMENT OF NO IN DOPAMINERGIC NEUROTOXICITY</w:t>
      </w:r>
    </w:p>
    <w:p w14:paraId="58EA3AD9" w14:textId="77777777" w:rsidR="00A77B3E" w:rsidRPr="000E0E6E" w:rsidRDefault="00010DA8">
      <w:pPr>
        <w:spacing w:line="360" w:lineRule="auto"/>
        <w:jc w:val="both"/>
      </w:pPr>
      <w:bookmarkStart w:id="41" w:name="OLE_LINK63"/>
      <w:bookmarkStart w:id="42" w:name="OLE_LINK64"/>
      <w:bookmarkStart w:id="43" w:name="OLE_LINK65"/>
      <w:bookmarkStart w:id="44" w:name="OLE_LINK66"/>
      <w:bookmarkStart w:id="45" w:name="OLE_LINK67"/>
      <w:bookmarkStart w:id="46" w:name="OLE_LINK68"/>
      <w:bookmarkEnd w:id="39"/>
      <w:bookmarkEnd w:id="40"/>
      <w:r>
        <w:rPr>
          <w:rFonts w:ascii="Book Antiqua" w:eastAsia="Book Antiqua" w:hAnsi="Book Antiqua" w:cs="Book Antiqua"/>
          <w:b/>
          <w:bCs/>
          <w:i/>
          <w:iCs/>
          <w:color w:val="000000"/>
        </w:rPr>
        <w:t>N</w:t>
      </w:r>
      <w:r>
        <w:rPr>
          <w:rFonts w:ascii="Book Antiqua" w:hAnsi="Book Antiqua" w:cs="Book Antiqua" w:hint="eastAsia"/>
          <w:b/>
          <w:bCs/>
          <w:i/>
          <w:iCs/>
          <w:color w:val="000000"/>
          <w:lang w:eastAsia="zh-CN"/>
        </w:rPr>
        <w:t>O</w:t>
      </w:r>
      <w:r w:rsidR="000E0E6E" w:rsidRPr="000E0E6E">
        <w:rPr>
          <w:rFonts w:ascii="Book Antiqua" w:eastAsia="Book Antiqua" w:hAnsi="Book Antiqua" w:cs="Book Antiqua"/>
          <w:b/>
          <w:bCs/>
          <w:i/>
          <w:iCs/>
          <w:color w:val="000000"/>
        </w:rPr>
        <w:t xml:space="preserve"> as neuronal messenger</w:t>
      </w:r>
    </w:p>
    <w:p w14:paraId="2CE08042" w14:textId="77777777" w:rsidR="00A77B3E" w:rsidRDefault="00D67C97">
      <w:pPr>
        <w:spacing w:line="360" w:lineRule="auto"/>
        <w:jc w:val="both"/>
      </w:pPr>
      <w:r>
        <w:rPr>
          <w:rFonts w:ascii="Book Antiqua" w:eastAsia="Book Antiqua" w:hAnsi="Book Antiqua" w:cs="Book Antiqua"/>
          <w:color w:val="000000"/>
        </w:rPr>
        <w:t>Currently, mitochondrial dysfunction is thought to be associated with NO pathways in glutamate neurotoxicity</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NO is a gaseous chemical messenger that modulates many functions of the nervous system, including the release of neurotransmitters, </w:t>
      </w:r>
      <w:proofErr w:type="spellStart"/>
      <w:r>
        <w:rPr>
          <w:rFonts w:ascii="Book Antiqua" w:eastAsia="Book Antiqua" w:hAnsi="Book Antiqua" w:cs="Book Antiqua"/>
          <w:color w:val="000000"/>
        </w:rPr>
        <w:t>interneuronal</w:t>
      </w:r>
      <w:proofErr w:type="spellEnd"/>
      <w:r>
        <w:rPr>
          <w:rFonts w:ascii="Book Antiqua" w:eastAsia="Book Antiqua" w:hAnsi="Book Antiqua" w:cs="Book Antiqua"/>
          <w:color w:val="000000"/>
        </w:rPr>
        <w:t xml:space="preserve"> communication, synaptic plasticity, receptor state, and intracellular signal </w:t>
      </w:r>
      <w:r>
        <w:rPr>
          <w:rFonts w:ascii="Book Antiqua" w:eastAsia="Book Antiqua" w:hAnsi="Book Antiqua" w:cs="Book Antiqua"/>
          <w:color w:val="000000"/>
        </w:rPr>
        <w:lastRenderedPageBreak/>
        <w:t>transduction</w:t>
      </w:r>
      <w:r>
        <w:rPr>
          <w:rFonts w:ascii="Book Antiqua" w:eastAsia="Book Antiqua" w:hAnsi="Book Antiqua" w:cs="Book Antiqua"/>
          <w:color w:val="000000"/>
          <w:vertAlign w:val="superscript"/>
        </w:rPr>
        <w:t>[20,72]</w:t>
      </w:r>
      <w:r>
        <w:rPr>
          <w:rFonts w:ascii="Book Antiqua" w:eastAsia="Book Antiqua" w:hAnsi="Book Antiqua" w:cs="Book Antiqua"/>
          <w:color w:val="000000"/>
        </w:rPr>
        <w:t>. The role of NO as a biological mediator is primarily determined by its physical and chemical properties. NO is generated by the enzyme NO synthase (NOS), which is widely distributed in the brain</w:t>
      </w:r>
      <w:r>
        <w:rPr>
          <w:rFonts w:ascii="Book Antiqua" w:eastAsia="Book Antiqua" w:hAnsi="Book Antiqua" w:cs="Book Antiqua"/>
          <w:color w:val="000000"/>
          <w:vertAlign w:val="superscript"/>
        </w:rPr>
        <w:t>[19,73]</w:t>
      </w:r>
      <w:r>
        <w:rPr>
          <w:rFonts w:ascii="Book Antiqua" w:eastAsia="Book Antiqua" w:hAnsi="Book Antiqua" w:cs="Book Antiqua"/>
          <w:color w:val="000000"/>
        </w:rPr>
        <w:t xml:space="preserve">. One of the possible mechanisms of the neurotoxic effect of NO may be the reaction of NO with ROS, leading to the formation of a highly toxic product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vertAlign w:val="superscript"/>
        </w:rPr>
        <w:t>[24,74,75]</w:t>
      </w:r>
      <w:r>
        <w:rPr>
          <w:rFonts w:ascii="Book Antiqua" w:eastAsia="Book Antiqua" w:hAnsi="Book Antiqua" w:cs="Book Antiqua"/>
          <w:color w:val="000000"/>
        </w:rPr>
        <w:t>. The short half-life of the NO radical is 2-5 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There are several indirect methods for determining NO and its products/metabolites in biological fluids and tissues. One of the most frequently used indirect methods for the determination of NO is the measurement of nitrite and nitrate by spectroscopy using the Griess reagent</w:t>
      </w:r>
      <w:r>
        <w:rPr>
          <w:rFonts w:ascii="Book Antiqua" w:eastAsia="Book Antiqua" w:hAnsi="Book Antiqua" w:cs="Book Antiqua"/>
          <w:color w:val="000000"/>
          <w:vertAlign w:val="superscript"/>
        </w:rPr>
        <w:t>[27]</w:t>
      </w:r>
      <w:r>
        <w:rPr>
          <w:rFonts w:ascii="Book Antiqua" w:eastAsia="Book Antiqua" w:hAnsi="Book Antiqua" w:cs="Book Antiqua"/>
          <w:color w:val="000000"/>
        </w:rPr>
        <w:t>. Another well-known method for indirect measurement of NO is the quantitative determination of 3-nitrotyrosine (a product of tyrosine nitration)</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 applicability of these indirect methods seems to be problematic. Quantitative determination of nitrites by the Griess method is falsified in the presence of reducing agents as well as thiol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These data are consistent with our opinion that only direct methods may be used for reliable determination of NO levels. One of the most accurate and correct ways to measure these data is through use of the EPR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26,31,78,79]</w:t>
      </w:r>
      <w:r>
        <w:rPr>
          <w:rFonts w:ascii="Book Antiqua" w:eastAsia="Book Antiqua" w:hAnsi="Book Antiqua" w:cs="Book Antiqua"/>
          <w:color w:val="000000"/>
        </w:rPr>
        <w:t>.</w:t>
      </w:r>
    </w:p>
    <w:p w14:paraId="3BA52D42" w14:textId="77777777" w:rsidR="00A77B3E" w:rsidRDefault="00A77B3E">
      <w:pPr>
        <w:spacing w:line="360" w:lineRule="auto"/>
        <w:jc w:val="both"/>
      </w:pPr>
    </w:p>
    <w:p w14:paraId="4AC6092E" w14:textId="77777777" w:rsidR="00A77B3E" w:rsidRPr="00553E10" w:rsidRDefault="00553E10">
      <w:pPr>
        <w:spacing w:line="360" w:lineRule="auto"/>
        <w:jc w:val="both"/>
      </w:pPr>
      <w:r w:rsidRPr="00553E10">
        <w:rPr>
          <w:rFonts w:ascii="Book Antiqua" w:eastAsia="Book Antiqua" w:hAnsi="Book Antiqua" w:cs="Book Antiqua"/>
          <w:b/>
          <w:bCs/>
          <w:i/>
          <w:iCs/>
          <w:color w:val="000000"/>
        </w:rPr>
        <w:t>Participation of no in dopaminergic neurotoxicity</w:t>
      </w:r>
    </w:p>
    <w:p w14:paraId="2A5AF923" w14:textId="77777777" w:rsidR="00A77B3E" w:rsidRDefault="00D67C97">
      <w:pPr>
        <w:spacing w:line="360" w:lineRule="auto"/>
        <w:jc w:val="both"/>
      </w:pPr>
      <w:r>
        <w:rPr>
          <w:rFonts w:ascii="Book Antiqua" w:eastAsia="Book Antiqua" w:hAnsi="Book Antiqua" w:cs="Book Antiqua"/>
          <w:color w:val="000000"/>
        </w:rPr>
        <w:t>Recent reports claim that NO is involved in neurotoxicity elicited by dopaminergic neurotoxins</w:t>
      </w:r>
      <w:r>
        <w:rPr>
          <w:rFonts w:ascii="Book Antiqua" w:eastAsia="Book Antiqua" w:hAnsi="Book Antiqua" w:cs="Book Antiqua"/>
          <w:color w:val="000000"/>
          <w:vertAlign w:val="superscript"/>
        </w:rPr>
        <w:t>[24,74,79]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Over the past two decades, significant advances have been made in improving knowledge about the role of NO in the mechanisms of PD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21,80,81]</w:t>
      </w:r>
      <w:r>
        <w:rPr>
          <w:rFonts w:ascii="Book Antiqua" w:eastAsia="Book Antiqua" w:hAnsi="Book Antiqua" w:cs="Book Antiqua"/>
          <w:color w:val="000000"/>
        </w:rPr>
        <w:t>. Thus, in brains from victims of PD, a nitrosyl species, identified as nitrosyl hemoglobin, has been observed in the SN</w:t>
      </w:r>
      <w:r>
        <w:rPr>
          <w:rFonts w:ascii="Book Antiqua" w:eastAsia="Book Antiqua" w:hAnsi="Book Antiqua" w:cs="Book Antiqua"/>
          <w:color w:val="000000"/>
          <w:vertAlign w:val="superscript"/>
        </w:rPr>
        <w:t>[82]</w:t>
      </w:r>
      <w:r>
        <w:rPr>
          <w:rFonts w:ascii="Book Antiqua" w:eastAsia="Book Antiqua" w:hAnsi="Book Antiqua" w:cs="Book Antiqua"/>
          <w:color w:val="000000"/>
        </w:rPr>
        <w:t>. Previous studies have shown that neurotoxic agents such as MPTP</w:t>
      </w:r>
      <w:r>
        <w:rPr>
          <w:rFonts w:ascii="Book Antiqua" w:eastAsia="Book Antiqua" w:hAnsi="Book Antiqua" w:cs="Book Antiqua"/>
          <w:color w:val="000000"/>
          <w:vertAlign w:val="superscript"/>
        </w:rPr>
        <w:t>[83]</w:t>
      </w:r>
      <w:r>
        <w:rPr>
          <w:rFonts w:ascii="Book Antiqua" w:eastAsia="Book Antiqua" w:hAnsi="Book Antiqua" w:cs="Book Antiqua"/>
          <w:color w:val="000000"/>
        </w:rPr>
        <w:t>, 6-OHDA</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or METH</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induce a significant increase in the production of 3-nitrotyrosine in the striatum. The protective effect of neuronal NOS inhibitors has been demonstrated in the MPTP neurotoxicity model in mice</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7F147BDE" w14:textId="77777777" w:rsidR="00A77B3E" w:rsidRDefault="00A77B3E">
      <w:pPr>
        <w:spacing w:line="360" w:lineRule="auto"/>
        <w:jc w:val="both"/>
      </w:pPr>
    </w:p>
    <w:p w14:paraId="4FE0F0C7" w14:textId="77777777" w:rsidR="00A77B3E" w:rsidRPr="00553E10" w:rsidRDefault="00553E10">
      <w:pPr>
        <w:spacing w:line="360" w:lineRule="auto"/>
        <w:jc w:val="both"/>
      </w:pPr>
      <w:r w:rsidRPr="00553E10">
        <w:rPr>
          <w:rStyle w:val="hps"/>
          <w:rFonts w:ascii="Book Antiqua" w:eastAsia="Book Antiqua" w:hAnsi="Book Antiqua" w:cs="Book Antiqua"/>
          <w:b/>
          <w:bCs/>
          <w:i/>
          <w:iCs/>
          <w:color w:val="000000"/>
        </w:rPr>
        <w:t>Involvement of no in neurotoxicity induced</w:t>
      </w:r>
      <w:r w:rsidR="00D67C97" w:rsidRPr="00553E10">
        <w:rPr>
          <w:rFonts w:ascii="Book Antiqua" w:eastAsia="Book Antiqua" w:hAnsi="Book Antiqua" w:cs="Book Antiqua"/>
          <w:b/>
          <w:bCs/>
          <w:i/>
          <w:iCs/>
          <w:caps/>
          <w:color w:val="000000"/>
        </w:rPr>
        <w:t xml:space="preserve"> </w:t>
      </w:r>
      <w:r w:rsidRPr="00553E10">
        <w:rPr>
          <w:rStyle w:val="hps"/>
          <w:rFonts w:ascii="Book Antiqua" w:eastAsia="Book Antiqua" w:hAnsi="Book Antiqua" w:cs="Book Antiqua"/>
          <w:b/>
          <w:bCs/>
          <w:i/>
          <w:iCs/>
          <w:color w:val="000000"/>
        </w:rPr>
        <w:t>by roteno</w:t>
      </w:r>
      <w:r w:rsidRPr="00553E10">
        <w:rPr>
          <w:rStyle w:val="hps"/>
          <w:rFonts w:ascii="Book Antiqua" w:eastAsia="Book Antiqua" w:hAnsi="Book Antiqua" w:cs="Book Antiqua"/>
          <w:b/>
          <w:bCs/>
          <w:color w:val="000000"/>
        </w:rPr>
        <w:t>ne</w:t>
      </w:r>
    </w:p>
    <w:p w14:paraId="0381E953" w14:textId="77777777" w:rsidR="00A77B3E" w:rsidRDefault="00D67C97">
      <w:pPr>
        <w:spacing w:line="360" w:lineRule="auto"/>
        <w:jc w:val="both"/>
      </w:pPr>
      <w:r>
        <w:rPr>
          <w:rFonts w:ascii="Book Antiqua" w:eastAsia="Book Antiqua" w:hAnsi="Book Antiqua" w:cs="Book Antiqua"/>
          <w:color w:val="000000"/>
          <w:shd w:val="clear" w:color="auto" w:fill="FFFFFF"/>
        </w:rPr>
        <w:lastRenderedPageBreak/>
        <w:t>NO is cytotoxic, partly due to its effects on mitochondria</w:t>
      </w:r>
      <w:r>
        <w:rPr>
          <w:rFonts w:ascii="Book Antiqua" w:eastAsia="Book Antiqua" w:hAnsi="Book Antiqua" w:cs="Book Antiqua"/>
          <w:color w:val="000000"/>
          <w:vertAlign w:val="superscript"/>
        </w:rPr>
        <w:t>[86]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Research reports have shown that NO is involved in rotenone-induced neurotoxicity </w:t>
      </w:r>
      <w:r>
        <w:rPr>
          <w:rFonts w:ascii="Book Antiqua" w:eastAsia="Book Antiqua" w:hAnsi="Book Antiqua" w:cs="Book Antiqua"/>
          <w:color w:val="000000"/>
          <w:shd w:val="clear" w:color="auto" w:fill="FFFFFF"/>
        </w:rPr>
        <w:t>(Table 2).</w:t>
      </w:r>
      <w:r>
        <w:rPr>
          <w:rFonts w:ascii="Book Antiqua" w:eastAsia="Book Antiqua" w:hAnsi="Book Antiqua" w:cs="Book Antiqua"/>
          <w:color w:val="000000"/>
        </w:rPr>
        <w:t xml:space="preserve"> H</w:t>
      </w:r>
      <w:r>
        <w:rPr>
          <w:rFonts w:ascii="Book Antiqua" w:eastAsia="Book Antiqua" w:hAnsi="Book Antiqua" w:cs="Book Antiqua"/>
          <w:color w:val="000000"/>
          <w:shd w:val="clear" w:color="auto" w:fill="FFFFFF"/>
        </w:rPr>
        <w:t xml:space="preserve">owever, the detailed mechanisms of this process are not well understood. Our data indicate that following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single injection of rotenone (1.5 mg/kg), the levels of NO in all studied brain areas were </w:t>
      </w:r>
      <w:r>
        <w:rPr>
          <w:rFonts w:ascii="Book Antiqua" w:eastAsia="Book Antiqua" w:hAnsi="Book Antiqua" w:cs="Book Antiqua"/>
          <w:color w:val="000000"/>
        </w:rPr>
        <w:t xml:space="preserve">indistinguishable from those in </w:t>
      </w:r>
      <w:r>
        <w:rPr>
          <w:rFonts w:ascii="Book Antiqua" w:eastAsia="Book Antiqua" w:hAnsi="Book Antiqua" w:cs="Book Antiqua"/>
          <w:color w:val="000000"/>
          <w:shd w:val="clear" w:color="auto" w:fill="FFFFFF"/>
        </w:rPr>
        <w:t>control animals</w:t>
      </w:r>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The data obtained correspond with the results of other authors. Thus, acute administration of rotenone at a significantly higher dose (15 mg/kg) did not affect the level of hydroxyl radical generation</w:t>
      </w:r>
      <w:r>
        <w:rPr>
          <w:rFonts w:ascii="Book Antiqua" w:eastAsia="Book Antiqua" w:hAnsi="Book Antiqua" w:cs="Book Antiqua"/>
          <w:color w:val="000000"/>
          <w:vertAlign w:val="superscript"/>
        </w:rPr>
        <w:t>[87]</w:t>
      </w:r>
      <w:r>
        <w:rPr>
          <w:rFonts w:ascii="Book Antiqua" w:eastAsia="Book Antiqua" w:hAnsi="Book Antiqua" w:cs="Book Antiqua"/>
          <w:color w:val="000000"/>
          <w:shd w:val="clear" w:color="auto" w:fill="FFFFFF"/>
        </w:rPr>
        <w:t>. The NO level reached its maximum in dopaminergic structures,</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prefrontal cortex, and </w:t>
      </w:r>
      <w:r>
        <w:rPr>
          <w:rFonts w:ascii="Book Antiqua" w:eastAsia="Book Antiqua" w:hAnsi="Book Antiqua" w:cs="Book Antiqua"/>
          <w:color w:val="000000"/>
        </w:rPr>
        <w:t xml:space="preserve">the </w:t>
      </w:r>
      <w:proofErr w:type="spellStart"/>
      <w:r w:rsidR="00553E10">
        <w:rPr>
          <w:rFonts w:ascii="Book Antiqua" w:eastAsia="Book Antiqua" w:hAnsi="Book Antiqua" w:cs="Book Antiqua"/>
          <w:color w:val="000000"/>
          <w:shd w:val="clear" w:color="auto" w:fill="FFFFFF"/>
        </w:rPr>
        <w:t>NAc</w:t>
      </w:r>
      <w:proofErr w:type="spellEnd"/>
      <w:r w:rsidR="00553E10">
        <w:rPr>
          <w:rFonts w:ascii="Book Antiqua" w:eastAsia="Book Antiqua" w:hAnsi="Book Antiqua" w:cs="Book Antiqua"/>
          <w:color w:val="000000"/>
          <w:shd w:val="clear" w:color="auto" w:fill="FFFFFF"/>
        </w:rPr>
        <w:t xml:space="preserve"> 60 d</w:t>
      </w:r>
      <w:r>
        <w:rPr>
          <w:rFonts w:ascii="Book Antiqua" w:eastAsia="Book Antiqua" w:hAnsi="Book Antiqua" w:cs="Book Antiqua"/>
          <w:color w:val="000000"/>
          <w:shd w:val="clear" w:color="auto" w:fill="FFFFFF"/>
        </w:rPr>
        <w:t xml:space="preserve"> after administration of </w:t>
      </w:r>
      <w:proofErr w:type="gramStart"/>
      <w:r>
        <w:rPr>
          <w:rFonts w:ascii="Book Antiqua" w:eastAsia="Book Antiqua" w:hAnsi="Book Antiqua" w:cs="Book Antiqua"/>
          <w:color w:val="000000"/>
          <w:shd w:val="clear" w:color="auto" w:fill="FFFFFF"/>
        </w:rPr>
        <w:t>rotenone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We observed a more than 2-fold elevation in NO generation in all studied brain structures of rats only after repeated injections of rotenone</w:t>
      </w:r>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xml:space="preserve">. These results are consistent with other studies investigating NO metabolites/products in </w:t>
      </w:r>
      <w:r>
        <w:rPr>
          <w:rFonts w:ascii="Book Antiqua" w:eastAsia="Book Antiqua" w:hAnsi="Book Antiqua" w:cs="Book Antiqua"/>
          <w:color w:val="000000"/>
        </w:rPr>
        <w:t>the brains</w:t>
      </w:r>
      <w:r>
        <w:rPr>
          <w:rFonts w:ascii="Book Antiqua" w:eastAsia="Book Antiqua" w:hAnsi="Book Antiqua" w:cs="Book Antiqua"/>
          <w:color w:val="000000"/>
          <w:shd w:val="clear" w:color="auto" w:fill="FFFFFF"/>
        </w:rPr>
        <w:t xml:space="preserve"> of rats treated with rotenone (Table 2). Thus, a significant increase (by 200.0%) in the concentration of nitrite determined by the spectrophotometric method was </w:t>
      </w:r>
      <w:proofErr w:type="gramStart"/>
      <w:r>
        <w:rPr>
          <w:rFonts w:ascii="Book Antiqua" w:eastAsia="Book Antiqua" w:hAnsi="Book Antiqua" w:cs="Book Antiqua"/>
          <w:color w:val="000000"/>
          <w:shd w:val="clear" w:color="auto" w:fill="FFFFFF"/>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Authors suggest that overproduction of NO may be associated with S</w:t>
      </w:r>
      <w:r>
        <w:rPr>
          <w:rFonts w:ascii="Book Antiqua" w:eastAsia="Book Antiqua" w:hAnsi="Book Antiqua" w:cs="Book Antiqua"/>
          <w:color w:val="000000"/>
        </w:rPr>
        <w:noBreakHyphen/>
      </w:r>
      <w:proofErr w:type="spellStart"/>
      <w:r>
        <w:rPr>
          <w:rFonts w:ascii="Book Antiqua" w:eastAsia="Book Antiqua" w:hAnsi="Book Antiqua" w:cs="Book Antiqua"/>
          <w:color w:val="000000"/>
        </w:rPr>
        <w:t>nitrosylation</w:t>
      </w:r>
      <w:proofErr w:type="spellEnd"/>
      <w:r>
        <w:rPr>
          <w:rFonts w:ascii="Book Antiqua" w:eastAsia="Book Antiqua" w:hAnsi="Book Antiqua" w:cs="Book Antiqua"/>
          <w:color w:val="000000"/>
        </w:rPr>
        <w:t xml:space="preserve"> or nitration of certain important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It was reported that the production of 3-nitrotyrosine in the brains of rats t</w:t>
      </w:r>
      <w:r w:rsidR="00F95F2F">
        <w:rPr>
          <w:rFonts w:ascii="Book Antiqua" w:eastAsia="Book Antiqua" w:hAnsi="Book Antiqua" w:cs="Book Antiqua"/>
          <w:color w:val="000000"/>
        </w:rPr>
        <w:t>reated with rotenone for 40 d</w:t>
      </w:r>
      <w:r>
        <w:rPr>
          <w:rFonts w:ascii="Book Antiqua" w:eastAsia="Book Antiqua" w:hAnsi="Book Antiqua" w:cs="Book Antiqua"/>
          <w:color w:val="000000"/>
        </w:rPr>
        <w:t xml:space="preserve"> increased </w:t>
      </w:r>
      <w:proofErr w:type="gramStart"/>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In recent years, s</w:t>
      </w:r>
      <w:r>
        <w:rPr>
          <w:rFonts w:ascii="Book Antiqua" w:eastAsia="Book Antiqua" w:hAnsi="Book Antiqua" w:cs="Book Antiqua"/>
          <w:color w:val="000000"/>
          <w:shd w:val="clear" w:color="auto" w:fill="FFFFFF"/>
        </w:rPr>
        <w:t xml:space="preserve">everal studies have investigated </w:t>
      </w:r>
      <w:r>
        <w:rPr>
          <w:rFonts w:ascii="Book Antiqua" w:eastAsia="Book Antiqua" w:hAnsi="Book Antiqua" w:cs="Book Antiqua"/>
          <w:color w:val="000000"/>
        </w:rPr>
        <w:t xml:space="preserve">the potential neuroprotective properties of various plant </w:t>
      </w:r>
      <w:proofErr w:type="gramStart"/>
      <w:r>
        <w:rPr>
          <w:rFonts w:ascii="Book Antiqua" w:eastAsia="Book Antiqua" w:hAnsi="Book Antiqua" w:cs="Book Antiqua"/>
          <w:color w:val="000000"/>
        </w:rPr>
        <w:t>extracts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89-91]</w:t>
      </w:r>
      <w:r>
        <w:rPr>
          <w:rFonts w:ascii="Book Antiqua" w:eastAsia="Book Antiqua" w:hAnsi="Book Antiqua" w:cs="Book Antiqua"/>
          <w:color w:val="000000"/>
        </w:rPr>
        <w:t>, polyphenolic agents</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and flavonoids</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a rotenone model of PD. The authors measured the level of nitrites as a marker of neurotoxicity in the dopaminergic brain structures of animals after long-lasting administration of rotenone (Table 2). The above studies indicate that the content of NO and its metabolites in the brain is currently considered one of the markers of rotenone-induced neurotoxicity.</w:t>
      </w:r>
    </w:p>
    <w:p w14:paraId="29E0BF44" w14:textId="77777777" w:rsidR="00A77B3E" w:rsidRDefault="00D67C97" w:rsidP="00F95F2F">
      <w:pPr>
        <w:spacing w:line="360" w:lineRule="auto"/>
        <w:ind w:firstLineChars="100" w:firstLine="240"/>
        <w:jc w:val="both"/>
      </w:pPr>
      <w:r>
        <w:rPr>
          <w:rFonts w:ascii="Book Antiqua" w:eastAsia="Book Antiqua" w:hAnsi="Book Antiqua" w:cs="Book Antiqua"/>
          <w:color w:val="000000"/>
        </w:rPr>
        <w:t>In our opinion, it seems to be critical to study the dynamics of NO changes in various brain structures during long-term administration of rotenone. This issue is practically not studied. Our results demonstrated a significant enhancement of NO gen</w:t>
      </w:r>
      <w:r w:rsidR="00F95F2F">
        <w:rPr>
          <w:rFonts w:ascii="Book Antiqua" w:eastAsia="Book Antiqua" w:hAnsi="Book Antiqua" w:cs="Book Antiqua"/>
          <w:color w:val="000000"/>
        </w:rPr>
        <w:t xml:space="preserve">eration in the </w:t>
      </w:r>
      <w:proofErr w:type="spellStart"/>
      <w:r w:rsidR="00F95F2F">
        <w:rPr>
          <w:rFonts w:ascii="Book Antiqua" w:eastAsia="Book Antiqua" w:hAnsi="Book Antiqua" w:cs="Book Antiqua"/>
          <w:color w:val="000000"/>
        </w:rPr>
        <w:t>NAc</w:t>
      </w:r>
      <w:proofErr w:type="spellEnd"/>
      <w:r w:rsidR="00F95F2F">
        <w:rPr>
          <w:rFonts w:ascii="Book Antiqua" w:eastAsia="Book Antiqua" w:hAnsi="Book Antiqua" w:cs="Book Antiqua"/>
          <w:color w:val="000000"/>
        </w:rPr>
        <w:t xml:space="preserve"> after 20 d</w:t>
      </w:r>
      <w:r>
        <w:rPr>
          <w:rFonts w:ascii="Book Antiqua" w:eastAsia="Book Antiqua" w:hAnsi="Book Antiqua" w:cs="Book Antiqua"/>
          <w:color w:val="000000"/>
        </w:rPr>
        <w:t xml:space="preserve"> of treatment with rotenone, while the NO level was not elevated yet in the frontal </w:t>
      </w:r>
      <w:proofErr w:type="gramStart"/>
      <w:r>
        <w:rPr>
          <w:rFonts w:ascii="Book Antiqua" w:eastAsia="Book Antiqua" w:hAnsi="Book Antiqua" w:cs="Book Antiqua"/>
          <w:color w:val="000000"/>
        </w:rPr>
        <w:t>cortex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These data may indicate that dopaminergic neurons in the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may be intrinsically susceptible to oxidative damage compared to other neurons. Taken </w:t>
      </w:r>
      <w:r>
        <w:rPr>
          <w:rFonts w:ascii="Book Antiqua" w:eastAsia="Book Antiqua" w:hAnsi="Book Antiqua" w:cs="Book Antiqua"/>
          <w:color w:val="000000"/>
        </w:rPr>
        <w:lastRenderedPageBreak/>
        <w:t>together, our results, as well as literature data, allow us to conclude that rotenone can produce a neurotoxic effect and cause an increased production of free radicals, including NO, only with long-lasting chronic administration. This, in turn, confirms the assumption that the cascade of biochemical reactions causing the development of neurotoxic processes can be triggered only after repeated injections of rotenone</w:t>
      </w:r>
      <w:r>
        <w:rPr>
          <w:rFonts w:ascii="Book Antiqua" w:eastAsia="Book Antiqua" w:hAnsi="Book Antiqua" w:cs="Book Antiqua"/>
          <w:color w:val="000000"/>
          <w:vertAlign w:val="superscript"/>
        </w:rPr>
        <w:t>[35,78,87,94]</w:t>
      </w:r>
      <w:r>
        <w:rPr>
          <w:rFonts w:ascii="Book Antiqua" w:eastAsia="Book Antiqua" w:hAnsi="Book Antiqua" w:cs="Book Antiqua"/>
          <w:color w:val="000000"/>
        </w:rPr>
        <w:t xml:space="preserve">. In summary, the data obtained indicate prospects for further research on the interaction of dopaminergic,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and NO systems in rotenone models of PD to search for and study the mechanism of action of substances with neuroprotective properties </w:t>
      </w:r>
      <w:r>
        <w:rPr>
          <w:rFonts w:ascii="Book Antiqua" w:eastAsia="Book Antiqua" w:hAnsi="Book Antiqua" w:cs="Book Antiqua"/>
          <w:color w:val="000000"/>
          <w:szCs w:val="22"/>
        </w:rPr>
        <w:t>(Figure 1).</w:t>
      </w:r>
      <w:bookmarkEnd w:id="41"/>
      <w:bookmarkEnd w:id="42"/>
      <w:bookmarkEnd w:id="43"/>
      <w:bookmarkEnd w:id="44"/>
      <w:bookmarkEnd w:id="45"/>
      <w:bookmarkEnd w:id="46"/>
      <w:r>
        <w:rPr>
          <w:rFonts w:ascii="Book Antiqua" w:eastAsia="Book Antiqua" w:hAnsi="Book Antiqua" w:cs="Book Antiqua"/>
          <w:color w:val="000000"/>
          <w:szCs w:val="22"/>
        </w:rPr>
        <w:t xml:space="preserve"> </w:t>
      </w:r>
    </w:p>
    <w:p w14:paraId="2E164A54" w14:textId="77777777" w:rsidR="00A77B3E" w:rsidRDefault="00A77B3E">
      <w:pPr>
        <w:spacing w:line="360" w:lineRule="auto"/>
        <w:jc w:val="both"/>
      </w:pPr>
    </w:p>
    <w:p w14:paraId="282E3BF4" w14:textId="77777777" w:rsidR="00A77B3E" w:rsidRDefault="00D67C97">
      <w:pPr>
        <w:spacing w:line="360" w:lineRule="auto"/>
        <w:jc w:val="both"/>
      </w:pPr>
      <w:r>
        <w:rPr>
          <w:rFonts w:ascii="Book Antiqua" w:eastAsia="Book Antiqua" w:hAnsi="Book Antiqua" w:cs="Book Antiqua"/>
          <w:b/>
          <w:caps/>
          <w:color w:val="000000"/>
          <w:u w:val="single"/>
        </w:rPr>
        <w:t>CONCLUSION</w:t>
      </w:r>
    </w:p>
    <w:p w14:paraId="10BEC567" w14:textId="77777777" w:rsidR="00A77B3E" w:rsidRDefault="00D67C97">
      <w:pPr>
        <w:spacing w:line="360" w:lineRule="auto"/>
        <w:jc w:val="both"/>
      </w:pPr>
      <w:bookmarkStart w:id="47" w:name="OLE_LINK69"/>
      <w:bookmarkStart w:id="48" w:name="OLE_LINK70"/>
      <w:r>
        <w:rPr>
          <w:rFonts w:ascii="Book Antiqua" w:eastAsia="Book Antiqua" w:hAnsi="Book Antiqua" w:cs="Book Antiqua"/>
          <w:color w:val="000000"/>
        </w:rPr>
        <w:t xml:space="preserve">This review summarizes several newly discovered mechanisms of dopaminergic neurotoxicity (Figure 1). Current treatments for PD are mainly the administration of dopaminergic drugs. However, dopaminergic drugs are only symptomatic treatments and are limited by several side effects. Understanding the pathogenetic mechanisms of the onset and development of PD is of great clinical importance. Recent studies on drug development have focused on emerging new molecular mechanisms, including modulation of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and NO formation. Despite the growing number of studies demonstrating the positive effect of some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ligands on motor symptomatology in PD models, there are still no drugs in clinical practice targeting </w:t>
      </w:r>
      <w:bookmarkStart w:id="49" w:name="OLE_LINK4"/>
      <w:proofErr w:type="spellStart"/>
      <w:r>
        <w:rPr>
          <w:rFonts w:ascii="Book Antiqua" w:eastAsia="Book Antiqua" w:hAnsi="Book Antiqua" w:cs="Book Antiqua"/>
          <w:color w:val="000000"/>
        </w:rPr>
        <w:t>mGlu</w:t>
      </w:r>
      <w:bookmarkEnd w:id="49"/>
      <w:r w:rsidR="00F95F2F">
        <w:rPr>
          <w:rFonts w:ascii="Book Antiqua" w:hAnsi="Book Antiqua" w:cs="Book Antiqua" w:hint="eastAsia"/>
          <w:color w:val="000000"/>
          <w:lang w:eastAsia="zh-CN"/>
        </w:rPr>
        <w:t>R</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to restore neurological disorders of PD. Treatment with NO scavengers/NOS inhibitors may be another potential neuroprotective strategy for diseases associated with dopaminergic neurotoxicity. In addition, our preliminary results and literature data suggest that an increase in the formation of NO radicals in some brain structures may precede the onset of behavioral disorders in rats treated with rotenone. Therefore, finding a possible correlation between the generation of NO radicals and the onset of neurological disturbances during long-term application of rotenone can be an important step in understanding the pathogenesis of rotenone-induced neurotoxicity We can assume that in the future, the determination of NO generation may become a test for the early diagnosis of PD in patients who do not yet have specific symptoms of the disease.</w:t>
      </w:r>
    </w:p>
    <w:p w14:paraId="01A7B805" w14:textId="77777777" w:rsidR="00A77B3E" w:rsidRDefault="00D67C97" w:rsidP="00F34C7F">
      <w:pPr>
        <w:spacing w:line="360" w:lineRule="auto"/>
        <w:ind w:firstLineChars="100" w:firstLine="240"/>
        <w:jc w:val="both"/>
      </w:pPr>
      <w:r>
        <w:rPr>
          <w:rFonts w:ascii="Book Antiqua" w:eastAsia="Book Antiqua" w:hAnsi="Book Antiqua" w:cs="Book Antiqua"/>
          <w:color w:val="000000"/>
        </w:rPr>
        <w:lastRenderedPageBreak/>
        <w:t xml:space="preserve">Additionally, long-term application and widespread use of synthetic insecticides have resulted in the accumulation of their residues in food, milk, water, and soil and have adverse health effects for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Although all natural insecticides are not completely safe, it seems necessary to phase out the use of rotenone pesticides in agriculture and replace them with natural (“organic”) pesticides with maximum safety.</w:t>
      </w:r>
    </w:p>
    <w:p w14:paraId="1A4B42C1" w14:textId="77777777" w:rsidR="00A77B3E" w:rsidRDefault="00D67C97" w:rsidP="00F34C7F">
      <w:pPr>
        <w:spacing w:line="360" w:lineRule="auto"/>
        <w:ind w:firstLineChars="100" w:firstLine="240"/>
        <w:jc w:val="both"/>
      </w:pPr>
      <w:r>
        <w:rPr>
          <w:rFonts w:ascii="Book Antiqua" w:eastAsia="Book Antiqua" w:hAnsi="Book Antiqua" w:cs="Book Antiqua"/>
          <w:color w:val="000000"/>
        </w:rPr>
        <w:t xml:space="preserve">In summary, alternative treatment strategies beyond dopaminergic drugs might be a major topic of future PD therapy. In conclusion, the findings demonstrate that modulation of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and NO formation suggests the possibility of developing new treatment strategies for PD.</w:t>
      </w:r>
    </w:p>
    <w:bookmarkEnd w:id="47"/>
    <w:bookmarkEnd w:id="48"/>
    <w:p w14:paraId="544C9CA9" w14:textId="77777777" w:rsidR="00A77B3E" w:rsidRDefault="00A77B3E">
      <w:pPr>
        <w:spacing w:line="360" w:lineRule="auto"/>
        <w:jc w:val="both"/>
      </w:pPr>
    </w:p>
    <w:p w14:paraId="1A22EDBB" w14:textId="77777777" w:rsidR="00A77B3E" w:rsidRPr="002B7717" w:rsidRDefault="00D67C97" w:rsidP="002B7717">
      <w:pPr>
        <w:adjustRightInd w:val="0"/>
        <w:snapToGrid w:val="0"/>
        <w:spacing w:line="360" w:lineRule="auto"/>
        <w:jc w:val="both"/>
        <w:rPr>
          <w:rFonts w:ascii="Book Antiqua" w:hAnsi="Book Antiqua"/>
        </w:rPr>
      </w:pPr>
      <w:r w:rsidRPr="002B7717">
        <w:rPr>
          <w:rFonts w:ascii="Book Antiqua" w:eastAsia="Book Antiqua" w:hAnsi="Book Antiqua" w:cs="Book Antiqua"/>
          <w:b/>
        </w:rPr>
        <w:t>REFERENCES</w:t>
      </w:r>
    </w:p>
    <w:p w14:paraId="4906D12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0" w:name="OLE_LINK71"/>
      <w:bookmarkStart w:id="51" w:name="OLE_LINK72"/>
      <w:r w:rsidRPr="002B7717">
        <w:rPr>
          <w:rFonts w:ascii="Book Antiqua" w:hAnsi="Book Antiqua"/>
        </w:rPr>
        <w:t>1 </w:t>
      </w:r>
      <w:proofErr w:type="spellStart"/>
      <w:r w:rsidRPr="002B7717">
        <w:rPr>
          <w:rFonts w:ascii="Book Antiqua" w:hAnsi="Book Antiqua"/>
          <w:b/>
          <w:bCs/>
        </w:rPr>
        <w:t>Girault</w:t>
      </w:r>
      <w:proofErr w:type="spellEnd"/>
      <w:r w:rsidRPr="002B7717">
        <w:rPr>
          <w:rFonts w:ascii="Book Antiqua" w:hAnsi="Book Antiqua"/>
          <w:b/>
          <w:bCs/>
        </w:rPr>
        <w:t xml:space="preserve"> JA</w:t>
      </w:r>
      <w:r w:rsidRPr="002B7717">
        <w:rPr>
          <w:rFonts w:ascii="Book Antiqua" w:hAnsi="Book Antiqua"/>
        </w:rPr>
        <w:t>, Greengard P. The neurobiology of dopamine signaling. </w:t>
      </w:r>
      <w:r w:rsidRPr="002B7717">
        <w:rPr>
          <w:rFonts w:ascii="Book Antiqua" w:hAnsi="Book Antiqua"/>
          <w:i/>
          <w:iCs/>
        </w:rPr>
        <w:t>Arch Neurol</w:t>
      </w:r>
      <w:r w:rsidRPr="002B7717">
        <w:rPr>
          <w:rFonts w:ascii="Book Antiqua" w:hAnsi="Book Antiqua"/>
        </w:rPr>
        <w:t> 2004; </w:t>
      </w:r>
      <w:r w:rsidRPr="002B7717">
        <w:rPr>
          <w:rFonts w:ascii="Book Antiqua" w:hAnsi="Book Antiqua"/>
          <w:b/>
          <w:bCs/>
        </w:rPr>
        <w:t>61</w:t>
      </w:r>
      <w:r w:rsidRPr="002B7717">
        <w:rPr>
          <w:rFonts w:ascii="Book Antiqua" w:hAnsi="Book Antiqua"/>
        </w:rPr>
        <w:t>: 641-644 [PMID: 15148138 DOI: 10.1001/archneur.61.5.641]</w:t>
      </w:r>
    </w:p>
    <w:p w14:paraId="2591FA04"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2 </w:t>
      </w:r>
      <w:r w:rsidRPr="002B7717">
        <w:rPr>
          <w:rFonts w:ascii="Book Antiqua" w:hAnsi="Book Antiqua"/>
          <w:b/>
          <w:bCs/>
        </w:rPr>
        <w:t>Klein MO</w:t>
      </w:r>
      <w:r w:rsidRPr="002B7717">
        <w:rPr>
          <w:rFonts w:ascii="Book Antiqua" w:hAnsi="Book Antiqua"/>
        </w:rPr>
        <w:t xml:space="preserve">, </w:t>
      </w:r>
      <w:proofErr w:type="spellStart"/>
      <w:r w:rsidRPr="002B7717">
        <w:rPr>
          <w:rFonts w:ascii="Book Antiqua" w:hAnsi="Book Antiqua"/>
        </w:rPr>
        <w:t>Battagello</w:t>
      </w:r>
      <w:proofErr w:type="spellEnd"/>
      <w:r w:rsidRPr="002B7717">
        <w:rPr>
          <w:rFonts w:ascii="Book Antiqua" w:hAnsi="Book Antiqua"/>
        </w:rPr>
        <w:t xml:space="preserve"> DS, Cardoso AR, Hauser DN, </w:t>
      </w:r>
      <w:proofErr w:type="spellStart"/>
      <w:r w:rsidRPr="002B7717">
        <w:rPr>
          <w:rFonts w:ascii="Book Antiqua" w:hAnsi="Book Antiqua"/>
        </w:rPr>
        <w:t>Bittencourt</w:t>
      </w:r>
      <w:proofErr w:type="spellEnd"/>
      <w:r w:rsidRPr="002B7717">
        <w:rPr>
          <w:rFonts w:ascii="Book Antiqua" w:hAnsi="Book Antiqua"/>
        </w:rPr>
        <w:t xml:space="preserve"> JC, Correa RG. Dopamine: Functions, Signaling, and Association with Neurological Diseases. </w:t>
      </w:r>
      <w:r w:rsidRPr="002B7717">
        <w:rPr>
          <w:rFonts w:ascii="Book Antiqua" w:hAnsi="Book Antiqua"/>
          <w:i/>
          <w:iCs/>
        </w:rPr>
        <w:t xml:space="preserve">Cell Mol </w:t>
      </w:r>
      <w:proofErr w:type="spellStart"/>
      <w:r w:rsidRPr="002B7717">
        <w:rPr>
          <w:rFonts w:ascii="Book Antiqua" w:hAnsi="Book Antiqua"/>
          <w:i/>
          <w:iCs/>
        </w:rPr>
        <w:t>Neurobiol</w:t>
      </w:r>
      <w:proofErr w:type="spellEnd"/>
      <w:r w:rsidRPr="002B7717">
        <w:rPr>
          <w:rFonts w:ascii="Book Antiqua" w:hAnsi="Book Antiqua"/>
        </w:rPr>
        <w:t> 2019; </w:t>
      </w:r>
      <w:r w:rsidRPr="002B7717">
        <w:rPr>
          <w:rFonts w:ascii="Book Antiqua" w:hAnsi="Book Antiqua"/>
          <w:b/>
          <w:bCs/>
        </w:rPr>
        <w:t>39</w:t>
      </w:r>
      <w:r w:rsidRPr="002B7717">
        <w:rPr>
          <w:rFonts w:ascii="Book Antiqua" w:hAnsi="Book Antiqua"/>
        </w:rPr>
        <w:t>: 31-59 [PMID: 30446950 DOI: 10.1007/s10571-018-0632-3]</w:t>
      </w:r>
    </w:p>
    <w:p w14:paraId="6C313E2C"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3 </w:t>
      </w:r>
      <w:r w:rsidRPr="002B7717">
        <w:rPr>
          <w:rFonts w:ascii="Book Antiqua" w:hAnsi="Book Antiqua"/>
          <w:b/>
          <w:bCs/>
        </w:rPr>
        <w:t>Strange PG</w:t>
      </w:r>
      <w:r w:rsidRPr="002B7717">
        <w:rPr>
          <w:rFonts w:ascii="Book Antiqua" w:hAnsi="Book Antiqua"/>
        </w:rPr>
        <w:t>. Dopamine receptors in the basal ganglia: relevance to Parkinson's disease. </w:t>
      </w:r>
      <w:r w:rsidRPr="002B7717">
        <w:rPr>
          <w:rFonts w:ascii="Book Antiqua" w:hAnsi="Book Antiqua"/>
          <w:i/>
          <w:iCs/>
        </w:rPr>
        <w:t xml:space="preserve">Mov </w:t>
      </w:r>
      <w:proofErr w:type="spellStart"/>
      <w:r w:rsidRPr="002B7717">
        <w:rPr>
          <w:rFonts w:ascii="Book Antiqua" w:hAnsi="Book Antiqua"/>
          <w:i/>
          <w:iCs/>
        </w:rPr>
        <w:t>Disord</w:t>
      </w:r>
      <w:proofErr w:type="spellEnd"/>
      <w:r w:rsidRPr="002B7717">
        <w:rPr>
          <w:rFonts w:ascii="Book Antiqua" w:hAnsi="Book Antiqua"/>
        </w:rPr>
        <w:t> 1993; </w:t>
      </w:r>
      <w:r w:rsidRPr="002B7717">
        <w:rPr>
          <w:rFonts w:ascii="Book Antiqua" w:hAnsi="Book Antiqua"/>
          <w:b/>
          <w:bCs/>
        </w:rPr>
        <w:t>8</w:t>
      </w:r>
      <w:r w:rsidRPr="002B7717">
        <w:rPr>
          <w:rFonts w:ascii="Book Antiqua" w:hAnsi="Book Antiqua"/>
        </w:rPr>
        <w:t>: 263-270 [PMID: 8101967 DOI: 10.1002/mds.870080303]</w:t>
      </w:r>
    </w:p>
    <w:p w14:paraId="382B0C34"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4 </w:t>
      </w:r>
      <w:r w:rsidRPr="002B7717">
        <w:rPr>
          <w:rFonts w:ascii="Book Antiqua" w:hAnsi="Book Antiqua"/>
          <w:b/>
          <w:bCs/>
        </w:rPr>
        <w:t>Marino BLB</w:t>
      </w:r>
      <w:r w:rsidRPr="002B7717">
        <w:rPr>
          <w:rFonts w:ascii="Book Antiqua" w:hAnsi="Book Antiqua"/>
        </w:rPr>
        <w:t xml:space="preserve">, de Souza LR, Sousa KPA, Ferreira JV, </w:t>
      </w:r>
      <w:proofErr w:type="spellStart"/>
      <w:r w:rsidRPr="002B7717">
        <w:rPr>
          <w:rFonts w:ascii="Book Antiqua" w:hAnsi="Book Antiqua"/>
        </w:rPr>
        <w:t>Padilha</w:t>
      </w:r>
      <w:proofErr w:type="spellEnd"/>
      <w:r w:rsidRPr="002B7717">
        <w:rPr>
          <w:rFonts w:ascii="Book Antiqua" w:hAnsi="Book Antiqua"/>
        </w:rPr>
        <w:t xml:space="preserve"> EC, da Silva CHTP, Taft CA, </w:t>
      </w:r>
      <w:proofErr w:type="spellStart"/>
      <w:r w:rsidRPr="002B7717">
        <w:rPr>
          <w:rFonts w:ascii="Book Antiqua" w:hAnsi="Book Antiqua"/>
        </w:rPr>
        <w:t>Hage-Melim</w:t>
      </w:r>
      <w:proofErr w:type="spellEnd"/>
      <w:r w:rsidRPr="002B7717">
        <w:rPr>
          <w:rFonts w:ascii="Book Antiqua" w:hAnsi="Book Antiqua"/>
        </w:rPr>
        <w:t xml:space="preserve"> LIS. Parkinson's Disease: A Review from Pathophysiology to Treatment. </w:t>
      </w:r>
      <w:r w:rsidRPr="002B7717">
        <w:rPr>
          <w:rFonts w:ascii="Book Antiqua" w:hAnsi="Book Antiqua"/>
          <w:i/>
          <w:iCs/>
        </w:rPr>
        <w:t>Mini Rev Med Chem</w:t>
      </w:r>
      <w:r w:rsidRPr="002B7717">
        <w:rPr>
          <w:rFonts w:ascii="Book Antiqua" w:hAnsi="Book Antiqua"/>
        </w:rPr>
        <w:t> 2020; </w:t>
      </w:r>
      <w:r w:rsidRPr="002B7717">
        <w:rPr>
          <w:rFonts w:ascii="Book Antiqua" w:hAnsi="Book Antiqua"/>
          <w:b/>
          <w:bCs/>
        </w:rPr>
        <w:t>20</w:t>
      </w:r>
      <w:r w:rsidRPr="002B7717">
        <w:rPr>
          <w:rFonts w:ascii="Book Antiqua" w:hAnsi="Book Antiqua"/>
        </w:rPr>
        <w:t>: 754-767 [PMID: 31686637 DOI: 10.2174/1389557519666191104110908]</w:t>
      </w:r>
    </w:p>
    <w:p w14:paraId="6680083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5 </w:t>
      </w:r>
      <w:r w:rsidRPr="002B7717">
        <w:rPr>
          <w:rFonts w:ascii="Book Antiqua" w:hAnsi="Book Antiqua"/>
          <w:b/>
          <w:bCs/>
        </w:rPr>
        <w:t>Jimenez-Shahed J</w:t>
      </w:r>
      <w:r w:rsidRPr="002B7717">
        <w:rPr>
          <w:rFonts w:ascii="Book Antiqua" w:hAnsi="Book Antiqua"/>
        </w:rPr>
        <w:t>. Medical and Surgical Treatments of Tourette Syndrome. </w:t>
      </w:r>
      <w:r w:rsidRPr="002B7717">
        <w:rPr>
          <w:rFonts w:ascii="Book Antiqua" w:hAnsi="Book Antiqua"/>
          <w:i/>
          <w:iCs/>
        </w:rPr>
        <w:t>Neurol Clin</w:t>
      </w:r>
      <w:r w:rsidRPr="002B7717">
        <w:rPr>
          <w:rFonts w:ascii="Book Antiqua" w:hAnsi="Book Antiqua"/>
        </w:rPr>
        <w:t> 2020; </w:t>
      </w:r>
      <w:r w:rsidRPr="002B7717">
        <w:rPr>
          <w:rFonts w:ascii="Book Antiqua" w:hAnsi="Book Antiqua"/>
          <w:b/>
          <w:bCs/>
        </w:rPr>
        <w:t>38</w:t>
      </w:r>
      <w:r w:rsidRPr="002B7717">
        <w:rPr>
          <w:rFonts w:ascii="Book Antiqua" w:hAnsi="Book Antiqua"/>
        </w:rPr>
        <w:t>: 349-366 [PMID: 32279714 DOI: 10.1016/j.ncl.2020.01.006]</w:t>
      </w:r>
    </w:p>
    <w:p w14:paraId="58C84AAC"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6 </w:t>
      </w:r>
      <w:r w:rsidRPr="002B7717">
        <w:rPr>
          <w:rFonts w:ascii="Book Antiqua" w:hAnsi="Book Antiqua"/>
          <w:b/>
          <w:bCs/>
        </w:rPr>
        <w:t>Volkow ND</w:t>
      </w:r>
      <w:r w:rsidRPr="002B7717">
        <w:rPr>
          <w:rFonts w:ascii="Book Antiqua" w:hAnsi="Book Antiqua"/>
        </w:rPr>
        <w:t>, Morales M. The Brain on Drugs: From Reward to Addiction. </w:t>
      </w:r>
      <w:r w:rsidRPr="002B7717">
        <w:rPr>
          <w:rFonts w:ascii="Book Antiqua" w:hAnsi="Book Antiqua"/>
          <w:i/>
          <w:iCs/>
        </w:rPr>
        <w:t>Cell</w:t>
      </w:r>
      <w:r w:rsidRPr="002B7717">
        <w:rPr>
          <w:rFonts w:ascii="Book Antiqua" w:hAnsi="Book Antiqua"/>
        </w:rPr>
        <w:t> 2015; </w:t>
      </w:r>
      <w:r w:rsidRPr="002B7717">
        <w:rPr>
          <w:rFonts w:ascii="Book Antiqua" w:hAnsi="Book Antiqua"/>
          <w:b/>
          <w:bCs/>
        </w:rPr>
        <w:t>162</w:t>
      </w:r>
      <w:r w:rsidRPr="002B7717">
        <w:rPr>
          <w:rFonts w:ascii="Book Antiqua" w:hAnsi="Book Antiqua"/>
        </w:rPr>
        <w:t>: 712-725 [PMID: 26276628 DOI: 10.1016/j.cell.2015.07.046]</w:t>
      </w:r>
    </w:p>
    <w:p w14:paraId="16E58BC4"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7 </w:t>
      </w:r>
      <w:proofErr w:type="spellStart"/>
      <w:r w:rsidRPr="002B7717">
        <w:rPr>
          <w:rFonts w:ascii="Book Antiqua" w:hAnsi="Book Antiqua"/>
          <w:b/>
          <w:bCs/>
        </w:rPr>
        <w:t>Barenys</w:t>
      </w:r>
      <w:proofErr w:type="spellEnd"/>
      <w:r w:rsidRPr="002B7717">
        <w:rPr>
          <w:rFonts w:ascii="Book Antiqua" w:hAnsi="Book Antiqua"/>
          <w:b/>
          <w:bCs/>
        </w:rPr>
        <w:t xml:space="preserve"> M</w:t>
      </w:r>
      <w:r w:rsidRPr="002B7717">
        <w:rPr>
          <w:rFonts w:ascii="Book Antiqua" w:hAnsi="Book Antiqua"/>
        </w:rPr>
        <w:t xml:space="preserve">, </w:t>
      </w:r>
      <w:proofErr w:type="spellStart"/>
      <w:r w:rsidRPr="002B7717">
        <w:rPr>
          <w:rFonts w:ascii="Book Antiqua" w:hAnsi="Book Antiqua"/>
        </w:rPr>
        <w:t>Reverte</w:t>
      </w:r>
      <w:proofErr w:type="spellEnd"/>
      <w:r w:rsidRPr="002B7717">
        <w:rPr>
          <w:rFonts w:ascii="Book Antiqua" w:hAnsi="Book Antiqua"/>
        </w:rPr>
        <w:t xml:space="preserve"> I, </w:t>
      </w:r>
      <w:proofErr w:type="spellStart"/>
      <w:r w:rsidRPr="002B7717">
        <w:rPr>
          <w:rFonts w:ascii="Book Antiqua" w:hAnsi="Book Antiqua"/>
        </w:rPr>
        <w:t>Masjosthusmann</w:t>
      </w:r>
      <w:proofErr w:type="spellEnd"/>
      <w:r w:rsidRPr="002B7717">
        <w:rPr>
          <w:rFonts w:ascii="Book Antiqua" w:hAnsi="Book Antiqua"/>
        </w:rPr>
        <w:t xml:space="preserve"> S, Gómez-</w:t>
      </w:r>
      <w:proofErr w:type="spellStart"/>
      <w:r w:rsidRPr="002B7717">
        <w:rPr>
          <w:rFonts w:ascii="Book Antiqua" w:hAnsi="Book Antiqua"/>
        </w:rPr>
        <w:t>Catalán</w:t>
      </w:r>
      <w:proofErr w:type="spellEnd"/>
      <w:r w:rsidRPr="002B7717">
        <w:rPr>
          <w:rFonts w:ascii="Book Antiqua" w:hAnsi="Book Antiqua"/>
        </w:rPr>
        <w:t xml:space="preserve"> J, Fritsche E. Developmental neurotoxicity of MDMA. A systematic literature review summarized in </w:t>
      </w:r>
      <w:r w:rsidRPr="002B7717">
        <w:rPr>
          <w:rFonts w:ascii="Book Antiqua" w:hAnsi="Book Antiqua"/>
        </w:rPr>
        <w:lastRenderedPageBreak/>
        <w:t>a putative adverse outcome pathway. </w:t>
      </w:r>
      <w:r w:rsidRPr="002B7717">
        <w:rPr>
          <w:rFonts w:ascii="Book Antiqua" w:hAnsi="Book Antiqua"/>
          <w:i/>
          <w:iCs/>
        </w:rPr>
        <w:t>Neurotoxicology</w:t>
      </w:r>
      <w:r w:rsidRPr="002B7717">
        <w:rPr>
          <w:rFonts w:ascii="Book Antiqua" w:hAnsi="Book Antiqua"/>
        </w:rPr>
        <w:t> 2020; </w:t>
      </w:r>
      <w:r w:rsidRPr="002B7717">
        <w:rPr>
          <w:rFonts w:ascii="Book Antiqua" w:hAnsi="Book Antiqua"/>
          <w:b/>
          <w:bCs/>
        </w:rPr>
        <w:t>78</w:t>
      </w:r>
      <w:r w:rsidRPr="002B7717">
        <w:rPr>
          <w:rFonts w:ascii="Book Antiqua" w:hAnsi="Book Antiqua"/>
        </w:rPr>
        <w:t>: 209-241 [PMID: 31812710 DOI: 10.1016/j.neuro.2019.12.007]</w:t>
      </w:r>
    </w:p>
    <w:p w14:paraId="7F2FAB8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8 </w:t>
      </w:r>
      <w:r w:rsidRPr="002B7717">
        <w:rPr>
          <w:rFonts w:ascii="Book Antiqua" w:hAnsi="Book Antiqua"/>
          <w:b/>
          <w:bCs/>
        </w:rPr>
        <w:t>Remington G</w:t>
      </w:r>
      <w:r w:rsidRPr="002B7717">
        <w:rPr>
          <w:rFonts w:ascii="Book Antiqua" w:hAnsi="Book Antiqua"/>
        </w:rPr>
        <w:t xml:space="preserve">, </w:t>
      </w:r>
      <w:proofErr w:type="spellStart"/>
      <w:r w:rsidRPr="002B7717">
        <w:rPr>
          <w:rFonts w:ascii="Book Antiqua" w:hAnsi="Book Antiqua"/>
        </w:rPr>
        <w:t>Foussias</w:t>
      </w:r>
      <w:proofErr w:type="spellEnd"/>
      <w:r w:rsidRPr="002B7717">
        <w:rPr>
          <w:rFonts w:ascii="Book Antiqua" w:hAnsi="Book Antiqua"/>
        </w:rPr>
        <w:t xml:space="preserve"> G, </w:t>
      </w:r>
      <w:proofErr w:type="spellStart"/>
      <w:r w:rsidRPr="002B7717">
        <w:rPr>
          <w:rFonts w:ascii="Book Antiqua" w:hAnsi="Book Antiqua"/>
        </w:rPr>
        <w:t>Agid</w:t>
      </w:r>
      <w:proofErr w:type="spellEnd"/>
      <w:r w:rsidRPr="002B7717">
        <w:rPr>
          <w:rFonts w:ascii="Book Antiqua" w:hAnsi="Book Antiqua"/>
        </w:rPr>
        <w:t xml:space="preserve"> O, </w:t>
      </w:r>
      <w:proofErr w:type="spellStart"/>
      <w:r w:rsidRPr="002B7717">
        <w:rPr>
          <w:rFonts w:ascii="Book Antiqua" w:hAnsi="Book Antiqua"/>
        </w:rPr>
        <w:t>Fervaha</w:t>
      </w:r>
      <w:proofErr w:type="spellEnd"/>
      <w:r w:rsidRPr="002B7717">
        <w:rPr>
          <w:rFonts w:ascii="Book Antiqua" w:hAnsi="Book Antiqua"/>
        </w:rPr>
        <w:t xml:space="preserve"> G, Takeuchi H, Hahn M. The neurobiology of relapse in schizophrenia. </w:t>
      </w:r>
      <w:proofErr w:type="spellStart"/>
      <w:r w:rsidRPr="002B7717">
        <w:rPr>
          <w:rFonts w:ascii="Book Antiqua" w:hAnsi="Book Antiqua"/>
          <w:i/>
          <w:iCs/>
        </w:rPr>
        <w:t>Schizophr</w:t>
      </w:r>
      <w:proofErr w:type="spellEnd"/>
      <w:r w:rsidRPr="002B7717">
        <w:rPr>
          <w:rFonts w:ascii="Book Antiqua" w:hAnsi="Book Antiqua"/>
          <w:i/>
          <w:iCs/>
        </w:rPr>
        <w:t xml:space="preserve"> Res</w:t>
      </w:r>
      <w:r w:rsidRPr="002B7717">
        <w:rPr>
          <w:rFonts w:ascii="Book Antiqua" w:hAnsi="Book Antiqua"/>
        </w:rPr>
        <w:t> 2014; </w:t>
      </w:r>
      <w:r w:rsidRPr="002B7717">
        <w:rPr>
          <w:rFonts w:ascii="Book Antiqua" w:hAnsi="Book Antiqua"/>
          <w:b/>
          <w:bCs/>
        </w:rPr>
        <w:t>152</w:t>
      </w:r>
      <w:r w:rsidRPr="002B7717">
        <w:rPr>
          <w:rFonts w:ascii="Book Antiqua" w:hAnsi="Book Antiqua"/>
        </w:rPr>
        <w:t>: 381-390 [PMID: 24206930 DO</w:t>
      </w:r>
      <w:r w:rsidR="00C6107D">
        <w:rPr>
          <w:rFonts w:ascii="Book Antiqua" w:hAnsi="Book Antiqua"/>
        </w:rPr>
        <w:t>I: 10.1016/j.schres.2013.10.009</w:t>
      </w:r>
      <w:r w:rsidRPr="002B7717">
        <w:rPr>
          <w:rFonts w:ascii="Book Antiqua" w:hAnsi="Book Antiqua"/>
        </w:rPr>
        <w:t>]</w:t>
      </w:r>
    </w:p>
    <w:p w14:paraId="62D4454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9 </w:t>
      </w:r>
      <w:proofErr w:type="spellStart"/>
      <w:r w:rsidRPr="002B7717">
        <w:rPr>
          <w:rFonts w:ascii="Book Antiqua" w:hAnsi="Book Antiqua"/>
          <w:b/>
          <w:bCs/>
        </w:rPr>
        <w:t>Kostrzewa</w:t>
      </w:r>
      <w:proofErr w:type="spellEnd"/>
      <w:r w:rsidRPr="002B7717">
        <w:rPr>
          <w:rFonts w:ascii="Book Antiqua" w:hAnsi="Book Antiqua"/>
          <w:b/>
          <w:bCs/>
        </w:rPr>
        <w:t xml:space="preserve"> RM</w:t>
      </w:r>
      <w:r w:rsidRPr="002B7717">
        <w:rPr>
          <w:rFonts w:ascii="Book Antiqua" w:hAnsi="Book Antiqua"/>
        </w:rPr>
        <w:t xml:space="preserve">, </w:t>
      </w:r>
      <w:proofErr w:type="spellStart"/>
      <w:r w:rsidRPr="002B7717">
        <w:rPr>
          <w:rFonts w:ascii="Book Antiqua" w:hAnsi="Book Antiqua"/>
        </w:rPr>
        <w:t>Wydra</w:t>
      </w:r>
      <w:proofErr w:type="spellEnd"/>
      <w:r w:rsidRPr="002B7717">
        <w:rPr>
          <w:rFonts w:ascii="Book Antiqua" w:hAnsi="Book Antiqua"/>
        </w:rPr>
        <w:t xml:space="preserve"> K, Filip M, Crawford CA, McDougall SA, Brown RW, </w:t>
      </w:r>
      <w:proofErr w:type="spellStart"/>
      <w:r w:rsidRPr="002B7717">
        <w:rPr>
          <w:rFonts w:ascii="Book Antiqua" w:hAnsi="Book Antiqua"/>
        </w:rPr>
        <w:t>Borroto</w:t>
      </w:r>
      <w:proofErr w:type="spellEnd"/>
      <w:r w:rsidRPr="002B7717">
        <w:rPr>
          <w:rFonts w:ascii="Book Antiqua" w:hAnsi="Book Antiqua"/>
        </w:rPr>
        <w:t xml:space="preserve">-Escuela DO, </w:t>
      </w:r>
      <w:proofErr w:type="spellStart"/>
      <w:r w:rsidRPr="002B7717">
        <w:rPr>
          <w:rFonts w:ascii="Book Antiqua" w:hAnsi="Book Antiqua"/>
        </w:rPr>
        <w:t>Fuxe</w:t>
      </w:r>
      <w:proofErr w:type="spellEnd"/>
      <w:r w:rsidRPr="002B7717">
        <w:rPr>
          <w:rFonts w:ascii="Book Antiqua" w:hAnsi="Book Antiqua"/>
        </w:rPr>
        <w:t xml:space="preserve"> K, </w:t>
      </w:r>
      <w:proofErr w:type="spellStart"/>
      <w:r w:rsidRPr="002B7717">
        <w:rPr>
          <w:rFonts w:ascii="Book Antiqua" w:hAnsi="Book Antiqua"/>
        </w:rPr>
        <w:t>Gainetdinov</w:t>
      </w:r>
      <w:proofErr w:type="spellEnd"/>
      <w:r w:rsidRPr="002B7717">
        <w:rPr>
          <w:rFonts w:ascii="Book Antiqua" w:hAnsi="Book Antiqua"/>
        </w:rPr>
        <w:t xml:space="preserve"> RR. Dopamine D</w:t>
      </w:r>
      <w:r w:rsidRPr="002B7717">
        <w:rPr>
          <w:rFonts w:ascii="Book Antiqua" w:hAnsi="Book Antiqua"/>
          <w:vertAlign w:val="subscript"/>
        </w:rPr>
        <w:t>2</w:t>
      </w:r>
      <w:r w:rsidRPr="002B7717">
        <w:rPr>
          <w:rFonts w:ascii="Book Antiqua" w:hAnsi="Book Antiqua"/>
        </w:rPr>
        <w:t xml:space="preserve"> Receptor </w:t>
      </w:r>
      <w:proofErr w:type="spellStart"/>
      <w:r w:rsidRPr="002B7717">
        <w:rPr>
          <w:rFonts w:ascii="Book Antiqua" w:hAnsi="Book Antiqua"/>
        </w:rPr>
        <w:t>Supersensitivity</w:t>
      </w:r>
      <w:proofErr w:type="spellEnd"/>
      <w:r w:rsidRPr="002B7717">
        <w:rPr>
          <w:rFonts w:ascii="Book Antiqua" w:hAnsi="Book Antiqua"/>
        </w:rPr>
        <w:t xml:space="preserve"> as a Spectrum of Neurotoxicity and Status in Psychiatric Disorders. </w:t>
      </w:r>
      <w:r w:rsidRPr="002B7717">
        <w:rPr>
          <w:rFonts w:ascii="Book Antiqua" w:hAnsi="Book Antiqua"/>
          <w:i/>
          <w:iCs/>
        </w:rPr>
        <w:t xml:space="preserve">J </w:t>
      </w:r>
      <w:proofErr w:type="spellStart"/>
      <w:r w:rsidRPr="002B7717">
        <w:rPr>
          <w:rFonts w:ascii="Book Antiqua" w:hAnsi="Book Antiqua"/>
          <w:i/>
          <w:iCs/>
        </w:rPr>
        <w:t>Pharmacol</w:t>
      </w:r>
      <w:proofErr w:type="spellEnd"/>
      <w:r w:rsidRPr="002B7717">
        <w:rPr>
          <w:rFonts w:ascii="Book Antiqua" w:hAnsi="Book Antiqua"/>
          <w:i/>
          <w:iCs/>
        </w:rPr>
        <w:t xml:space="preserve"> Exp </w:t>
      </w:r>
      <w:proofErr w:type="spellStart"/>
      <w:r w:rsidRPr="002B7717">
        <w:rPr>
          <w:rFonts w:ascii="Book Antiqua" w:hAnsi="Book Antiqua"/>
          <w:i/>
          <w:iCs/>
        </w:rPr>
        <w:t>Ther</w:t>
      </w:r>
      <w:proofErr w:type="spellEnd"/>
      <w:r w:rsidRPr="002B7717">
        <w:rPr>
          <w:rFonts w:ascii="Book Antiqua" w:hAnsi="Book Antiqua"/>
        </w:rPr>
        <w:t> 2018; </w:t>
      </w:r>
      <w:r w:rsidRPr="002B7717">
        <w:rPr>
          <w:rFonts w:ascii="Book Antiqua" w:hAnsi="Book Antiqua"/>
          <w:b/>
          <w:bCs/>
        </w:rPr>
        <w:t>366</w:t>
      </w:r>
      <w:r w:rsidRPr="002B7717">
        <w:rPr>
          <w:rFonts w:ascii="Book Antiqua" w:hAnsi="Book Antiqua"/>
        </w:rPr>
        <w:t>: 519-526 [PMID: 29921706 DOI: 10.1124/jpet.118.247981]</w:t>
      </w:r>
    </w:p>
    <w:p w14:paraId="047218D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10 </w:t>
      </w:r>
      <w:proofErr w:type="spellStart"/>
      <w:r w:rsidRPr="002B7717">
        <w:rPr>
          <w:rFonts w:ascii="Book Antiqua" w:hAnsi="Book Antiqua"/>
          <w:b/>
          <w:bCs/>
        </w:rPr>
        <w:t>Fénelon</w:t>
      </w:r>
      <w:proofErr w:type="spellEnd"/>
      <w:r w:rsidRPr="002B7717">
        <w:rPr>
          <w:rFonts w:ascii="Book Antiqua" w:hAnsi="Book Antiqua"/>
          <w:b/>
          <w:bCs/>
        </w:rPr>
        <w:t xml:space="preserve"> G</w:t>
      </w:r>
      <w:r w:rsidRPr="002B7717">
        <w:rPr>
          <w:rFonts w:ascii="Book Antiqua" w:hAnsi="Book Antiqua"/>
        </w:rPr>
        <w:t>, Alves G. Epidemiology of psychosis in Parkinson's disease. </w:t>
      </w:r>
      <w:r w:rsidRPr="002B7717">
        <w:rPr>
          <w:rFonts w:ascii="Book Antiqua" w:hAnsi="Book Antiqua"/>
          <w:i/>
          <w:iCs/>
        </w:rPr>
        <w:t>J Neurol Sci</w:t>
      </w:r>
      <w:r w:rsidRPr="002B7717">
        <w:rPr>
          <w:rFonts w:ascii="Book Antiqua" w:hAnsi="Book Antiqua"/>
        </w:rPr>
        <w:t> 2010; </w:t>
      </w:r>
      <w:r w:rsidRPr="002B7717">
        <w:rPr>
          <w:rFonts w:ascii="Book Antiqua" w:hAnsi="Book Antiqua"/>
          <w:b/>
          <w:bCs/>
        </w:rPr>
        <w:t>289</w:t>
      </w:r>
      <w:r w:rsidRPr="002B7717">
        <w:rPr>
          <w:rFonts w:ascii="Book Antiqua" w:hAnsi="Book Antiqua"/>
        </w:rPr>
        <w:t>: 12-17 [PMID: 19740486 DOI: 10.1016/j.jns.2009.08.014]</w:t>
      </w:r>
    </w:p>
    <w:p w14:paraId="282FF9D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11 </w:t>
      </w:r>
      <w:proofErr w:type="spellStart"/>
      <w:r w:rsidRPr="002B7717">
        <w:rPr>
          <w:rFonts w:ascii="Book Antiqua" w:hAnsi="Book Antiqua"/>
          <w:b/>
          <w:bCs/>
        </w:rPr>
        <w:t>Naasan</w:t>
      </w:r>
      <w:proofErr w:type="spellEnd"/>
      <w:r w:rsidRPr="002B7717">
        <w:rPr>
          <w:rFonts w:ascii="Book Antiqua" w:hAnsi="Book Antiqua"/>
          <w:b/>
          <w:bCs/>
        </w:rPr>
        <w:t xml:space="preserve"> G</w:t>
      </w:r>
      <w:r w:rsidRPr="002B7717">
        <w:rPr>
          <w:rFonts w:ascii="Book Antiqua" w:hAnsi="Book Antiqua"/>
        </w:rPr>
        <w:t xml:space="preserve">, </w:t>
      </w:r>
      <w:proofErr w:type="spellStart"/>
      <w:r w:rsidRPr="002B7717">
        <w:rPr>
          <w:rFonts w:ascii="Book Antiqua" w:hAnsi="Book Antiqua"/>
        </w:rPr>
        <w:t>Shdo</w:t>
      </w:r>
      <w:proofErr w:type="spellEnd"/>
      <w:r w:rsidRPr="002B7717">
        <w:rPr>
          <w:rFonts w:ascii="Book Antiqua" w:hAnsi="Book Antiqua"/>
        </w:rPr>
        <w:t xml:space="preserve"> SM, Rodriguez EM, Spina S, Grinberg L, Lopez L, </w:t>
      </w:r>
      <w:proofErr w:type="spellStart"/>
      <w:r w:rsidRPr="002B7717">
        <w:rPr>
          <w:rFonts w:ascii="Book Antiqua" w:hAnsi="Book Antiqua"/>
        </w:rPr>
        <w:t>Karydas</w:t>
      </w:r>
      <w:proofErr w:type="spellEnd"/>
      <w:r w:rsidRPr="002B7717">
        <w:rPr>
          <w:rFonts w:ascii="Book Antiqua" w:hAnsi="Book Antiqua"/>
        </w:rPr>
        <w:t xml:space="preserve"> A, Seeley WW, Miller BL, Rankin KP. Psychosis in neurodegenerative disease: differential patterns of hallucination and delusion symptoms. </w:t>
      </w:r>
      <w:r w:rsidRPr="002B7717">
        <w:rPr>
          <w:rFonts w:ascii="Book Antiqua" w:hAnsi="Book Antiqua"/>
          <w:i/>
          <w:iCs/>
        </w:rPr>
        <w:t>Brain</w:t>
      </w:r>
      <w:r w:rsidRPr="002B7717">
        <w:rPr>
          <w:rFonts w:ascii="Book Antiqua" w:hAnsi="Book Antiqua"/>
        </w:rPr>
        <w:t> 2021; </w:t>
      </w:r>
      <w:r w:rsidRPr="002B7717">
        <w:rPr>
          <w:rFonts w:ascii="Book Antiqua" w:hAnsi="Book Antiqua"/>
          <w:b/>
          <w:bCs/>
        </w:rPr>
        <w:t>144</w:t>
      </w:r>
      <w:r w:rsidRPr="002B7717">
        <w:rPr>
          <w:rFonts w:ascii="Book Antiqua" w:hAnsi="Book Antiqua"/>
        </w:rPr>
        <w:t>: 999-1012 [PMID: 33501939 DOI: 10.1093/brain/awaa413]</w:t>
      </w:r>
    </w:p>
    <w:p w14:paraId="538FE7F2"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12 </w:t>
      </w:r>
      <w:proofErr w:type="spellStart"/>
      <w:r w:rsidRPr="002B7717">
        <w:rPr>
          <w:rFonts w:ascii="Book Antiqua" w:hAnsi="Book Antiqua"/>
          <w:b/>
          <w:bCs/>
        </w:rPr>
        <w:t>Ffytche</w:t>
      </w:r>
      <w:proofErr w:type="spellEnd"/>
      <w:r w:rsidRPr="002B7717">
        <w:rPr>
          <w:rFonts w:ascii="Book Antiqua" w:hAnsi="Book Antiqua"/>
          <w:b/>
          <w:bCs/>
        </w:rPr>
        <w:t xml:space="preserve"> DH</w:t>
      </w:r>
      <w:r w:rsidRPr="002B7717">
        <w:rPr>
          <w:rFonts w:ascii="Book Antiqua" w:hAnsi="Book Antiqua"/>
        </w:rPr>
        <w:t xml:space="preserve">, Creese B, </w:t>
      </w:r>
      <w:proofErr w:type="spellStart"/>
      <w:r w:rsidRPr="002B7717">
        <w:rPr>
          <w:rFonts w:ascii="Book Antiqua" w:hAnsi="Book Antiqua"/>
        </w:rPr>
        <w:t>Politis</w:t>
      </w:r>
      <w:proofErr w:type="spellEnd"/>
      <w:r w:rsidRPr="002B7717">
        <w:rPr>
          <w:rFonts w:ascii="Book Antiqua" w:hAnsi="Book Antiqua"/>
        </w:rPr>
        <w:t xml:space="preserve"> M, Chaudhuri KR, Weintraub D, Ballard C, </w:t>
      </w:r>
      <w:proofErr w:type="spellStart"/>
      <w:r w:rsidRPr="002B7717">
        <w:rPr>
          <w:rFonts w:ascii="Book Antiqua" w:hAnsi="Book Antiqua"/>
        </w:rPr>
        <w:t>Aarsland</w:t>
      </w:r>
      <w:proofErr w:type="spellEnd"/>
      <w:r w:rsidRPr="002B7717">
        <w:rPr>
          <w:rFonts w:ascii="Book Antiqua" w:hAnsi="Book Antiqua"/>
        </w:rPr>
        <w:t xml:space="preserve"> D. The psychosis spectrum in Parkinson disease. </w:t>
      </w:r>
      <w:r w:rsidRPr="002B7717">
        <w:rPr>
          <w:rFonts w:ascii="Book Antiqua" w:hAnsi="Book Antiqua"/>
          <w:i/>
          <w:iCs/>
        </w:rPr>
        <w:t>Nat Rev Neurol</w:t>
      </w:r>
      <w:r w:rsidRPr="002B7717">
        <w:rPr>
          <w:rFonts w:ascii="Book Antiqua" w:hAnsi="Book Antiqua"/>
        </w:rPr>
        <w:t> 2017; </w:t>
      </w:r>
      <w:r w:rsidRPr="002B7717">
        <w:rPr>
          <w:rFonts w:ascii="Book Antiqua" w:hAnsi="Book Antiqua"/>
          <w:b/>
          <w:bCs/>
        </w:rPr>
        <w:t>13</w:t>
      </w:r>
      <w:r w:rsidRPr="002B7717">
        <w:rPr>
          <w:rFonts w:ascii="Book Antiqua" w:hAnsi="Book Antiqua"/>
        </w:rPr>
        <w:t>: 81-95 [PMID: 28106066 DOI: 10.1038/nrneurol.2016.200]</w:t>
      </w:r>
    </w:p>
    <w:p w14:paraId="52C21604"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13 </w:t>
      </w:r>
      <w:proofErr w:type="spellStart"/>
      <w:r w:rsidRPr="002B7717">
        <w:rPr>
          <w:rFonts w:ascii="Book Antiqua" w:hAnsi="Book Antiqua"/>
          <w:b/>
          <w:bCs/>
        </w:rPr>
        <w:t>Tampi</w:t>
      </w:r>
      <w:proofErr w:type="spellEnd"/>
      <w:r w:rsidRPr="002B7717">
        <w:rPr>
          <w:rFonts w:ascii="Book Antiqua" w:hAnsi="Book Antiqua"/>
          <w:b/>
          <w:bCs/>
        </w:rPr>
        <w:t xml:space="preserve"> RR</w:t>
      </w:r>
      <w:r w:rsidRPr="002B7717">
        <w:rPr>
          <w:rFonts w:ascii="Book Antiqua" w:hAnsi="Book Antiqua"/>
        </w:rPr>
        <w:t xml:space="preserve">, </w:t>
      </w:r>
      <w:proofErr w:type="spellStart"/>
      <w:r w:rsidRPr="002B7717">
        <w:rPr>
          <w:rFonts w:ascii="Book Antiqua" w:hAnsi="Book Antiqua"/>
        </w:rPr>
        <w:t>Tampi</w:t>
      </w:r>
      <w:proofErr w:type="spellEnd"/>
      <w:r w:rsidRPr="002B7717">
        <w:rPr>
          <w:rFonts w:ascii="Book Antiqua" w:hAnsi="Book Antiqua"/>
        </w:rPr>
        <w:t xml:space="preserve"> DJ, Young JJ, Balachandran S, </w:t>
      </w:r>
      <w:proofErr w:type="spellStart"/>
      <w:r w:rsidRPr="002B7717">
        <w:rPr>
          <w:rFonts w:ascii="Book Antiqua" w:hAnsi="Book Antiqua"/>
        </w:rPr>
        <w:t>Hoq</w:t>
      </w:r>
      <w:proofErr w:type="spellEnd"/>
      <w:r w:rsidRPr="002B7717">
        <w:rPr>
          <w:rFonts w:ascii="Book Antiqua" w:hAnsi="Book Antiqua"/>
        </w:rPr>
        <w:t xml:space="preserve"> RA, </w:t>
      </w:r>
      <w:proofErr w:type="spellStart"/>
      <w:r w:rsidRPr="002B7717">
        <w:rPr>
          <w:rFonts w:ascii="Book Antiqua" w:hAnsi="Book Antiqua"/>
        </w:rPr>
        <w:t>Manikkara</w:t>
      </w:r>
      <w:proofErr w:type="spellEnd"/>
      <w:r w:rsidRPr="002B7717">
        <w:rPr>
          <w:rFonts w:ascii="Book Antiqua" w:hAnsi="Book Antiqua"/>
        </w:rPr>
        <w:t xml:space="preserve"> G. Evidence for using </w:t>
      </w:r>
      <w:proofErr w:type="spellStart"/>
      <w:r w:rsidRPr="002B7717">
        <w:rPr>
          <w:rFonts w:ascii="Book Antiqua" w:hAnsi="Book Antiqua"/>
        </w:rPr>
        <w:t>pimavanserin</w:t>
      </w:r>
      <w:proofErr w:type="spellEnd"/>
      <w:r w:rsidRPr="002B7717">
        <w:rPr>
          <w:rFonts w:ascii="Book Antiqua" w:hAnsi="Book Antiqua"/>
        </w:rPr>
        <w:t xml:space="preserve"> for the treatment of Parkinson's disease psychosis. </w:t>
      </w:r>
      <w:r w:rsidRPr="002B7717">
        <w:rPr>
          <w:rFonts w:ascii="Book Antiqua" w:hAnsi="Book Antiqua"/>
          <w:i/>
          <w:iCs/>
        </w:rPr>
        <w:t>World J Psychiatry</w:t>
      </w:r>
      <w:r w:rsidRPr="002B7717">
        <w:rPr>
          <w:rFonts w:ascii="Book Antiqua" w:hAnsi="Book Antiqua"/>
        </w:rPr>
        <w:t> 2019; </w:t>
      </w:r>
      <w:r w:rsidRPr="002B7717">
        <w:rPr>
          <w:rFonts w:ascii="Book Antiqua" w:hAnsi="Book Antiqua"/>
          <w:b/>
          <w:bCs/>
        </w:rPr>
        <w:t>9</w:t>
      </w:r>
      <w:r w:rsidRPr="002B7717">
        <w:rPr>
          <w:rFonts w:ascii="Book Antiqua" w:hAnsi="Book Antiqua"/>
        </w:rPr>
        <w:t>: 47-54 [PMID: 31211112 DOI: 10.5498/wjp.v9.i3.47]</w:t>
      </w:r>
    </w:p>
    <w:p w14:paraId="7AD36EE4"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14 </w:t>
      </w:r>
      <w:proofErr w:type="spellStart"/>
      <w:r w:rsidRPr="002B7717">
        <w:rPr>
          <w:rFonts w:ascii="Book Antiqua" w:hAnsi="Book Antiqua"/>
          <w:b/>
          <w:bCs/>
        </w:rPr>
        <w:t>Prenger</w:t>
      </w:r>
      <w:proofErr w:type="spellEnd"/>
      <w:r w:rsidRPr="002B7717">
        <w:rPr>
          <w:rFonts w:ascii="Book Antiqua" w:hAnsi="Book Antiqua"/>
          <w:b/>
          <w:bCs/>
        </w:rPr>
        <w:t xml:space="preserve"> MTM</w:t>
      </w:r>
      <w:r w:rsidRPr="002B7717">
        <w:rPr>
          <w:rFonts w:ascii="Book Antiqua" w:hAnsi="Book Antiqua"/>
        </w:rPr>
        <w:t xml:space="preserve">, </w:t>
      </w:r>
      <w:proofErr w:type="spellStart"/>
      <w:r w:rsidRPr="002B7717">
        <w:rPr>
          <w:rFonts w:ascii="Book Antiqua" w:hAnsi="Book Antiqua"/>
        </w:rPr>
        <w:t>Madray</w:t>
      </w:r>
      <w:proofErr w:type="spellEnd"/>
      <w:r w:rsidRPr="002B7717">
        <w:rPr>
          <w:rFonts w:ascii="Book Antiqua" w:hAnsi="Book Antiqua"/>
        </w:rPr>
        <w:t xml:space="preserve"> R, Van Hedger K, </w:t>
      </w:r>
      <w:proofErr w:type="spellStart"/>
      <w:r w:rsidRPr="002B7717">
        <w:rPr>
          <w:rFonts w:ascii="Book Antiqua" w:hAnsi="Book Antiqua"/>
        </w:rPr>
        <w:t>Anello</w:t>
      </w:r>
      <w:proofErr w:type="spellEnd"/>
      <w:r w:rsidRPr="002B7717">
        <w:rPr>
          <w:rFonts w:ascii="Book Antiqua" w:hAnsi="Book Antiqua"/>
        </w:rPr>
        <w:t xml:space="preserve"> M, MacDonald PA. Social Symptoms of Parkinson's Disease. </w:t>
      </w:r>
      <w:proofErr w:type="spellStart"/>
      <w:r w:rsidRPr="002B7717">
        <w:rPr>
          <w:rFonts w:ascii="Book Antiqua" w:hAnsi="Book Antiqua"/>
          <w:i/>
          <w:iCs/>
        </w:rPr>
        <w:t>Parkinsons</w:t>
      </w:r>
      <w:proofErr w:type="spellEnd"/>
      <w:r w:rsidRPr="002B7717">
        <w:rPr>
          <w:rFonts w:ascii="Book Antiqua" w:hAnsi="Book Antiqua"/>
          <w:i/>
          <w:iCs/>
        </w:rPr>
        <w:t xml:space="preserve"> Dis</w:t>
      </w:r>
      <w:r w:rsidRPr="002B7717">
        <w:rPr>
          <w:rFonts w:ascii="Book Antiqua" w:hAnsi="Book Antiqua"/>
        </w:rPr>
        <w:t> 2020; </w:t>
      </w:r>
      <w:r w:rsidRPr="002B7717">
        <w:rPr>
          <w:rFonts w:ascii="Book Antiqua" w:hAnsi="Book Antiqua"/>
          <w:b/>
          <w:bCs/>
        </w:rPr>
        <w:t>2020</w:t>
      </w:r>
      <w:r w:rsidRPr="002B7717">
        <w:rPr>
          <w:rFonts w:ascii="Book Antiqua" w:hAnsi="Book Antiqua"/>
        </w:rPr>
        <w:t>: 8846544 [PMID: 33489081 DOI: 10.1155/2020/8846544]</w:t>
      </w:r>
    </w:p>
    <w:p w14:paraId="1C52200F"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15 </w:t>
      </w:r>
      <w:r w:rsidRPr="002B7717">
        <w:rPr>
          <w:rFonts w:ascii="Book Antiqua" w:hAnsi="Book Antiqua"/>
          <w:b/>
          <w:bCs/>
        </w:rPr>
        <w:t>Finlay C</w:t>
      </w:r>
      <w:r w:rsidRPr="002B7717">
        <w:rPr>
          <w:rFonts w:ascii="Book Antiqua" w:hAnsi="Book Antiqua"/>
        </w:rPr>
        <w:t>, Duty S. Therapeutic potential of targeting glutamate receptors in Parkinson's disease. </w:t>
      </w:r>
      <w:r w:rsidRPr="002B7717">
        <w:rPr>
          <w:rFonts w:ascii="Book Antiqua" w:hAnsi="Book Antiqua"/>
          <w:i/>
          <w:iCs/>
        </w:rPr>
        <w:t xml:space="preserve">J Neural </w:t>
      </w:r>
      <w:proofErr w:type="spellStart"/>
      <w:r w:rsidRPr="002B7717">
        <w:rPr>
          <w:rFonts w:ascii="Book Antiqua" w:hAnsi="Book Antiqua"/>
          <w:i/>
          <w:iCs/>
        </w:rPr>
        <w:t>Transm</w:t>
      </w:r>
      <w:proofErr w:type="spellEnd"/>
      <w:r w:rsidRPr="002B7717">
        <w:rPr>
          <w:rFonts w:ascii="Book Antiqua" w:hAnsi="Book Antiqua"/>
          <w:i/>
          <w:iCs/>
        </w:rPr>
        <w:t xml:space="preserve"> (Vienna)</w:t>
      </w:r>
      <w:r w:rsidRPr="002B7717">
        <w:rPr>
          <w:rFonts w:ascii="Book Antiqua" w:hAnsi="Book Antiqua"/>
        </w:rPr>
        <w:t> 2014; </w:t>
      </w:r>
      <w:r w:rsidRPr="002B7717">
        <w:rPr>
          <w:rFonts w:ascii="Book Antiqua" w:hAnsi="Book Antiqua"/>
          <w:b/>
          <w:bCs/>
        </w:rPr>
        <w:t>121</w:t>
      </w:r>
      <w:r w:rsidRPr="002B7717">
        <w:rPr>
          <w:rFonts w:ascii="Book Antiqua" w:hAnsi="Book Antiqua"/>
        </w:rPr>
        <w:t>: 861-880 [PMID: 24557498 DOI: 10.1007/s00702-014-1176-4]</w:t>
      </w:r>
    </w:p>
    <w:p w14:paraId="15A4A36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16 </w:t>
      </w:r>
      <w:proofErr w:type="spellStart"/>
      <w:r w:rsidRPr="002B7717">
        <w:rPr>
          <w:rFonts w:ascii="Book Antiqua" w:hAnsi="Book Antiqua"/>
          <w:b/>
          <w:bCs/>
        </w:rPr>
        <w:t>Piccirillo</w:t>
      </w:r>
      <w:proofErr w:type="spellEnd"/>
      <w:r w:rsidRPr="002B7717">
        <w:rPr>
          <w:rFonts w:ascii="Book Antiqua" w:hAnsi="Book Antiqua"/>
          <w:b/>
          <w:bCs/>
        </w:rPr>
        <w:t xml:space="preserve"> S</w:t>
      </w:r>
      <w:r w:rsidRPr="002B7717">
        <w:rPr>
          <w:rFonts w:ascii="Book Antiqua" w:hAnsi="Book Antiqua"/>
        </w:rPr>
        <w:t xml:space="preserve">, Magi S, </w:t>
      </w:r>
      <w:proofErr w:type="spellStart"/>
      <w:r w:rsidRPr="002B7717">
        <w:rPr>
          <w:rFonts w:ascii="Book Antiqua" w:hAnsi="Book Antiqua"/>
        </w:rPr>
        <w:t>Preziuso</w:t>
      </w:r>
      <w:proofErr w:type="spellEnd"/>
      <w:r w:rsidRPr="002B7717">
        <w:rPr>
          <w:rFonts w:ascii="Book Antiqua" w:hAnsi="Book Antiqua"/>
        </w:rPr>
        <w:t xml:space="preserve"> A, Castaldo P, Amoroso S, </w:t>
      </w:r>
      <w:proofErr w:type="spellStart"/>
      <w:r w:rsidRPr="002B7717">
        <w:rPr>
          <w:rFonts w:ascii="Book Antiqua" w:hAnsi="Book Antiqua"/>
        </w:rPr>
        <w:t>Lariccia</w:t>
      </w:r>
      <w:proofErr w:type="spellEnd"/>
      <w:r w:rsidRPr="002B7717">
        <w:rPr>
          <w:rFonts w:ascii="Book Antiqua" w:hAnsi="Book Antiqua"/>
        </w:rPr>
        <w:t xml:space="preserve"> V. Gateways for Glutamate Neuroprotection in Parkinson's Disease (PD): Essential Role of EAAT3 and </w:t>
      </w:r>
      <w:r w:rsidRPr="002B7717">
        <w:rPr>
          <w:rFonts w:ascii="Book Antiqua" w:hAnsi="Book Antiqua"/>
        </w:rPr>
        <w:lastRenderedPageBreak/>
        <w:t>NCX1 Revealed in an In Vitro Model of PD. </w:t>
      </w:r>
      <w:r w:rsidRPr="002B7717">
        <w:rPr>
          <w:rFonts w:ascii="Book Antiqua" w:hAnsi="Book Antiqua"/>
          <w:i/>
          <w:iCs/>
        </w:rPr>
        <w:t>Cells</w:t>
      </w:r>
      <w:r w:rsidRPr="002B7717">
        <w:rPr>
          <w:rFonts w:ascii="Book Antiqua" w:hAnsi="Book Antiqua"/>
        </w:rPr>
        <w:t> 2020; </w:t>
      </w:r>
      <w:r w:rsidRPr="002B7717">
        <w:rPr>
          <w:rFonts w:ascii="Book Antiqua" w:hAnsi="Book Antiqua"/>
          <w:b/>
          <w:bCs/>
        </w:rPr>
        <w:t>9</w:t>
      </w:r>
      <w:r w:rsidRPr="002B7717">
        <w:rPr>
          <w:rFonts w:ascii="Book Antiqua" w:hAnsi="Book Antiqua"/>
        </w:rPr>
        <w:t> [PMID: 32899900 DOI: 10.3390/cells9092037]</w:t>
      </w:r>
    </w:p>
    <w:p w14:paraId="681DC351"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17 </w:t>
      </w:r>
      <w:r w:rsidRPr="002B7717">
        <w:rPr>
          <w:rFonts w:ascii="Book Antiqua" w:hAnsi="Book Antiqua"/>
          <w:b/>
          <w:bCs/>
        </w:rPr>
        <w:t>Parsons CG</w:t>
      </w:r>
      <w:r w:rsidRPr="002B7717">
        <w:rPr>
          <w:rFonts w:ascii="Book Antiqua" w:hAnsi="Book Antiqua"/>
        </w:rPr>
        <w:t xml:space="preserve">, </w:t>
      </w:r>
      <w:proofErr w:type="spellStart"/>
      <w:r w:rsidRPr="002B7717">
        <w:rPr>
          <w:rFonts w:ascii="Book Antiqua" w:hAnsi="Book Antiqua"/>
        </w:rPr>
        <w:t>Danysz</w:t>
      </w:r>
      <w:proofErr w:type="spellEnd"/>
      <w:r w:rsidRPr="002B7717">
        <w:rPr>
          <w:rFonts w:ascii="Book Antiqua" w:hAnsi="Book Antiqua"/>
        </w:rPr>
        <w:t xml:space="preserve"> W, </w:t>
      </w:r>
      <w:proofErr w:type="spellStart"/>
      <w:r w:rsidRPr="002B7717">
        <w:rPr>
          <w:rFonts w:ascii="Book Antiqua" w:hAnsi="Book Antiqua"/>
        </w:rPr>
        <w:t>Zieglgänsberger</w:t>
      </w:r>
      <w:proofErr w:type="spellEnd"/>
      <w:r w:rsidRPr="002B7717">
        <w:rPr>
          <w:rFonts w:ascii="Book Antiqua" w:hAnsi="Book Antiqua"/>
        </w:rPr>
        <w:t xml:space="preserve"> W. Excitatory amino acid neurotransmission. </w:t>
      </w:r>
      <w:proofErr w:type="spellStart"/>
      <w:r w:rsidRPr="002B7717">
        <w:rPr>
          <w:rFonts w:ascii="Book Antiqua" w:hAnsi="Book Antiqua"/>
          <w:i/>
          <w:iCs/>
        </w:rPr>
        <w:t>Handb</w:t>
      </w:r>
      <w:proofErr w:type="spellEnd"/>
      <w:r w:rsidRPr="002B7717">
        <w:rPr>
          <w:rFonts w:ascii="Book Antiqua" w:hAnsi="Book Antiqua"/>
          <w:i/>
          <w:iCs/>
        </w:rPr>
        <w:t xml:space="preserve"> Exp </w:t>
      </w:r>
      <w:proofErr w:type="spellStart"/>
      <w:r w:rsidRPr="002B7717">
        <w:rPr>
          <w:rFonts w:ascii="Book Antiqua" w:hAnsi="Book Antiqua"/>
          <w:i/>
          <w:iCs/>
        </w:rPr>
        <w:t>Pharmacol</w:t>
      </w:r>
      <w:proofErr w:type="spellEnd"/>
      <w:r w:rsidRPr="002B7717">
        <w:rPr>
          <w:rFonts w:ascii="Book Antiqua" w:hAnsi="Book Antiqua"/>
        </w:rPr>
        <w:t> 2005: 249-303 [PMID: 16594262 DOI: 10.1007/3-540-28082-0_10]</w:t>
      </w:r>
    </w:p>
    <w:p w14:paraId="58DAE1E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18 </w:t>
      </w:r>
      <w:proofErr w:type="spellStart"/>
      <w:r w:rsidRPr="002B7717">
        <w:rPr>
          <w:rFonts w:ascii="Book Antiqua" w:hAnsi="Book Antiqua"/>
          <w:b/>
          <w:bCs/>
        </w:rPr>
        <w:t>Ignarro</w:t>
      </w:r>
      <w:proofErr w:type="spellEnd"/>
      <w:r w:rsidRPr="002B7717">
        <w:rPr>
          <w:rFonts w:ascii="Book Antiqua" w:hAnsi="Book Antiqua"/>
          <w:b/>
          <w:bCs/>
        </w:rPr>
        <w:t xml:space="preserve"> LJ</w:t>
      </w:r>
      <w:r w:rsidRPr="002B7717">
        <w:rPr>
          <w:rFonts w:ascii="Book Antiqua" w:hAnsi="Book Antiqua"/>
        </w:rPr>
        <w:t>. Nitric oxide. A novel signal transduction mechanism for transcellular communication. </w:t>
      </w:r>
      <w:r w:rsidRPr="002B7717">
        <w:rPr>
          <w:rFonts w:ascii="Book Antiqua" w:hAnsi="Book Antiqua"/>
          <w:i/>
          <w:iCs/>
        </w:rPr>
        <w:t>Hypertension</w:t>
      </w:r>
      <w:r w:rsidRPr="002B7717">
        <w:rPr>
          <w:rFonts w:ascii="Book Antiqua" w:hAnsi="Book Antiqua"/>
        </w:rPr>
        <w:t> 1990; </w:t>
      </w:r>
      <w:r w:rsidRPr="002B7717">
        <w:rPr>
          <w:rFonts w:ascii="Book Antiqua" w:hAnsi="Book Antiqua"/>
          <w:b/>
          <w:bCs/>
        </w:rPr>
        <w:t>16</w:t>
      </w:r>
      <w:r w:rsidRPr="002B7717">
        <w:rPr>
          <w:rFonts w:ascii="Book Antiqua" w:hAnsi="Book Antiqua"/>
        </w:rPr>
        <w:t>: 477-483 [PMID: 1977698 DOI: 10.1161/01.hyp.16.5.477]</w:t>
      </w:r>
    </w:p>
    <w:p w14:paraId="60192ED6"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19 </w:t>
      </w:r>
      <w:r w:rsidRPr="002B7717">
        <w:rPr>
          <w:rFonts w:ascii="Book Antiqua" w:hAnsi="Book Antiqua"/>
          <w:b/>
          <w:bCs/>
        </w:rPr>
        <w:t>Garthwaite J</w:t>
      </w:r>
      <w:r w:rsidRPr="002B7717">
        <w:rPr>
          <w:rFonts w:ascii="Book Antiqua" w:hAnsi="Book Antiqua"/>
        </w:rPr>
        <w:t>. NO as a multimodal transmitter in the brain: discovery and current status. </w:t>
      </w:r>
      <w:r w:rsidRPr="002B7717">
        <w:rPr>
          <w:rFonts w:ascii="Book Antiqua" w:hAnsi="Book Antiqua"/>
          <w:i/>
          <w:iCs/>
        </w:rPr>
        <w:t xml:space="preserve">Br J </w:t>
      </w:r>
      <w:proofErr w:type="spellStart"/>
      <w:r w:rsidRPr="002B7717">
        <w:rPr>
          <w:rFonts w:ascii="Book Antiqua" w:hAnsi="Book Antiqua"/>
          <w:i/>
          <w:iCs/>
        </w:rPr>
        <w:t>Pharmacol</w:t>
      </w:r>
      <w:proofErr w:type="spellEnd"/>
      <w:r w:rsidRPr="002B7717">
        <w:rPr>
          <w:rFonts w:ascii="Book Antiqua" w:hAnsi="Book Antiqua"/>
        </w:rPr>
        <w:t> 2019; </w:t>
      </w:r>
      <w:r w:rsidRPr="002B7717">
        <w:rPr>
          <w:rFonts w:ascii="Book Antiqua" w:hAnsi="Book Antiqua"/>
          <w:b/>
          <w:bCs/>
        </w:rPr>
        <w:t>176</w:t>
      </w:r>
      <w:r w:rsidRPr="002B7717">
        <w:rPr>
          <w:rFonts w:ascii="Book Antiqua" w:hAnsi="Book Antiqua"/>
        </w:rPr>
        <w:t>: 197-211 [PMID: 30399649 DOI: 10.1111/bph.14532]</w:t>
      </w:r>
    </w:p>
    <w:p w14:paraId="4126B25E"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20 </w:t>
      </w:r>
      <w:r w:rsidRPr="002B7717">
        <w:rPr>
          <w:rFonts w:ascii="Book Antiqua" w:hAnsi="Book Antiqua"/>
          <w:b/>
          <w:bCs/>
        </w:rPr>
        <w:t>Dawson TM</w:t>
      </w:r>
      <w:r w:rsidRPr="002B7717">
        <w:rPr>
          <w:rFonts w:ascii="Book Antiqua" w:hAnsi="Book Antiqua"/>
        </w:rPr>
        <w:t>, Snyder SH. Gases as biological messengers: nitric oxide and carbon monoxide in the brain. </w:t>
      </w:r>
      <w:r w:rsidRPr="002B7717">
        <w:rPr>
          <w:rFonts w:ascii="Book Antiqua" w:hAnsi="Book Antiqua"/>
          <w:i/>
          <w:iCs/>
        </w:rPr>
        <w:t xml:space="preserve">J </w:t>
      </w:r>
      <w:proofErr w:type="spellStart"/>
      <w:r w:rsidRPr="002B7717">
        <w:rPr>
          <w:rFonts w:ascii="Book Antiqua" w:hAnsi="Book Antiqua"/>
          <w:i/>
          <w:iCs/>
        </w:rPr>
        <w:t>Neurosci</w:t>
      </w:r>
      <w:proofErr w:type="spellEnd"/>
      <w:r w:rsidRPr="002B7717">
        <w:rPr>
          <w:rFonts w:ascii="Book Antiqua" w:hAnsi="Book Antiqua"/>
        </w:rPr>
        <w:t> 1994; </w:t>
      </w:r>
      <w:r w:rsidRPr="002B7717">
        <w:rPr>
          <w:rFonts w:ascii="Book Antiqua" w:hAnsi="Book Antiqua"/>
          <w:b/>
          <w:bCs/>
        </w:rPr>
        <w:t>14</w:t>
      </w:r>
      <w:r w:rsidRPr="002B7717">
        <w:rPr>
          <w:rFonts w:ascii="Book Antiqua" w:hAnsi="Book Antiqua"/>
        </w:rPr>
        <w:t>: 5147-5159 [PMID: 8083727 DOI: 10.1523/JNEUROSCI.14-09-05147.1994]</w:t>
      </w:r>
    </w:p>
    <w:p w14:paraId="049585D6"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21 </w:t>
      </w:r>
      <w:r w:rsidRPr="002B7717">
        <w:rPr>
          <w:rFonts w:ascii="Book Antiqua" w:hAnsi="Book Antiqua"/>
          <w:b/>
          <w:bCs/>
        </w:rPr>
        <w:t>Jiménez-Jiménez FJ</w:t>
      </w:r>
      <w:r w:rsidRPr="002B7717">
        <w:rPr>
          <w:rFonts w:ascii="Book Antiqua" w:hAnsi="Book Antiqua"/>
        </w:rPr>
        <w:t xml:space="preserve">, Alonso-Navarro H, Herrero MT, García-Martín E, </w:t>
      </w:r>
      <w:proofErr w:type="spellStart"/>
      <w:r w:rsidRPr="002B7717">
        <w:rPr>
          <w:rFonts w:ascii="Book Antiqua" w:hAnsi="Book Antiqua"/>
        </w:rPr>
        <w:t>Agúndez</w:t>
      </w:r>
      <w:proofErr w:type="spellEnd"/>
      <w:r w:rsidRPr="002B7717">
        <w:rPr>
          <w:rFonts w:ascii="Book Antiqua" w:hAnsi="Book Antiqua"/>
        </w:rPr>
        <w:t xml:space="preserve"> JA. An Update on the Role of Nitric Oxide in the Neurodegenerative Processes of Parkinson's Disease. </w:t>
      </w:r>
      <w:proofErr w:type="spellStart"/>
      <w:r w:rsidRPr="002B7717">
        <w:rPr>
          <w:rFonts w:ascii="Book Antiqua" w:hAnsi="Book Antiqua"/>
          <w:i/>
          <w:iCs/>
        </w:rPr>
        <w:t>Curr</w:t>
      </w:r>
      <w:proofErr w:type="spellEnd"/>
      <w:r w:rsidRPr="002B7717">
        <w:rPr>
          <w:rFonts w:ascii="Book Antiqua" w:hAnsi="Book Antiqua"/>
          <w:i/>
          <w:iCs/>
        </w:rPr>
        <w:t xml:space="preserve"> Med Chem</w:t>
      </w:r>
      <w:r w:rsidRPr="002B7717">
        <w:rPr>
          <w:rFonts w:ascii="Book Antiqua" w:hAnsi="Book Antiqua"/>
        </w:rPr>
        <w:t> 2016; </w:t>
      </w:r>
      <w:r w:rsidRPr="002B7717">
        <w:rPr>
          <w:rFonts w:ascii="Book Antiqua" w:hAnsi="Book Antiqua"/>
          <w:b/>
          <w:bCs/>
        </w:rPr>
        <w:t>23</w:t>
      </w:r>
      <w:r w:rsidRPr="002B7717">
        <w:rPr>
          <w:rFonts w:ascii="Book Antiqua" w:hAnsi="Book Antiqua"/>
        </w:rPr>
        <w:t>: 2666-2679 [PMID: 27776473 DOI: 10.2174/0929867323666160812151356]</w:t>
      </w:r>
    </w:p>
    <w:p w14:paraId="773C135E"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22 </w:t>
      </w:r>
      <w:proofErr w:type="spellStart"/>
      <w:r w:rsidRPr="002B7717">
        <w:rPr>
          <w:rFonts w:ascii="Book Antiqua" w:hAnsi="Book Antiqua"/>
          <w:b/>
          <w:bCs/>
        </w:rPr>
        <w:t>Pierucci</w:t>
      </w:r>
      <w:proofErr w:type="spellEnd"/>
      <w:r w:rsidRPr="002B7717">
        <w:rPr>
          <w:rFonts w:ascii="Book Antiqua" w:hAnsi="Book Antiqua"/>
          <w:b/>
          <w:bCs/>
        </w:rPr>
        <w:t xml:space="preserve"> M</w:t>
      </w:r>
      <w:r w:rsidRPr="002B7717">
        <w:rPr>
          <w:rFonts w:ascii="Book Antiqua" w:hAnsi="Book Antiqua"/>
        </w:rPr>
        <w:t xml:space="preserve">, Galati S, Valentino M, Di Matteo V, </w:t>
      </w:r>
      <w:proofErr w:type="spellStart"/>
      <w:r w:rsidRPr="002B7717">
        <w:rPr>
          <w:rFonts w:ascii="Book Antiqua" w:hAnsi="Book Antiqua"/>
        </w:rPr>
        <w:t>Benigno</w:t>
      </w:r>
      <w:proofErr w:type="spellEnd"/>
      <w:r w:rsidRPr="002B7717">
        <w:rPr>
          <w:rFonts w:ascii="Book Antiqua" w:hAnsi="Book Antiqua"/>
        </w:rPr>
        <w:t xml:space="preserve"> A, </w:t>
      </w:r>
      <w:proofErr w:type="spellStart"/>
      <w:r w:rsidRPr="002B7717">
        <w:rPr>
          <w:rFonts w:ascii="Book Antiqua" w:hAnsi="Book Antiqua"/>
        </w:rPr>
        <w:t>Pitruzzella</w:t>
      </w:r>
      <w:proofErr w:type="spellEnd"/>
      <w:r w:rsidRPr="002B7717">
        <w:rPr>
          <w:rFonts w:ascii="Book Antiqua" w:hAnsi="Book Antiqua"/>
        </w:rPr>
        <w:t xml:space="preserve"> A, Muscat R, Di Giovanni G. Nitric oxide modulation of the basal ganglia circuitry: therapeutic implication for Parkinson's disease and other motor disorders. </w:t>
      </w:r>
      <w:r w:rsidRPr="002B7717">
        <w:rPr>
          <w:rFonts w:ascii="Book Antiqua" w:hAnsi="Book Antiqua"/>
          <w:i/>
          <w:iCs/>
        </w:rPr>
        <w:t xml:space="preserve">CNS Neurol </w:t>
      </w:r>
      <w:proofErr w:type="spellStart"/>
      <w:r w:rsidRPr="002B7717">
        <w:rPr>
          <w:rFonts w:ascii="Book Antiqua" w:hAnsi="Book Antiqua"/>
          <w:i/>
          <w:iCs/>
        </w:rPr>
        <w:t>Disord</w:t>
      </w:r>
      <w:proofErr w:type="spellEnd"/>
      <w:r w:rsidRPr="002B7717">
        <w:rPr>
          <w:rFonts w:ascii="Book Antiqua" w:hAnsi="Book Antiqua"/>
          <w:i/>
          <w:iCs/>
        </w:rPr>
        <w:t xml:space="preserve"> Drug Targets</w:t>
      </w:r>
      <w:r w:rsidRPr="002B7717">
        <w:rPr>
          <w:rFonts w:ascii="Book Antiqua" w:hAnsi="Book Antiqua"/>
        </w:rPr>
        <w:t> 2011; </w:t>
      </w:r>
      <w:r w:rsidRPr="002B7717">
        <w:rPr>
          <w:rFonts w:ascii="Book Antiqua" w:hAnsi="Book Antiqua"/>
          <w:b/>
          <w:bCs/>
        </w:rPr>
        <w:t>10</w:t>
      </w:r>
      <w:r w:rsidRPr="002B7717">
        <w:rPr>
          <w:rFonts w:ascii="Book Antiqua" w:hAnsi="Book Antiqua"/>
        </w:rPr>
        <w:t>: 777-791 [PMID: 21999732 DOI: 10.2174/187152711798072329]</w:t>
      </w:r>
    </w:p>
    <w:p w14:paraId="56BFF8EE"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23 </w:t>
      </w:r>
      <w:r w:rsidRPr="002B7717">
        <w:rPr>
          <w:rFonts w:ascii="Book Antiqua" w:hAnsi="Book Antiqua"/>
          <w:b/>
          <w:bCs/>
        </w:rPr>
        <w:t>Tapias V</w:t>
      </w:r>
      <w:r w:rsidRPr="002B7717">
        <w:rPr>
          <w:rFonts w:ascii="Book Antiqua" w:hAnsi="Book Antiqua"/>
        </w:rPr>
        <w:t xml:space="preserve">, Cannon JR, </w:t>
      </w:r>
      <w:proofErr w:type="spellStart"/>
      <w:r w:rsidRPr="002B7717">
        <w:rPr>
          <w:rFonts w:ascii="Book Antiqua" w:hAnsi="Book Antiqua"/>
        </w:rPr>
        <w:t>Greenamyre</w:t>
      </w:r>
      <w:proofErr w:type="spellEnd"/>
      <w:r w:rsidRPr="002B7717">
        <w:rPr>
          <w:rFonts w:ascii="Book Antiqua" w:hAnsi="Book Antiqua"/>
        </w:rPr>
        <w:t xml:space="preserve"> JT. Pomegranate juice exacerbates oxidative stress and nigrostriatal degeneration in Parkinson's disease. </w:t>
      </w:r>
      <w:proofErr w:type="spellStart"/>
      <w:r w:rsidRPr="002B7717">
        <w:rPr>
          <w:rFonts w:ascii="Book Antiqua" w:hAnsi="Book Antiqua"/>
          <w:i/>
          <w:iCs/>
        </w:rPr>
        <w:t>Neurobiol</w:t>
      </w:r>
      <w:proofErr w:type="spellEnd"/>
      <w:r w:rsidRPr="002B7717">
        <w:rPr>
          <w:rFonts w:ascii="Book Antiqua" w:hAnsi="Book Antiqua"/>
          <w:i/>
          <w:iCs/>
        </w:rPr>
        <w:t xml:space="preserve"> Aging</w:t>
      </w:r>
      <w:r w:rsidRPr="002B7717">
        <w:rPr>
          <w:rFonts w:ascii="Book Antiqua" w:hAnsi="Book Antiqua"/>
        </w:rPr>
        <w:t> 2014; </w:t>
      </w:r>
      <w:r w:rsidRPr="002B7717">
        <w:rPr>
          <w:rFonts w:ascii="Book Antiqua" w:hAnsi="Book Antiqua"/>
          <w:b/>
          <w:bCs/>
        </w:rPr>
        <w:t>35</w:t>
      </w:r>
      <w:r w:rsidRPr="002B7717">
        <w:rPr>
          <w:rFonts w:ascii="Book Antiqua" w:hAnsi="Book Antiqua"/>
        </w:rPr>
        <w:t>: 1162-1176 [PMID: 24315037 DOI: 10.1016/j.neurobiolaging.2013.10.077]</w:t>
      </w:r>
    </w:p>
    <w:p w14:paraId="1DBD9F00"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24 </w:t>
      </w:r>
      <w:r w:rsidRPr="002B7717">
        <w:rPr>
          <w:rFonts w:ascii="Book Antiqua" w:hAnsi="Book Antiqua"/>
          <w:b/>
          <w:bCs/>
        </w:rPr>
        <w:t>Tewari D</w:t>
      </w:r>
      <w:r w:rsidRPr="002B7717">
        <w:rPr>
          <w:rFonts w:ascii="Book Antiqua" w:hAnsi="Book Antiqua"/>
        </w:rPr>
        <w:t xml:space="preserve">, Sah AN, </w:t>
      </w:r>
      <w:proofErr w:type="spellStart"/>
      <w:r w:rsidRPr="002B7717">
        <w:rPr>
          <w:rFonts w:ascii="Book Antiqua" w:hAnsi="Book Antiqua"/>
        </w:rPr>
        <w:t>Bawari</w:t>
      </w:r>
      <w:proofErr w:type="spellEnd"/>
      <w:r w:rsidRPr="002B7717">
        <w:rPr>
          <w:rFonts w:ascii="Book Antiqua" w:hAnsi="Book Antiqua"/>
        </w:rPr>
        <w:t xml:space="preserve"> S, </w:t>
      </w:r>
      <w:proofErr w:type="spellStart"/>
      <w:r w:rsidRPr="002B7717">
        <w:rPr>
          <w:rFonts w:ascii="Book Antiqua" w:hAnsi="Book Antiqua"/>
        </w:rPr>
        <w:t>Nabavi</w:t>
      </w:r>
      <w:proofErr w:type="spellEnd"/>
      <w:r w:rsidRPr="002B7717">
        <w:rPr>
          <w:rFonts w:ascii="Book Antiqua" w:hAnsi="Book Antiqua"/>
        </w:rPr>
        <w:t xml:space="preserve"> SF, </w:t>
      </w:r>
      <w:proofErr w:type="spellStart"/>
      <w:r w:rsidRPr="002B7717">
        <w:rPr>
          <w:rFonts w:ascii="Book Antiqua" w:hAnsi="Book Antiqua"/>
        </w:rPr>
        <w:t>Dehpour</w:t>
      </w:r>
      <w:proofErr w:type="spellEnd"/>
      <w:r w:rsidRPr="002B7717">
        <w:rPr>
          <w:rFonts w:ascii="Book Antiqua" w:hAnsi="Book Antiqua"/>
        </w:rPr>
        <w:t xml:space="preserve"> AR, </w:t>
      </w:r>
      <w:proofErr w:type="spellStart"/>
      <w:r w:rsidRPr="002B7717">
        <w:rPr>
          <w:rFonts w:ascii="Book Antiqua" w:hAnsi="Book Antiqua"/>
        </w:rPr>
        <w:t>Shirooie</w:t>
      </w:r>
      <w:proofErr w:type="spellEnd"/>
      <w:r w:rsidRPr="002B7717">
        <w:rPr>
          <w:rFonts w:ascii="Book Antiqua" w:hAnsi="Book Antiqua"/>
        </w:rPr>
        <w:t xml:space="preserve"> S, </w:t>
      </w:r>
      <w:proofErr w:type="spellStart"/>
      <w:r w:rsidRPr="002B7717">
        <w:rPr>
          <w:rFonts w:ascii="Book Antiqua" w:hAnsi="Book Antiqua"/>
        </w:rPr>
        <w:t>Braidy</w:t>
      </w:r>
      <w:proofErr w:type="spellEnd"/>
      <w:r w:rsidRPr="002B7717">
        <w:rPr>
          <w:rFonts w:ascii="Book Antiqua" w:hAnsi="Book Antiqua"/>
        </w:rPr>
        <w:t xml:space="preserve"> N, </w:t>
      </w:r>
      <w:proofErr w:type="spellStart"/>
      <w:r w:rsidRPr="002B7717">
        <w:rPr>
          <w:rFonts w:ascii="Book Antiqua" w:hAnsi="Book Antiqua"/>
        </w:rPr>
        <w:t>Fiebich</w:t>
      </w:r>
      <w:proofErr w:type="spellEnd"/>
      <w:r w:rsidRPr="002B7717">
        <w:rPr>
          <w:rFonts w:ascii="Book Antiqua" w:hAnsi="Book Antiqua"/>
        </w:rPr>
        <w:t xml:space="preserve"> BL, Vacca RA, </w:t>
      </w:r>
      <w:proofErr w:type="spellStart"/>
      <w:r w:rsidRPr="002B7717">
        <w:rPr>
          <w:rFonts w:ascii="Book Antiqua" w:hAnsi="Book Antiqua"/>
        </w:rPr>
        <w:t>Nabavi</w:t>
      </w:r>
      <w:proofErr w:type="spellEnd"/>
      <w:r w:rsidRPr="002B7717">
        <w:rPr>
          <w:rFonts w:ascii="Book Antiqua" w:hAnsi="Book Antiqua"/>
        </w:rPr>
        <w:t xml:space="preserve"> SM. Role of Nitric Oxide in Neurodegeneration: Function, Regulation, and Inhibition. </w:t>
      </w:r>
      <w:proofErr w:type="spellStart"/>
      <w:r w:rsidRPr="002B7717">
        <w:rPr>
          <w:rFonts w:ascii="Book Antiqua" w:hAnsi="Book Antiqua"/>
          <w:i/>
          <w:iCs/>
        </w:rPr>
        <w:t>Curr</w:t>
      </w:r>
      <w:proofErr w:type="spellEnd"/>
      <w:r w:rsidRPr="002B7717">
        <w:rPr>
          <w:rFonts w:ascii="Book Antiqua" w:hAnsi="Book Antiqua"/>
          <w:i/>
          <w:iCs/>
        </w:rPr>
        <w:t xml:space="preserve"> </w:t>
      </w:r>
      <w:proofErr w:type="spellStart"/>
      <w:r w:rsidRPr="002B7717">
        <w:rPr>
          <w:rFonts w:ascii="Book Antiqua" w:hAnsi="Book Antiqua"/>
          <w:i/>
          <w:iCs/>
        </w:rPr>
        <w:t>Neuropharmacol</w:t>
      </w:r>
      <w:proofErr w:type="spellEnd"/>
      <w:r w:rsidRPr="002B7717">
        <w:rPr>
          <w:rFonts w:ascii="Book Antiqua" w:hAnsi="Book Antiqua"/>
        </w:rPr>
        <w:t> 2021; </w:t>
      </w:r>
      <w:r w:rsidRPr="002B7717">
        <w:rPr>
          <w:rFonts w:ascii="Book Antiqua" w:hAnsi="Book Antiqua"/>
          <w:b/>
          <w:bCs/>
        </w:rPr>
        <w:t>19</w:t>
      </w:r>
      <w:r w:rsidRPr="002B7717">
        <w:rPr>
          <w:rFonts w:ascii="Book Antiqua" w:hAnsi="Book Antiqua"/>
        </w:rPr>
        <w:t>: 114-126 [PMID: 32348225 DOI: 10.2174/1570159X18666200429001549]</w:t>
      </w:r>
    </w:p>
    <w:p w14:paraId="0E8982FE"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25 </w:t>
      </w:r>
      <w:proofErr w:type="spellStart"/>
      <w:r w:rsidRPr="002B7717">
        <w:rPr>
          <w:rFonts w:ascii="Book Antiqua" w:hAnsi="Book Antiqua"/>
          <w:b/>
          <w:bCs/>
        </w:rPr>
        <w:t>Csonka</w:t>
      </w:r>
      <w:proofErr w:type="spellEnd"/>
      <w:r w:rsidRPr="002B7717">
        <w:rPr>
          <w:rFonts w:ascii="Book Antiqua" w:hAnsi="Book Antiqua"/>
          <w:b/>
          <w:bCs/>
        </w:rPr>
        <w:t xml:space="preserve"> C</w:t>
      </w:r>
      <w:r w:rsidRPr="002B7717">
        <w:rPr>
          <w:rFonts w:ascii="Book Antiqua" w:hAnsi="Book Antiqua"/>
        </w:rPr>
        <w:t xml:space="preserve">, </w:t>
      </w:r>
      <w:proofErr w:type="spellStart"/>
      <w:r w:rsidRPr="002B7717">
        <w:rPr>
          <w:rFonts w:ascii="Book Antiqua" w:hAnsi="Book Antiqua"/>
        </w:rPr>
        <w:t>Páli</w:t>
      </w:r>
      <w:proofErr w:type="spellEnd"/>
      <w:r w:rsidRPr="002B7717">
        <w:rPr>
          <w:rFonts w:ascii="Book Antiqua" w:hAnsi="Book Antiqua"/>
        </w:rPr>
        <w:t xml:space="preserve"> T, </w:t>
      </w:r>
      <w:proofErr w:type="spellStart"/>
      <w:r w:rsidRPr="002B7717">
        <w:rPr>
          <w:rFonts w:ascii="Book Antiqua" w:hAnsi="Book Antiqua"/>
        </w:rPr>
        <w:t>Bencsik</w:t>
      </w:r>
      <w:proofErr w:type="spellEnd"/>
      <w:r w:rsidRPr="002B7717">
        <w:rPr>
          <w:rFonts w:ascii="Book Antiqua" w:hAnsi="Book Antiqua"/>
        </w:rPr>
        <w:t xml:space="preserve"> P, </w:t>
      </w:r>
      <w:proofErr w:type="spellStart"/>
      <w:r w:rsidRPr="002B7717">
        <w:rPr>
          <w:rFonts w:ascii="Book Antiqua" w:hAnsi="Book Antiqua"/>
        </w:rPr>
        <w:t>Görbe</w:t>
      </w:r>
      <w:proofErr w:type="spellEnd"/>
      <w:r w:rsidRPr="002B7717">
        <w:rPr>
          <w:rFonts w:ascii="Book Antiqua" w:hAnsi="Book Antiqua"/>
        </w:rPr>
        <w:t xml:space="preserve"> A, </w:t>
      </w:r>
      <w:proofErr w:type="spellStart"/>
      <w:r w:rsidRPr="002B7717">
        <w:rPr>
          <w:rFonts w:ascii="Book Antiqua" w:hAnsi="Book Antiqua"/>
        </w:rPr>
        <w:t>Ferdinandy</w:t>
      </w:r>
      <w:proofErr w:type="spellEnd"/>
      <w:r w:rsidRPr="002B7717">
        <w:rPr>
          <w:rFonts w:ascii="Book Antiqua" w:hAnsi="Book Antiqua"/>
        </w:rPr>
        <w:t xml:space="preserve"> P, </w:t>
      </w:r>
      <w:proofErr w:type="spellStart"/>
      <w:r w:rsidRPr="002B7717">
        <w:rPr>
          <w:rFonts w:ascii="Book Antiqua" w:hAnsi="Book Antiqua"/>
        </w:rPr>
        <w:t>Csont</w:t>
      </w:r>
      <w:proofErr w:type="spellEnd"/>
      <w:r w:rsidRPr="002B7717">
        <w:rPr>
          <w:rFonts w:ascii="Book Antiqua" w:hAnsi="Book Antiqua"/>
        </w:rPr>
        <w:t xml:space="preserve"> T. Measurement of NO in biological samples. </w:t>
      </w:r>
      <w:r w:rsidRPr="002B7717">
        <w:rPr>
          <w:rFonts w:ascii="Book Antiqua" w:hAnsi="Book Antiqua"/>
          <w:i/>
          <w:iCs/>
        </w:rPr>
        <w:t xml:space="preserve">Br J </w:t>
      </w:r>
      <w:proofErr w:type="spellStart"/>
      <w:r w:rsidRPr="002B7717">
        <w:rPr>
          <w:rFonts w:ascii="Book Antiqua" w:hAnsi="Book Antiqua"/>
          <w:i/>
          <w:iCs/>
        </w:rPr>
        <w:t>Pharmacol</w:t>
      </w:r>
      <w:proofErr w:type="spellEnd"/>
      <w:r w:rsidRPr="002B7717">
        <w:rPr>
          <w:rFonts w:ascii="Book Antiqua" w:hAnsi="Book Antiqua"/>
        </w:rPr>
        <w:t> 2015; </w:t>
      </w:r>
      <w:r w:rsidRPr="002B7717">
        <w:rPr>
          <w:rFonts w:ascii="Book Antiqua" w:hAnsi="Book Antiqua"/>
          <w:b/>
          <w:bCs/>
        </w:rPr>
        <w:t>172</w:t>
      </w:r>
      <w:r w:rsidRPr="002B7717">
        <w:rPr>
          <w:rFonts w:ascii="Book Antiqua" w:hAnsi="Book Antiqua"/>
        </w:rPr>
        <w:t>: 1620-1632 [PMID: 24990201 DOI: 10.1111/bph.12832]</w:t>
      </w:r>
    </w:p>
    <w:p w14:paraId="4C730265"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26 </w:t>
      </w:r>
      <w:r w:rsidRPr="002B7717">
        <w:rPr>
          <w:rFonts w:ascii="Book Antiqua" w:hAnsi="Book Antiqua"/>
          <w:b/>
          <w:bCs/>
        </w:rPr>
        <w:t>Bryan NS</w:t>
      </w:r>
      <w:r w:rsidRPr="002B7717">
        <w:rPr>
          <w:rFonts w:ascii="Book Antiqua" w:hAnsi="Book Antiqua"/>
        </w:rPr>
        <w:t>, Grisham MB. Methods to detect nitric oxide and its metabolites in biological samples. </w:t>
      </w:r>
      <w:r w:rsidRPr="002B7717">
        <w:rPr>
          <w:rFonts w:ascii="Book Antiqua" w:hAnsi="Book Antiqua"/>
          <w:i/>
          <w:iCs/>
        </w:rPr>
        <w:t xml:space="preserve">Free </w:t>
      </w:r>
      <w:proofErr w:type="spellStart"/>
      <w:r w:rsidRPr="002B7717">
        <w:rPr>
          <w:rFonts w:ascii="Book Antiqua" w:hAnsi="Book Antiqua"/>
          <w:i/>
          <w:iCs/>
        </w:rPr>
        <w:t>Radic</w:t>
      </w:r>
      <w:proofErr w:type="spellEnd"/>
      <w:r w:rsidRPr="002B7717">
        <w:rPr>
          <w:rFonts w:ascii="Book Antiqua" w:hAnsi="Book Antiqua"/>
          <w:i/>
          <w:iCs/>
        </w:rPr>
        <w:t xml:space="preserve"> Biol Med</w:t>
      </w:r>
      <w:r w:rsidRPr="002B7717">
        <w:rPr>
          <w:rFonts w:ascii="Book Antiqua" w:hAnsi="Book Antiqua"/>
        </w:rPr>
        <w:t> 2007; </w:t>
      </w:r>
      <w:r w:rsidRPr="002B7717">
        <w:rPr>
          <w:rFonts w:ascii="Book Antiqua" w:hAnsi="Book Antiqua"/>
          <w:b/>
          <w:bCs/>
        </w:rPr>
        <w:t>43</w:t>
      </w:r>
      <w:r w:rsidRPr="002B7717">
        <w:rPr>
          <w:rFonts w:ascii="Book Antiqua" w:hAnsi="Book Antiqua"/>
        </w:rPr>
        <w:t>: 645-657 [PMID: 17664129 DOI: 10.1016/j.freeradbiomed.2007.04.026]</w:t>
      </w:r>
    </w:p>
    <w:p w14:paraId="732FB86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27 </w:t>
      </w:r>
      <w:proofErr w:type="spellStart"/>
      <w:r w:rsidRPr="002B7717">
        <w:rPr>
          <w:rFonts w:ascii="Book Antiqua" w:hAnsi="Book Antiqua"/>
          <w:b/>
          <w:bCs/>
        </w:rPr>
        <w:t>Tsikas</w:t>
      </w:r>
      <w:proofErr w:type="spellEnd"/>
      <w:r w:rsidRPr="002B7717">
        <w:rPr>
          <w:rFonts w:ascii="Book Antiqua" w:hAnsi="Book Antiqua"/>
          <w:b/>
          <w:bCs/>
        </w:rPr>
        <w:t xml:space="preserve"> D</w:t>
      </w:r>
      <w:r w:rsidRPr="002B7717">
        <w:rPr>
          <w:rFonts w:ascii="Book Antiqua" w:hAnsi="Book Antiqua"/>
        </w:rPr>
        <w:t>. Methods of quantitative analysis of the nitric oxide metabolites nitrite and nitrate in human biological fluids. </w:t>
      </w:r>
      <w:r w:rsidRPr="002B7717">
        <w:rPr>
          <w:rFonts w:ascii="Book Antiqua" w:hAnsi="Book Antiqua"/>
          <w:i/>
          <w:iCs/>
        </w:rPr>
        <w:t xml:space="preserve">Free </w:t>
      </w:r>
      <w:proofErr w:type="spellStart"/>
      <w:r w:rsidRPr="002B7717">
        <w:rPr>
          <w:rFonts w:ascii="Book Antiqua" w:hAnsi="Book Antiqua"/>
          <w:i/>
          <w:iCs/>
        </w:rPr>
        <w:t>Radic</w:t>
      </w:r>
      <w:proofErr w:type="spellEnd"/>
      <w:r w:rsidRPr="002B7717">
        <w:rPr>
          <w:rFonts w:ascii="Book Antiqua" w:hAnsi="Book Antiqua"/>
          <w:i/>
          <w:iCs/>
        </w:rPr>
        <w:t xml:space="preserve"> Res</w:t>
      </w:r>
      <w:r w:rsidRPr="002B7717">
        <w:rPr>
          <w:rFonts w:ascii="Book Antiqua" w:hAnsi="Book Antiqua"/>
        </w:rPr>
        <w:t> 2005; </w:t>
      </w:r>
      <w:r w:rsidRPr="002B7717">
        <w:rPr>
          <w:rFonts w:ascii="Book Antiqua" w:hAnsi="Book Antiqua"/>
          <w:b/>
          <w:bCs/>
        </w:rPr>
        <w:t>39</w:t>
      </w:r>
      <w:r w:rsidRPr="002B7717">
        <w:rPr>
          <w:rFonts w:ascii="Book Antiqua" w:hAnsi="Book Antiqua"/>
        </w:rPr>
        <w:t>: 797-815 [PMID: 16036360 DOI: 10.1080/10715760500053651]</w:t>
      </w:r>
    </w:p>
    <w:p w14:paraId="08C22DD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28 </w:t>
      </w:r>
      <w:r w:rsidRPr="002B7717">
        <w:rPr>
          <w:rFonts w:ascii="Book Antiqua" w:hAnsi="Book Antiqua"/>
          <w:b/>
          <w:bCs/>
        </w:rPr>
        <w:t>Li CZ</w:t>
      </w:r>
      <w:r w:rsidRPr="002B7717">
        <w:rPr>
          <w:rFonts w:ascii="Book Antiqua" w:hAnsi="Book Antiqua"/>
        </w:rPr>
        <w:t xml:space="preserve">, </w:t>
      </w:r>
      <w:proofErr w:type="spellStart"/>
      <w:r w:rsidRPr="002B7717">
        <w:rPr>
          <w:rFonts w:ascii="Book Antiqua" w:hAnsi="Book Antiqua"/>
        </w:rPr>
        <w:t>Alwarappan</w:t>
      </w:r>
      <w:proofErr w:type="spellEnd"/>
      <w:r w:rsidRPr="002B7717">
        <w:rPr>
          <w:rFonts w:ascii="Book Antiqua" w:hAnsi="Book Antiqua"/>
        </w:rPr>
        <w:t xml:space="preserve"> S, Zhang W, </w:t>
      </w:r>
      <w:proofErr w:type="spellStart"/>
      <w:r w:rsidRPr="002B7717">
        <w:rPr>
          <w:rFonts w:ascii="Book Antiqua" w:hAnsi="Book Antiqua"/>
        </w:rPr>
        <w:t>Scafa</w:t>
      </w:r>
      <w:proofErr w:type="spellEnd"/>
      <w:r w:rsidRPr="002B7717">
        <w:rPr>
          <w:rFonts w:ascii="Book Antiqua" w:hAnsi="Book Antiqua"/>
        </w:rPr>
        <w:t xml:space="preserve"> N, Zhang X. </w:t>
      </w:r>
      <w:proofErr w:type="spellStart"/>
      <w:r w:rsidRPr="002B7717">
        <w:rPr>
          <w:rFonts w:ascii="Book Antiqua" w:hAnsi="Book Antiqua"/>
        </w:rPr>
        <w:t>Metallo</w:t>
      </w:r>
      <w:proofErr w:type="spellEnd"/>
      <w:r w:rsidRPr="002B7717">
        <w:rPr>
          <w:rFonts w:ascii="Book Antiqua" w:hAnsi="Book Antiqua"/>
        </w:rPr>
        <w:t xml:space="preserve"> Protoporphyrin Functionalized Microelectrodes for Electrocatalytic Sensing of Nitric Oxide. </w:t>
      </w:r>
      <w:r w:rsidRPr="002B7717">
        <w:rPr>
          <w:rFonts w:ascii="Book Antiqua" w:hAnsi="Book Antiqua"/>
          <w:i/>
          <w:iCs/>
        </w:rPr>
        <w:t>Am J Biomed Sci</w:t>
      </w:r>
      <w:r w:rsidRPr="002B7717">
        <w:rPr>
          <w:rFonts w:ascii="Book Antiqua" w:hAnsi="Book Antiqua"/>
        </w:rPr>
        <w:t> 2009; </w:t>
      </w:r>
      <w:r w:rsidRPr="002B7717">
        <w:rPr>
          <w:rFonts w:ascii="Book Antiqua" w:hAnsi="Book Antiqua"/>
          <w:b/>
          <w:bCs/>
        </w:rPr>
        <w:t>1</w:t>
      </w:r>
      <w:r w:rsidRPr="002B7717">
        <w:rPr>
          <w:rFonts w:ascii="Book Antiqua" w:hAnsi="Book Antiqua"/>
        </w:rPr>
        <w:t>: 274-282 [PMID: 20526418 DOI: 10.5099/aj090300274]</w:t>
      </w:r>
    </w:p>
    <w:p w14:paraId="1C659D00"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29 </w:t>
      </w:r>
      <w:r w:rsidRPr="002B7717">
        <w:rPr>
          <w:rFonts w:ascii="Book Antiqua" w:hAnsi="Book Antiqua"/>
          <w:b/>
          <w:bCs/>
        </w:rPr>
        <w:t>Olesen SP</w:t>
      </w:r>
      <w:r w:rsidRPr="002B7717">
        <w:rPr>
          <w:rFonts w:ascii="Book Antiqua" w:hAnsi="Book Antiqua"/>
        </w:rPr>
        <w:t xml:space="preserve">, </w:t>
      </w:r>
      <w:proofErr w:type="spellStart"/>
      <w:r w:rsidRPr="002B7717">
        <w:rPr>
          <w:rFonts w:ascii="Book Antiqua" w:hAnsi="Book Antiqua"/>
        </w:rPr>
        <w:t>Møller</w:t>
      </w:r>
      <w:proofErr w:type="spellEnd"/>
      <w:r w:rsidRPr="002B7717">
        <w:rPr>
          <w:rFonts w:ascii="Book Antiqua" w:hAnsi="Book Antiqua"/>
        </w:rPr>
        <w:t xml:space="preserve"> A, </w:t>
      </w:r>
      <w:proofErr w:type="spellStart"/>
      <w:r w:rsidRPr="002B7717">
        <w:rPr>
          <w:rFonts w:ascii="Book Antiqua" w:hAnsi="Book Antiqua"/>
        </w:rPr>
        <w:t>Mordvintcev</w:t>
      </w:r>
      <w:proofErr w:type="spellEnd"/>
      <w:r w:rsidRPr="002B7717">
        <w:rPr>
          <w:rFonts w:ascii="Book Antiqua" w:hAnsi="Book Antiqua"/>
        </w:rPr>
        <w:t xml:space="preserve"> PI, </w:t>
      </w:r>
      <w:proofErr w:type="spellStart"/>
      <w:r w:rsidRPr="002B7717">
        <w:rPr>
          <w:rFonts w:ascii="Book Antiqua" w:hAnsi="Book Antiqua"/>
        </w:rPr>
        <w:t>Busse</w:t>
      </w:r>
      <w:proofErr w:type="spellEnd"/>
      <w:r w:rsidRPr="002B7717">
        <w:rPr>
          <w:rFonts w:ascii="Book Antiqua" w:hAnsi="Book Antiqua"/>
        </w:rPr>
        <w:t xml:space="preserve"> R, </w:t>
      </w:r>
      <w:proofErr w:type="spellStart"/>
      <w:r w:rsidRPr="002B7717">
        <w:rPr>
          <w:rFonts w:ascii="Book Antiqua" w:hAnsi="Book Antiqua"/>
        </w:rPr>
        <w:t>Mülsch</w:t>
      </w:r>
      <w:proofErr w:type="spellEnd"/>
      <w:r w:rsidRPr="002B7717">
        <w:rPr>
          <w:rFonts w:ascii="Book Antiqua" w:hAnsi="Book Antiqua"/>
        </w:rPr>
        <w:t xml:space="preserve"> A. Regional measurements of NO formed in vivo during brain ischemia. </w:t>
      </w:r>
      <w:r w:rsidRPr="002B7717">
        <w:rPr>
          <w:rFonts w:ascii="Book Antiqua" w:hAnsi="Book Antiqua"/>
          <w:i/>
          <w:iCs/>
        </w:rPr>
        <w:t xml:space="preserve">Acta Neurol </w:t>
      </w:r>
      <w:proofErr w:type="spellStart"/>
      <w:r w:rsidRPr="002B7717">
        <w:rPr>
          <w:rFonts w:ascii="Book Antiqua" w:hAnsi="Book Antiqua"/>
          <w:i/>
          <w:iCs/>
        </w:rPr>
        <w:t>Scand</w:t>
      </w:r>
      <w:proofErr w:type="spellEnd"/>
      <w:r w:rsidRPr="002B7717">
        <w:rPr>
          <w:rFonts w:ascii="Book Antiqua" w:hAnsi="Book Antiqua"/>
        </w:rPr>
        <w:t> 1997; </w:t>
      </w:r>
      <w:r w:rsidRPr="002B7717">
        <w:rPr>
          <w:rFonts w:ascii="Book Antiqua" w:hAnsi="Book Antiqua"/>
          <w:b/>
          <w:bCs/>
        </w:rPr>
        <w:t>95</w:t>
      </w:r>
      <w:r w:rsidRPr="002B7717">
        <w:rPr>
          <w:rFonts w:ascii="Book Antiqua" w:hAnsi="Book Antiqua"/>
        </w:rPr>
        <w:t>: 219-224 [PMID: 9150812 DOI: 10.1111/j.1600-0404.1997.tb00102.x]</w:t>
      </w:r>
    </w:p>
    <w:p w14:paraId="0144C13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30 </w:t>
      </w:r>
      <w:proofErr w:type="spellStart"/>
      <w:r w:rsidRPr="002B7717">
        <w:rPr>
          <w:rFonts w:ascii="Book Antiqua" w:hAnsi="Book Antiqua"/>
          <w:b/>
          <w:bCs/>
        </w:rPr>
        <w:t>Bashkatova</w:t>
      </w:r>
      <w:proofErr w:type="spellEnd"/>
      <w:r w:rsidRPr="002B7717">
        <w:rPr>
          <w:rFonts w:ascii="Book Antiqua" w:hAnsi="Book Antiqua"/>
          <w:b/>
          <w:bCs/>
        </w:rPr>
        <w:t xml:space="preserve"> V</w:t>
      </w:r>
      <w:r w:rsidRPr="002B7717">
        <w:rPr>
          <w:rFonts w:ascii="Book Antiqua" w:hAnsi="Book Antiqua"/>
        </w:rPr>
        <w:t xml:space="preserve">, Kraus M, </w:t>
      </w:r>
      <w:proofErr w:type="spellStart"/>
      <w:r w:rsidRPr="002B7717">
        <w:rPr>
          <w:rFonts w:ascii="Book Antiqua" w:hAnsi="Book Antiqua"/>
        </w:rPr>
        <w:t>Prast</w:t>
      </w:r>
      <w:proofErr w:type="spellEnd"/>
      <w:r w:rsidRPr="002B7717">
        <w:rPr>
          <w:rFonts w:ascii="Book Antiqua" w:hAnsi="Book Antiqua"/>
        </w:rPr>
        <w:t xml:space="preserve"> H, </w:t>
      </w:r>
      <w:proofErr w:type="spellStart"/>
      <w:r w:rsidRPr="002B7717">
        <w:rPr>
          <w:rFonts w:ascii="Book Antiqua" w:hAnsi="Book Antiqua"/>
        </w:rPr>
        <w:t>Vanin</w:t>
      </w:r>
      <w:proofErr w:type="spellEnd"/>
      <w:r w:rsidRPr="002B7717">
        <w:rPr>
          <w:rFonts w:ascii="Book Antiqua" w:hAnsi="Book Antiqua"/>
        </w:rPr>
        <w:t xml:space="preserve"> A, </w:t>
      </w:r>
      <w:proofErr w:type="spellStart"/>
      <w:r w:rsidRPr="002B7717">
        <w:rPr>
          <w:rFonts w:ascii="Book Antiqua" w:hAnsi="Book Antiqua"/>
        </w:rPr>
        <w:t>Rayevsky</w:t>
      </w:r>
      <w:proofErr w:type="spellEnd"/>
      <w:r w:rsidRPr="002B7717">
        <w:rPr>
          <w:rFonts w:ascii="Book Antiqua" w:hAnsi="Book Antiqua"/>
        </w:rPr>
        <w:t xml:space="preserve"> K, </w:t>
      </w:r>
      <w:proofErr w:type="spellStart"/>
      <w:r w:rsidRPr="002B7717">
        <w:rPr>
          <w:rFonts w:ascii="Book Antiqua" w:hAnsi="Book Antiqua"/>
        </w:rPr>
        <w:t>Philippu</w:t>
      </w:r>
      <w:proofErr w:type="spellEnd"/>
      <w:r w:rsidRPr="002B7717">
        <w:rPr>
          <w:rFonts w:ascii="Book Antiqua" w:hAnsi="Book Antiqua"/>
        </w:rPr>
        <w:t xml:space="preserve"> A. Influence of NOS inhibitors on changes in ACH release and NO level in the brain elicited by amphetamine neurotoxicity. </w:t>
      </w:r>
      <w:proofErr w:type="spellStart"/>
      <w:r w:rsidRPr="002B7717">
        <w:rPr>
          <w:rFonts w:ascii="Book Antiqua" w:hAnsi="Book Antiqua"/>
          <w:i/>
          <w:iCs/>
        </w:rPr>
        <w:t>Neuroreport</w:t>
      </w:r>
      <w:proofErr w:type="spellEnd"/>
      <w:r w:rsidRPr="002B7717">
        <w:rPr>
          <w:rFonts w:ascii="Book Antiqua" w:hAnsi="Book Antiqua"/>
        </w:rPr>
        <w:t> 1999; </w:t>
      </w:r>
      <w:r w:rsidRPr="002B7717">
        <w:rPr>
          <w:rFonts w:ascii="Book Antiqua" w:hAnsi="Book Antiqua"/>
          <w:b/>
          <w:bCs/>
        </w:rPr>
        <w:t>10</w:t>
      </w:r>
      <w:r w:rsidRPr="002B7717">
        <w:rPr>
          <w:rFonts w:ascii="Book Antiqua" w:hAnsi="Book Antiqua"/>
        </w:rPr>
        <w:t>: 3155-3158 [PMID: 10574552 DOI: 10.1097/00001756-199910190-00006]</w:t>
      </w:r>
    </w:p>
    <w:p w14:paraId="45B47DD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31 </w:t>
      </w:r>
      <w:r w:rsidRPr="002B7717">
        <w:rPr>
          <w:rFonts w:ascii="Book Antiqua" w:hAnsi="Book Antiqua"/>
          <w:b/>
          <w:bCs/>
        </w:rPr>
        <w:t>Hogg N</w:t>
      </w:r>
      <w:r w:rsidRPr="002B7717">
        <w:rPr>
          <w:rFonts w:ascii="Book Antiqua" w:hAnsi="Book Antiqua"/>
        </w:rPr>
        <w:t>. Detection of nitric oxide by electron paramagnetic resonance spectroscopy. </w:t>
      </w:r>
      <w:r w:rsidRPr="002B7717">
        <w:rPr>
          <w:rFonts w:ascii="Book Antiqua" w:hAnsi="Book Antiqua"/>
          <w:i/>
          <w:iCs/>
        </w:rPr>
        <w:t xml:space="preserve">Free </w:t>
      </w:r>
      <w:proofErr w:type="spellStart"/>
      <w:r w:rsidRPr="002B7717">
        <w:rPr>
          <w:rFonts w:ascii="Book Antiqua" w:hAnsi="Book Antiqua"/>
          <w:i/>
          <w:iCs/>
        </w:rPr>
        <w:t>Radic</w:t>
      </w:r>
      <w:proofErr w:type="spellEnd"/>
      <w:r w:rsidRPr="002B7717">
        <w:rPr>
          <w:rFonts w:ascii="Book Antiqua" w:hAnsi="Book Antiqua"/>
          <w:i/>
          <w:iCs/>
        </w:rPr>
        <w:t xml:space="preserve"> Biol Med</w:t>
      </w:r>
      <w:r w:rsidRPr="002B7717">
        <w:rPr>
          <w:rFonts w:ascii="Book Antiqua" w:hAnsi="Book Antiqua"/>
        </w:rPr>
        <w:t> 2010; </w:t>
      </w:r>
      <w:r w:rsidRPr="002B7717">
        <w:rPr>
          <w:rFonts w:ascii="Book Antiqua" w:hAnsi="Book Antiqua"/>
          <w:b/>
          <w:bCs/>
        </w:rPr>
        <w:t>49</w:t>
      </w:r>
      <w:r w:rsidRPr="002B7717">
        <w:rPr>
          <w:rFonts w:ascii="Book Antiqua" w:hAnsi="Book Antiqua"/>
        </w:rPr>
        <w:t>: 122-129 [PMID: 20304044 DOI: 10.1</w:t>
      </w:r>
      <w:r w:rsidR="00C6107D">
        <w:rPr>
          <w:rFonts w:ascii="Book Antiqua" w:hAnsi="Book Antiqua"/>
        </w:rPr>
        <w:t>016/j.freeradbiomed.2010.03.009</w:t>
      </w:r>
      <w:r w:rsidRPr="002B7717">
        <w:rPr>
          <w:rFonts w:ascii="Book Antiqua" w:hAnsi="Book Antiqua"/>
        </w:rPr>
        <w:t>]</w:t>
      </w:r>
    </w:p>
    <w:p w14:paraId="384CA9C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32 </w:t>
      </w:r>
      <w:proofErr w:type="spellStart"/>
      <w:r w:rsidRPr="002B7717">
        <w:rPr>
          <w:rFonts w:ascii="Book Antiqua" w:hAnsi="Book Antiqua"/>
          <w:b/>
          <w:bCs/>
        </w:rPr>
        <w:t>Carvey</w:t>
      </w:r>
      <w:proofErr w:type="spellEnd"/>
      <w:r w:rsidRPr="002B7717">
        <w:rPr>
          <w:rFonts w:ascii="Book Antiqua" w:hAnsi="Book Antiqua"/>
          <w:b/>
          <w:bCs/>
        </w:rPr>
        <w:t xml:space="preserve"> PM</w:t>
      </w:r>
      <w:r w:rsidRPr="002B7717">
        <w:rPr>
          <w:rFonts w:ascii="Book Antiqua" w:hAnsi="Book Antiqua"/>
        </w:rPr>
        <w:t xml:space="preserve">, </w:t>
      </w:r>
      <w:proofErr w:type="spellStart"/>
      <w:r w:rsidRPr="002B7717">
        <w:rPr>
          <w:rFonts w:ascii="Book Antiqua" w:hAnsi="Book Antiqua"/>
        </w:rPr>
        <w:t>Punati</w:t>
      </w:r>
      <w:proofErr w:type="spellEnd"/>
      <w:r w:rsidRPr="002B7717">
        <w:rPr>
          <w:rFonts w:ascii="Book Antiqua" w:hAnsi="Book Antiqua"/>
        </w:rPr>
        <w:t xml:space="preserve"> A, Newman MB. Progressive dopamine neuron loss in Parkinson's disease: the multiple hit hypothesis. </w:t>
      </w:r>
      <w:r w:rsidRPr="002B7717">
        <w:rPr>
          <w:rFonts w:ascii="Book Antiqua" w:hAnsi="Book Antiqua"/>
          <w:i/>
          <w:iCs/>
        </w:rPr>
        <w:t>Cell Transplant</w:t>
      </w:r>
      <w:r w:rsidRPr="002B7717">
        <w:rPr>
          <w:rFonts w:ascii="Book Antiqua" w:hAnsi="Book Antiqua"/>
        </w:rPr>
        <w:t> 2006; </w:t>
      </w:r>
      <w:r w:rsidRPr="002B7717">
        <w:rPr>
          <w:rFonts w:ascii="Book Antiqua" w:hAnsi="Book Antiqua"/>
          <w:b/>
          <w:bCs/>
        </w:rPr>
        <w:t>15</w:t>
      </w:r>
      <w:r w:rsidRPr="002B7717">
        <w:rPr>
          <w:rFonts w:ascii="Book Antiqua" w:hAnsi="Book Antiqua"/>
        </w:rPr>
        <w:t>: 239-250 [PMID: 16719059 DOI: 10.3727/000000006783981990]</w:t>
      </w:r>
    </w:p>
    <w:p w14:paraId="701A023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33 </w:t>
      </w:r>
      <w:proofErr w:type="spellStart"/>
      <w:r w:rsidRPr="002B7717">
        <w:rPr>
          <w:rFonts w:ascii="Book Antiqua" w:hAnsi="Book Antiqua"/>
          <w:b/>
          <w:bCs/>
        </w:rPr>
        <w:t>Duda</w:t>
      </w:r>
      <w:proofErr w:type="spellEnd"/>
      <w:r w:rsidRPr="002B7717">
        <w:rPr>
          <w:rFonts w:ascii="Book Antiqua" w:hAnsi="Book Antiqua"/>
          <w:b/>
          <w:bCs/>
        </w:rPr>
        <w:t xml:space="preserve"> J</w:t>
      </w:r>
      <w:r w:rsidRPr="002B7717">
        <w:rPr>
          <w:rFonts w:ascii="Book Antiqua" w:hAnsi="Book Antiqua"/>
        </w:rPr>
        <w:t xml:space="preserve">, </w:t>
      </w:r>
      <w:proofErr w:type="spellStart"/>
      <w:r w:rsidRPr="002B7717">
        <w:rPr>
          <w:rFonts w:ascii="Book Antiqua" w:hAnsi="Book Antiqua"/>
        </w:rPr>
        <w:t>Pötschke</w:t>
      </w:r>
      <w:proofErr w:type="spellEnd"/>
      <w:r w:rsidRPr="002B7717">
        <w:rPr>
          <w:rFonts w:ascii="Book Antiqua" w:hAnsi="Book Antiqua"/>
        </w:rPr>
        <w:t xml:space="preserve"> C, </w:t>
      </w:r>
      <w:proofErr w:type="spellStart"/>
      <w:r w:rsidRPr="002B7717">
        <w:rPr>
          <w:rFonts w:ascii="Book Antiqua" w:hAnsi="Book Antiqua"/>
        </w:rPr>
        <w:t>Liss</w:t>
      </w:r>
      <w:proofErr w:type="spellEnd"/>
      <w:r w:rsidRPr="002B7717">
        <w:rPr>
          <w:rFonts w:ascii="Book Antiqua" w:hAnsi="Book Antiqua"/>
        </w:rPr>
        <w:t xml:space="preserve"> B. Converging roles of ion channels, calcium, metabolic stress, and activity pattern of Substantia nigra dopaminergic neurons in health and Parkinson's disease. </w:t>
      </w:r>
      <w:r w:rsidRPr="002B7717">
        <w:rPr>
          <w:rFonts w:ascii="Book Antiqua" w:hAnsi="Book Antiqua"/>
          <w:i/>
          <w:iCs/>
        </w:rPr>
        <w:t xml:space="preserve">J </w:t>
      </w:r>
      <w:proofErr w:type="spellStart"/>
      <w:r w:rsidRPr="002B7717">
        <w:rPr>
          <w:rFonts w:ascii="Book Antiqua" w:hAnsi="Book Antiqua"/>
          <w:i/>
          <w:iCs/>
        </w:rPr>
        <w:t>Neurochem</w:t>
      </w:r>
      <w:proofErr w:type="spellEnd"/>
      <w:r w:rsidRPr="002B7717">
        <w:rPr>
          <w:rFonts w:ascii="Book Antiqua" w:hAnsi="Book Antiqua"/>
        </w:rPr>
        <w:t> 2016; </w:t>
      </w:r>
      <w:r w:rsidRPr="002B7717">
        <w:rPr>
          <w:rFonts w:ascii="Book Antiqua" w:hAnsi="Book Antiqua"/>
          <w:b/>
          <w:bCs/>
        </w:rPr>
        <w:t>139 Suppl 1</w:t>
      </w:r>
      <w:r w:rsidRPr="002B7717">
        <w:rPr>
          <w:rFonts w:ascii="Book Antiqua" w:hAnsi="Book Antiqua"/>
        </w:rPr>
        <w:t>: 156-178 [PMID: 26865375 DOI: 10.1111/jnc.13572]</w:t>
      </w:r>
    </w:p>
    <w:p w14:paraId="30D410C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34 </w:t>
      </w:r>
      <w:r w:rsidRPr="002B7717">
        <w:rPr>
          <w:rFonts w:ascii="Book Antiqua" w:hAnsi="Book Antiqua"/>
          <w:b/>
          <w:bCs/>
        </w:rPr>
        <w:t xml:space="preserve">Del </w:t>
      </w:r>
      <w:proofErr w:type="spellStart"/>
      <w:r w:rsidRPr="002B7717">
        <w:rPr>
          <w:rFonts w:ascii="Book Antiqua" w:hAnsi="Book Antiqua"/>
          <w:b/>
          <w:bCs/>
        </w:rPr>
        <w:t>Tredici</w:t>
      </w:r>
      <w:proofErr w:type="spellEnd"/>
      <w:r w:rsidRPr="002B7717">
        <w:rPr>
          <w:rFonts w:ascii="Book Antiqua" w:hAnsi="Book Antiqua"/>
          <w:b/>
          <w:bCs/>
        </w:rPr>
        <w:t xml:space="preserve"> K</w:t>
      </w:r>
      <w:r w:rsidRPr="002B7717">
        <w:rPr>
          <w:rFonts w:ascii="Book Antiqua" w:hAnsi="Book Antiqua"/>
        </w:rPr>
        <w:t xml:space="preserve">, </w:t>
      </w:r>
      <w:proofErr w:type="spellStart"/>
      <w:r w:rsidRPr="002B7717">
        <w:rPr>
          <w:rFonts w:ascii="Book Antiqua" w:hAnsi="Book Antiqua"/>
        </w:rPr>
        <w:t>Rüb</w:t>
      </w:r>
      <w:proofErr w:type="spellEnd"/>
      <w:r w:rsidRPr="002B7717">
        <w:rPr>
          <w:rFonts w:ascii="Book Antiqua" w:hAnsi="Book Antiqua"/>
        </w:rPr>
        <w:t xml:space="preserve"> U, De Vos RA, </w:t>
      </w:r>
      <w:proofErr w:type="spellStart"/>
      <w:r w:rsidRPr="002B7717">
        <w:rPr>
          <w:rFonts w:ascii="Book Antiqua" w:hAnsi="Book Antiqua"/>
        </w:rPr>
        <w:t>Bohl</w:t>
      </w:r>
      <w:proofErr w:type="spellEnd"/>
      <w:r w:rsidRPr="002B7717">
        <w:rPr>
          <w:rFonts w:ascii="Book Antiqua" w:hAnsi="Book Antiqua"/>
        </w:rPr>
        <w:t xml:space="preserve"> JR, </w:t>
      </w:r>
      <w:proofErr w:type="spellStart"/>
      <w:r w:rsidRPr="002B7717">
        <w:rPr>
          <w:rFonts w:ascii="Book Antiqua" w:hAnsi="Book Antiqua"/>
        </w:rPr>
        <w:t>Braak</w:t>
      </w:r>
      <w:proofErr w:type="spellEnd"/>
      <w:r w:rsidRPr="002B7717">
        <w:rPr>
          <w:rFonts w:ascii="Book Antiqua" w:hAnsi="Book Antiqua"/>
        </w:rPr>
        <w:t xml:space="preserve"> H. Where does </w:t>
      </w:r>
      <w:proofErr w:type="spellStart"/>
      <w:r w:rsidRPr="002B7717">
        <w:rPr>
          <w:rFonts w:ascii="Book Antiqua" w:hAnsi="Book Antiqua"/>
        </w:rPr>
        <w:t>parkinson</w:t>
      </w:r>
      <w:proofErr w:type="spellEnd"/>
      <w:r w:rsidRPr="002B7717">
        <w:rPr>
          <w:rFonts w:ascii="Book Antiqua" w:hAnsi="Book Antiqua"/>
        </w:rPr>
        <w:t xml:space="preserve"> disease pathology begin in the brain? </w:t>
      </w:r>
      <w:r w:rsidRPr="002B7717">
        <w:rPr>
          <w:rFonts w:ascii="Book Antiqua" w:hAnsi="Book Antiqua"/>
          <w:i/>
          <w:iCs/>
        </w:rPr>
        <w:t xml:space="preserve">J </w:t>
      </w:r>
      <w:proofErr w:type="spellStart"/>
      <w:r w:rsidRPr="002B7717">
        <w:rPr>
          <w:rFonts w:ascii="Book Antiqua" w:hAnsi="Book Antiqua"/>
          <w:i/>
          <w:iCs/>
        </w:rPr>
        <w:t>Neuropathol</w:t>
      </w:r>
      <w:proofErr w:type="spellEnd"/>
      <w:r w:rsidRPr="002B7717">
        <w:rPr>
          <w:rFonts w:ascii="Book Antiqua" w:hAnsi="Book Antiqua"/>
          <w:i/>
          <w:iCs/>
        </w:rPr>
        <w:t xml:space="preserve"> Exp Neurol</w:t>
      </w:r>
      <w:r w:rsidRPr="002B7717">
        <w:rPr>
          <w:rFonts w:ascii="Book Antiqua" w:hAnsi="Book Antiqua"/>
        </w:rPr>
        <w:t> 2002; </w:t>
      </w:r>
      <w:r w:rsidRPr="002B7717">
        <w:rPr>
          <w:rFonts w:ascii="Book Antiqua" w:hAnsi="Book Antiqua"/>
          <w:b/>
          <w:bCs/>
        </w:rPr>
        <w:t>61</w:t>
      </w:r>
      <w:r w:rsidRPr="002B7717">
        <w:rPr>
          <w:rFonts w:ascii="Book Antiqua" w:hAnsi="Book Antiqua"/>
        </w:rPr>
        <w:t>: 413-426 [PMID: 1203</w:t>
      </w:r>
      <w:r w:rsidR="00C6107D">
        <w:rPr>
          <w:rFonts w:ascii="Book Antiqua" w:hAnsi="Book Antiqua"/>
        </w:rPr>
        <w:t>0260 DOI: 10.1093/</w:t>
      </w:r>
      <w:proofErr w:type="spellStart"/>
      <w:r w:rsidR="00C6107D">
        <w:rPr>
          <w:rFonts w:ascii="Book Antiqua" w:hAnsi="Book Antiqua"/>
        </w:rPr>
        <w:t>jnen</w:t>
      </w:r>
      <w:proofErr w:type="spellEnd"/>
      <w:r w:rsidR="00C6107D">
        <w:rPr>
          <w:rFonts w:ascii="Book Antiqua" w:hAnsi="Book Antiqua"/>
        </w:rPr>
        <w:t>/61.5.413</w:t>
      </w:r>
      <w:r w:rsidRPr="002B7717">
        <w:rPr>
          <w:rFonts w:ascii="Book Antiqua" w:hAnsi="Book Antiqua"/>
        </w:rPr>
        <w:t>]</w:t>
      </w:r>
    </w:p>
    <w:p w14:paraId="5293CA6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35 </w:t>
      </w:r>
      <w:proofErr w:type="spellStart"/>
      <w:r w:rsidRPr="002B7717">
        <w:rPr>
          <w:rFonts w:ascii="Book Antiqua" w:hAnsi="Book Antiqua"/>
          <w:b/>
          <w:bCs/>
        </w:rPr>
        <w:t>Betarbet</w:t>
      </w:r>
      <w:proofErr w:type="spellEnd"/>
      <w:r w:rsidRPr="002B7717">
        <w:rPr>
          <w:rFonts w:ascii="Book Antiqua" w:hAnsi="Book Antiqua"/>
          <w:b/>
          <w:bCs/>
        </w:rPr>
        <w:t xml:space="preserve"> R</w:t>
      </w:r>
      <w:r w:rsidRPr="002B7717">
        <w:rPr>
          <w:rFonts w:ascii="Book Antiqua" w:hAnsi="Book Antiqua"/>
        </w:rPr>
        <w:t xml:space="preserve">, Sherer TB, </w:t>
      </w:r>
      <w:proofErr w:type="spellStart"/>
      <w:r w:rsidRPr="002B7717">
        <w:rPr>
          <w:rFonts w:ascii="Book Antiqua" w:hAnsi="Book Antiqua"/>
        </w:rPr>
        <w:t>Greenamyre</w:t>
      </w:r>
      <w:proofErr w:type="spellEnd"/>
      <w:r w:rsidRPr="002B7717">
        <w:rPr>
          <w:rFonts w:ascii="Book Antiqua" w:hAnsi="Book Antiqua"/>
        </w:rPr>
        <w:t xml:space="preserve"> JT. Animal models of Parkinson's disease. </w:t>
      </w:r>
      <w:proofErr w:type="spellStart"/>
      <w:r w:rsidRPr="002B7717">
        <w:rPr>
          <w:rFonts w:ascii="Book Antiqua" w:hAnsi="Book Antiqua"/>
          <w:i/>
          <w:iCs/>
        </w:rPr>
        <w:t>Bioessays</w:t>
      </w:r>
      <w:proofErr w:type="spellEnd"/>
      <w:r w:rsidRPr="002B7717">
        <w:rPr>
          <w:rFonts w:ascii="Book Antiqua" w:hAnsi="Book Antiqua"/>
        </w:rPr>
        <w:t> 2002; </w:t>
      </w:r>
      <w:r w:rsidRPr="002B7717">
        <w:rPr>
          <w:rFonts w:ascii="Book Antiqua" w:hAnsi="Book Antiqua"/>
          <w:b/>
          <w:bCs/>
        </w:rPr>
        <w:t>24</w:t>
      </w:r>
      <w:r w:rsidRPr="002B7717">
        <w:rPr>
          <w:rFonts w:ascii="Book Antiqua" w:hAnsi="Book Antiqua"/>
        </w:rPr>
        <w:t>: 308-318 [PMID: 11948617 DOI: 10.1002/bies.10067]</w:t>
      </w:r>
    </w:p>
    <w:p w14:paraId="0AC8A8CA"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36 </w:t>
      </w:r>
      <w:proofErr w:type="spellStart"/>
      <w:r w:rsidRPr="002B7717">
        <w:rPr>
          <w:rFonts w:ascii="Book Antiqua" w:hAnsi="Book Antiqua"/>
          <w:b/>
          <w:bCs/>
        </w:rPr>
        <w:t>Blesa</w:t>
      </w:r>
      <w:proofErr w:type="spellEnd"/>
      <w:r w:rsidRPr="002B7717">
        <w:rPr>
          <w:rFonts w:ascii="Book Antiqua" w:hAnsi="Book Antiqua"/>
          <w:b/>
          <w:bCs/>
        </w:rPr>
        <w:t xml:space="preserve"> J</w:t>
      </w:r>
      <w:r w:rsidRPr="002B7717">
        <w:rPr>
          <w:rFonts w:ascii="Book Antiqua" w:hAnsi="Book Antiqua"/>
        </w:rPr>
        <w:t xml:space="preserve">, </w:t>
      </w:r>
      <w:proofErr w:type="spellStart"/>
      <w:r w:rsidRPr="002B7717">
        <w:rPr>
          <w:rFonts w:ascii="Book Antiqua" w:hAnsi="Book Antiqua"/>
        </w:rPr>
        <w:t>Przedborski</w:t>
      </w:r>
      <w:proofErr w:type="spellEnd"/>
      <w:r w:rsidRPr="002B7717">
        <w:rPr>
          <w:rFonts w:ascii="Book Antiqua" w:hAnsi="Book Antiqua"/>
        </w:rPr>
        <w:t xml:space="preserve"> S. Parkinson's disease: animal models and dopaminergic cell vulnerability. </w:t>
      </w:r>
      <w:r w:rsidRPr="002B7717">
        <w:rPr>
          <w:rFonts w:ascii="Book Antiqua" w:hAnsi="Book Antiqua"/>
          <w:i/>
          <w:iCs/>
        </w:rPr>
        <w:t xml:space="preserve">Front </w:t>
      </w:r>
      <w:proofErr w:type="spellStart"/>
      <w:r w:rsidRPr="002B7717">
        <w:rPr>
          <w:rFonts w:ascii="Book Antiqua" w:hAnsi="Book Antiqua"/>
          <w:i/>
          <w:iCs/>
        </w:rPr>
        <w:t>Neuroanat</w:t>
      </w:r>
      <w:proofErr w:type="spellEnd"/>
      <w:r w:rsidRPr="002B7717">
        <w:rPr>
          <w:rFonts w:ascii="Book Antiqua" w:hAnsi="Book Antiqua"/>
        </w:rPr>
        <w:t> 2014; </w:t>
      </w:r>
      <w:r w:rsidRPr="002B7717">
        <w:rPr>
          <w:rFonts w:ascii="Book Antiqua" w:hAnsi="Book Antiqua"/>
          <w:b/>
          <w:bCs/>
        </w:rPr>
        <w:t>8</w:t>
      </w:r>
      <w:r w:rsidRPr="002B7717">
        <w:rPr>
          <w:rFonts w:ascii="Book Antiqua" w:hAnsi="Book Antiqua"/>
        </w:rPr>
        <w:t>: 155 [PMID: 25565980 DOI: 10.3389/fnana.2014.00155]</w:t>
      </w:r>
    </w:p>
    <w:p w14:paraId="4EFFF8EA"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37 </w:t>
      </w:r>
      <w:proofErr w:type="spellStart"/>
      <w:r w:rsidRPr="002B7717">
        <w:rPr>
          <w:rFonts w:ascii="Book Antiqua" w:hAnsi="Book Antiqua"/>
          <w:b/>
          <w:bCs/>
        </w:rPr>
        <w:t>Chesselet</w:t>
      </w:r>
      <w:proofErr w:type="spellEnd"/>
      <w:r w:rsidRPr="002B7717">
        <w:rPr>
          <w:rFonts w:ascii="Book Antiqua" w:hAnsi="Book Antiqua"/>
          <w:b/>
          <w:bCs/>
        </w:rPr>
        <w:t xml:space="preserve"> MF</w:t>
      </w:r>
      <w:r w:rsidRPr="002B7717">
        <w:rPr>
          <w:rFonts w:ascii="Book Antiqua" w:hAnsi="Book Antiqua"/>
        </w:rPr>
        <w:t>. In vivo alpha-synuclein overexpression in rodents: a useful model of Parkinson's disease? </w:t>
      </w:r>
      <w:r w:rsidRPr="002B7717">
        <w:rPr>
          <w:rFonts w:ascii="Book Antiqua" w:hAnsi="Book Antiqua"/>
          <w:i/>
          <w:iCs/>
        </w:rPr>
        <w:t>Exp Neurol</w:t>
      </w:r>
      <w:r w:rsidRPr="002B7717">
        <w:rPr>
          <w:rFonts w:ascii="Book Antiqua" w:hAnsi="Book Antiqua"/>
        </w:rPr>
        <w:t> 2008; </w:t>
      </w:r>
      <w:r w:rsidRPr="002B7717">
        <w:rPr>
          <w:rFonts w:ascii="Book Antiqua" w:hAnsi="Book Antiqua"/>
          <w:b/>
          <w:bCs/>
        </w:rPr>
        <w:t>209</w:t>
      </w:r>
      <w:r w:rsidRPr="002B7717">
        <w:rPr>
          <w:rFonts w:ascii="Book Antiqua" w:hAnsi="Book Antiqua"/>
        </w:rPr>
        <w:t>: 22-27 [PMID: 17949715 DOI: 10.1016/j.expneurol.2007.08.006]</w:t>
      </w:r>
    </w:p>
    <w:p w14:paraId="4CFD174D"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38 </w:t>
      </w:r>
      <w:r w:rsidRPr="002B7717">
        <w:rPr>
          <w:rFonts w:ascii="Book Antiqua" w:hAnsi="Book Antiqua"/>
          <w:b/>
          <w:bCs/>
        </w:rPr>
        <w:t>Cenci MA</w:t>
      </w:r>
      <w:r w:rsidRPr="002B7717">
        <w:rPr>
          <w:rFonts w:ascii="Book Antiqua" w:hAnsi="Book Antiqua"/>
        </w:rPr>
        <w:t>, Björklund A. Animal models for preclinical Parkinson's research: An update and critical appraisal. </w:t>
      </w:r>
      <w:r w:rsidRPr="002B7717">
        <w:rPr>
          <w:rFonts w:ascii="Book Antiqua" w:hAnsi="Book Antiqua"/>
          <w:i/>
          <w:iCs/>
        </w:rPr>
        <w:t>Prog Brain Res</w:t>
      </w:r>
      <w:r w:rsidRPr="002B7717">
        <w:rPr>
          <w:rFonts w:ascii="Book Antiqua" w:hAnsi="Book Antiqua"/>
        </w:rPr>
        <w:t> 2020; </w:t>
      </w:r>
      <w:r w:rsidRPr="002B7717">
        <w:rPr>
          <w:rFonts w:ascii="Book Antiqua" w:hAnsi="Book Antiqua"/>
          <w:b/>
          <w:bCs/>
        </w:rPr>
        <w:t>252</w:t>
      </w:r>
      <w:r w:rsidRPr="002B7717">
        <w:rPr>
          <w:rFonts w:ascii="Book Antiqua" w:hAnsi="Book Antiqua"/>
        </w:rPr>
        <w:t>: 27-59 [PMID: 32247366 DOI: 10.1016/bs.pbr.2020.02.003]</w:t>
      </w:r>
    </w:p>
    <w:p w14:paraId="2473CD3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39 </w:t>
      </w:r>
      <w:proofErr w:type="spellStart"/>
      <w:r w:rsidRPr="002B7717">
        <w:rPr>
          <w:rFonts w:ascii="Book Antiqua" w:hAnsi="Book Antiqua"/>
          <w:b/>
          <w:bCs/>
        </w:rPr>
        <w:t>Bezard</w:t>
      </w:r>
      <w:proofErr w:type="spellEnd"/>
      <w:r w:rsidRPr="002B7717">
        <w:rPr>
          <w:rFonts w:ascii="Book Antiqua" w:hAnsi="Book Antiqua"/>
          <w:b/>
          <w:bCs/>
        </w:rPr>
        <w:t xml:space="preserve"> E</w:t>
      </w:r>
      <w:r w:rsidRPr="002B7717">
        <w:rPr>
          <w:rFonts w:ascii="Book Antiqua" w:hAnsi="Book Antiqua"/>
        </w:rPr>
        <w:t xml:space="preserve">, Yue Z, </w:t>
      </w:r>
      <w:proofErr w:type="spellStart"/>
      <w:r w:rsidRPr="002B7717">
        <w:rPr>
          <w:rFonts w:ascii="Book Antiqua" w:hAnsi="Book Antiqua"/>
        </w:rPr>
        <w:t>Kirik</w:t>
      </w:r>
      <w:proofErr w:type="spellEnd"/>
      <w:r w:rsidRPr="002B7717">
        <w:rPr>
          <w:rFonts w:ascii="Book Antiqua" w:hAnsi="Book Antiqua"/>
        </w:rPr>
        <w:t xml:space="preserve"> D, </w:t>
      </w:r>
      <w:proofErr w:type="spellStart"/>
      <w:r w:rsidRPr="002B7717">
        <w:rPr>
          <w:rFonts w:ascii="Book Antiqua" w:hAnsi="Book Antiqua"/>
        </w:rPr>
        <w:t>Spillantini</w:t>
      </w:r>
      <w:proofErr w:type="spellEnd"/>
      <w:r w:rsidRPr="002B7717">
        <w:rPr>
          <w:rFonts w:ascii="Book Antiqua" w:hAnsi="Book Antiqua"/>
        </w:rPr>
        <w:t xml:space="preserve"> MG. Animal models of Parkinson's disease: limits and relevance to neuroprotection studies. </w:t>
      </w:r>
      <w:r w:rsidRPr="002B7717">
        <w:rPr>
          <w:rFonts w:ascii="Book Antiqua" w:hAnsi="Book Antiqua"/>
          <w:i/>
          <w:iCs/>
        </w:rPr>
        <w:t xml:space="preserve">Mov </w:t>
      </w:r>
      <w:proofErr w:type="spellStart"/>
      <w:r w:rsidRPr="002B7717">
        <w:rPr>
          <w:rFonts w:ascii="Book Antiqua" w:hAnsi="Book Antiqua"/>
          <w:i/>
          <w:iCs/>
        </w:rPr>
        <w:t>Disord</w:t>
      </w:r>
      <w:proofErr w:type="spellEnd"/>
      <w:r w:rsidRPr="002B7717">
        <w:rPr>
          <w:rFonts w:ascii="Book Antiqua" w:hAnsi="Book Antiqua"/>
        </w:rPr>
        <w:t> 2013; </w:t>
      </w:r>
      <w:r w:rsidRPr="002B7717">
        <w:rPr>
          <w:rFonts w:ascii="Book Antiqua" w:hAnsi="Book Antiqua"/>
          <w:b/>
          <w:bCs/>
        </w:rPr>
        <w:t>28</w:t>
      </w:r>
      <w:r w:rsidRPr="002B7717">
        <w:rPr>
          <w:rFonts w:ascii="Book Antiqua" w:hAnsi="Book Antiqua"/>
        </w:rPr>
        <w:t>: 61-70 [PMID: 22753348 DOI: 10.1002/mds.25108]</w:t>
      </w:r>
    </w:p>
    <w:p w14:paraId="0993EA6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40 </w:t>
      </w:r>
      <w:proofErr w:type="spellStart"/>
      <w:r w:rsidRPr="002B7717">
        <w:rPr>
          <w:rFonts w:ascii="Book Antiqua" w:hAnsi="Book Antiqua"/>
          <w:b/>
          <w:bCs/>
        </w:rPr>
        <w:t>Visanji</w:t>
      </w:r>
      <w:proofErr w:type="spellEnd"/>
      <w:r w:rsidRPr="002B7717">
        <w:rPr>
          <w:rFonts w:ascii="Book Antiqua" w:hAnsi="Book Antiqua"/>
          <w:b/>
          <w:bCs/>
        </w:rPr>
        <w:t xml:space="preserve"> NP</w:t>
      </w:r>
      <w:r w:rsidRPr="002B7717">
        <w:rPr>
          <w:rFonts w:ascii="Book Antiqua" w:hAnsi="Book Antiqua"/>
        </w:rPr>
        <w:t xml:space="preserve">, </w:t>
      </w:r>
      <w:proofErr w:type="spellStart"/>
      <w:r w:rsidRPr="002B7717">
        <w:rPr>
          <w:rFonts w:ascii="Book Antiqua" w:hAnsi="Book Antiqua"/>
        </w:rPr>
        <w:t>Brotchie</w:t>
      </w:r>
      <w:proofErr w:type="spellEnd"/>
      <w:r w:rsidRPr="002B7717">
        <w:rPr>
          <w:rFonts w:ascii="Book Antiqua" w:hAnsi="Book Antiqua"/>
        </w:rPr>
        <w:t xml:space="preserve"> JM, Kalia LV, </w:t>
      </w:r>
      <w:proofErr w:type="spellStart"/>
      <w:r w:rsidRPr="002B7717">
        <w:rPr>
          <w:rFonts w:ascii="Book Antiqua" w:hAnsi="Book Antiqua"/>
        </w:rPr>
        <w:t>Koprich</w:t>
      </w:r>
      <w:proofErr w:type="spellEnd"/>
      <w:r w:rsidRPr="002B7717">
        <w:rPr>
          <w:rFonts w:ascii="Book Antiqua" w:hAnsi="Book Antiqua"/>
        </w:rPr>
        <w:t xml:space="preserve"> JB, Tandon A, Watts JC, Lang AE. α-Synuclein-Based Animal Models of Parkinson's Disease: Challenges and Opportunities in a New Era. </w:t>
      </w:r>
      <w:r w:rsidRPr="002B7717">
        <w:rPr>
          <w:rFonts w:ascii="Book Antiqua" w:hAnsi="Book Antiqua"/>
          <w:i/>
          <w:iCs/>
        </w:rPr>
        <w:t xml:space="preserve">Trends </w:t>
      </w:r>
      <w:proofErr w:type="spellStart"/>
      <w:r w:rsidRPr="002B7717">
        <w:rPr>
          <w:rFonts w:ascii="Book Antiqua" w:hAnsi="Book Antiqua"/>
          <w:i/>
          <w:iCs/>
        </w:rPr>
        <w:t>Neurosci</w:t>
      </w:r>
      <w:proofErr w:type="spellEnd"/>
      <w:r w:rsidRPr="002B7717">
        <w:rPr>
          <w:rFonts w:ascii="Book Antiqua" w:hAnsi="Book Antiqua"/>
        </w:rPr>
        <w:t> 2016; </w:t>
      </w:r>
      <w:r w:rsidRPr="002B7717">
        <w:rPr>
          <w:rFonts w:ascii="Book Antiqua" w:hAnsi="Book Antiqua"/>
          <w:b/>
          <w:bCs/>
        </w:rPr>
        <w:t>39</w:t>
      </w:r>
      <w:r w:rsidRPr="002B7717">
        <w:rPr>
          <w:rFonts w:ascii="Book Antiqua" w:hAnsi="Book Antiqua"/>
        </w:rPr>
        <w:t xml:space="preserve">: 750-762 [PMID: 27776749 </w:t>
      </w:r>
      <w:r w:rsidR="00C6107D">
        <w:rPr>
          <w:rFonts w:ascii="Book Antiqua" w:hAnsi="Book Antiqua"/>
        </w:rPr>
        <w:t>DOI: 10.1016/j.tins.2016.09.003</w:t>
      </w:r>
      <w:r w:rsidRPr="002B7717">
        <w:rPr>
          <w:rFonts w:ascii="Book Antiqua" w:hAnsi="Book Antiqua"/>
        </w:rPr>
        <w:t>]</w:t>
      </w:r>
    </w:p>
    <w:p w14:paraId="0A945932"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41 </w:t>
      </w:r>
      <w:r w:rsidRPr="002B7717">
        <w:rPr>
          <w:rFonts w:ascii="Book Antiqua" w:hAnsi="Book Antiqua"/>
          <w:b/>
          <w:bCs/>
        </w:rPr>
        <w:t>Lane E</w:t>
      </w:r>
      <w:r w:rsidRPr="002B7717">
        <w:rPr>
          <w:rFonts w:ascii="Book Antiqua" w:hAnsi="Book Antiqua"/>
        </w:rPr>
        <w:t>, Dunnett S. Animal models of Parkinson's disease and L-dopa induced dyskinesia: how close are we to the clinic? </w:t>
      </w:r>
      <w:r w:rsidRPr="002B7717">
        <w:rPr>
          <w:rFonts w:ascii="Book Antiqua" w:hAnsi="Book Antiqua"/>
          <w:i/>
          <w:iCs/>
        </w:rPr>
        <w:t>Psychopharmacology (</w:t>
      </w:r>
      <w:proofErr w:type="spellStart"/>
      <w:r w:rsidRPr="002B7717">
        <w:rPr>
          <w:rFonts w:ascii="Book Antiqua" w:hAnsi="Book Antiqua"/>
          <w:i/>
          <w:iCs/>
        </w:rPr>
        <w:t>Berl</w:t>
      </w:r>
      <w:proofErr w:type="spellEnd"/>
      <w:r w:rsidRPr="002B7717">
        <w:rPr>
          <w:rFonts w:ascii="Book Antiqua" w:hAnsi="Book Antiqua"/>
          <w:i/>
          <w:iCs/>
        </w:rPr>
        <w:t>)</w:t>
      </w:r>
      <w:r w:rsidRPr="002B7717">
        <w:rPr>
          <w:rFonts w:ascii="Book Antiqua" w:hAnsi="Book Antiqua"/>
        </w:rPr>
        <w:t> 2008; </w:t>
      </w:r>
      <w:r w:rsidRPr="002B7717">
        <w:rPr>
          <w:rFonts w:ascii="Book Antiqua" w:hAnsi="Book Antiqua"/>
          <w:b/>
          <w:bCs/>
        </w:rPr>
        <w:t>199</w:t>
      </w:r>
      <w:r w:rsidRPr="002B7717">
        <w:rPr>
          <w:rFonts w:ascii="Book Antiqua" w:hAnsi="Book Antiqua"/>
        </w:rPr>
        <w:t>: 303-312 [PMID: 17899020 DOI: 10.1007/s00213-007-0931-8]</w:t>
      </w:r>
    </w:p>
    <w:p w14:paraId="782E9C9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42 </w:t>
      </w:r>
      <w:proofErr w:type="spellStart"/>
      <w:r w:rsidRPr="002B7717">
        <w:rPr>
          <w:rFonts w:ascii="Book Antiqua" w:hAnsi="Book Antiqua"/>
          <w:b/>
          <w:bCs/>
        </w:rPr>
        <w:t>Betarbet</w:t>
      </w:r>
      <w:proofErr w:type="spellEnd"/>
      <w:r w:rsidRPr="002B7717">
        <w:rPr>
          <w:rFonts w:ascii="Book Antiqua" w:hAnsi="Book Antiqua"/>
          <w:b/>
          <w:bCs/>
        </w:rPr>
        <w:t xml:space="preserve"> R</w:t>
      </w:r>
      <w:r w:rsidRPr="002B7717">
        <w:rPr>
          <w:rFonts w:ascii="Book Antiqua" w:hAnsi="Book Antiqua"/>
        </w:rPr>
        <w:t xml:space="preserve">, Sherer TB, </w:t>
      </w:r>
      <w:proofErr w:type="spellStart"/>
      <w:r w:rsidRPr="002B7717">
        <w:rPr>
          <w:rFonts w:ascii="Book Antiqua" w:hAnsi="Book Antiqua"/>
        </w:rPr>
        <w:t>MacKenzie</w:t>
      </w:r>
      <w:proofErr w:type="spellEnd"/>
      <w:r w:rsidRPr="002B7717">
        <w:rPr>
          <w:rFonts w:ascii="Book Antiqua" w:hAnsi="Book Antiqua"/>
        </w:rPr>
        <w:t xml:space="preserve"> G, Garcia-Osuna M, </w:t>
      </w:r>
      <w:proofErr w:type="spellStart"/>
      <w:r w:rsidRPr="002B7717">
        <w:rPr>
          <w:rFonts w:ascii="Book Antiqua" w:hAnsi="Book Antiqua"/>
        </w:rPr>
        <w:t>Panov</w:t>
      </w:r>
      <w:proofErr w:type="spellEnd"/>
      <w:r w:rsidRPr="002B7717">
        <w:rPr>
          <w:rFonts w:ascii="Book Antiqua" w:hAnsi="Book Antiqua"/>
        </w:rPr>
        <w:t xml:space="preserve"> AV, </w:t>
      </w:r>
      <w:proofErr w:type="spellStart"/>
      <w:r w:rsidRPr="002B7717">
        <w:rPr>
          <w:rFonts w:ascii="Book Antiqua" w:hAnsi="Book Antiqua"/>
        </w:rPr>
        <w:t>Greenamyre</w:t>
      </w:r>
      <w:proofErr w:type="spellEnd"/>
      <w:r w:rsidRPr="002B7717">
        <w:rPr>
          <w:rFonts w:ascii="Book Antiqua" w:hAnsi="Book Antiqua"/>
        </w:rPr>
        <w:t xml:space="preserve"> JT. Chronic systemic pesticide exposure reproduces features of Parkinson's disease. </w:t>
      </w:r>
      <w:r w:rsidRPr="002B7717">
        <w:rPr>
          <w:rFonts w:ascii="Book Antiqua" w:hAnsi="Book Antiqua"/>
          <w:i/>
          <w:iCs/>
        </w:rPr>
        <w:t xml:space="preserve">Nat </w:t>
      </w:r>
      <w:proofErr w:type="spellStart"/>
      <w:r w:rsidRPr="002B7717">
        <w:rPr>
          <w:rFonts w:ascii="Book Antiqua" w:hAnsi="Book Antiqua"/>
          <w:i/>
          <w:iCs/>
        </w:rPr>
        <w:t>Neurosci</w:t>
      </w:r>
      <w:proofErr w:type="spellEnd"/>
      <w:r w:rsidRPr="002B7717">
        <w:rPr>
          <w:rFonts w:ascii="Book Antiqua" w:hAnsi="Book Antiqua"/>
        </w:rPr>
        <w:t> 2000; </w:t>
      </w:r>
      <w:r w:rsidRPr="002B7717">
        <w:rPr>
          <w:rFonts w:ascii="Book Antiqua" w:hAnsi="Book Antiqua"/>
          <w:b/>
          <w:bCs/>
        </w:rPr>
        <w:t>3</w:t>
      </w:r>
      <w:r w:rsidRPr="002B7717">
        <w:rPr>
          <w:rFonts w:ascii="Book Antiqua" w:hAnsi="Book Antiqua"/>
        </w:rPr>
        <w:t>: 1301-1306 [PMID: 11100151 DOI: 10.1038/81834]</w:t>
      </w:r>
    </w:p>
    <w:p w14:paraId="2F3A4D5C"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43 </w:t>
      </w:r>
      <w:r w:rsidRPr="002B7717">
        <w:rPr>
          <w:rFonts w:ascii="Book Antiqua" w:hAnsi="Book Antiqua"/>
          <w:b/>
          <w:bCs/>
        </w:rPr>
        <w:t>Sherer TB</w:t>
      </w:r>
      <w:r w:rsidRPr="002B7717">
        <w:rPr>
          <w:rFonts w:ascii="Book Antiqua" w:hAnsi="Book Antiqua"/>
        </w:rPr>
        <w:t xml:space="preserve">, Kim JH, </w:t>
      </w:r>
      <w:proofErr w:type="spellStart"/>
      <w:r w:rsidRPr="002B7717">
        <w:rPr>
          <w:rFonts w:ascii="Book Antiqua" w:hAnsi="Book Antiqua"/>
        </w:rPr>
        <w:t>Betarbet</w:t>
      </w:r>
      <w:proofErr w:type="spellEnd"/>
      <w:r w:rsidRPr="002B7717">
        <w:rPr>
          <w:rFonts w:ascii="Book Antiqua" w:hAnsi="Book Antiqua"/>
        </w:rPr>
        <w:t xml:space="preserve"> R, </w:t>
      </w:r>
      <w:proofErr w:type="spellStart"/>
      <w:r w:rsidRPr="002B7717">
        <w:rPr>
          <w:rFonts w:ascii="Book Antiqua" w:hAnsi="Book Antiqua"/>
        </w:rPr>
        <w:t>Greenamyre</w:t>
      </w:r>
      <w:proofErr w:type="spellEnd"/>
      <w:r w:rsidRPr="002B7717">
        <w:rPr>
          <w:rFonts w:ascii="Book Antiqua" w:hAnsi="Book Antiqua"/>
        </w:rPr>
        <w:t xml:space="preserve"> JT. Subcutaneous rotenone exposure causes highly selective dopaminergic degeneration and alpha-synuclein aggregation. </w:t>
      </w:r>
      <w:r w:rsidRPr="002B7717">
        <w:rPr>
          <w:rFonts w:ascii="Book Antiqua" w:hAnsi="Book Antiqua"/>
          <w:i/>
          <w:iCs/>
        </w:rPr>
        <w:t>Exp Neurol</w:t>
      </w:r>
      <w:r w:rsidRPr="002B7717">
        <w:rPr>
          <w:rFonts w:ascii="Book Antiqua" w:hAnsi="Book Antiqua"/>
        </w:rPr>
        <w:t> 2003; </w:t>
      </w:r>
      <w:r w:rsidRPr="002B7717">
        <w:rPr>
          <w:rFonts w:ascii="Book Antiqua" w:hAnsi="Book Antiqua"/>
          <w:b/>
          <w:bCs/>
        </w:rPr>
        <w:t>179</w:t>
      </w:r>
      <w:r w:rsidRPr="002B7717">
        <w:rPr>
          <w:rFonts w:ascii="Book Antiqua" w:hAnsi="Book Antiqua"/>
        </w:rPr>
        <w:t>: 9-16 [PMID: 12504863 DOI: 10.1006/exnr.2002.8072]</w:t>
      </w:r>
    </w:p>
    <w:p w14:paraId="6AB689AD"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44 </w:t>
      </w:r>
      <w:r w:rsidRPr="002B7717">
        <w:rPr>
          <w:rFonts w:ascii="Book Antiqua" w:hAnsi="Book Antiqua"/>
          <w:b/>
          <w:bCs/>
        </w:rPr>
        <w:t>Cannon JR</w:t>
      </w:r>
      <w:r w:rsidRPr="002B7717">
        <w:rPr>
          <w:rFonts w:ascii="Book Antiqua" w:hAnsi="Book Antiqua"/>
        </w:rPr>
        <w:t xml:space="preserve">, Tapias V, Na HM, </w:t>
      </w:r>
      <w:proofErr w:type="spellStart"/>
      <w:r w:rsidRPr="002B7717">
        <w:rPr>
          <w:rFonts w:ascii="Book Antiqua" w:hAnsi="Book Antiqua"/>
        </w:rPr>
        <w:t>Honick</w:t>
      </w:r>
      <w:proofErr w:type="spellEnd"/>
      <w:r w:rsidRPr="002B7717">
        <w:rPr>
          <w:rFonts w:ascii="Book Antiqua" w:hAnsi="Book Antiqua"/>
        </w:rPr>
        <w:t xml:space="preserve"> AS, </w:t>
      </w:r>
      <w:proofErr w:type="spellStart"/>
      <w:r w:rsidRPr="002B7717">
        <w:rPr>
          <w:rFonts w:ascii="Book Antiqua" w:hAnsi="Book Antiqua"/>
        </w:rPr>
        <w:t>Drolet</w:t>
      </w:r>
      <w:proofErr w:type="spellEnd"/>
      <w:r w:rsidRPr="002B7717">
        <w:rPr>
          <w:rFonts w:ascii="Book Antiqua" w:hAnsi="Book Antiqua"/>
        </w:rPr>
        <w:t xml:space="preserve"> RE, </w:t>
      </w:r>
      <w:proofErr w:type="spellStart"/>
      <w:r w:rsidRPr="002B7717">
        <w:rPr>
          <w:rFonts w:ascii="Book Antiqua" w:hAnsi="Book Antiqua"/>
        </w:rPr>
        <w:t>Greenamyre</w:t>
      </w:r>
      <w:proofErr w:type="spellEnd"/>
      <w:r w:rsidRPr="002B7717">
        <w:rPr>
          <w:rFonts w:ascii="Book Antiqua" w:hAnsi="Book Antiqua"/>
        </w:rPr>
        <w:t xml:space="preserve"> JT. A highly reproducible rotenone model of Parkinson's disease. </w:t>
      </w:r>
      <w:proofErr w:type="spellStart"/>
      <w:r w:rsidRPr="002B7717">
        <w:rPr>
          <w:rFonts w:ascii="Book Antiqua" w:hAnsi="Book Antiqua"/>
          <w:i/>
          <w:iCs/>
        </w:rPr>
        <w:t>Neurobiol</w:t>
      </w:r>
      <w:proofErr w:type="spellEnd"/>
      <w:r w:rsidRPr="002B7717">
        <w:rPr>
          <w:rFonts w:ascii="Book Antiqua" w:hAnsi="Book Antiqua"/>
          <w:i/>
          <w:iCs/>
        </w:rPr>
        <w:t xml:space="preserve"> Dis</w:t>
      </w:r>
      <w:r w:rsidRPr="002B7717">
        <w:rPr>
          <w:rFonts w:ascii="Book Antiqua" w:hAnsi="Book Antiqua"/>
        </w:rPr>
        <w:t> 2009; </w:t>
      </w:r>
      <w:r w:rsidRPr="002B7717">
        <w:rPr>
          <w:rFonts w:ascii="Book Antiqua" w:hAnsi="Book Antiqua"/>
          <w:b/>
          <w:bCs/>
        </w:rPr>
        <w:t>34</w:t>
      </w:r>
      <w:r w:rsidRPr="002B7717">
        <w:rPr>
          <w:rFonts w:ascii="Book Antiqua" w:hAnsi="Book Antiqua"/>
        </w:rPr>
        <w:t>: 279-290 [PMID: 19385059 DOI: 10.1016/j.nbd.2009.01.016]</w:t>
      </w:r>
    </w:p>
    <w:p w14:paraId="77CCA815"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45 </w:t>
      </w:r>
      <w:proofErr w:type="spellStart"/>
      <w:r w:rsidRPr="002B7717">
        <w:rPr>
          <w:rFonts w:ascii="Book Antiqua" w:hAnsi="Book Antiqua"/>
          <w:b/>
          <w:bCs/>
        </w:rPr>
        <w:t>Alam</w:t>
      </w:r>
      <w:proofErr w:type="spellEnd"/>
      <w:r w:rsidRPr="002B7717">
        <w:rPr>
          <w:rFonts w:ascii="Book Antiqua" w:hAnsi="Book Antiqua"/>
          <w:b/>
          <w:bCs/>
        </w:rPr>
        <w:t xml:space="preserve"> M</w:t>
      </w:r>
      <w:r w:rsidRPr="002B7717">
        <w:rPr>
          <w:rFonts w:ascii="Book Antiqua" w:hAnsi="Book Antiqua"/>
        </w:rPr>
        <w:t xml:space="preserve">, </w:t>
      </w:r>
      <w:proofErr w:type="spellStart"/>
      <w:r w:rsidRPr="002B7717">
        <w:rPr>
          <w:rFonts w:ascii="Book Antiqua" w:hAnsi="Book Antiqua"/>
        </w:rPr>
        <w:t>Mayerhofer</w:t>
      </w:r>
      <w:proofErr w:type="spellEnd"/>
      <w:r w:rsidRPr="002B7717">
        <w:rPr>
          <w:rFonts w:ascii="Book Antiqua" w:hAnsi="Book Antiqua"/>
        </w:rPr>
        <w:t xml:space="preserve"> A, Schmidt WJ. The neurobehavioral changes induced by bilateral rotenone lesion in medial forebrain bundle of rats are reversed by L-DOPA. </w:t>
      </w:r>
      <w:proofErr w:type="spellStart"/>
      <w:r w:rsidRPr="002B7717">
        <w:rPr>
          <w:rFonts w:ascii="Book Antiqua" w:hAnsi="Book Antiqua"/>
          <w:i/>
          <w:iCs/>
        </w:rPr>
        <w:t>Behav</w:t>
      </w:r>
      <w:proofErr w:type="spellEnd"/>
      <w:r w:rsidRPr="002B7717">
        <w:rPr>
          <w:rFonts w:ascii="Book Antiqua" w:hAnsi="Book Antiqua"/>
          <w:i/>
          <w:iCs/>
        </w:rPr>
        <w:t xml:space="preserve"> Brain Res</w:t>
      </w:r>
      <w:r w:rsidRPr="002B7717">
        <w:rPr>
          <w:rFonts w:ascii="Book Antiqua" w:hAnsi="Book Antiqua"/>
        </w:rPr>
        <w:t> 2004; </w:t>
      </w:r>
      <w:r w:rsidRPr="002B7717">
        <w:rPr>
          <w:rFonts w:ascii="Book Antiqua" w:hAnsi="Book Antiqua"/>
          <w:b/>
          <w:bCs/>
        </w:rPr>
        <w:t>151</w:t>
      </w:r>
      <w:r w:rsidRPr="002B7717">
        <w:rPr>
          <w:rFonts w:ascii="Book Antiqua" w:hAnsi="Book Antiqua"/>
        </w:rPr>
        <w:t>: 117-124 [PMID: 15084427 DOI: 10.1016/j.bbr.2003.08.014]</w:t>
      </w:r>
    </w:p>
    <w:p w14:paraId="01591F9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46 </w:t>
      </w:r>
      <w:r w:rsidRPr="002B7717">
        <w:rPr>
          <w:rFonts w:ascii="Book Antiqua" w:hAnsi="Book Antiqua"/>
          <w:b/>
          <w:bCs/>
        </w:rPr>
        <w:t>Fleming SM</w:t>
      </w:r>
      <w:r w:rsidRPr="002B7717">
        <w:rPr>
          <w:rFonts w:ascii="Book Antiqua" w:hAnsi="Book Antiqua"/>
        </w:rPr>
        <w:t xml:space="preserve">, Zhu C, </w:t>
      </w:r>
      <w:proofErr w:type="spellStart"/>
      <w:r w:rsidRPr="002B7717">
        <w:rPr>
          <w:rFonts w:ascii="Book Antiqua" w:hAnsi="Book Antiqua"/>
        </w:rPr>
        <w:t>Fernagut</w:t>
      </w:r>
      <w:proofErr w:type="spellEnd"/>
      <w:r w:rsidRPr="002B7717">
        <w:rPr>
          <w:rFonts w:ascii="Book Antiqua" w:hAnsi="Book Antiqua"/>
        </w:rPr>
        <w:t xml:space="preserve"> PO, Mehta A, DiCarlo CD, Seaman RL, </w:t>
      </w:r>
      <w:proofErr w:type="spellStart"/>
      <w:r w:rsidRPr="002B7717">
        <w:rPr>
          <w:rFonts w:ascii="Book Antiqua" w:hAnsi="Book Antiqua"/>
        </w:rPr>
        <w:t>Chesselet</w:t>
      </w:r>
      <w:proofErr w:type="spellEnd"/>
      <w:r w:rsidRPr="002B7717">
        <w:rPr>
          <w:rFonts w:ascii="Book Antiqua" w:hAnsi="Book Antiqua"/>
        </w:rPr>
        <w:t xml:space="preserve"> MF. Behavioral and immunohistochemical effects of chronic intravenous and subcutaneous infusions of varying doses of rotenone. </w:t>
      </w:r>
      <w:r w:rsidRPr="002B7717">
        <w:rPr>
          <w:rFonts w:ascii="Book Antiqua" w:hAnsi="Book Antiqua"/>
          <w:i/>
          <w:iCs/>
        </w:rPr>
        <w:t>Exp Neurol</w:t>
      </w:r>
      <w:r w:rsidRPr="002B7717">
        <w:rPr>
          <w:rFonts w:ascii="Book Antiqua" w:hAnsi="Book Antiqua"/>
        </w:rPr>
        <w:t> 2004; </w:t>
      </w:r>
      <w:r w:rsidRPr="002B7717">
        <w:rPr>
          <w:rFonts w:ascii="Book Antiqua" w:hAnsi="Book Antiqua"/>
          <w:b/>
          <w:bCs/>
        </w:rPr>
        <w:t>187</w:t>
      </w:r>
      <w:r w:rsidRPr="002B7717">
        <w:rPr>
          <w:rFonts w:ascii="Book Antiqua" w:hAnsi="Book Antiqua"/>
        </w:rPr>
        <w:t>: 418-429 [PMID: 15144868 DOI: 10.1016/j.expneurol.2004.01.023]</w:t>
      </w:r>
    </w:p>
    <w:p w14:paraId="531DEEB2"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47 </w:t>
      </w:r>
      <w:r w:rsidRPr="002B7717">
        <w:rPr>
          <w:rFonts w:ascii="Book Antiqua" w:hAnsi="Book Antiqua"/>
          <w:b/>
          <w:bCs/>
        </w:rPr>
        <w:t>Tanner CM</w:t>
      </w:r>
      <w:r w:rsidRPr="002B7717">
        <w:rPr>
          <w:rFonts w:ascii="Book Antiqua" w:hAnsi="Book Antiqua"/>
        </w:rPr>
        <w:t xml:space="preserve">, Kamel F, Ross GW, </w:t>
      </w:r>
      <w:proofErr w:type="spellStart"/>
      <w:r w:rsidRPr="002B7717">
        <w:rPr>
          <w:rFonts w:ascii="Book Antiqua" w:hAnsi="Book Antiqua"/>
        </w:rPr>
        <w:t>Hoppin</w:t>
      </w:r>
      <w:proofErr w:type="spellEnd"/>
      <w:r w:rsidRPr="002B7717">
        <w:rPr>
          <w:rFonts w:ascii="Book Antiqua" w:hAnsi="Book Antiqua"/>
        </w:rPr>
        <w:t xml:space="preserve"> JA, Goldman SM, </w:t>
      </w:r>
      <w:proofErr w:type="spellStart"/>
      <w:r w:rsidRPr="002B7717">
        <w:rPr>
          <w:rFonts w:ascii="Book Antiqua" w:hAnsi="Book Antiqua"/>
        </w:rPr>
        <w:t>Korell</w:t>
      </w:r>
      <w:proofErr w:type="spellEnd"/>
      <w:r w:rsidRPr="002B7717">
        <w:rPr>
          <w:rFonts w:ascii="Book Antiqua" w:hAnsi="Book Antiqua"/>
        </w:rPr>
        <w:t xml:space="preserve"> M, </w:t>
      </w:r>
      <w:proofErr w:type="spellStart"/>
      <w:r w:rsidRPr="002B7717">
        <w:rPr>
          <w:rFonts w:ascii="Book Antiqua" w:hAnsi="Book Antiqua"/>
        </w:rPr>
        <w:t>Marras</w:t>
      </w:r>
      <w:proofErr w:type="spellEnd"/>
      <w:r w:rsidRPr="002B7717">
        <w:rPr>
          <w:rFonts w:ascii="Book Antiqua" w:hAnsi="Book Antiqua"/>
        </w:rPr>
        <w:t xml:space="preserve"> C, </w:t>
      </w:r>
      <w:proofErr w:type="spellStart"/>
      <w:r w:rsidRPr="002B7717">
        <w:rPr>
          <w:rFonts w:ascii="Book Antiqua" w:hAnsi="Book Antiqua"/>
        </w:rPr>
        <w:t>Bhudhikanok</w:t>
      </w:r>
      <w:proofErr w:type="spellEnd"/>
      <w:r w:rsidRPr="002B7717">
        <w:rPr>
          <w:rFonts w:ascii="Book Antiqua" w:hAnsi="Book Antiqua"/>
        </w:rPr>
        <w:t xml:space="preserve"> GS, Kasten M, </w:t>
      </w:r>
      <w:proofErr w:type="spellStart"/>
      <w:r w:rsidRPr="002B7717">
        <w:rPr>
          <w:rFonts w:ascii="Book Antiqua" w:hAnsi="Book Antiqua"/>
        </w:rPr>
        <w:t>Chade</w:t>
      </w:r>
      <w:proofErr w:type="spellEnd"/>
      <w:r w:rsidRPr="002B7717">
        <w:rPr>
          <w:rFonts w:ascii="Book Antiqua" w:hAnsi="Book Antiqua"/>
        </w:rPr>
        <w:t xml:space="preserve"> AR, </w:t>
      </w:r>
      <w:proofErr w:type="spellStart"/>
      <w:r w:rsidRPr="002B7717">
        <w:rPr>
          <w:rFonts w:ascii="Book Antiqua" w:hAnsi="Book Antiqua"/>
        </w:rPr>
        <w:t>Comyns</w:t>
      </w:r>
      <w:proofErr w:type="spellEnd"/>
      <w:r w:rsidRPr="002B7717">
        <w:rPr>
          <w:rFonts w:ascii="Book Antiqua" w:hAnsi="Book Antiqua"/>
        </w:rPr>
        <w:t xml:space="preserve"> K, Richards MB, Meng C, Priestley B, Fernandez HH, </w:t>
      </w:r>
      <w:proofErr w:type="spellStart"/>
      <w:r w:rsidRPr="002B7717">
        <w:rPr>
          <w:rFonts w:ascii="Book Antiqua" w:hAnsi="Book Antiqua"/>
        </w:rPr>
        <w:t>Cambi</w:t>
      </w:r>
      <w:proofErr w:type="spellEnd"/>
      <w:r w:rsidRPr="002B7717">
        <w:rPr>
          <w:rFonts w:ascii="Book Antiqua" w:hAnsi="Book Antiqua"/>
        </w:rPr>
        <w:t xml:space="preserve"> F, </w:t>
      </w:r>
      <w:proofErr w:type="spellStart"/>
      <w:r w:rsidRPr="002B7717">
        <w:rPr>
          <w:rFonts w:ascii="Book Antiqua" w:hAnsi="Book Antiqua"/>
        </w:rPr>
        <w:t>Umbach</w:t>
      </w:r>
      <w:proofErr w:type="spellEnd"/>
      <w:r w:rsidRPr="002B7717">
        <w:rPr>
          <w:rFonts w:ascii="Book Antiqua" w:hAnsi="Book Antiqua"/>
        </w:rPr>
        <w:t xml:space="preserve"> DM, Blair A, Sandler DP, Langston JW. Rotenone, paraquat, and Parkinson's disease. </w:t>
      </w:r>
      <w:r w:rsidRPr="002B7717">
        <w:rPr>
          <w:rFonts w:ascii="Book Antiqua" w:hAnsi="Book Antiqua"/>
          <w:i/>
          <w:iCs/>
        </w:rPr>
        <w:t xml:space="preserve">Environ Health </w:t>
      </w:r>
      <w:proofErr w:type="spellStart"/>
      <w:r w:rsidRPr="002B7717">
        <w:rPr>
          <w:rFonts w:ascii="Book Antiqua" w:hAnsi="Book Antiqua"/>
          <w:i/>
          <w:iCs/>
        </w:rPr>
        <w:t>Perspect</w:t>
      </w:r>
      <w:proofErr w:type="spellEnd"/>
      <w:r w:rsidRPr="002B7717">
        <w:rPr>
          <w:rFonts w:ascii="Book Antiqua" w:hAnsi="Book Antiqua"/>
        </w:rPr>
        <w:t> 2011; </w:t>
      </w:r>
      <w:r w:rsidRPr="002B7717">
        <w:rPr>
          <w:rFonts w:ascii="Book Antiqua" w:hAnsi="Book Antiqua"/>
          <w:b/>
          <w:bCs/>
        </w:rPr>
        <w:t>119</w:t>
      </w:r>
      <w:r w:rsidRPr="002B7717">
        <w:rPr>
          <w:rFonts w:ascii="Book Antiqua" w:hAnsi="Book Antiqua"/>
        </w:rPr>
        <w:t>: 866-872 [PMID: 21269927 DOI: 10.1289/ehp.1002839]</w:t>
      </w:r>
    </w:p>
    <w:p w14:paraId="3E5B12C2"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48 </w:t>
      </w:r>
      <w:proofErr w:type="spellStart"/>
      <w:r w:rsidRPr="002B7717">
        <w:rPr>
          <w:rFonts w:ascii="Book Antiqua" w:hAnsi="Book Antiqua"/>
          <w:b/>
          <w:bCs/>
        </w:rPr>
        <w:t>Pouchieu</w:t>
      </w:r>
      <w:proofErr w:type="spellEnd"/>
      <w:r w:rsidRPr="002B7717">
        <w:rPr>
          <w:rFonts w:ascii="Book Antiqua" w:hAnsi="Book Antiqua"/>
          <w:b/>
          <w:bCs/>
        </w:rPr>
        <w:t xml:space="preserve"> C</w:t>
      </w:r>
      <w:r w:rsidRPr="002B7717">
        <w:rPr>
          <w:rFonts w:ascii="Book Antiqua" w:hAnsi="Book Antiqua"/>
        </w:rPr>
        <w:t xml:space="preserve">, </w:t>
      </w:r>
      <w:proofErr w:type="spellStart"/>
      <w:r w:rsidRPr="002B7717">
        <w:rPr>
          <w:rFonts w:ascii="Book Antiqua" w:hAnsi="Book Antiqua"/>
        </w:rPr>
        <w:t>Piel</w:t>
      </w:r>
      <w:proofErr w:type="spellEnd"/>
      <w:r w:rsidRPr="002B7717">
        <w:rPr>
          <w:rFonts w:ascii="Book Antiqua" w:hAnsi="Book Antiqua"/>
        </w:rPr>
        <w:t xml:space="preserve"> C, </w:t>
      </w:r>
      <w:proofErr w:type="spellStart"/>
      <w:r w:rsidRPr="002B7717">
        <w:rPr>
          <w:rFonts w:ascii="Book Antiqua" w:hAnsi="Book Antiqua"/>
        </w:rPr>
        <w:t>Carles</w:t>
      </w:r>
      <w:proofErr w:type="spellEnd"/>
      <w:r w:rsidRPr="002B7717">
        <w:rPr>
          <w:rFonts w:ascii="Book Antiqua" w:hAnsi="Book Antiqua"/>
        </w:rPr>
        <w:t xml:space="preserve"> C, Gruber A, Helmer C, </w:t>
      </w:r>
      <w:proofErr w:type="spellStart"/>
      <w:r w:rsidRPr="002B7717">
        <w:rPr>
          <w:rFonts w:ascii="Book Antiqua" w:hAnsi="Book Antiqua"/>
        </w:rPr>
        <w:t>Tual</w:t>
      </w:r>
      <w:proofErr w:type="spellEnd"/>
      <w:r w:rsidRPr="002B7717">
        <w:rPr>
          <w:rFonts w:ascii="Book Antiqua" w:hAnsi="Book Antiqua"/>
        </w:rPr>
        <w:t xml:space="preserve"> S, </w:t>
      </w:r>
      <w:proofErr w:type="spellStart"/>
      <w:r w:rsidRPr="002B7717">
        <w:rPr>
          <w:rFonts w:ascii="Book Antiqua" w:hAnsi="Book Antiqua"/>
        </w:rPr>
        <w:t>Marcotullio</w:t>
      </w:r>
      <w:proofErr w:type="spellEnd"/>
      <w:r w:rsidRPr="002B7717">
        <w:rPr>
          <w:rFonts w:ascii="Book Antiqua" w:hAnsi="Book Antiqua"/>
        </w:rPr>
        <w:t xml:space="preserve"> E, </w:t>
      </w:r>
      <w:proofErr w:type="spellStart"/>
      <w:r w:rsidRPr="002B7717">
        <w:rPr>
          <w:rFonts w:ascii="Book Antiqua" w:hAnsi="Book Antiqua"/>
        </w:rPr>
        <w:t>Lebailly</w:t>
      </w:r>
      <w:proofErr w:type="spellEnd"/>
      <w:r w:rsidRPr="002B7717">
        <w:rPr>
          <w:rFonts w:ascii="Book Antiqua" w:hAnsi="Book Antiqua"/>
        </w:rPr>
        <w:t xml:space="preserve"> P, </w:t>
      </w:r>
      <w:proofErr w:type="spellStart"/>
      <w:r w:rsidRPr="002B7717">
        <w:rPr>
          <w:rFonts w:ascii="Book Antiqua" w:hAnsi="Book Antiqua"/>
        </w:rPr>
        <w:t>Baldi</w:t>
      </w:r>
      <w:proofErr w:type="spellEnd"/>
      <w:r w:rsidRPr="002B7717">
        <w:rPr>
          <w:rFonts w:ascii="Book Antiqua" w:hAnsi="Book Antiqua"/>
        </w:rPr>
        <w:t xml:space="preserve"> I. Pesticide use in agriculture and Parkinson's disease in the AGRICAN cohort study. </w:t>
      </w:r>
      <w:r w:rsidRPr="002B7717">
        <w:rPr>
          <w:rFonts w:ascii="Book Antiqua" w:hAnsi="Book Antiqua"/>
          <w:i/>
          <w:iCs/>
        </w:rPr>
        <w:t>Int J Epidemiol</w:t>
      </w:r>
      <w:r w:rsidRPr="002B7717">
        <w:rPr>
          <w:rFonts w:ascii="Book Antiqua" w:hAnsi="Book Antiqua"/>
        </w:rPr>
        <w:t> 2018; </w:t>
      </w:r>
      <w:r w:rsidRPr="002B7717">
        <w:rPr>
          <w:rFonts w:ascii="Book Antiqua" w:hAnsi="Book Antiqua"/>
          <w:b/>
          <w:bCs/>
        </w:rPr>
        <w:t>47</w:t>
      </w:r>
      <w:r w:rsidRPr="002B7717">
        <w:rPr>
          <w:rFonts w:ascii="Book Antiqua" w:hAnsi="Book Antiqua"/>
        </w:rPr>
        <w:t>: 299-310 [PMID: 29136149 DOI: 10.1093/</w:t>
      </w:r>
      <w:proofErr w:type="spellStart"/>
      <w:r w:rsidRPr="002B7717">
        <w:rPr>
          <w:rFonts w:ascii="Book Antiqua" w:hAnsi="Book Antiqua"/>
        </w:rPr>
        <w:t>ije</w:t>
      </w:r>
      <w:proofErr w:type="spellEnd"/>
      <w:r w:rsidRPr="002B7717">
        <w:rPr>
          <w:rFonts w:ascii="Book Antiqua" w:hAnsi="Book Antiqua"/>
        </w:rPr>
        <w:t>/dyx225]</w:t>
      </w:r>
    </w:p>
    <w:p w14:paraId="46EB779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49 </w:t>
      </w:r>
      <w:r w:rsidRPr="002B7717">
        <w:rPr>
          <w:rFonts w:ascii="Book Antiqua" w:hAnsi="Book Antiqua"/>
          <w:b/>
          <w:bCs/>
        </w:rPr>
        <w:t>Wu AP</w:t>
      </w:r>
      <w:r w:rsidRPr="002B7717">
        <w:rPr>
          <w:rFonts w:ascii="Book Antiqua" w:hAnsi="Book Antiqua"/>
        </w:rPr>
        <w:t xml:space="preserve">, He Y, Ye SY, Qi LY, Liu L, Zhong W, Wang YH, Fu H. Negative effects of a piscicide, rotenone, on the growth and metabolism of three submerged </w:t>
      </w:r>
      <w:proofErr w:type="spellStart"/>
      <w:r w:rsidRPr="002B7717">
        <w:rPr>
          <w:rFonts w:ascii="Book Antiqua" w:hAnsi="Book Antiqua"/>
        </w:rPr>
        <w:t>macophytes</w:t>
      </w:r>
      <w:proofErr w:type="spellEnd"/>
      <w:r w:rsidRPr="002B7717">
        <w:rPr>
          <w:rFonts w:ascii="Book Antiqua" w:hAnsi="Book Antiqua"/>
        </w:rPr>
        <w:t>. </w:t>
      </w:r>
      <w:r w:rsidRPr="002B7717">
        <w:rPr>
          <w:rFonts w:ascii="Book Antiqua" w:hAnsi="Book Antiqua"/>
          <w:i/>
          <w:iCs/>
        </w:rPr>
        <w:t>Chemosphere</w:t>
      </w:r>
      <w:r w:rsidRPr="002B7717">
        <w:rPr>
          <w:rFonts w:ascii="Book Antiqua" w:hAnsi="Book Antiqua"/>
        </w:rPr>
        <w:t> 2020; </w:t>
      </w:r>
      <w:r w:rsidRPr="002B7717">
        <w:rPr>
          <w:rFonts w:ascii="Book Antiqua" w:hAnsi="Book Antiqua"/>
          <w:b/>
          <w:bCs/>
        </w:rPr>
        <w:t>250</w:t>
      </w:r>
      <w:r w:rsidRPr="002B7717">
        <w:rPr>
          <w:rFonts w:ascii="Book Antiqua" w:hAnsi="Book Antiqua"/>
        </w:rPr>
        <w:t>: 126246 [PMID: 32097811 DOI: 10.1016/j.chemosphere.2020.126246]</w:t>
      </w:r>
    </w:p>
    <w:p w14:paraId="5257B0E6"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50 </w:t>
      </w:r>
      <w:proofErr w:type="spellStart"/>
      <w:r w:rsidRPr="002B7717">
        <w:rPr>
          <w:rFonts w:ascii="Book Antiqua" w:hAnsi="Book Antiqua"/>
          <w:b/>
          <w:bCs/>
        </w:rPr>
        <w:t>Difazio</w:t>
      </w:r>
      <w:proofErr w:type="spellEnd"/>
      <w:r w:rsidRPr="002B7717">
        <w:rPr>
          <w:rFonts w:ascii="Book Antiqua" w:hAnsi="Book Antiqua"/>
          <w:b/>
          <w:bCs/>
        </w:rPr>
        <w:t xml:space="preserve"> MC</w:t>
      </w:r>
      <w:r w:rsidRPr="002B7717">
        <w:rPr>
          <w:rFonts w:ascii="Book Antiqua" w:hAnsi="Book Antiqua"/>
        </w:rPr>
        <w:t>, Hollingsworth Z, Young AB, Penney JB Jr. Glutamate receptors in the substantia nigra of Parkinson's disease brains. </w:t>
      </w:r>
      <w:r w:rsidRPr="002B7717">
        <w:rPr>
          <w:rFonts w:ascii="Book Antiqua" w:hAnsi="Book Antiqua"/>
          <w:i/>
          <w:iCs/>
        </w:rPr>
        <w:t>Neurology</w:t>
      </w:r>
      <w:r w:rsidRPr="002B7717">
        <w:rPr>
          <w:rFonts w:ascii="Book Antiqua" w:hAnsi="Book Antiqua"/>
        </w:rPr>
        <w:t> 1992; </w:t>
      </w:r>
      <w:r w:rsidRPr="002B7717">
        <w:rPr>
          <w:rFonts w:ascii="Book Antiqua" w:hAnsi="Book Antiqua"/>
          <w:b/>
          <w:bCs/>
        </w:rPr>
        <w:t>42</w:t>
      </w:r>
      <w:r w:rsidRPr="002B7717">
        <w:rPr>
          <w:rFonts w:ascii="Book Antiqua" w:hAnsi="Book Antiqua"/>
        </w:rPr>
        <w:t>: 402-406 [PMID: 1346548 DOI: 10.1212/wnl.42.2.402]</w:t>
      </w:r>
    </w:p>
    <w:p w14:paraId="092A479E"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51 </w:t>
      </w:r>
      <w:r w:rsidRPr="002B7717">
        <w:rPr>
          <w:rFonts w:ascii="Book Antiqua" w:hAnsi="Book Antiqua"/>
          <w:b/>
          <w:bCs/>
        </w:rPr>
        <w:t>Iovino L</w:t>
      </w:r>
      <w:r w:rsidRPr="002B7717">
        <w:rPr>
          <w:rFonts w:ascii="Book Antiqua" w:hAnsi="Book Antiqua"/>
        </w:rPr>
        <w:t xml:space="preserve">, Tremblay ME, </w:t>
      </w:r>
      <w:proofErr w:type="spellStart"/>
      <w:r w:rsidRPr="002B7717">
        <w:rPr>
          <w:rFonts w:ascii="Book Antiqua" w:hAnsi="Book Antiqua"/>
        </w:rPr>
        <w:t>Civiero</w:t>
      </w:r>
      <w:proofErr w:type="spellEnd"/>
      <w:r w:rsidRPr="002B7717">
        <w:rPr>
          <w:rFonts w:ascii="Book Antiqua" w:hAnsi="Book Antiqua"/>
        </w:rPr>
        <w:t xml:space="preserve"> L. Glutamate-induced excitotoxicity in Parkinson's disease: The role of glial cells. </w:t>
      </w:r>
      <w:r w:rsidRPr="002B7717">
        <w:rPr>
          <w:rFonts w:ascii="Book Antiqua" w:hAnsi="Book Antiqua"/>
          <w:i/>
          <w:iCs/>
        </w:rPr>
        <w:t xml:space="preserve">J </w:t>
      </w:r>
      <w:proofErr w:type="spellStart"/>
      <w:r w:rsidRPr="002B7717">
        <w:rPr>
          <w:rFonts w:ascii="Book Antiqua" w:hAnsi="Book Antiqua"/>
          <w:i/>
          <w:iCs/>
        </w:rPr>
        <w:t>Pharmacol</w:t>
      </w:r>
      <w:proofErr w:type="spellEnd"/>
      <w:r w:rsidRPr="002B7717">
        <w:rPr>
          <w:rFonts w:ascii="Book Antiqua" w:hAnsi="Book Antiqua"/>
          <w:i/>
          <w:iCs/>
        </w:rPr>
        <w:t xml:space="preserve"> Sci</w:t>
      </w:r>
      <w:r w:rsidRPr="002B7717">
        <w:rPr>
          <w:rFonts w:ascii="Book Antiqua" w:hAnsi="Book Antiqua"/>
        </w:rPr>
        <w:t> 2020; </w:t>
      </w:r>
      <w:r w:rsidRPr="002B7717">
        <w:rPr>
          <w:rFonts w:ascii="Book Antiqua" w:hAnsi="Book Antiqua"/>
          <w:b/>
          <w:bCs/>
        </w:rPr>
        <w:t>144</w:t>
      </w:r>
      <w:r w:rsidRPr="002B7717">
        <w:rPr>
          <w:rFonts w:ascii="Book Antiqua" w:hAnsi="Book Antiqua"/>
        </w:rPr>
        <w:t>: 151-164 [PMID: 32807662 DOI: 10.1016/j.jphs.2020.07.011]</w:t>
      </w:r>
    </w:p>
    <w:p w14:paraId="360A26A1"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52 </w:t>
      </w:r>
      <w:r w:rsidRPr="002B7717">
        <w:rPr>
          <w:rFonts w:ascii="Book Antiqua" w:hAnsi="Book Antiqua"/>
          <w:b/>
          <w:bCs/>
        </w:rPr>
        <w:t>Wang J</w:t>
      </w:r>
      <w:r w:rsidRPr="002B7717">
        <w:rPr>
          <w:rFonts w:ascii="Book Antiqua" w:hAnsi="Book Antiqua"/>
        </w:rPr>
        <w:t>, Wang F, Mai D, Qu S. Molecular Mechanisms of Glutamate Toxicity in Parkinson's Disease. </w:t>
      </w:r>
      <w:r w:rsidRPr="002B7717">
        <w:rPr>
          <w:rFonts w:ascii="Book Antiqua" w:hAnsi="Book Antiqua"/>
          <w:i/>
          <w:iCs/>
        </w:rPr>
        <w:t xml:space="preserve">Front </w:t>
      </w:r>
      <w:proofErr w:type="spellStart"/>
      <w:r w:rsidRPr="002B7717">
        <w:rPr>
          <w:rFonts w:ascii="Book Antiqua" w:hAnsi="Book Antiqua"/>
          <w:i/>
          <w:iCs/>
        </w:rPr>
        <w:t>Neurosci</w:t>
      </w:r>
      <w:proofErr w:type="spellEnd"/>
      <w:r w:rsidRPr="002B7717">
        <w:rPr>
          <w:rFonts w:ascii="Book Antiqua" w:hAnsi="Book Antiqua"/>
        </w:rPr>
        <w:t> 2020; </w:t>
      </w:r>
      <w:r w:rsidRPr="002B7717">
        <w:rPr>
          <w:rFonts w:ascii="Book Antiqua" w:hAnsi="Book Antiqua"/>
          <w:b/>
          <w:bCs/>
        </w:rPr>
        <w:t>14</w:t>
      </w:r>
      <w:r w:rsidRPr="002B7717">
        <w:rPr>
          <w:rFonts w:ascii="Book Antiqua" w:hAnsi="Book Antiqua"/>
        </w:rPr>
        <w:t>: 585584 [PMID: 33324150 DOI: 10.3389/fnins.2020.585584]</w:t>
      </w:r>
    </w:p>
    <w:p w14:paraId="3E78CB1A"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53 </w:t>
      </w:r>
      <w:proofErr w:type="spellStart"/>
      <w:r w:rsidRPr="002B7717">
        <w:rPr>
          <w:rFonts w:ascii="Book Antiqua" w:hAnsi="Book Antiqua"/>
          <w:b/>
          <w:bCs/>
        </w:rPr>
        <w:t>Jakaria</w:t>
      </w:r>
      <w:proofErr w:type="spellEnd"/>
      <w:r w:rsidRPr="002B7717">
        <w:rPr>
          <w:rFonts w:ascii="Book Antiqua" w:hAnsi="Book Antiqua"/>
          <w:b/>
          <w:bCs/>
        </w:rPr>
        <w:t xml:space="preserve"> M</w:t>
      </w:r>
      <w:r w:rsidRPr="002B7717">
        <w:rPr>
          <w:rFonts w:ascii="Book Antiqua" w:hAnsi="Book Antiqua"/>
        </w:rPr>
        <w:t xml:space="preserve">, Park SY, Haque ME, </w:t>
      </w:r>
      <w:proofErr w:type="spellStart"/>
      <w:r w:rsidRPr="002B7717">
        <w:rPr>
          <w:rFonts w:ascii="Book Antiqua" w:hAnsi="Book Antiqua"/>
        </w:rPr>
        <w:t>Karthivashan</w:t>
      </w:r>
      <w:proofErr w:type="spellEnd"/>
      <w:r w:rsidRPr="002B7717">
        <w:rPr>
          <w:rFonts w:ascii="Book Antiqua" w:hAnsi="Book Antiqua"/>
        </w:rPr>
        <w:t xml:space="preserve"> G, Kim IS, Ganesan P, Choi DK. Neurotoxic Agent-Induced Injury in Neurodegenerative Disease Model: Focus on Involvement of Glutamate Receptors. </w:t>
      </w:r>
      <w:r w:rsidRPr="002B7717">
        <w:rPr>
          <w:rFonts w:ascii="Book Antiqua" w:hAnsi="Book Antiqua"/>
          <w:i/>
          <w:iCs/>
        </w:rPr>
        <w:t xml:space="preserve">Front Mol </w:t>
      </w:r>
      <w:proofErr w:type="spellStart"/>
      <w:r w:rsidRPr="002B7717">
        <w:rPr>
          <w:rFonts w:ascii="Book Antiqua" w:hAnsi="Book Antiqua"/>
          <w:i/>
          <w:iCs/>
        </w:rPr>
        <w:t>Neurosci</w:t>
      </w:r>
      <w:proofErr w:type="spellEnd"/>
      <w:r w:rsidRPr="002B7717">
        <w:rPr>
          <w:rFonts w:ascii="Book Antiqua" w:hAnsi="Book Antiqua"/>
        </w:rPr>
        <w:t> 2018; </w:t>
      </w:r>
      <w:r w:rsidRPr="002B7717">
        <w:rPr>
          <w:rFonts w:ascii="Book Antiqua" w:hAnsi="Book Antiqua"/>
          <w:b/>
          <w:bCs/>
        </w:rPr>
        <w:t>11</w:t>
      </w:r>
      <w:r w:rsidRPr="002B7717">
        <w:rPr>
          <w:rFonts w:ascii="Book Antiqua" w:hAnsi="Book Antiqua"/>
        </w:rPr>
        <w:t>: 307 [PMID: 30210294 DOI: 10.3389/fnmol.2018.00307]</w:t>
      </w:r>
    </w:p>
    <w:p w14:paraId="3B146B6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54 </w:t>
      </w:r>
      <w:proofErr w:type="spellStart"/>
      <w:r w:rsidRPr="002B7717">
        <w:rPr>
          <w:rFonts w:ascii="Book Antiqua" w:hAnsi="Book Antiqua"/>
          <w:b/>
          <w:bCs/>
        </w:rPr>
        <w:t>Dekundy</w:t>
      </w:r>
      <w:proofErr w:type="spellEnd"/>
      <w:r w:rsidRPr="002B7717">
        <w:rPr>
          <w:rFonts w:ascii="Book Antiqua" w:hAnsi="Book Antiqua"/>
          <w:b/>
          <w:bCs/>
        </w:rPr>
        <w:t xml:space="preserve"> A</w:t>
      </w:r>
      <w:r w:rsidRPr="002B7717">
        <w:rPr>
          <w:rFonts w:ascii="Book Antiqua" w:hAnsi="Book Antiqua"/>
        </w:rPr>
        <w:t xml:space="preserve">, </w:t>
      </w:r>
      <w:proofErr w:type="spellStart"/>
      <w:r w:rsidRPr="002B7717">
        <w:rPr>
          <w:rFonts w:ascii="Book Antiqua" w:hAnsi="Book Antiqua"/>
        </w:rPr>
        <w:t>Pietraszek</w:t>
      </w:r>
      <w:proofErr w:type="spellEnd"/>
      <w:r w:rsidRPr="002B7717">
        <w:rPr>
          <w:rFonts w:ascii="Book Antiqua" w:hAnsi="Book Antiqua"/>
        </w:rPr>
        <w:t xml:space="preserve"> M, Schaefer D, Cenci MA, </w:t>
      </w:r>
      <w:proofErr w:type="spellStart"/>
      <w:r w:rsidRPr="002B7717">
        <w:rPr>
          <w:rFonts w:ascii="Book Antiqua" w:hAnsi="Book Antiqua"/>
        </w:rPr>
        <w:t>Danysz</w:t>
      </w:r>
      <w:proofErr w:type="spellEnd"/>
      <w:r w:rsidRPr="002B7717">
        <w:rPr>
          <w:rFonts w:ascii="Book Antiqua" w:hAnsi="Book Antiqua"/>
        </w:rPr>
        <w:t xml:space="preserve"> W. Effects of group I metabotropic glutamate receptors blockade in experimental models of Parkinson's disease. </w:t>
      </w:r>
      <w:r w:rsidRPr="002B7717">
        <w:rPr>
          <w:rFonts w:ascii="Book Antiqua" w:hAnsi="Book Antiqua"/>
          <w:i/>
          <w:iCs/>
        </w:rPr>
        <w:t>Brain Res Bull</w:t>
      </w:r>
      <w:r w:rsidRPr="002B7717">
        <w:rPr>
          <w:rFonts w:ascii="Book Antiqua" w:hAnsi="Book Antiqua"/>
        </w:rPr>
        <w:t> 2006; </w:t>
      </w:r>
      <w:r w:rsidRPr="002B7717">
        <w:rPr>
          <w:rFonts w:ascii="Book Antiqua" w:hAnsi="Book Antiqua"/>
          <w:b/>
          <w:bCs/>
        </w:rPr>
        <w:t>69</w:t>
      </w:r>
      <w:r w:rsidRPr="002B7717">
        <w:rPr>
          <w:rFonts w:ascii="Book Antiqua" w:hAnsi="Book Antiqua"/>
        </w:rPr>
        <w:t>: 318-326 [PMID: 16564428 DOI: 10.</w:t>
      </w:r>
      <w:r w:rsidR="00C6107D">
        <w:rPr>
          <w:rFonts w:ascii="Book Antiqua" w:hAnsi="Book Antiqua"/>
        </w:rPr>
        <w:t>1016/j.brainresbull.2005.12.009</w:t>
      </w:r>
      <w:r w:rsidRPr="002B7717">
        <w:rPr>
          <w:rFonts w:ascii="Book Antiqua" w:hAnsi="Book Antiqua"/>
        </w:rPr>
        <w:t>]</w:t>
      </w:r>
    </w:p>
    <w:p w14:paraId="196928C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55 </w:t>
      </w:r>
      <w:proofErr w:type="spellStart"/>
      <w:r w:rsidRPr="002B7717">
        <w:rPr>
          <w:rFonts w:ascii="Book Antiqua" w:hAnsi="Book Antiqua"/>
          <w:b/>
          <w:bCs/>
        </w:rPr>
        <w:t>Amalric</w:t>
      </w:r>
      <w:proofErr w:type="spellEnd"/>
      <w:r w:rsidRPr="002B7717">
        <w:rPr>
          <w:rFonts w:ascii="Book Antiqua" w:hAnsi="Book Antiqua"/>
          <w:b/>
          <w:bCs/>
        </w:rPr>
        <w:t xml:space="preserve"> M</w:t>
      </w:r>
      <w:r w:rsidRPr="002B7717">
        <w:rPr>
          <w:rFonts w:ascii="Book Antiqua" w:hAnsi="Book Antiqua"/>
        </w:rPr>
        <w:t>. Targeting metabotropic glutamate receptors (</w:t>
      </w:r>
      <w:proofErr w:type="spellStart"/>
      <w:r w:rsidRPr="002B7717">
        <w:rPr>
          <w:rFonts w:ascii="Book Antiqua" w:hAnsi="Book Antiqua"/>
        </w:rPr>
        <w:t>mGluRs</w:t>
      </w:r>
      <w:proofErr w:type="spellEnd"/>
      <w:r w:rsidRPr="002B7717">
        <w:rPr>
          <w:rFonts w:ascii="Book Antiqua" w:hAnsi="Book Antiqua"/>
        </w:rPr>
        <w:t>) in Parkinson's disease. </w:t>
      </w:r>
      <w:proofErr w:type="spellStart"/>
      <w:r w:rsidRPr="002B7717">
        <w:rPr>
          <w:rFonts w:ascii="Book Antiqua" w:hAnsi="Book Antiqua"/>
          <w:i/>
          <w:iCs/>
        </w:rPr>
        <w:t>Curr</w:t>
      </w:r>
      <w:proofErr w:type="spellEnd"/>
      <w:r w:rsidRPr="002B7717">
        <w:rPr>
          <w:rFonts w:ascii="Book Antiqua" w:hAnsi="Book Antiqua"/>
          <w:i/>
          <w:iCs/>
        </w:rPr>
        <w:t xml:space="preserve"> </w:t>
      </w:r>
      <w:proofErr w:type="spellStart"/>
      <w:r w:rsidRPr="002B7717">
        <w:rPr>
          <w:rFonts w:ascii="Book Antiqua" w:hAnsi="Book Antiqua"/>
          <w:i/>
          <w:iCs/>
        </w:rPr>
        <w:t>Opin</w:t>
      </w:r>
      <w:proofErr w:type="spellEnd"/>
      <w:r w:rsidRPr="002B7717">
        <w:rPr>
          <w:rFonts w:ascii="Book Antiqua" w:hAnsi="Book Antiqua"/>
          <w:i/>
          <w:iCs/>
        </w:rPr>
        <w:t xml:space="preserve"> </w:t>
      </w:r>
      <w:proofErr w:type="spellStart"/>
      <w:r w:rsidRPr="002B7717">
        <w:rPr>
          <w:rFonts w:ascii="Book Antiqua" w:hAnsi="Book Antiqua"/>
          <w:i/>
          <w:iCs/>
        </w:rPr>
        <w:t>Pharmacol</w:t>
      </w:r>
      <w:proofErr w:type="spellEnd"/>
      <w:r w:rsidRPr="002B7717">
        <w:rPr>
          <w:rFonts w:ascii="Book Antiqua" w:hAnsi="Book Antiqua"/>
        </w:rPr>
        <w:t> 2015; </w:t>
      </w:r>
      <w:r w:rsidRPr="002B7717">
        <w:rPr>
          <w:rFonts w:ascii="Book Antiqua" w:hAnsi="Book Antiqua"/>
          <w:b/>
          <w:bCs/>
        </w:rPr>
        <w:t>20</w:t>
      </w:r>
      <w:r w:rsidRPr="002B7717">
        <w:rPr>
          <w:rFonts w:ascii="Book Antiqua" w:hAnsi="Book Antiqua"/>
        </w:rPr>
        <w:t>: 29-34 [PMID: 25462289 DOI: 10.1016/j.coph.2014.11.001]</w:t>
      </w:r>
    </w:p>
    <w:p w14:paraId="724E5CBE"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56 </w:t>
      </w:r>
      <w:proofErr w:type="spellStart"/>
      <w:r w:rsidRPr="002B7717">
        <w:rPr>
          <w:rFonts w:ascii="Book Antiqua" w:hAnsi="Book Antiqua"/>
          <w:b/>
          <w:bCs/>
        </w:rPr>
        <w:t>Sebastianutto</w:t>
      </w:r>
      <w:proofErr w:type="spellEnd"/>
      <w:r w:rsidRPr="002B7717">
        <w:rPr>
          <w:rFonts w:ascii="Book Antiqua" w:hAnsi="Book Antiqua"/>
          <w:b/>
          <w:bCs/>
        </w:rPr>
        <w:t xml:space="preserve"> I</w:t>
      </w:r>
      <w:r w:rsidRPr="002B7717">
        <w:rPr>
          <w:rFonts w:ascii="Book Antiqua" w:hAnsi="Book Antiqua"/>
        </w:rPr>
        <w:t xml:space="preserve">, Cenci MA. </w:t>
      </w:r>
      <w:proofErr w:type="spellStart"/>
      <w:r w:rsidRPr="002B7717">
        <w:rPr>
          <w:rFonts w:ascii="Book Antiqua" w:hAnsi="Book Antiqua"/>
        </w:rPr>
        <w:t>mGlu</w:t>
      </w:r>
      <w:proofErr w:type="spellEnd"/>
      <w:r w:rsidRPr="002B7717">
        <w:rPr>
          <w:rFonts w:ascii="Book Antiqua" w:hAnsi="Book Antiqua"/>
        </w:rPr>
        <w:t xml:space="preserve"> receptors in the treatment of Parkinson's disease and L-DOPA-induced dyskinesia. </w:t>
      </w:r>
      <w:proofErr w:type="spellStart"/>
      <w:r w:rsidRPr="002B7717">
        <w:rPr>
          <w:rFonts w:ascii="Book Antiqua" w:hAnsi="Book Antiqua"/>
          <w:i/>
          <w:iCs/>
        </w:rPr>
        <w:t>Curr</w:t>
      </w:r>
      <w:proofErr w:type="spellEnd"/>
      <w:r w:rsidRPr="002B7717">
        <w:rPr>
          <w:rFonts w:ascii="Book Antiqua" w:hAnsi="Book Antiqua"/>
          <w:i/>
          <w:iCs/>
        </w:rPr>
        <w:t xml:space="preserve"> </w:t>
      </w:r>
      <w:proofErr w:type="spellStart"/>
      <w:r w:rsidRPr="002B7717">
        <w:rPr>
          <w:rFonts w:ascii="Book Antiqua" w:hAnsi="Book Antiqua"/>
          <w:i/>
          <w:iCs/>
        </w:rPr>
        <w:t>Opin</w:t>
      </w:r>
      <w:proofErr w:type="spellEnd"/>
      <w:r w:rsidRPr="002B7717">
        <w:rPr>
          <w:rFonts w:ascii="Book Antiqua" w:hAnsi="Book Antiqua"/>
          <w:i/>
          <w:iCs/>
        </w:rPr>
        <w:t xml:space="preserve"> </w:t>
      </w:r>
      <w:proofErr w:type="spellStart"/>
      <w:r w:rsidRPr="002B7717">
        <w:rPr>
          <w:rFonts w:ascii="Book Antiqua" w:hAnsi="Book Antiqua"/>
          <w:i/>
          <w:iCs/>
        </w:rPr>
        <w:t>Pharmacol</w:t>
      </w:r>
      <w:proofErr w:type="spellEnd"/>
      <w:r w:rsidRPr="002B7717">
        <w:rPr>
          <w:rFonts w:ascii="Book Antiqua" w:hAnsi="Book Antiqua"/>
        </w:rPr>
        <w:t> 2018; </w:t>
      </w:r>
      <w:r w:rsidRPr="002B7717">
        <w:rPr>
          <w:rFonts w:ascii="Book Antiqua" w:hAnsi="Book Antiqua"/>
          <w:b/>
          <w:bCs/>
        </w:rPr>
        <w:t>38</w:t>
      </w:r>
      <w:r w:rsidRPr="002B7717">
        <w:rPr>
          <w:rFonts w:ascii="Book Antiqua" w:hAnsi="Book Antiqua"/>
        </w:rPr>
        <w:t>: 81-89 [PMID: 29625424 DOI: 10.1016/j.coph.2018.03.003]</w:t>
      </w:r>
    </w:p>
    <w:p w14:paraId="4348C7EE"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57 </w:t>
      </w:r>
      <w:r w:rsidRPr="002B7717">
        <w:rPr>
          <w:rFonts w:ascii="Book Antiqua" w:hAnsi="Book Antiqua"/>
          <w:b/>
          <w:bCs/>
        </w:rPr>
        <w:t>Pin JP</w:t>
      </w:r>
      <w:r w:rsidRPr="002B7717">
        <w:rPr>
          <w:rFonts w:ascii="Book Antiqua" w:hAnsi="Book Antiqua"/>
        </w:rPr>
        <w:t xml:space="preserve">, </w:t>
      </w:r>
      <w:proofErr w:type="spellStart"/>
      <w:r w:rsidRPr="002B7717">
        <w:rPr>
          <w:rFonts w:ascii="Book Antiqua" w:hAnsi="Book Antiqua"/>
        </w:rPr>
        <w:t>Bockaert</w:t>
      </w:r>
      <w:proofErr w:type="spellEnd"/>
      <w:r w:rsidRPr="002B7717">
        <w:rPr>
          <w:rFonts w:ascii="Book Antiqua" w:hAnsi="Book Antiqua"/>
        </w:rPr>
        <w:t xml:space="preserve"> J. Get receptive to metabotropic glutamate receptors. </w:t>
      </w:r>
      <w:proofErr w:type="spellStart"/>
      <w:r w:rsidRPr="002B7717">
        <w:rPr>
          <w:rFonts w:ascii="Book Antiqua" w:hAnsi="Book Antiqua"/>
          <w:i/>
          <w:iCs/>
        </w:rPr>
        <w:t>Curr</w:t>
      </w:r>
      <w:proofErr w:type="spellEnd"/>
      <w:r w:rsidRPr="002B7717">
        <w:rPr>
          <w:rFonts w:ascii="Book Antiqua" w:hAnsi="Book Antiqua"/>
          <w:i/>
          <w:iCs/>
        </w:rPr>
        <w:t xml:space="preserve"> </w:t>
      </w:r>
      <w:proofErr w:type="spellStart"/>
      <w:r w:rsidRPr="002B7717">
        <w:rPr>
          <w:rFonts w:ascii="Book Antiqua" w:hAnsi="Book Antiqua"/>
          <w:i/>
          <w:iCs/>
        </w:rPr>
        <w:t>Opin</w:t>
      </w:r>
      <w:proofErr w:type="spellEnd"/>
      <w:r w:rsidRPr="002B7717">
        <w:rPr>
          <w:rFonts w:ascii="Book Antiqua" w:hAnsi="Book Antiqua"/>
          <w:i/>
          <w:iCs/>
        </w:rPr>
        <w:t xml:space="preserve"> </w:t>
      </w:r>
      <w:proofErr w:type="spellStart"/>
      <w:r w:rsidRPr="002B7717">
        <w:rPr>
          <w:rFonts w:ascii="Book Antiqua" w:hAnsi="Book Antiqua"/>
          <w:i/>
          <w:iCs/>
        </w:rPr>
        <w:t>Neurobiol</w:t>
      </w:r>
      <w:proofErr w:type="spellEnd"/>
      <w:r w:rsidRPr="002B7717">
        <w:rPr>
          <w:rFonts w:ascii="Book Antiqua" w:hAnsi="Book Antiqua"/>
        </w:rPr>
        <w:t> 1995; </w:t>
      </w:r>
      <w:r w:rsidRPr="002B7717">
        <w:rPr>
          <w:rFonts w:ascii="Book Antiqua" w:hAnsi="Book Antiqua"/>
          <w:b/>
          <w:bCs/>
        </w:rPr>
        <w:t>5</w:t>
      </w:r>
      <w:r w:rsidRPr="002B7717">
        <w:rPr>
          <w:rFonts w:ascii="Book Antiqua" w:hAnsi="Book Antiqua"/>
        </w:rPr>
        <w:t>: 342-349 [PMID: 7580157 DOI: 10.1016/0959-4388(95)80047-6]</w:t>
      </w:r>
    </w:p>
    <w:p w14:paraId="5A2AC64F"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58 </w:t>
      </w:r>
      <w:r w:rsidRPr="002B7717">
        <w:rPr>
          <w:rFonts w:ascii="Book Antiqua" w:hAnsi="Book Antiqua"/>
          <w:b/>
          <w:bCs/>
        </w:rPr>
        <w:t>Nicoletti F</w:t>
      </w:r>
      <w:r w:rsidRPr="002B7717">
        <w:rPr>
          <w:rFonts w:ascii="Book Antiqua" w:hAnsi="Book Antiqua"/>
        </w:rPr>
        <w:t xml:space="preserve">, </w:t>
      </w:r>
      <w:proofErr w:type="spellStart"/>
      <w:r w:rsidRPr="002B7717">
        <w:rPr>
          <w:rFonts w:ascii="Book Antiqua" w:hAnsi="Book Antiqua"/>
        </w:rPr>
        <w:t>Bockaert</w:t>
      </w:r>
      <w:proofErr w:type="spellEnd"/>
      <w:r w:rsidRPr="002B7717">
        <w:rPr>
          <w:rFonts w:ascii="Book Antiqua" w:hAnsi="Book Antiqua"/>
        </w:rPr>
        <w:t xml:space="preserve"> J, </w:t>
      </w:r>
      <w:proofErr w:type="spellStart"/>
      <w:r w:rsidRPr="002B7717">
        <w:rPr>
          <w:rFonts w:ascii="Book Antiqua" w:hAnsi="Book Antiqua"/>
        </w:rPr>
        <w:t>Collingridge</w:t>
      </w:r>
      <w:proofErr w:type="spellEnd"/>
      <w:r w:rsidRPr="002B7717">
        <w:rPr>
          <w:rFonts w:ascii="Book Antiqua" w:hAnsi="Book Antiqua"/>
        </w:rPr>
        <w:t xml:space="preserve"> GL, Conn PJ, </w:t>
      </w:r>
      <w:proofErr w:type="spellStart"/>
      <w:r w:rsidRPr="002B7717">
        <w:rPr>
          <w:rFonts w:ascii="Book Antiqua" w:hAnsi="Book Antiqua"/>
        </w:rPr>
        <w:t>Ferraguti</w:t>
      </w:r>
      <w:proofErr w:type="spellEnd"/>
      <w:r w:rsidRPr="002B7717">
        <w:rPr>
          <w:rFonts w:ascii="Book Antiqua" w:hAnsi="Book Antiqua"/>
        </w:rPr>
        <w:t xml:space="preserve"> F, </w:t>
      </w:r>
      <w:proofErr w:type="spellStart"/>
      <w:r w:rsidRPr="002B7717">
        <w:rPr>
          <w:rFonts w:ascii="Book Antiqua" w:hAnsi="Book Antiqua"/>
        </w:rPr>
        <w:t>Schoepp</w:t>
      </w:r>
      <w:proofErr w:type="spellEnd"/>
      <w:r w:rsidRPr="002B7717">
        <w:rPr>
          <w:rFonts w:ascii="Book Antiqua" w:hAnsi="Book Antiqua"/>
        </w:rPr>
        <w:t xml:space="preserve"> DD, </w:t>
      </w:r>
      <w:proofErr w:type="spellStart"/>
      <w:r w:rsidRPr="002B7717">
        <w:rPr>
          <w:rFonts w:ascii="Book Antiqua" w:hAnsi="Book Antiqua"/>
        </w:rPr>
        <w:t>Wroblewski</w:t>
      </w:r>
      <w:proofErr w:type="spellEnd"/>
      <w:r w:rsidRPr="002B7717">
        <w:rPr>
          <w:rFonts w:ascii="Book Antiqua" w:hAnsi="Book Antiqua"/>
        </w:rPr>
        <w:t xml:space="preserve"> JT, Pin JP. Metabotropic glutamate receptors: from the workbench to the bedside. </w:t>
      </w:r>
      <w:r w:rsidRPr="002B7717">
        <w:rPr>
          <w:rFonts w:ascii="Book Antiqua" w:hAnsi="Book Antiqua"/>
          <w:i/>
          <w:iCs/>
        </w:rPr>
        <w:t>Neuropharmacology</w:t>
      </w:r>
      <w:r w:rsidRPr="002B7717">
        <w:rPr>
          <w:rFonts w:ascii="Book Antiqua" w:hAnsi="Book Antiqua"/>
        </w:rPr>
        <w:t> 2011; </w:t>
      </w:r>
      <w:r w:rsidRPr="002B7717">
        <w:rPr>
          <w:rFonts w:ascii="Book Antiqua" w:hAnsi="Book Antiqua"/>
          <w:b/>
          <w:bCs/>
        </w:rPr>
        <w:t>60</w:t>
      </w:r>
      <w:r w:rsidRPr="002B7717">
        <w:rPr>
          <w:rFonts w:ascii="Book Antiqua" w:hAnsi="Book Antiqua"/>
        </w:rPr>
        <w:t>: 1017-1041 [PMID: 21036182 DOI: 10.1016/j.neuropharm.2010.10.022]</w:t>
      </w:r>
    </w:p>
    <w:p w14:paraId="36069E2A"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59 </w:t>
      </w:r>
      <w:proofErr w:type="spellStart"/>
      <w:r w:rsidRPr="002B7717">
        <w:rPr>
          <w:rFonts w:ascii="Book Antiqua" w:hAnsi="Book Antiqua"/>
          <w:b/>
          <w:bCs/>
        </w:rPr>
        <w:t>Endoh</w:t>
      </w:r>
      <w:proofErr w:type="spellEnd"/>
      <w:r w:rsidRPr="002B7717">
        <w:rPr>
          <w:rFonts w:ascii="Book Antiqua" w:hAnsi="Book Antiqua"/>
          <w:b/>
          <w:bCs/>
        </w:rPr>
        <w:t xml:space="preserve"> T</w:t>
      </w:r>
      <w:r w:rsidRPr="002B7717">
        <w:rPr>
          <w:rFonts w:ascii="Book Antiqua" w:hAnsi="Book Antiqua"/>
        </w:rPr>
        <w:t>. Characterization of modulatory effects of postsynaptic metabotropic glutamate receptors on calcium currents in rat nucleus tractus solitarius. </w:t>
      </w:r>
      <w:r w:rsidRPr="002B7717">
        <w:rPr>
          <w:rFonts w:ascii="Book Antiqua" w:hAnsi="Book Antiqua"/>
          <w:i/>
          <w:iCs/>
        </w:rPr>
        <w:t>Brain Res</w:t>
      </w:r>
      <w:r w:rsidRPr="002B7717">
        <w:rPr>
          <w:rFonts w:ascii="Book Antiqua" w:hAnsi="Book Antiqua"/>
        </w:rPr>
        <w:t> 2004; </w:t>
      </w:r>
      <w:r w:rsidRPr="002B7717">
        <w:rPr>
          <w:rFonts w:ascii="Book Antiqua" w:hAnsi="Book Antiqua"/>
          <w:b/>
          <w:bCs/>
        </w:rPr>
        <w:t>1024</w:t>
      </w:r>
      <w:r w:rsidRPr="002B7717">
        <w:rPr>
          <w:rFonts w:ascii="Book Antiqua" w:hAnsi="Book Antiqua"/>
        </w:rPr>
        <w:t>: 212-224 [PMID: 15451384 DOI: 10.1016/j.brainres.2004.07.074]</w:t>
      </w:r>
    </w:p>
    <w:p w14:paraId="36EE8674"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60 </w:t>
      </w:r>
      <w:r w:rsidRPr="002B7717">
        <w:rPr>
          <w:rFonts w:ascii="Book Antiqua" w:hAnsi="Book Antiqua"/>
          <w:b/>
          <w:bCs/>
        </w:rPr>
        <w:t>Rouse ST</w:t>
      </w:r>
      <w:r w:rsidRPr="002B7717">
        <w:rPr>
          <w:rFonts w:ascii="Book Antiqua" w:hAnsi="Book Antiqua"/>
        </w:rPr>
        <w:t xml:space="preserve">, Marino MJ, Bradley SR, </w:t>
      </w:r>
      <w:proofErr w:type="spellStart"/>
      <w:r w:rsidRPr="002B7717">
        <w:rPr>
          <w:rFonts w:ascii="Book Antiqua" w:hAnsi="Book Antiqua"/>
        </w:rPr>
        <w:t>Awad</w:t>
      </w:r>
      <w:proofErr w:type="spellEnd"/>
      <w:r w:rsidRPr="002B7717">
        <w:rPr>
          <w:rFonts w:ascii="Book Antiqua" w:hAnsi="Book Antiqua"/>
        </w:rPr>
        <w:t xml:space="preserve"> H, Wittmann M, Conn PJ. Distribution and roles of metabotropic glutamate receptors in the basal ganglia motor circuit: implications for treatment of Parkinson's disease and related disorders. </w:t>
      </w:r>
      <w:proofErr w:type="spellStart"/>
      <w:r w:rsidRPr="002B7717">
        <w:rPr>
          <w:rFonts w:ascii="Book Antiqua" w:hAnsi="Book Antiqua"/>
          <w:i/>
          <w:iCs/>
        </w:rPr>
        <w:t>Pharmacol</w:t>
      </w:r>
      <w:proofErr w:type="spellEnd"/>
      <w:r w:rsidRPr="002B7717">
        <w:rPr>
          <w:rFonts w:ascii="Book Antiqua" w:hAnsi="Book Antiqua"/>
          <w:i/>
          <w:iCs/>
        </w:rPr>
        <w:t xml:space="preserve"> </w:t>
      </w:r>
      <w:proofErr w:type="spellStart"/>
      <w:r w:rsidRPr="002B7717">
        <w:rPr>
          <w:rFonts w:ascii="Book Antiqua" w:hAnsi="Book Antiqua"/>
          <w:i/>
          <w:iCs/>
        </w:rPr>
        <w:t>Ther</w:t>
      </w:r>
      <w:proofErr w:type="spellEnd"/>
      <w:r w:rsidRPr="002B7717">
        <w:rPr>
          <w:rFonts w:ascii="Book Antiqua" w:hAnsi="Book Antiqua"/>
        </w:rPr>
        <w:t> 2000; </w:t>
      </w:r>
      <w:r w:rsidRPr="002B7717">
        <w:rPr>
          <w:rFonts w:ascii="Book Antiqua" w:hAnsi="Book Antiqua"/>
          <w:b/>
          <w:bCs/>
        </w:rPr>
        <w:t>88</w:t>
      </w:r>
      <w:r w:rsidRPr="002B7717">
        <w:rPr>
          <w:rFonts w:ascii="Book Antiqua" w:hAnsi="Book Antiqua"/>
        </w:rPr>
        <w:t>: 427-435 [PMID: 11337032 DOI: 10.1016/s0163-7258(00)00098-x]</w:t>
      </w:r>
    </w:p>
    <w:p w14:paraId="77A8D7C5"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61 </w:t>
      </w:r>
      <w:proofErr w:type="spellStart"/>
      <w:r w:rsidRPr="002B7717">
        <w:rPr>
          <w:rFonts w:ascii="Book Antiqua" w:hAnsi="Book Antiqua"/>
          <w:b/>
          <w:bCs/>
        </w:rPr>
        <w:t>Boccella</w:t>
      </w:r>
      <w:proofErr w:type="spellEnd"/>
      <w:r w:rsidRPr="002B7717">
        <w:rPr>
          <w:rFonts w:ascii="Book Antiqua" w:hAnsi="Book Antiqua"/>
          <w:b/>
          <w:bCs/>
        </w:rPr>
        <w:t xml:space="preserve"> S</w:t>
      </w:r>
      <w:r w:rsidRPr="002B7717">
        <w:rPr>
          <w:rFonts w:ascii="Book Antiqua" w:hAnsi="Book Antiqua"/>
        </w:rPr>
        <w:t xml:space="preserve">, </w:t>
      </w:r>
      <w:proofErr w:type="spellStart"/>
      <w:r w:rsidRPr="002B7717">
        <w:rPr>
          <w:rFonts w:ascii="Book Antiqua" w:hAnsi="Book Antiqua"/>
        </w:rPr>
        <w:t>Marabese</w:t>
      </w:r>
      <w:proofErr w:type="spellEnd"/>
      <w:r w:rsidRPr="002B7717">
        <w:rPr>
          <w:rFonts w:ascii="Book Antiqua" w:hAnsi="Book Antiqua"/>
        </w:rPr>
        <w:t xml:space="preserve"> I, </w:t>
      </w:r>
      <w:proofErr w:type="spellStart"/>
      <w:r w:rsidRPr="002B7717">
        <w:rPr>
          <w:rFonts w:ascii="Book Antiqua" w:hAnsi="Book Antiqua"/>
        </w:rPr>
        <w:t>Guida</w:t>
      </w:r>
      <w:proofErr w:type="spellEnd"/>
      <w:r w:rsidRPr="002B7717">
        <w:rPr>
          <w:rFonts w:ascii="Book Antiqua" w:hAnsi="Book Antiqua"/>
        </w:rPr>
        <w:t xml:space="preserve"> F, </w:t>
      </w:r>
      <w:proofErr w:type="spellStart"/>
      <w:r w:rsidRPr="002B7717">
        <w:rPr>
          <w:rFonts w:ascii="Book Antiqua" w:hAnsi="Book Antiqua"/>
        </w:rPr>
        <w:t>Luongo</w:t>
      </w:r>
      <w:proofErr w:type="spellEnd"/>
      <w:r w:rsidRPr="002B7717">
        <w:rPr>
          <w:rFonts w:ascii="Book Antiqua" w:hAnsi="Book Antiqua"/>
        </w:rPr>
        <w:t xml:space="preserve"> L, </w:t>
      </w:r>
      <w:proofErr w:type="spellStart"/>
      <w:r w:rsidRPr="002B7717">
        <w:rPr>
          <w:rFonts w:ascii="Book Antiqua" w:hAnsi="Book Antiqua"/>
        </w:rPr>
        <w:t>Maione</w:t>
      </w:r>
      <w:proofErr w:type="spellEnd"/>
      <w:r w:rsidRPr="002B7717">
        <w:rPr>
          <w:rFonts w:ascii="Book Antiqua" w:hAnsi="Book Antiqua"/>
        </w:rPr>
        <w:t xml:space="preserve"> S, Palazzo E. The Modulation of Pain by Metabotropic Glutamate Receptors 7 and 8 in the Dorsal Striatum. </w:t>
      </w:r>
      <w:proofErr w:type="spellStart"/>
      <w:r w:rsidRPr="002B7717">
        <w:rPr>
          <w:rFonts w:ascii="Book Antiqua" w:hAnsi="Book Antiqua"/>
          <w:i/>
          <w:iCs/>
        </w:rPr>
        <w:t>Curr</w:t>
      </w:r>
      <w:proofErr w:type="spellEnd"/>
      <w:r w:rsidRPr="002B7717">
        <w:rPr>
          <w:rFonts w:ascii="Book Antiqua" w:hAnsi="Book Antiqua"/>
          <w:i/>
          <w:iCs/>
        </w:rPr>
        <w:t xml:space="preserve"> </w:t>
      </w:r>
      <w:proofErr w:type="spellStart"/>
      <w:r w:rsidRPr="002B7717">
        <w:rPr>
          <w:rFonts w:ascii="Book Antiqua" w:hAnsi="Book Antiqua"/>
          <w:i/>
          <w:iCs/>
        </w:rPr>
        <w:t>Neuropharmacol</w:t>
      </w:r>
      <w:proofErr w:type="spellEnd"/>
      <w:r w:rsidRPr="002B7717">
        <w:rPr>
          <w:rFonts w:ascii="Book Antiqua" w:hAnsi="Book Antiqua"/>
        </w:rPr>
        <w:t> 2020; </w:t>
      </w:r>
      <w:r w:rsidRPr="002B7717">
        <w:rPr>
          <w:rFonts w:ascii="Book Antiqua" w:hAnsi="Book Antiqua"/>
          <w:b/>
          <w:bCs/>
        </w:rPr>
        <w:t>18</w:t>
      </w:r>
      <w:r w:rsidRPr="002B7717">
        <w:rPr>
          <w:rFonts w:ascii="Book Antiqua" w:hAnsi="Book Antiqua"/>
        </w:rPr>
        <w:t>: 34-50 [PMID: 31210112 DOI: 10.2174/1570159X17666190618121859]</w:t>
      </w:r>
    </w:p>
    <w:p w14:paraId="236A934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62 </w:t>
      </w:r>
      <w:proofErr w:type="spellStart"/>
      <w:r w:rsidRPr="002B7717">
        <w:rPr>
          <w:rFonts w:ascii="Book Antiqua" w:hAnsi="Book Antiqua"/>
          <w:b/>
          <w:bCs/>
        </w:rPr>
        <w:t>Matarredona</w:t>
      </w:r>
      <w:proofErr w:type="spellEnd"/>
      <w:r w:rsidRPr="002B7717">
        <w:rPr>
          <w:rFonts w:ascii="Book Antiqua" w:hAnsi="Book Antiqua"/>
          <w:b/>
          <w:bCs/>
        </w:rPr>
        <w:t xml:space="preserve"> ER</w:t>
      </w:r>
      <w:r w:rsidRPr="002B7717">
        <w:rPr>
          <w:rFonts w:ascii="Book Antiqua" w:hAnsi="Book Antiqua"/>
        </w:rPr>
        <w:t xml:space="preserve">, Santiago M, </w:t>
      </w:r>
      <w:proofErr w:type="spellStart"/>
      <w:r w:rsidRPr="002B7717">
        <w:rPr>
          <w:rFonts w:ascii="Book Antiqua" w:hAnsi="Book Antiqua"/>
        </w:rPr>
        <w:t>Venero</w:t>
      </w:r>
      <w:proofErr w:type="spellEnd"/>
      <w:r w:rsidRPr="002B7717">
        <w:rPr>
          <w:rFonts w:ascii="Book Antiqua" w:hAnsi="Book Antiqua"/>
        </w:rPr>
        <w:t xml:space="preserve"> JL, Cano J, Machado A. Group II metabotropic glutamate receptor activation protects striatal dopaminergic nerve terminals against MPP+-induced neurotoxicity along with brain-derived neurotrophic factor induction. </w:t>
      </w:r>
      <w:r w:rsidRPr="002B7717">
        <w:rPr>
          <w:rFonts w:ascii="Book Antiqua" w:hAnsi="Book Antiqua"/>
          <w:i/>
          <w:iCs/>
        </w:rPr>
        <w:t xml:space="preserve">J </w:t>
      </w:r>
      <w:proofErr w:type="spellStart"/>
      <w:r w:rsidRPr="002B7717">
        <w:rPr>
          <w:rFonts w:ascii="Book Antiqua" w:hAnsi="Book Antiqua"/>
          <w:i/>
          <w:iCs/>
        </w:rPr>
        <w:t>Neurochem</w:t>
      </w:r>
      <w:proofErr w:type="spellEnd"/>
      <w:r w:rsidRPr="002B7717">
        <w:rPr>
          <w:rFonts w:ascii="Book Antiqua" w:hAnsi="Book Antiqua"/>
        </w:rPr>
        <w:t> 2001; </w:t>
      </w:r>
      <w:r w:rsidRPr="002B7717">
        <w:rPr>
          <w:rFonts w:ascii="Book Antiqua" w:hAnsi="Book Antiqua"/>
          <w:b/>
          <w:bCs/>
        </w:rPr>
        <w:t>76</w:t>
      </w:r>
      <w:r w:rsidRPr="002B7717">
        <w:rPr>
          <w:rFonts w:ascii="Book Antiqua" w:hAnsi="Book Antiqua"/>
        </w:rPr>
        <w:t>: 351-360 [PMID: 11208898 DOI: 10.1046/j.1471-4159.2001.00056.x]</w:t>
      </w:r>
    </w:p>
    <w:p w14:paraId="4AA10E9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63 </w:t>
      </w:r>
      <w:r w:rsidRPr="002B7717">
        <w:rPr>
          <w:rFonts w:ascii="Book Antiqua" w:hAnsi="Book Antiqua"/>
          <w:b/>
          <w:bCs/>
        </w:rPr>
        <w:t>Jiang Q</w:t>
      </w:r>
      <w:r w:rsidRPr="002B7717">
        <w:rPr>
          <w:rFonts w:ascii="Book Antiqua" w:hAnsi="Book Antiqua"/>
        </w:rPr>
        <w:t>, Yan Z, Feng J. Activation of group III metabotropic glutamate receptors attenuates rotenone toxicity on dopaminergic neurons through a microtubule-dependent mechanism. </w:t>
      </w:r>
      <w:r w:rsidRPr="002B7717">
        <w:rPr>
          <w:rFonts w:ascii="Book Antiqua" w:hAnsi="Book Antiqua"/>
          <w:i/>
          <w:iCs/>
        </w:rPr>
        <w:t xml:space="preserve">J </w:t>
      </w:r>
      <w:proofErr w:type="spellStart"/>
      <w:r w:rsidRPr="002B7717">
        <w:rPr>
          <w:rFonts w:ascii="Book Antiqua" w:hAnsi="Book Antiqua"/>
          <w:i/>
          <w:iCs/>
        </w:rPr>
        <w:t>Neurosci</w:t>
      </w:r>
      <w:proofErr w:type="spellEnd"/>
      <w:r w:rsidRPr="002B7717">
        <w:rPr>
          <w:rFonts w:ascii="Book Antiqua" w:hAnsi="Book Antiqua"/>
        </w:rPr>
        <w:t> 2006; </w:t>
      </w:r>
      <w:r w:rsidRPr="002B7717">
        <w:rPr>
          <w:rFonts w:ascii="Book Antiqua" w:hAnsi="Book Antiqua"/>
          <w:b/>
          <w:bCs/>
        </w:rPr>
        <w:t>26</w:t>
      </w:r>
      <w:r w:rsidRPr="002B7717">
        <w:rPr>
          <w:rFonts w:ascii="Book Antiqua" w:hAnsi="Book Antiqua"/>
        </w:rPr>
        <w:t>: 4318-4328 [PMID: 16624952 DOI: 10.1523/JNEUROSCI.0118-06.2006]</w:t>
      </w:r>
    </w:p>
    <w:p w14:paraId="1FB9A41A"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64 </w:t>
      </w:r>
      <w:r w:rsidRPr="002B7717">
        <w:rPr>
          <w:rFonts w:ascii="Book Antiqua" w:hAnsi="Book Antiqua"/>
          <w:b/>
          <w:bCs/>
        </w:rPr>
        <w:t>Sun L</w:t>
      </w:r>
      <w:r w:rsidRPr="002B7717">
        <w:rPr>
          <w:rFonts w:ascii="Book Antiqua" w:hAnsi="Book Antiqua"/>
        </w:rPr>
        <w:t>, Gu L, Wang S, Yuan J, Yang H, Zhu J, Zhang H. N-acetylcysteine protects against apoptosis through modulation of group I metabotropic glutamate receptor activity. </w:t>
      </w:r>
      <w:proofErr w:type="spellStart"/>
      <w:r w:rsidRPr="002B7717">
        <w:rPr>
          <w:rFonts w:ascii="Book Antiqua" w:hAnsi="Book Antiqua"/>
          <w:i/>
          <w:iCs/>
        </w:rPr>
        <w:t>PLoS</w:t>
      </w:r>
      <w:proofErr w:type="spellEnd"/>
      <w:r w:rsidRPr="002B7717">
        <w:rPr>
          <w:rFonts w:ascii="Book Antiqua" w:hAnsi="Book Antiqua"/>
          <w:i/>
          <w:iCs/>
        </w:rPr>
        <w:t xml:space="preserve"> One</w:t>
      </w:r>
      <w:r w:rsidRPr="002B7717">
        <w:rPr>
          <w:rFonts w:ascii="Book Antiqua" w:hAnsi="Book Antiqua"/>
        </w:rPr>
        <w:t> 2012; </w:t>
      </w:r>
      <w:r w:rsidRPr="002B7717">
        <w:rPr>
          <w:rFonts w:ascii="Book Antiqua" w:hAnsi="Book Antiqua"/>
          <w:b/>
          <w:bCs/>
        </w:rPr>
        <w:t>7</w:t>
      </w:r>
      <w:r w:rsidRPr="002B7717">
        <w:rPr>
          <w:rFonts w:ascii="Book Antiqua" w:hAnsi="Book Antiqua"/>
        </w:rPr>
        <w:t>: e32503 [PMID: 22442667 DOI: 10.1371/journal.pone.0032503]</w:t>
      </w:r>
    </w:p>
    <w:p w14:paraId="2FD94CD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65 </w:t>
      </w:r>
      <w:r w:rsidRPr="002B7717">
        <w:rPr>
          <w:rFonts w:ascii="Book Antiqua" w:hAnsi="Book Antiqua"/>
          <w:b/>
          <w:bCs/>
        </w:rPr>
        <w:t>Xia N</w:t>
      </w:r>
      <w:r w:rsidRPr="002B7717">
        <w:rPr>
          <w:rFonts w:ascii="Book Antiqua" w:hAnsi="Book Antiqua"/>
        </w:rPr>
        <w:t xml:space="preserve">, Zhang Q, Wang ST, Gu L, Yang HM, Liu L, </w:t>
      </w:r>
      <w:proofErr w:type="spellStart"/>
      <w:r w:rsidRPr="002B7717">
        <w:rPr>
          <w:rFonts w:ascii="Book Antiqua" w:hAnsi="Book Antiqua"/>
        </w:rPr>
        <w:t>Bakshi</w:t>
      </w:r>
      <w:proofErr w:type="spellEnd"/>
      <w:r w:rsidRPr="002B7717">
        <w:rPr>
          <w:rFonts w:ascii="Book Antiqua" w:hAnsi="Book Antiqua"/>
        </w:rPr>
        <w:t xml:space="preserve"> R, Yang H, Zhang H. Blockade of metabotropic glutamate receptor 5 protects against DNA damage in a rotenone-induced Parkinson's disease model. </w:t>
      </w:r>
      <w:r w:rsidRPr="002B7717">
        <w:rPr>
          <w:rFonts w:ascii="Book Antiqua" w:hAnsi="Book Antiqua"/>
          <w:i/>
          <w:iCs/>
        </w:rPr>
        <w:t xml:space="preserve">Free </w:t>
      </w:r>
      <w:proofErr w:type="spellStart"/>
      <w:r w:rsidRPr="002B7717">
        <w:rPr>
          <w:rFonts w:ascii="Book Antiqua" w:hAnsi="Book Antiqua"/>
          <w:i/>
          <w:iCs/>
        </w:rPr>
        <w:t>Radic</w:t>
      </w:r>
      <w:proofErr w:type="spellEnd"/>
      <w:r w:rsidRPr="002B7717">
        <w:rPr>
          <w:rFonts w:ascii="Book Antiqua" w:hAnsi="Book Antiqua"/>
          <w:i/>
          <w:iCs/>
        </w:rPr>
        <w:t xml:space="preserve"> Biol Med</w:t>
      </w:r>
      <w:r w:rsidRPr="002B7717">
        <w:rPr>
          <w:rFonts w:ascii="Book Antiqua" w:hAnsi="Book Antiqua"/>
        </w:rPr>
        <w:t> 2015; </w:t>
      </w:r>
      <w:r w:rsidRPr="002B7717">
        <w:rPr>
          <w:rFonts w:ascii="Book Antiqua" w:hAnsi="Book Antiqua"/>
          <w:b/>
          <w:bCs/>
        </w:rPr>
        <w:t>89</w:t>
      </w:r>
      <w:r w:rsidRPr="002B7717">
        <w:rPr>
          <w:rFonts w:ascii="Book Antiqua" w:hAnsi="Book Antiqua"/>
        </w:rPr>
        <w:t>: 567-580 [PMID: 26454081 DOI: 10.1016/j.freeradbiomed.2015.09.017]</w:t>
      </w:r>
    </w:p>
    <w:p w14:paraId="3E65B450"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66 </w:t>
      </w:r>
      <w:r w:rsidRPr="002B7717">
        <w:rPr>
          <w:rFonts w:ascii="Book Antiqua" w:hAnsi="Book Antiqua"/>
          <w:b/>
          <w:bCs/>
        </w:rPr>
        <w:t>Bai XX</w:t>
      </w:r>
      <w:r w:rsidRPr="002B7717">
        <w:rPr>
          <w:rFonts w:ascii="Book Antiqua" w:hAnsi="Book Antiqua"/>
        </w:rPr>
        <w:t>, Gu L, Yang HM, Xi SS, Xia N, Zhang S, Zhang H. Downregulation of metabotropic glutamate receptor 5 inhibits hepatoma development in a neurotoxin rotenone-induced Parkinson's disease model. </w:t>
      </w:r>
      <w:proofErr w:type="spellStart"/>
      <w:r w:rsidRPr="002B7717">
        <w:rPr>
          <w:rFonts w:ascii="Book Antiqua" w:hAnsi="Book Antiqua"/>
          <w:i/>
          <w:iCs/>
        </w:rPr>
        <w:t>Toxicol</w:t>
      </w:r>
      <w:proofErr w:type="spellEnd"/>
      <w:r w:rsidRPr="002B7717">
        <w:rPr>
          <w:rFonts w:ascii="Book Antiqua" w:hAnsi="Book Antiqua"/>
          <w:i/>
          <w:iCs/>
        </w:rPr>
        <w:t xml:space="preserve"> Lett</w:t>
      </w:r>
      <w:r w:rsidRPr="002B7717">
        <w:rPr>
          <w:rFonts w:ascii="Book Antiqua" w:hAnsi="Book Antiqua"/>
        </w:rPr>
        <w:t> 2018; </w:t>
      </w:r>
      <w:r w:rsidRPr="002B7717">
        <w:rPr>
          <w:rFonts w:ascii="Book Antiqua" w:hAnsi="Book Antiqua"/>
          <w:b/>
          <w:bCs/>
        </w:rPr>
        <w:t>288</w:t>
      </w:r>
      <w:r w:rsidRPr="002B7717">
        <w:rPr>
          <w:rFonts w:ascii="Book Antiqua" w:hAnsi="Book Antiqua"/>
        </w:rPr>
        <w:t>: 71-81 [PMID: 29458170 DOI: 10.1016/j.toxlet.2018.02.019]</w:t>
      </w:r>
    </w:p>
    <w:p w14:paraId="5EC3439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67 </w:t>
      </w:r>
      <w:r w:rsidRPr="002B7717">
        <w:rPr>
          <w:rFonts w:ascii="Book Antiqua" w:hAnsi="Book Antiqua"/>
          <w:b/>
          <w:bCs/>
        </w:rPr>
        <w:t>Luo WY</w:t>
      </w:r>
      <w:r w:rsidRPr="002B7717">
        <w:rPr>
          <w:rFonts w:ascii="Book Antiqua" w:hAnsi="Book Antiqua"/>
        </w:rPr>
        <w:t>, Xing SQ, Zhu P, Zhang CG, Yang HM, Van Halm-</w:t>
      </w:r>
      <w:proofErr w:type="spellStart"/>
      <w:r w:rsidRPr="002B7717">
        <w:rPr>
          <w:rFonts w:ascii="Book Antiqua" w:hAnsi="Book Antiqua"/>
        </w:rPr>
        <w:t>Lutterodt</w:t>
      </w:r>
      <w:proofErr w:type="spellEnd"/>
      <w:r w:rsidRPr="002B7717">
        <w:rPr>
          <w:rFonts w:ascii="Book Antiqua" w:hAnsi="Book Antiqua"/>
        </w:rPr>
        <w:t xml:space="preserve"> N, Gu L, Zhang H. PDZ Scaffold Protein CAL Couples with Metabotropic Glutamate Receptor 5 </w:t>
      </w:r>
      <w:r w:rsidRPr="002B7717">
        <w:rPr>
          <w:rFonts w:ascii="Book Antiqua" w:hAnsi="Book Antiqua"/>
        </w:rPr>
        <w:lastRenderedPageBreak/>
        <w:t>to Protect Against Cell Apoptosis and Is a Potential Target in the Treatment of Parkinson's Disease. </w:t>
      </w:r>
      <w:r w:rsidRPr="002B7717">
        <w:rPr>
          <w:rFonts w:ascii="Book Antiqua" w:hAnsi="Book Antiqua"/>
          <w:i/>
          <w:iCs/>
        </w:rPr>
        <w:t>Neurotherapeutics</w:t>
      </w:r>
      <w:r w:rsidRPr="002B7717">
        <w:rPr>
          <w:rFonts w:ascii="Book Antiqua" w:hAnsi="Book Antiqua"/>
        </w:rPr>
        <w:t> 2019; </w:t>
      </w:r>
      <w:r w:rsidRPr="002B7717">
        <w:rPr>
          <w:rFonts w:ascii="Book Antiqua" w:hAnsi="Book Antiqua"/>
          <w:b/>
          <w:bCs/>
        </w:rPr>
        <w:t>16</w:t>
      </w:r>
      <w:r w:rsidRPr="002B7717">
        <w:rPr>
          <w:rFonts w:ascii="Book Antiqua" w:hAnsi="Book Antiqua"/>
        </w:rPr>
        <w:t>: 761-783 [PMID: 31073978 DOI: 10.1007/s13311-019-00730-7]</w:t>
      </w:r>
    </w:p>
    <w:p w14:paraId="0404F29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68 </w:t>
      </w:r>
      <w:r w:rsidRPr="002B7717">
        <w:rPr>
          <w:rFonts w:ascii="Book Antiqua" w:hAnsi="Book Antiqua"/>
          <w:b/>
          <w:bCs/>
        </w:rPr>
        <w:t>Zhu JW</w:t>
      </w:r>
      <w:r w:rsidRPr="002B7717">
        <w:rPr>
          <w:rFonts w:ascii="Book Antiqua" w:hAnsi="Book Antiqua"/>
        </w:rPr>
        <w:t>, Yuan JF, Yang HM, Wang ST, Zhang CG, Sun LL, Yang H, Zhang H. Extracellular cysteine (</w:t>
      </w:r>
      <w:proofErr w:type="spellStart"/>
      <w:r w:rsidRPr="002B7717">
        <w:rPr>
          <w:rFonts w:ascii="Book Antiqua" w:hAnsi="Book Antiqua"/>
        </w:rPr>
        <w:t>Cys</w:t>
      </w:r>
      <w:proofErr w:type="spellEnd"/>
      <w:r w:rsidRPr="002B7717">
        <w:rPr>
          <w:rFonts w:ascii="Book Antiqua" w:hAnsi="Book Antiqua"/>
        </w:rPr>
        <w:t>)/cystine (</w:t>
      </w:r>
      <w:proofErr w:type="spellStart"/>
      <w:r w:rsidRPr="002B7717">
        <w:rPr>
          <w:rFonts w:ascii="Book Antiqua" w:hAnsi="Book Antiqua"/>
        </w:rPr>
        <w:t>CySS</w:t>
      </w:r>
      <w:proofErr w:type="spellEnd"/>
      <w:r w:rsidRPr="002B7717">
        <w:rPr>
          <w:rFonts w:ascii="Book Antiqua" w:hAnsi="Book Antiqua"/>
        </w:rPr>
        <w:t>) redox regulates metabotropic glutamate receptor 5 activity. </w:t>
      </w:r>
      <w:proofErr w:type="spellStart"/>
      <w:r w:rsidRPr="002B7717">
        <w:rPr>
          <w:rFonts w:ascii="Book Antiqua" w:hAnsi="Book Antiqua"/>
          <w:i/>
          <w:iCs/>
        </w:rPr>
        <w:t>Biochimie</w:t>
      </w:r>
      <w:proofErr w:type="spellEnd"/>
      <w:r w:rsidRPr="002B7717">
        <w:rPr>
          <w:rFonts w:ascii="Book Antiqua" w:hAnsi="Book Antiqua"/>
        </w:rPr>
        <w:t> 2012; </w:t>
      </w:r>
      <w:r w:rsidRPr="002B7717">
        <w:rPr>
          <w:rFonts w:ascii="Book Antiqua" w:hAnsi="Book Antiqua"/>
          <w:b/>
          <w:bCs/>
        </w:rPr>
        <w:t>94</w:t>
      </w:r>
      <w:r w:rsidRPr="002B7717">
        <w:rPr>
          <w:rFonts w:ascii="Book Antiqua" w:hAnsi="Book Antiqua"/>
        </w:rPr>
        <w:t>: 617-627 [PMID: 21964032 DOI: 10.1016/j.biochi.2011.09.013]</w:t>
      </w:r>
    </w:p>
    <w:p w14:paraId="4CDB5290"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69 </w:t>
      </w:r>
      <w:proofErr w:type="spellStart"/>
      <w:r w:rsidRPr="002B7717">
        <w:rPr>
          <w:rFonts w:ascii="Book Antiqua" w:hAnsi="Book Antiqua"/>
          <w:b/>
          <w:bCs/>
        </w:rPr>
        <w:t>Bashkatova</w:t>
      </w:r>
      <w:proofErr w:type="spellEnd"/>
      <w:r w:rsidRPr="002B7717">
        <w:rPr>
          <w:rFonts w:ascii="Book Antiqua" w:hAnsi="Book Antiqua"/>
          <w:b/>
          <w:bCs/>
        </w:rPr>
        <w:t xml:space="preserve"> VG</w:t>
      </w:r>
      <w:r w:rsidRPr="002B7717">
        <w:rPr>
          <w:rFonts w:ascii="Book Antiqua" w:hAnsi="Book Antiqua"/>
        </w:rPr>
        <w:t xml:space="preserve">, </w:t>
      </w:r>
      <w:proofErr w:type="spellStart"/>
      <w:r w:rsidRPr="002B7717">
        <w:rPr>
          <w:rFonts w:ascii="Book Antiqua" w:hAnsi="Book Antiqua"/>
        </w:rPr>
        <w:t>Sudakov</w:t>
      </w:r>
      <w:proofErr w:type="spellEnd"/>
      <w:r w:rsidRPr="002B7717">
        <w:rPr>
          <w:rFonts w:ascii="Book Antiqua" w:hAnsi="Book Antiqua"/>
        </w:rPr>
        <w:t xml:space="preserve"> SK. Role of metabotropic glutamate receptors in the mechanisms of experimental parkinsonism development. </w:t>
      </w:r>
      <w:r w:rsidRPr="002B7717">
        <w:rPr>
          <w:rFonts w:ascii="Book Antiqua" w:hAnsi="Book Antiqua"/>
          <w:i/>
          <w:iCs/>
        </w:rPr>
        <w:t>Bull Exp Biol Med</w:t>
      </w:r>
      <w:r w:rsidRPr="002B7717">
        <w:rPr>
          <w:rFonts w:ascii="Book Antiqua" w:hAnsi="Book Antiqua"/>
        </w:rPr>
        <w:t> 2012; </w:t>
      </w:r>
      <w:r w:rsidRPr="002B7717">
        <w:rPr>
          <w:rFonts w:ascii="Book Antiqua" w:hAnsi="Book Antiqua"/>
          <w:b/>
          <w:bCs/>
        </w:rPr>
        <w:t>153</w:t>
      </w:r>
      <w:r w:rsidRPr="002B7717">
        <w:rPr>
          <w:rFonts w:ascii="Book Antiqua" w:hAnsi="Book Antiqua"/>
        </w:rPr>
        <w:t>: 655-657 [PMID: 23113249 DOI: 10.1007/s10517-012-1790-9]</w:t>
      </w:r>
    </w:p>
    <w:p w14:paraId="14FB31A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70 </w:t>
      </w:r>
      <w:proofErr w:type="spellStart"/>
      <w:r w:rsidRPr="002B7717">
        <w:rPr>
          <w:rFonts w:ascii="Book Antiqua" w:hAnsi="Book Antiqua"/>
          <w:b/>
          <w:bCs/>
        </w:rPr>
        <w:t>Alam</w:t>
      </w:r>
      <w:proofErr w:type="spellEnd"/>
      <w:r w:rsidRPr="002B7717">
        <w:rPr>
          <w:rFonts w:ascii="Book Antiqua" w:hAnsi="Book Antiqua"/>
          <w:b/>
          <w:bCs/>
        </w:rPr>
        <w:t xml:space="preserve"> M</w:t>
      </w:r>
      <w:r w:rsidRPr="002B7717">
        <w:rPr>
          <w:rFonts w:ascii="Book Antiqua" w:hAnsi="Book Antiqua"/>
        </w:rPr>
        <w:t xml:space="preserve">, </w:t>
      </w:r>
      <w:proofErr w:type="spellStart"/>
      <w:r w:rsidRPr="002B7717">
        <w:rPr>
          <w:rFonts w:ascii="Book Antiqua" w:hAnsi="Book Antiqua"/>
        </w:rPr>
        <w:t>Danysz</w:t>
      </w:r>
      <w:proofErr w:type="spellEnd"/>
      <w:r w:rsidRPr="002B7717">
        <w:rPr>
          <w:rFonts w:ascii="Book Antiqua" w:hAnsi="Book Antiqua"/>
        </w:rPr>
        <w:t xml:space="preserve"> W, Schmidt WJ, </w:t>
      </w:r>
      <w:proofErr w:type="spellStart"/>
      <w:r w:rsidRPr="002B7717">
        <w:rPr>
          <w:rFonts w:ascii="Book Antiqua" w:hAnsi="Book Antiqua"/>
        </w:rPr>
        <w:t>Dekundy</w:t>
      </w:r>
      <w:proofErr w:type="spellEnd"/>
      <w:r w:rsidRPr="002B7717">
        <w:rPr>
          <w:rFonts w:ascii="Book Antiqua" w:hAnsi="Book Antiqua"/>
        </w:rPr>
        <w:t xml:space="preserve"> A. Effects of glutamate and alpha2-noradrenergic receptor antagonists on the development of neurotoxicity produced by chronic rotenone in rats. </w:t>
      </w:r>
      <w:proofErr w:type="spellStart"/>
      <w:r w:rsidRPr="002B7717">
        <w:rPr>
          <w:rFonts w:ascii="Book Antiqua" w:hAnsi="Book Antiqua"/>
          <w:i/>
          <w:iCs/>
        </w:rPr>
        <w:t>Toxicol</w:t>
      </w:r>
      <w:proofErr w:type="spellEnd"/>
      <w:r w:rsidRPr="002B7717">
        <w:rPr>
          <w:rFonts w:ascii="Book Antiqua" w:hAnsi="Book Antiqua"/>
          <w:i/>
          <w:iCs/>
        </w:rPr>
        <w:t xml:space="preserve"> Appl </w:t>
      </w:r>
      <w:proofErr w:type="spellStart"/>
      <w:r w:rsidRPr="002B7717">
        <w:rPr>
          <w:rFonts w:ascii="Book Antiqua" w:hAnsi="Book Antiqua"/>
          <w:i/>
          <w:iCs/>
        </w:rPr>
        <w:t>Pharmacol</w:t>
      </w:r>
      <w:proofErr w:type="spellEnd"/>
      <w:r w:rsidRPr="002B7717">
        <w:rPr>
          <w:rFonts w:ascii="Book Antiqua" w:hAnsi="Book Antiqua"/>
        </w:rPr>
        <w:t> 2009; </w:t>
      </w:r>
      <w:r w:rsidRPr="002B7717">
        <w:rPr>
          <w:rFonts w:ascii="Book Antiqua" w:hAnsi="Book Antiqua"/>
          <w:b/>
          <w:bCs/>
        </w:rPr>
        <w:t>240</w:t>
      </w:r>
      <w:r w:rsidRPr="002B7717">
        <w:rPr>
          <w:rFonts w:ascii="Book Antiqua" w:hAnsi="Book Antiqua"/>
        </w:rPr>
        <w:t>: 198-207 [PMID: 19616571 DOI: 10.1016/j.taap.2009.07.010]</w:t>
      </w:r>
    </w:p>
    <w:p w14:paraId="03ABED1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71 </w:t>
      </w:r>
      <w:proofErr w:type="spellStart"/>
      <w:r w:rsidRPr="002B7717">
        <w:rPr>
          <w:rFonts w:ascii="Book Antiqua" w:hAnsi="Book Antiqua"/>
          <w:b/>
          <w:bCs/>
        </w:rPr>
        <w:t>Manucha</w:t>
      </w:r>
      <w:proofErr w:type="spellEnd"/>
      <w:r w:rsidRPr="002B7717">
        <w:rPr>
          <w:rFonts w:ascii="Book Antiqua" w:hAnsi="Book Antiqua"/>
          <w:b/>
          <w:bCs/>
        </w:rPr>
        <w:t xml:space="preserve"> W</w:t>
      </w:r>
      <w:r w:rsidRPr="002B7717">
        <w:rPr>
          <w:rFonts w:ascii="Book Antiqua" w:hAnsi="Book Antiqua"/>
        </w:rPr>
        <w:t xml:space="preserve">. Mitochondrial </w:t>
      </w:r>
      <w:proofErr w:type="gramStart"/>
      <w:r w:rsidRPr="002B7717">
        <w:rPr>
          <w:rFonts w:ascii="Book Antiqua" w:hAnsi="Book Antiqua"/>
        </w:rPr>
        <w:t>dysfunction</w:t>
      </w:r>
      <w:proofErr w:type="gramEnd"/>
      <w:r w:rsidRPr="002B7717">
        <w:rPr>
          <w:rFonts w:ascii="Book Antiqua" w:hAnsi="Book Antiqua"/>
        </w:rPr>
        <w:t xml:space="preserve"> associated with nitric oxide pathways in glutamate neurotoxicity. </w:t>
      </w:r>
      <w:r w:rsidRPr="002B7717">
        <w:rPr>
          <w:rFonts w:ascii="Book Antiqua" w:hAnsi="Book Antiqua"/>
          <w:i/>
          <w:iCs/>
        </w:rPr>
        <w:t xml:space="preserve">Clin </w:t>
      </w:r>
      <w:proofErr w:type="spellStart"/>
      <w:r w:rsidRPr="002B7717">
        <w:rPr>
          <w:rFonts w:ascii="Book Antiqua" w:hAnsi="Book Antiqua"/>
          <w:i/>
          <w:iCs/>
        </w:rPr>
        <w:t>Investig</w:t>
      </w:r>
      <w:proofErr w:type="spellEnd"/>
      <w:r w:rsidRPr="002B7717">
        <w:rPr>
          <w:rFonts w:ascii="Book Antiqua" w:hAnsi="Book Antiqua"/>
          <w:i/>
          <w:iCs/>
        </w:rPr>
        <w:t xml:space="preserve"> </w:t>
      </w:r>
      <w:proofErr w:type="spellStart"/>
      <w:r w:rsidRPr="002B7717">
        <w:rPr>
          <w:rFonts w:ascii="Book Antiqua" w:hAnsi="Book Antiqua"/>
          <w:i/>
          <w:iCs/>
        </w:rPr>
        <w:t>Arterioscler</w:t>
      </w:r>
      <w:proofErr w:type="spellEnd"/>
      <w:r w:rsidRPr="002B7717">
        <w:rPr>
          <w:rFonts w:ascii="Book Antiqua" w:hAnsi="Book Antiqua"/>
        </w:rPr>
        <w:t> 2017; </w:t>
      </w:r>
      <w:r w:rsidRPr="002B7717">
        <w:rPr>
          <w:rFonts w:ascii="Book Antiqua" w:hAnsi="Book Antiqua"/>
          <w:b/>
          <w:bCs/>
        </w:rPr>
        <w:t>29</w:t>
      </w:r>
      <w:r w:rsidRPr="002B7717">
        <w:rPr>
          <w:rFonts w:ascii="Book Antiqua" w:hAnsi="Book Antiqua"/>
        </w:rPr>
        <w:t>: 92-97 [PMID: 27240721 DOI: 10.1016/j.arteri.2016.04.002]</w:t>
      </w:r>
    </w:p>
    <w:p w14:paraId="75B37201" w14:textId="77777777" w:rsidR="002B7717" w:rsidRPr="00C6107D"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72 </w:t>
      </w:r>
      <w:r w:rsidR="00C6107D" w:rsidRPr="00C6107D">
        <w:rPr>
          <w:rFonts w:ascii="Book Antiqua" w:hAnsi="Book Antiqua"/>
          <w:b/>
          <w:bCs/>
        </w:rPr>
        <w:t>Moncada S</w:t>
      </w:r>
      <w:r w:rsidR="00C6107D" w:rsidRPr="00C6107D">
        <w:rPr>
          <w:rFonts w:ascii="Book Antiqua" w:hAnsi="Book Antiqua"/>
          <w:bCs/>
        </w:rPr>
        <w:t xml:space="preserve">, Bolaños JP. Nitric oxide, cell bioenergetics and neurodegeneration. </w:t>
      </w:r>
      <w:r w:rsidR="00C6107D" w:rsidRPr="00C6107D">
        <w:rPr>
          <w:rFonts w:ascii="Book Antiqua" w:hAnsi="Book Antiqua"/>
          <w:bCs/>
          <w:i/>
        </w:rPr>
        <w:t xml:space="preserve">J </w:t>
      </w:r>
      <w:proofErr w:type="spellStart"/>
      <w:r w:rsidR="00C6107D" w:rsidRPr="00C6107D">
        <w:rPr>
          <w:rFonts w:ascii="Book Antiqua" w:hAnsi="Book Antiqua"/>
          <w:bCs/>
          <w:i/>
        </w:rPr>
        <w:t>Neurochem</w:t>
      </w:r>
      <w:proofErr w:type="spellEnd"/>
      <w:r w:rsidR="00C6107D" w:rsidRPr="00C6107D">
        <w:rPr>
          <w:rFonts w:ascii="Book Antiqua" w:hAnsi="Book Antiqua"/>
          <w:bCs/>
        </w:rPr>
        <w:t xml:space="preserve"> 2006;</w:t>
      </w:r>
      <w:r w:rsidR="00C6107D">
        <w:rPr>
          <w:rFonts w:ascii="Book Antiqua" w:hAnsi="Book Antiqua" w:hint="eastAsia"/>
          <w:bCs/>
        </w:rPr>
        <w:t xml:space="preserve"> </w:t>
      </w:r>
      <w:r w:rsidR="00C6107D" w:rsidRPr="00C6107D">
        <w:rPr>
          <w:rFonts w:ascii="Book Antiqua" w:hAnsi="Book Antiqua"/>
          <w:b/>
          <w:bCs/>
        </w:rPr>
        <w:t>97</w:t>
      </w:r>
      <w:r w:rsidR="00C6107D" w:rsidRPr="00C6107D">
        <w:rPr>
          <w:rFonts w:ascii="Book Antiqua" w:hAnsi="Book Antiqua"/>
          <w:bCs/>
        </w:rPr>
        <w:t>:</w:t>
      </w:r>
      <w:r w:rsidR="00C6107D">
        <w:rPr>
          <w:rFonts w:ascii="Book Antiqua" w:hAnsi="Book Antiqua" w:hint="eastAsia"/>
          <w:bCs/>
        </w:rPr>
        <w:t xml:space="preserve"> </w:t>
      </w:r>
      <w:r w:rsidR="00C6107D">
        <w:rPr>
          <w:rFonts w:ascii="Book Antiqua" w:hAnsi="Book Antiqua"/>
          <w:bCs/>
        </w:rPr>
        <w:t>1676-</w:t>
      </w:r>
      <w:r w:rsidR="00C6107D">
        <w:rPr>
          <w:rFonts w:ascii="Book Antiqua" w:hAnsi="Book Antiqua" w:hint="eastAsia"/>
          <w:bCs/>
        </w:rPr>
        <w:t>16</w:t>
      </w:r>
      <w:r w:rsidR="00C6107D">
        <w:rPr>
          <w:rFonts w:ascii="Book Antiqua" w:hAnsi="Book Antiqua"/>
          <w:bCs/>
        </w:rPr>
        <w:t>89</w:t>
      </w:r>
      <w:r w:rsidR="00C6107D" w:rsidRPr="00C6107D">
        <w:rPr>
          <w:rFonts w:ascii="Book Antiqua" w:hAnsi="Book Antiqua"/>
          <w:bCs/>
        </w:rPr>
        <w:t xml:space="preserve"> </w:t>
      </w:r>
      <w:r w:rsidR="00C6107D">
        <w:rPr>
          <w:rFonts w:ascii="Book Antiqua" w:hAnsi="Book Antiqua" w:hint="eastAsia"/>
          <w:bCs/>
        </w:rPr>
        <w:t>[</w:t>
      </w:r>
      <w:r w:rsidR="00C6107D" w:rsidRPr="00C6107D">
        <w:rPr>
          <w:rFonts w:ascii="Book Antiqua" w:hAnsi="Book Antiqua"/>
          <w:bCs/>
        </w:rPr>
        <w:t>PMID: 16805776</w:t>
      </w:r>
      <w:r w:rsidR="00C6107D">
        <w:rPr>
          <w:rFonts w:ascii="Book Antiqua" w:hAnsi="Book Antiqua" w:hint="eastAsia"/>
          <w:bCs/>
        </w:rPr>
        <w:t xml:space="preserve"> DOI</w:t>
      </w:r>
      <w:r w:rsidR="00C6107D" w:rsidRPr="00C6107D">
        <w:rPr>
          <w:rFonts w:ascii="Book Antiqua" w:hAnsi="Book Antiqua"/>
          <w:bCs/>
        </w:rPr>
        <w:t>: 1</w:t>
      </w:r>
      <w:r w:rsidR="00C6107D">
        <w:rPr>
          <w:rFonts w:ascii="Book Antiqua" w:hAnsi="Book Antiqua"/>
          <w:bCs/>
        </w:rPr>
        <w:t>0.1111/j.1471-4159.2006.03988.x</w:t>
      </w:r>
      <w:r w:rsidR="00C6107D">
        <w:rPr>
          <w:rFonts w:ascii="Book Antiqua" w:hAnsi="Book Antiqua" w:hint="eastAsia"/>
          <w:bCs/>
        </w:rPr>
        <w:t>]</w:t>
      </w:r>
    </w:p>
    <w:p w14:paraId="00298ABA"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73 </w:t>
      </w:r>
      <w:r w:rsidRPr="002B7717">
        <w:rPr>
          <w:rFonts w:ascii="Book Antiqua" w:hAnsi="Book Antiqua"/>
          <w:b/>
          <w:bCs/>
        </w:rPr>
        <w:t>Dawson VL</w:t>
      </w:r>
      <w:r w:rsidRPr="002B7717">
        <w:rPr>
          <w:rFonts w:ascii="Book Antiqua" w:hAnsi="Book Antiqua"/>
        </w:rPr>
        <w:t>. Nitric oxide: role in neurotoxicity. </w:t>
      </w:r>
      <w:r w:rsidRPr="002B7717">
        <w:rPr>
          <w:rFonts w:ascii="Book Antiqua" w:hAnsi="Book Antiqua"/>
          <w:i/>
          <w:iCs/>
        </w:rPr>
        <w:t xml:space="preserve">Clin Exp </w:t>
      </w:r>
      <w:proofErr w:type="spellStart"/>
      <w:r w:rsidRPr="002B7717">
        <w:rPr>
          <w:rFonts w:ascii="Book Antiqua" w:hAnsi="Book Antiqua"/>
          <w:i/>
          <w:iCs/>
        </w:rPr>
        <w:t>Pharmacol</w:t>
      </w:r>
      <w:proofErr w:type="spellEnd"/>
      <w:r w:rsidRPr="002B7717">
        <w:rPr>
          <w:rFonts w:ascii="Book Antiqua" w:hAnsi="Book Antiqua"/>
          <w:i/>
          <w:iCs/>
        </w:rPr>
        <w:t xml:space="preserve"> </w:t>
      </w:r>
      <w:proofErr w:type="spellStart"/>
      <w:r w:rsidRPr="002B7717">
        <w:rPr>
          <w:rFonts w:ascii="Book Antiqua" w:hAnsi="Book Antiqua"/>
          <w:i/>
          <w:iCs/>
        </w:rPr>
        <w:t>Physiol</w:t>
      </w:r>
      <w:proofErr w:type="spellEnd"/>
      <w:r w:rsidRPr="002B7717">
        <w:rPr>
          <w:rFonts w:ascii="Book Antiqua" w:hAnsi="Book Antiqua"/>
        </w:rPr>
        <w:t> 1995; </w:t>
      </w:r>
      <w:r w:rsidRPr="002B7717">
        <w:rPr>
          <w:rFonts w:ascii="Book Antiqua" w:hAnsi="Book Antiqua"/>
          <w:b/>
          <w:bCs/>
        </w:rPr>
        <w:t>22</w:t>
      </w:r>
      <w:r w:rsidRPr="002B7717">
        <w:rPr>
          <w:rFonts w:ascii="Book Antiqua" w:hAnsi="Book Antiqua"/>
        </w:rPr>
        <w:t>: 305-308 [PMID: 7545561 DOI: 10.1111/j.1440-1681.1995.tb02005.x]</w:t>
      </w:r>
    </w:p>
    <w:p w14:paraId="54BBA682"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74 </w:t>
      </w:r>
      <w:r w:rsidRPr="002B7717">
        <w:rPr>
          <w:rFonts w:ascii="Book Antiqua" w:hAnsi="Book Antiqua"/>
          <w:b/>
          <w:bCs/>
        </w:rPr>
        <w:t>Imam SZ</w:t>
      </w:r>
      <w:r w:rsidRPr="002B7717">
        <w:rPr>
          <w:rFonts w:ascii="Book Antiqua" w:hAnsi="Book Antiqua"/>
        </w:rPr>
        <w:t xml:space="preserve">, Newport GD, Itzhak Y, Cadet JL, Islam F, </w:t>
      </w:r>
      <w:proofErr w:type="spellStart"/>
      <w:r w:rsidRPr="002B7717">
        <w:rPr>
          <w:rFonts w:ascii="Book Antiqua" w:hAnsi="Book Antiqua"/>
        </w:rPr>
        <w:t>Slikker</w:t>
      </w:r>
      <w:proofErr w:type="spellEnd"/>
      <w:r w:rsidRPr="002B7717">
        <w:rPr>
          <w:rFonts w:ascii="Book Antiqua" w:hAnsi="Book Antiqua"/>
        </w:rPr>
        <w:t xml:space="preserve"> W Jr, Ali SF. </w:t>
      </w:r>
      <w:proofErr w:type="spellStart"/>
      <w:r w:rsidRPr="002B7717">
        <w:rPr>
          <w:rFonts w:ascii="Book Antiqua" w:hAnsi="Book Antiqua"/>
        </w:rPr>
        <w:t>Peroxynitrite</w:t>
      </w:r>
      <w:proofErr w:type="spellEnd"/>
      <w:r w:rsidRPr="002B7717">
        <w:rPr>
          <w:rFonts w:ascii="Book Antiqua" w:hAnsi="Book Antiqua"/>
        </w:rPr>
        <w:t xml:space="preserve"> plays a role in methamphetamine-induced dopaminergic neurotoxicity: evidence from mice lacking neuronal nitric oxide synthase gene or overexpressing copper-zinc superoxide dismutase. </w:t>
      </w:r>
      <w:r w:rsidRPr="002B7717">
        <w:rPr>
          <w:rFonts w:ascii="Book Antiqua" w:hAnsi="Book Antiqua"/>
          <w:i/>
          <w:iCs/>
        </w:rPr>
        <w:t xml:space="preserve">J </w:t>
      </w:r>
      <w:proofErr w:type="spellStart"/>
      <w:r w:rsidRPr="002B7717">
        <w:rPr>
          <w:rFonts w:ascii="Book Antiqua" w:hAnsi="Book Antiqua"/>
          <w:i/>
          <w:iCs/>
        </w:rPr>
        <w:t>Neurochem</w:t>
      </w:r>
      <w:proofErr w:type="spellEnd"/>
      <w:r w:rsidRPr="002B7717">
        <w:rPr>
          <w:rFonts w:ascii="Book Antiqua" w:hAnsi="Book Antiqua"/>
        </w:rPr>
        <w:t> 2001; </w:t>
      </w:r>
      <w:r w:rsidRPr="002B7717">
        <w:rPr>
          <w:rFonts w:ascii="Book Antiqua" w:hAnsi="Book Antiqua"/>
          <w:b/>
          <w:bCs/>
        </w:rPr>
        <w:t>76</w:t>
      </w:r>
      <w:r w:rsidRPr="002B7717">
        <w:rPr>
          <w:rFonts w:ascii="Book Antiqua" w:hAnsi="Book Antiqua"/>
        </w:rPr>
        <w:t>: 745-749 [PMID: 11158245 DOI: 10.1046/j.1471-4159.2001.00029.x]</w:t>
      </w:r>
    </w:p>
    <w:p w14:paraId="3DEFB81F"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75 </w:t>
      </w:r>
      <w:proofErr w:type="spellStart"/>
      <w:r w:rsidRPr="002B7717">
        <w:rPr>
          <w:rFonts w:ascii="Book Antiqua" w:hAnsi="Book Antiqua"/>
          <w:b/>
          <w:bCs/>
        </w:rPr>
        <w:t>Ramdial</w:t>
      </w:r>
      <w:proofErr w:type="spellEnd"/>
      <w:r w:rsidRPr="002B7717">
        <w:rPr>
          <w:rFonts w:ascii="Book Antiqua" w:hAnsi="Book Antiqua"/>
          <w:b/>
          <w:bCs/>
        </w:rPr>
        <w:t xml:space="preserve"> K</w:t>
      </w:r>
      <w:r w:rsidRPr="002B7717">
        <w:rPr>
          <w:rFonts w:ascii="Book Antiqua" w:hAnsi="Book Antiqua"/>
        </w:rPr>
        <w:t xml:space="preserve">, Franco MC, Estevez AG. Cellular mechanisms of </w:t>
      </w:r>
      <w:proofErr w:type="spellStart"/>
      <w:r w:rsidRPr="002B7717">
        <w:rPr>
          <w:rFonts w:ascii="Book Antiqua" w:hAnsi="Book Antiqua"/>
        </w:rPr>
        <w:t>peroxynitrite</w:t>
      </w:r>
      <w:proofErr w:type="spellEnd"/>
      <w:r w:rsidRPr="002B7717">
        <w:rPr>
          <w:rFonts w:ascii="Book Antiqua" w:hAnsi="Book Antiqua"/>
        </w:rPr>
        <w:t>-induced neuronal death. </w:t>
      </w:r>
      <w:r w:rsidRPr="002B7717">
        <w:rPr>
          <w:rFonts w:ascii="Book Antiqua" w:hAnsi="Book Antiqua"/>
          <w:i/>
          <w:iCs/>
        </w:rPr>
        <w:t>Brain Res Bull</w:t>
      </w:r>
      <w:r w:rsidRPr="002B7717">
        <w:rPr>
          <w:rFonts w:ascii="Book Antiqua" w:hAnsi="Book Antiqua"/>
        </w:rPr>
        <w:t> 2017; </w:t>
      </w:r>
      <w:r w:rsidRPr="002B7717">
        <w:rPr>
          <w:rFonts w:ascii="Book Antiqua" w:hAnsi="Book Antiqua"/>
          <w:b/>
          <w:bCs/>
        </w:rPr>
        <w:t>133</w:t>
      </w:r>
      <w:r w:rsidRPr="002B7717">
        <w:rPr>
          <w:rFonts w:ascii="Book Antiqua" w:hAnsi="Book Antiqua"/>
        </w:rPr>
        <w:t>: 4-11 [PMID: 28655600 DOI: 10.1016/j.brainresbull.2017.05.008]</w:t>
      </w:r>
    </w:p>
    <w:p w14:paraId="30775EE5"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76 </w:t>
      </w:r>
      <w:r w:rsidRPr="002B7717">
        <w:rPr>
          <w:rFonts w:ascii="Book Antiqua" w:hAnsi="Book Antiqua"/>
          <w:b/>
          <w:bCs/>
        </w:rPr>
        <w:t>He Y</w:t>
      </w:r>
      <w:r w:rsidRPr="002B7717">
        <w:rPr>
          <w:rFonts w:ascii="Book Antiqua" w:hAnsi="Book Antiqua"/>
        </w:rPr>
        <w:t xml:space="preserve">, Imam SZ, Dong Z, Jankovic J, Ali SF, Appel SH, Le W. Role of nitric oxide in rotenone-induced </w:t>
      </w:r>
      <w:proofErr w:type="spellStart"/>
      <w:r w:rsidRPr="002B7717">
        <w:rPr>
          <w:rFonts w:ascii="Book Antiqua" w:hAnsi="Book Antiqua"/>
        </w:rPr>
        <w:t>nigro</w:t>
      </w:r>
      <w:proofErr w:type="spellEnd"/>
      <w:r w:rsidRPr="002B7717">
        <w:rPr>
          <w:rFonts w:ascii="Book Antiqua" w:hAnsi="Book Antiqua"/>
        </w:rPr>
        <w:t>-striatal injury. </w:t>
      </w:r>
      <w:r w:rsidRPr="002B7717">
        <w:rPr>
          <w:rFonts w:ascii="Book Antiqua" w:hAnsi="Book Antiqua"/>
          <w:i/>
          <w:iCs/>
        </w:rPr>
        <w:t xml:space="preserve">J </w:t>
      </w:r>
      <w:proofErr w:type="spellStart"/>
      <w:r w:rsidRPr="002B7717">
        <w:rPr>
          <w:rFonts w:ascii="Book Antiqua" w:hAnsi="Book Antiqua"/>
          <w:i/>
          <w:iCs/>
        </w:rPr>
        <w:t>Neurochem</w:t>
      </w:r>
      <w:proofErr w:type="spellEnd"/>
      <w:r w:rsidRPr="002B7717">
        <w:rPr>
          <w:rFonts w:ascii="Book Antiqua" w:hAnsi="Book Antiqua"/>
        </w:rPr>
        <w:t> 2003; </w:t>
      </w:r>
      <w:r w:rsidRPr="002B7717">
        <w:rPr>
          <w:rFonts w:ascii="Book Antiqua" w:hAnsi="Book Antiqua"/>
          <w:b/>
          <w:bCs/>
        </w:rPr>
        <w:t>86</w:t>
      </w:r>
      <w:r w:rsidRPr="002B7717">
        <w:rPr>
          <w:rFonts w:ascii="Book Antiqua" w:hAnsi="Book Antiqua"/>
        </w:rPr>
        <w:t>: 1338-1345 [PMID: 12950443 DOI: 10.1046/j.1471-4159.2003.01938.x]</w:t>
      </w:r>
    </w:p>
    <w:p w14:paraId="6E8044AA"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77 </w:t>
      </w:r>
      <w:proofErr w:type="spellStart"/>
      <w:r w:rsidRPr="002B7717">
        <w:rPr>
          <w:rFonts w:ascii="Book Antiqua" w:hAnsi="Book Antiqua"/>
          <w:b/>
          <w:bCs/>
        </w:rPr>
        <w:t>Tsikas</w:t>
      </w:r>
      <w:proofErr w:type="spellEnd"/>
      <w:r w:rsidRPr="002B7717">
        <w:rPr>
          <w:rFonts w:ascii="Book Antiqua" w:hAnsi="Book Antiqua"/>
          <w:b/>
          <w:bCs/>
        </w:rPr>
        <w:t xml:space="preserve"> D</w:t>
      </w:r>
      <w:r w:rsidRPr="002B7717">
        <w:rPr>
          <w:rFonts w:ascii="Book Antiqua" w:hAnsi="Book Antiqua"/>
        </w:rPr>
        <w:t>. Analysis of nitrite and nitrate in biological fluids by assays based on the Griess reaction: appraisal of the Griess reaction in the L-arginine/nitric oxide area of research. </w:t>
      </w:r>
      <w:r w:rsidRPr="002B7717">
        <w:rPr>
          <w:rFonts w:ascii="Book Antiqua" w:hAnsi="Book Antiqua"/>
          <w:i/>
          <w:iCs/>
        </w:rPr>
        <w:t xml:space="preserve">J </w:t>
      </w:r>
      <w:proofErr w:type="spellStart"/>
      <w:r w:rsidRPr="002B7717">
        <w:rPr>
          <w:rFonts w:ascii="Book Antiqua" w:hAnsi="Book Antiqua"/>
          <w:i/>
          <w:iCs/>
        </w:rPr>
        <w:t>Chromatogr</w:t>
      </w:r>
      <w:proofErr w:type="spellEnd"/>
      <w:r w:rsidRPr="002B7717">
        <w:rPr>
          <w:rFonts w:ascii="Book Antiqua" w:hAnsi="Book Antiqua"/>
          <w:i/>
          <w:iCs/>
        </w:rPr>
        <w:t xml:space="preserve"> B </w:t>
      </w:r>
      <w:proofErr w:type="spellStart"/>
      <w:r w:rsidRPr="002B7717">
        <w:rPr>
          <w:rFonts w:ascii="Book Antiqua" w:hAnsi="Book Antiqua"/>
          <w:i/>
          <w:iCs/>
        </w:rPr>
        <w:t>Analyt</w:t>
      </w:r>
      <w:proofErr w:type="spellEnd"/>
      <w:r w:rsidRPr="002B7717">
        <w:rPr>
          <w:rFonts w:ascii="Book Antiqua" w:hAnsi="Book Antiqua"/>
          <w:i/>
          <w:iCs/>
        </w:rPr>
        <w:t xml:space="preserve"> Technol Biomed Life Sci</w:t>
      </w:r>
      <w:r w:rsidRPr="002B7717">
        <w:rPr>
          <w:rFonts w:ascii="Book Antiqua" w:hAnsi="Book Antiqua"/>
        </w:rPr>
        <w:t> 2007; </w:t>
      </w:r>
      <w:r w:rsidRPr="002B7717">
        <w:rPr>
          <w:rFonts w:ascii="Book Antiqua" w:hAnsi="Book Antiqua"/>
          <w:b/>
          <w:bCs/>
        </w:rPr>
        <w:t>851</w:t>
      </w:r>
      <w:r w:rsidRPr="002B7717">
        <w:rPr>
          <w:rFonts w:ascii="Book Antiqua" w:hAnsi="Book Antiqua"/>
        </w:rPr>
        <w:t>: 51-70 [PMID: 16950667 DOI</w:t>
      </w:r>
      <w:r w:rsidR="00C6107D">
        <w:rPr>
          <w:rFonts w:ascii="Book Antiqua" w:hAnsi="Book Antiqua"/>
        </w:rPr>
        <w:t>: 10.1016/j.jchromb.2006.07.054</w:t>
      </w:r>
      <w:r w:rsidRPr="002B7717">
        <w:rPr>
          <w:rFonts w:ascii="Book Antiqua" w:hAnsi="Book Antiqua"/>
        </w:rPr>
        <w:t>]</w:t>
      </w:r>
    </w:p>
    <w:p w14:paraId="49D726EB"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78 </w:t>
      </w:r>
      <w:proofErr w:type="spellStart"/>
      <w:r w:rsidRPr="002B7717">
        <w:rPr>
          <w:rFonts w:ascii="Book Antiqua" w:hAnsi="Book Antiqua"/>
          <w:b/>
          <w:bCs/>
        </w:rPr>
        <w:t>Bashkatova</w:t>
      </w:r>
      <w:proofErr w:type="spellEnd"/>
      <w:r w:rsidRPr="002B7717">
        <w:rPr>
          <w:rFonts w:ascii="Book Antiqua" w:hAnsi="Book Antiqua"/>
          <w:b/>
          <w:bCs/>
        </w:rPr>
        <w:t xml:space="preserve"> V</w:t>
      </w:r>
      <w:r w:rsidRPr="002B7717">
        <w:rPr>
          <w:rFonts w:ascii="Book Antiqua" w:hAnsi="Book Antiqua"/>
        </w:rPr>
        <w:t xml:space="preserve">, </w:t>
      </w:r>
      <w:proofErr w:type="spellStart"/>
      <w:r w:rsidRPr="002B7717">
        <w:rPr>
          <w:rFonts w:ascii="Book Antiqua" w:hAnsi="Book Antiqua"/>
        </w:rPr>
        <w:t>Alam</w:t>
      </w:r>
      <w:proofErr w:type="spellEnd"/>
      <w:r w:rsidRPr="002B7717">
        <w:rPr>
          <w:rFonts w:ascii="Book Antiqua" w:hAnsi="Book Antiqua"/>
        </w:rPr>
        <w:t xml:space="preserve"> M, </w:t>
      </w:r>
      <w:proofErr w:type="spellStart"/>
      <w:r w:rsidRPr="002B7717">
        <w:rPr>
          <w:rFonts w:ascii="Book Antiqua" w:hAnsi="Book Antiqua"/>
        </w:rPr>
        <w:t>Vanin</w:t>
      </w:r>
      <w:proofErr w:type="spellEnd"/>
      <w:r w:rsidRPr="002B7717">
        <w:rPr>
          <w:rFonts w:ascii="Book Antiqua" w:hAnsi="Book Antiqua"/>
        </w:rPr>
        <w:t xml:space="preserve"> A, Schmidt WJ. Chronic administration of rotenone increases levels of nitric oxide and lipid peroxidation products in rat brain. </w:t>
      </w:r>
      <w:r w:rsidRPr="002B7717">
        <w:rPr>
          <w:rFonts w:ascii="Book Antiqua" w:hAnsi="Book Antiqua"/>
          <w:i/>
          <w:iCs/>
        </w:rPr>
        <w:t>Exp Neurol</w:t>
      </w:r>
      <w:r w:rsidRPr="002B7717">
        <w:rPr>
          <w:rFonts w:ascii="Book Antiqua" w:hAnsi="Book Antiqua"/>
        </w:rPr>
        <w:t> 2004; </w:t>
      </w:r>
      <w:r w:rsidRPr="002B7717">
        <w:rPr>
          <w:rFonts w:ascii="Book Antiqua" w:hAnsi="Book Antiqua"/>
          <w:b/>
          <w:bCs/>
        </w:rPr>
        <w:t>186</w:t>
      </w:r>
      <w:r w:rsidRPr="002B7717">
        <w:rPr>
          <w:rFonts w:ascii="Book Antiqua" w:hAnsi="Book Antiqua"/>
        </w:rPr>
        <w:t>: 235-241 [PMID: 15026259 DOI: 10.1016/j.expneurol.2003.12.005]</w:t>
      </w:r>
    </w:p>
    <w:p w14:paraId="5DFCD445"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79 </w:t>
      </w:r>
      <w:proofErr w:type="spellStart"/>
      <w:r w:rsidRPr="002B7717">
        <w:rPr>
          <w:rFonts w:ascii="Book Antiqua" w:hAnsi="Book Antiqua"/>
          <w:b/>
          <w:bCs/>
        </w:rPr>
        <w:t>Bashkatova</w:t>
      </w:r>
      <w:proofErr w:type="spellEnd"/>
      <w:r w:rsidRPr="002B7717">
        <w:rPr>
          <w:rFonts w:ascii="Book Antiqua" w:hAnsi="Book Antiqua"/>
          <w:b/>
          <w:bCs/>
        </w:rPr>
        <w:t xml:space="preserve"> V</w:t>
      </w:r>
      <w:r w:rsidRPr="002B7717">
        <w:rPr>
          <w:rFonts w:ascii="Book Antiqua" w:hAnsi="Book Antiqua"/>
        </w:rPr>
        <w:t xml:space="preserve">, </w:t>
      </w:r>
      <w:proofErr w:type="spellStart"/>
      <w:r w:rsidRPr="002B7717">
        <w:rPr>
          <w:rFonts w:ascii="Book Antiqua" w:hAnsi="Book Antiqua"/>
        </w:rPr>
        <w:t>Philippu</w:t>
      </w:r>
      <w:proofErr w:type="spellEnd"/>
      <w:r w:rsidRPr="002B7717">
        <w:rPr>
          <w:rFonts w:ascii="Book Antiqua" w:hAnsi="Book Antiqua"/>
        </w:rPr>
        <w:t xml:space="preserve"> A. Role of nitric oxide in psychostimulant-induced neurotoxicity. </w:t>
      </w:r>
      <w:r w:rsidRPr="002B7717">
        <w:rPr>
          <w:rFonts w:ascii="Book Antiqua" w:hAnsi="Book Antiqua"/>
          <w:i/>
          <w:iCs/>
        </w:rPr>
        <w:t xml:space="preserve">AIMS </w:t>
      </w:r>
      <w:proofErr w:type="spellStart"/>
      <w:r w:rsidRPr="002B7717">
        <w:rPr>
          <w:rFonts w:ascii="Book Antiqua" w:hAnsi="Book Antiqua"/>
          <w:i/>
          <w:iCs/>
        </w:rPr>
        <w:t>Neurosci</w:t>
      </w:r>
      <w:proofErr w:type="spellEnd"/>
      <w:r w:rsidRPr="002B7717">
        <w:rPr>
          <w:rFonts w:ascii="Book Antiqua" w:hAnsi="Book Antiqua"/>
        </w:rPr>
        <w:t> 2019; </w:t>
      </w:r>
      <w:r w:rsidRPr="002B7717">
        <w:rPr>
          <w:rFonts w:ascii="Book Antiqua" w:hAnsi="Book Antiqua"/>
          <w:b/>
          <w:bCs/>
        </w:rPr>
        <w:t>6</w:t>
      </w:r>
      <w:r w:rsidRPr="002B7717">
        <w:rPr>
          <w:rFonts w:ascii="Book Antiqua" w:hAnsi="Book Antiqua"/>
        </w:rPr>
        <w:t>: 191-203 [PMID: 32341976 DOI: 10.3934/Neuroscience.2019.3.191]</w:t>
      </w:r>
    </w:p>
    <w:p w14:paraId="47683F2C"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80 </w:t>
      </w:r>
      <w:r w:rsidRPr="002B7717">
        <w:rPr>
          <w:rFonts w:ascii="Book Antiqua" w:hAnsi="Book Antiqua"/>
          <w:b/>
          <w:bCs/>
        </w:rPr>
        <w:t>Sun C</w:t>
      </w:r>
      <w:r w:rsidRPr="002B7717">
        <w:rPr>
          <w:rFonts w:ascii="Book Antiqua" w:hAnsi="Book Antiqua"/>
        </w:rPr>
        <w:t>, Wang Y, Mo M, Song C, Wang X, Chen S, Liu Y. Minocycline Protects against Rotenone-Induced Neurotoxicity Correlating with Upregulation of Nurr1 in a Parkinson's Disease Rat Model. </w:t>
      </w:r>
      <w:r w:rsidRPr="002B7717">
        <w:rPr>
          <w:rFonts w:ascii="Book Antiqua" w:hAnsi="Book Antiqua"/>
          <w:i/>
          <w:iCs/>
        </w:rPr>
        <w:t>Biomed Res Int</w:t>
      </w:r>
      <w:r w:rsidRPr="002B7717">
        <w:rPr>
          <w:rFonts w:ascii="Book Antiqua" w:hAnsi="Book Antiqua"/>
        </w:rPr>
        <w:t> 2019; </w:t>
      </w:r>
      <w:r w:rsidRPr="002B7717">
        <w:rPr>
          <w:rFonts w:ascii="Book Antiqua" w:hAnsi="Book Antiqua"/>
          <w:b/>
          <w:bCs/>
        </w:rPr>
        <w:t>2019</w:t>
      </w:r>
      <w:r w:rsidRPr="002B7717">
        <w:rPr>
          <w:rFonts w:ascii="Book Antiqua" w:hAnsi="Book Antiqua"/>
        </w:rPr>
        <w:t>: 6843265 [PMID: 30949504 DOI: 10.1155/2019/6843265]</w:t>
      </w:r>
    </w:p>
    <w:p w14:paraId="054C483D"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81 </w:t>
      </w:r>
      <w:proofErr w:type="spellStart"/>
      <w:r w:rsidRPr="002B7717">
        <w:rPr>
          <w:rFonts w:ascii="Book Antiqua" w:hAnsi="Book Antiqua"/>
          <w:b/>
          <w:bCs/>
        </w:rPr>
        <w:t>Ardah</w:t>
      </w:r>
      <w:proofErr w:type="spellEnd"/>
      <w:r w:rsidRPr="002B7717">
        <w:rPr>
          <w:rFonts w:ascii="Book Antiqua" w:hAnsi="Book Antiqua"/>
          <w:b/>
          <w:bCs/>
        </w:rPr>
        <w:t xml:space="preserve"> MT</w:t>
      </w:r>
      <w:r w:rsidRPr="002B7717">
        <w:rPr>
          <w:rFonts w:ascii="Book Antiqua" w:hAnsi="Book Antiqua"/>
        </w:rPr>
        <w:t xml:space="preserve">, </w:t>
      </w:r>
      <w:proofErr w:type="spellStart"/>
      <w:r w:rsidRPr="002B7717">
        <w:rPr>
          <w:rFonts w:ascii="Book Antiqua" w:hAnsi="Book Antiqua"/>
        </w:rPr>
        <w:t>Bharathan</w:t>
      </w:r>
      <w:proofErr w:type="spellEnd"/>
      <w:r w:rsidRPr="002B7717">
        <w:rPr>
          <w:rFonts w:ascii="Book Antiqua" w:hAnsi="Book Antiqua"/>
        </w:rPr>
        <w:t xml:space="preserve"> G, </w:t>
      </w:r>
      <w:proofErr w:type="spellStart"/>
      <w:r w:rsidRPr="002B7717">
        <w:rPr>
          <w:rFonts w:ascii="Book Antiqua" w:hAnsi="Book Antiqua"/>
        </w:rPr>
        <w:t>Kitada</w:t>
      </w:r>
      <w:proofErr w:type="spellEnd"/>
      <w:r w:rsidRPr="002B7717">
        <w:rPr>
          <w:rFonts w:ascii="Book Antiqua" w:hAnsi="Book Antiqua"/>
        </w:rPr>
        <w:t xml:space="preserve"> T, Haque ME. Ellagic Acid Prevents Dopamine Neuron Degeneration from Oxidative Stress and Neuroinflammation in MPTP Model of Parkinson's Disease. </w:t>
      </w:r>
      <w:r w:rsidRPr="002B7717">
        <w:rPr>
          <w:rFonts w:ascii="Book Antiqua" w:hAnsi="Book Antiqua"/>
          <w:i/>
          <w:iCs/>
        </w:rPr>
        <w:t>Biomolecules</w:t>
      </w:r>
      <w:r w:rsidRPr="002B7717">
        <w:rPr>
          <w:rFonts w:ascii="Book Antiqua" w:hAnsi="Book Antiqua"/>
        </w:rPr>
        <w:t> 2020; </w:t>
      </w:r>
      <w:r w:rsidRPr="002B7717">
        <w:rPr>
          <w:rFonts w:ascii="Book Antiqua" w:hAnsi="Book Antiqua"/>
          <w:b/>
          <w:bCs/>
        </w:rPr>
        <w:t>10</w:t>
      </w:r>
      <w:r w:rsidRPr="002B7717">
        <w:rPr>
          <w:rFonts w:ascii="Book Antiqua" w:hAnsi="Book Antiqua"/>
        </w:rPr>
        <w:t> [PMID: 33172035 DOI: 10.3390/biom10111519]</w:t>
      </w:r>
    </w:p>
    <w:p w14:paraId="5A7C0A0D"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82 </w:t>
      </w:r>
      <w:proofErr w:type="spellStart"/>
      <w:r w:rsidRPr="002B7717">
        <w:rPr>
          <w:rFonts w:ascii="Book Antiqua" w:hAnsi="Book Antiqua"/>
          <w:b/>
          <w:bCs/>
        </w:rPr>
        <w:t>Cammack</w:t>
      </w:r>
      <w:proofErr w:type="spellEnd"/>
      <w:r w:rsidRPr="002B7717">
        <w:rPr>
          <w:rFonts w:ascii="Book Antiqua" w:hAnsi="Book Antiqua"/>
          <w:b/>
          <w:bCs/>
        </w:rPr>
        <w:t xml:space="preserve"> R</w:t>
      </w:r>
      <w:r w:rsidRPr="002B7717">
        <w:rPr>
          <w:rFonts w:ascii="Book Antiqua" w:hAnsi="Book Antiqua"/>
        </w:rPr>
        <w:t xml:space="preserve">, </w:t>
      </w:r>
      <w:proofErr w:type="spellStart"/>
      <w:r w:rsidRPr="002B7717">
        <w:rPr>
          <w:rFonts w:ascii="Book Antiqua" w:hAnsi="Book Antiqua"/>
        </w:rPr>
        <w:t>Shergill</w:t>
      </w:r>
      <w:proofErr w:type="spellEnd"/>
      <w:r w:rsidRPr="002B7717">
        <w:rPr>
          <w:rFonts w:ascii="Book Antiqua" w:hAnsi="Book Antiqua"/>
        </w:rPr>
        <w:t xml:space="preserve"> JK, Ananda </w:t>
      </w:r>
      <w:proofErr w:type="spellStart"/>
      <w:r w:rsidRPr="002B7717">
        <w:rPr>
          <w:rFonts w:ascii="Book Antiqua" w:hAnsi="Book Antiqua"/>
        </w:rPr>
        <w:t>Inalsingh</w:t>
      </w:r>
      <w:proofErr w:type="spellEnd"/>
      <w:r w:rsidRPr="002B7717">
        <w:rPr>
          <w:rFonts w:ascii="Book Antiqua" w:hAnsi="Book Antiqua"/>
        </w:rPr>
        <w:t xml:space="preserve"> V, Hughes MN. Applications of electron paramagnetic resonance spectroscopy to study interactions of iron proteins in cells with nitric oxide. </w:t>
      </w:r>
      <w:proofErr w:type="spellStart"/>
      <w:r w:rsidRPr="002B7717">
        <w:rPr>
          <w:rFonts w:ascii="Book Antiqua" w:hAnsi="Book Antiqua"/>
          <w:i/>
          <w:iCs/>
        </w:rPr>
        <w:t>Spectrochim</w:t>
      </w:r>
      <w:proofErr w:type="spellEnd"/>
      <w:r w:rsidRPr="002B7717">
        <w:rPr>
          <w:rFonts w:ascii="Book Antiqua" w:hAnsi="Book Antiqua"/>
          <w:i/>
          <w:iCs/>
        </w:rPr>
        <w:t xml:space="preserve"> Acta A Mol </w:t>
      </w:r>
      <w:proofErr w:type="spellStart"/>
      <w:r w:rsidRPr="002B7717">
        <w:rPr>
          <w:rFonts w:ascii="Book Antiqua" w:hAnsi="Book Antiqua"/>
          <w:i/>
          <w:iCs/>
        </w:rPr>
        <w:t>Biomol</w:t>
      </w:r>
      <w:proofErr w:type="spellEnd"/>
      <w:r w:rsidRPr="002B7717">
        <w:rPr>
          <w:rFonts w:ascii="Book Antiqua" w:hAnsi="Book Antiqua"/>
          <w:i/>
          <w:iCs/>
        </w:rPr>
        <w:t xml:space="preserve"> </w:t>
      </w:r>
      <w:proofErr w:type="spellStart"/>
      <w:r w:rsidRPr="002B7717">
        <w:rPr>
          <w:rFonts w:ascii="Book Antiqua" w:hAnsi="Book Antiqua"/>
          <w:i/>
          <w:iCs/>
        </w:rPr>
        <w:t>Spectrosc</w:t>
      </w:r>
      <w:proofErr w:type="spellEnd"/>
      <w:r w:rsidRPr="002B7717">
        <w:rPr>
          <w:rFonts w:ascii="Book Antiqua" w:hAnsi="Book Antiqua"/>
        </w:rPr>
        <w:t> 1998; </w:t>
      </w:r>
      <w:r w:rsidRPr="002B7717">
        <w:rPr>
          <w:rFonts w:ascii="Book Antiqua" w:hAnsi="Book Antiqua"/>
          <w:b/>
          <w:bCs/>
        </w:rPr>
        <w:t>54A</w:t>
      </w:r>
      <w:r w:rsidRPr="002B7717">
        <w:rPr>
          <w:rFonts w:ascii="Book Antiqua" w:hAnsi="Book Antiqua"/>
        </w:rPr>
        <w:t>: 2393-2402 [PMID: 9974226 DOI: 10.1016/s1386-1425(98)00219-4]</w:t>
      </w:r>
    </w:p>
    <w:p w14:paraId="639A6FE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83 </w:t>
      </w:r>
      <w:proofErr w:type="spellStart"/>
      <w:r w:rsidRPr="002B7717">
        <w:rPr>
          <w:rFonts w:ascii="Book Antiqua" w:hAnsi="Book Antiqua"/>
          <w:b/>
          <w:bCs/>
        </w:rPr>
        <w:t>Pennathur</w:t>
      </w:r>
      <w:proofErr w:type="spellEnd"/>
      <w:r w:rsidRPr="002B7717">
        <w:rPr>
          <w:rFonts w:ascii="Book Antiqua" w:hAnsi="Book Antiqua"/>
          <w:b/>
          <w:bCs/>
        </w:rPr>
        <w:t xml:space="preserve"> S</w:t>
      </w:r>
      <w:r w:rsidRPr="002B7717">
        <w:rPr>
          <w:rFonts w:ascii="Book Antiqua" w:hAnsi="Book Antiqua"/>
        </w:rPr>
        <w:t xml:space="preserve">, Jackson-Lewis V, </w:t>
      </w:r>
      <w:proofErr w:type="spellStart"/>
      <w:r w:rsidRPr="002B7717">
        <w:rPr>
          <w:rFonts w:ascii="Book Antiqua" w:hAnsi="Book Antiqua"/>
        </w:rPr>
        <w:t>Przedborski</w:t>
      </w:r>
      <w:proofErr w:type="spellEnd"/>
      <w:r w:rsidRPr="002B7717">
        <w:rPr>
          <w:rFonts w:ascii="Book Antiqua" w:hAnsi="Book Antiqua"/>
        </w:rPr>
        <w:t xml:space="preserve"> S, </w:t>
      </w:r>
      <w:proofErr w:type="spellStart"/>
      <w:r w:rsidRPr="002B7717">
        <w:rPr>
          <w:rFonts w:ascii="Book Antiqua" w:hAnsi="Book Antiqua"/>
        </w:rPr>
        <w:t>Heinecke</w:t>
      </w:r>
      <w:proofErr w:type="spellEnd"/>
      <w:r w:rsidRPr="002B7717">
        <w:rPr>
          <w:rFonts w:ascii="Book Antiqua" w:hAnsi="Book Antiqua"/>
        </w:rPr>
        <w:t xml:space="preserve"> JW. Mass spectrometric quantification of 3-nitrotyrosine, ortho-tyrosine, and </w:t>
      </w:r>
      <w:proofErr w:type="gramStart"/>
      <w:r w:rsidRPr="002B7717">
        <w:rPr>
          <w:rFonts w:ascii="Book Antiqua" w:hAnsi="Book Antiqua"/>
        </w:rPr>
        <w:t>o,o</w:t>
      </w:r>
      <w:proofErr w:type="gramEnd"/>
      <w:r w:rsidRPr="002B7717">
        <w:rPr>
          <w:rFonts w:ascii="Book Antiqua" w:hAnsi="Book Antiqua"/>
        </w:rPr>
        <w:t>'-</w:t>
      </w:r>
      <w:proofErr w:type="spellStart"/>
      <w:r w:rsidRPr="002B7717">
        <w:rPr>
          <w:rFonts w:ascii="Book Antiqua" w:hAnsi="Book Antiqua"/>
        </w:rPr>
        <w:t>dityrosine</w:t>
      </w:r>
      <w:proofErr w:type="spellEnd"/>
      <w:r w:rsidRPr="002B7717">
        <w:rPr>
          <w:rFonts w:ascii="Book Antiqua" w:hAnsi="Book Antiqua"/>
        </w:rPr>
        <w:t xml:space="preserve"> in brain tissue of 1-methyl-4-phenyl-1,2,3, 6-tetrahydropyridine-treated mice, a model of oxidative stress in Parkinson's disease. </w:t>
      </w:r>
      <w:r w:rsidRPr="002B7717">
        <w:rPr>
          <w:rFonts w:ascii="Book Antiqua" w:hAnsi="Book Antiqua"/>
          <w:i/>
          <w:iCs/>
        </w:rPr>
        <w:t>J Biol Chem</w:t>
      </w:r>
      <w:r w:rsidRPr="002B7717">
        <w:rPr>
          <w:rFonts w:ascii="Book Antiqua" w:hAnsi="Book Antiqua"/>
        </w:rPr>
        <w:t> 1999; </w:t>
      </w:r>
      <w:r w:rsidRPr="002B7717">
        <w:rPr>
          <w:rFonts w:ascii="Book Antiqua" w:hAnsi="Book Antiqua"/>
          <w:b/>
          <w:bCs/>
        </w:rPr>
        <w:t>274</w:t>
      </w:r>
      <w:r w:rsidRPr="002B7717">
        <w:rPr>
          <w:rFonts w:ascii="Book Antiqua" w:hAnsi="Book Antiqua"/>
        </w:rPr>
        <w:t>: 34621-34628 [PMID: 10574926 DOI: 10.1074/jbc.274.49.34621]</w:t>
      </w:r>
    </w:p>
    <w:p w14:paraId="36C419A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84 </w:t>
      </w:r>
      <w:proofErr w:type="spellStart"/>
      <w:r w:rsidRPr="002B7717">
        <w:rPr>
          <w:rFonts w:ascii="Book Antiqua" w:hAnsi="Book Antiqua"/>
          <w:b/>
          <w:bCs/>
        </w:rPr>
        <w:t>Ferger</w:t>
      </w:r>
      <w:proofErr w:type="spellEnd"/>
      <w:r w:rsidRPr="002B7717">
        <w:rPr>
          <w:rFonts w:ascii="Book Antiqua" w:hAnsi="Book Antiqua"/>
          <w:b/>
          <w:bCs/>
        </w:rPr>
        <w:t xml:space="preserve"> B</w:t>
      </w:r>
      <w:r w:rsidRPr="002B7717">
        <w:rPr>
          <w:rFonts w:ascii="Book Antiqua" w:hAnsi="Book Antiqua"/>
        </w:rPr>
        <w:t xml:space="preserve">, </w:t>
      </w:r>
      <w:proofErr w:type="spellStart"/>
      <w:r w:rsidRPr="002B7717">
        <w:rPr>
          <w:rFonts w:ascii="Book Antiqua" w:hAnsi="Book Antiqua"/>
        </w:rPr>
        <w:t>Themann</w:t>
      </w:r>
      <w:proofErr w:type="spellEnd"/>
      <w:r w:rsidRPr="002B7717">
        <w:rPr>
          <w:rFonts w:ascii="Book Antiqua" w:hAnsi="Book Antiqua"/>
        </w:rPr>
        <w:t xml:space="preserve"> C, Rose S, Halliwell B, Jenner P. 6-hydroxydopamine increases the hydroxylation and nitration of phenylalanine in vivo: implication of </w:t>
      </w:r>
      <w:proofErr w:type="spellStart"/>
      <w:r w:rsidRPr="002B7717">
        <w:rPr>
          <w:rFonts w:ascii="Book Antiqua" w:hAnsi="Book Antiqua"/>
        </w:rPr>
        <w:t>peroxynitrite</w:t>
      </w:r>
      <w:proofErr w:type="spellEnd"/>
      <w:r w:rsidRPr="002B7717">
        <w:rPr>
          <w:rFonts w:ascii="Book Antiqua" w:hAnsi="Book Antiqua"/>
        </w:rPr>
        <w:t xml:space="preserve"> formation. </w:t>
      </w:r>
      <w:r w:rsidRPr="002B7717">
        <w:rPr>
          <w:rFonts w:ascii="Book Antiqua" w:hAnsi="Book Antiqua"/>
          <w:i/>
          <w:iCs/>
        </w:rPr>
        <w:t xml:space="preserve">J </w:t>
      </w:r>
      <w:proofErr w:type="spellStart"/>
      <w:r w:rsidRPr="002B7717">
        <w:rPr>
          <w:rFonts w:ascii="Book Antiqua" w:hAnsi="Book Antiqua"/>
          <w:i/>
          <w:iCs/>
        </w:rPr>
        <w:t>Neurochem</w:t>
      </w:r>
      <w:proofErr w:type="spellEnd"/>
      <w:r w:rsidRPr="002B7717">
        <w:rPr>
          <w:rFonts w:ascii="Book Antiqua" w:hAnsi="Book Antiqua"/>
        </w:rPr>
        <w:t> 2001; </w:t>
      </w:r>
      <w:r w:rsidRPr="002B7717">
        <w:rPr>
          <w:rFonts w:ascii="Book Antiqua" w:hAnsi="Book Antiqua"/>
          <w:b/>
          <w:bCs/>
        </w:rPr>
        <w:t>78</w:t>
      </w:r>
      <w:r w:rsidRPr="002B7717">
        <w:rPr>
          <w:rFonts w:ascii="Book Antiqua" w:hAnsi="Book Antiqua"/>
        </w:rPr>
        <w:t>: 509-514 [PMID: 11483653 DOI: 10.1046/j.1471-4159.2001.00429.x]</w:t>
      </w:r>
    </w:p>
    <w:p w14:paraId="1C191DF9"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85 </w:t>
      </w:r>
      <w:r w:rsidRPr="002B7717">
        <w:rPr>
          <w:rFonts w:ascii="Book Antiqua" w:hAnsi="Book Antiqua"/>
          <w:b/>
          <w:bCs/>
        </w:rPr>
        <w:t>Aras S</w:t>
      </w:r>
      <w:r w:rsidRPr="002B7717">
        <w:rPr>
          <w:rFonts w:ascii="Book Antiqua" w:hAnsi="Book Antiqua"/>
        </w:rPr>
        <w:t xml:space="preserve">, </w:t>
      </w:r>
      <w:proofErr w:type="spellStart"/>
      <w:r w:rsidRPr="002B7717">
        <w:rPr>
          <w:rFonts w:ascii="Book Antiqua" w:hAnsi="Book Antiqua"/>
        </w:rPr>
        <w:t>Tanriover</w:t>
      </w:r>
      <w:proofErr w:type="spellEnd"/>
      <w:r w:rsidRPr="002B7717">
        <w:rPr>
          <w:rFonts w:ascii="Book Antiqua" w:hAnsi="Book Antiqua"/>
        </w:rPr>
        <w:t xml:space="preserve"> G, Aslan M, </w:t>
      </w:r>
      <w:proofErr w:type="spellStart"/>
      <w:r w:rsidRPr="002B7717">
        <w:rPr>
          <w:rFonts w:ascii="Book Antiqua" w:hAnsi="Book Antiqua"/>
        </w:rPr>
        <w:t>Yargicoglu</w:t>
      </w:r>
      <w:proofErr w:type="spellEnd"/>
      <w:r w:rsidRPr="002B7717">
        <w:rPr>
          <w:rFonts w:ascii="Book Antiqua" w:hAnsi="Book Antiqua"/>
        </w:rPr>
        <w:t xml:space="preserve"> P, Agar A. The role of nitric oxide on visual-evoked potentials in MPTP-induced Parkinsonism in mice. </w:t>
      </w:r>
      <w:proofErr w:type="spellStart"/>
      <w:r w:rsidRPr="002B7717">
        <w:rPr>
          <w:rFonts w:ascii="Book Antiqua" w:hAnsi="Book Antiqua"/>
          <w:i/>
          <w:iCs/>
        </w:rPr>
        <w:t>Neurochem</w:t>
      </w:r>
      <w:proofErr w:type="spellEnd"/>
      <w:r w:rsidRPr="002B7717">
        <w:rPr>
          <w:rFonts w:ascii="Book Antiqua" w:hAnsi="Book Antiqua"/>
          <w:i/>
          <w:iCs/>
        </w:rPr>
        <w:t xml:space="preserve"> Int</w:t>
      </w:r>
      <w:r w:rsidRPr="002B7717">
        <w:rPr>
          <w:rFonts w:ascii="Book Antiqua" w:hAnsi="Book Antiqua"/>
        </w:rPr>
        <w:t> 2014; </w:t>
      </w:r>
      <w:r w:rsidRPr="002B7717">
        <w:rPr>
          <w:rFonts w:ascii="Book Antiqua" w:hAnsi="Book Antiqua"/>
          <w:b/>
          <w:bCs/>
        </w:rPr>
        <w:t>72</w:t>
      </w:r>
      <w:r w:rsidRPr="002B7717">
        <w:rPr>
          <w:rFonts w:ascii="Book Antiqua" w:hAnsi="Book Antiqua"/>
        </w:rPr>
        <w:t>: 48-57 [PMID: 24795109 DOI: 10.1016/j.neuint.2014.04.014]</w:t>
      </w:r>
    </w:p>
    <w:p w14:paraId="0A9F8811"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86 </w:t>
      </w:r>
      <w:r w:rsidRPr="002B7717">
        <w:rPr>
          <w:rFonts w:ascii="Book Antiqua" w:hAnsi="Book Antiqua"/>
          <w:b/>
          <w:bCs/>
        </w:rPr>
        <w:t>Prentice H</w:t>
      </w:r>
      <w:r w:rsidRPr="002B7717">
        <w:rPr>
          <w:rFonts w:ascii="Book Antiqua" w:hAnsi="Book Antiqua"/>
        </w:rPr>
        <w:t>, Modi JP, Wu JY. Mechanisms of Neuronal Protection against Excitotoxicity, Endoplasmic Reticulum Stress, and Mitochondrial Dysfunction in Stroke and Neurodegenerative Diseases. </w:t>
      </w:r>
      <w:r w:rsidRPr="002B7717">
        <w:rPr>
          <w:rFonts w:ascii="Book Antiqua" w:hAnsi="Book Antiqua"/>
          <w:i/>
          <w:iCs/>
        </w:rPr>
        <w:t xml:space="preserve">Oxid Med Cell </w:t>
      </w:r>
      <w:proofErr w:type="spellStart"/>
      <w:r w:rsidRPr="002B7717">
        <w:rPr>
          <w:rFonts w:ascii="Book Antiqua" w:hAnsi="Book Antiqua"/>
          <w:i/>
          <w:iCs/>
        </w:rPr>
        <w:t>Longev</w:t>
      </w:r>
      <w:proofErr w:type="spellEnd"/>
      <w:r w:rsidRPr="002B7717">
        <w:rPr>
          <w:rFonts w:ascii="Book Antiqua" w:hAnsi="Book Antiqua"/>
        </w:rPr>
        <w:t> 2015; </w:t>
      </w:r>
      <w:r w:rsidRPr="002B7717">
        <w:rPr>
          <w:rFonts w:ascii="Book Antiqua" w:hAnsi="Book Antiqua"/>
          <w:b/>
          <w:bCs/>
        </w:rPr>
        <w:t>2015</w:t>
      </w:r>
      <w:r w:rsidRPr="002B7717">
        <w:rPr>
          <w:rFonts w:ascii="Book Antiqua" w:hAnsi="Book Antiqua"/>
        </w:rPr>
        <w:t>: 964518 [PMID: 26576229 DOI: 10.1155/2015/964518]</w:t>
      </w:r>
    </w:p>
    <w:p w14:paraId="2533A6E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87 </w:t>
      </w:r>
      <w:proofErr w:type="spellStart"/>
      <w:r w:rsidRPr="002B7717">
        <w:rPr>
          <w:rFonts w:ascii="Book Antiqua" w:hAnsi="Book Antiqua"/>
          <w:b/>
          <w:bCs/>
        </w:rPr>
        <w:t>Leng</w:t>
      </w:r>
      <w:proofErr w:type="spellEnd"/>
      <w:r w:rsidRPr="002B7717">
        <w:rPr>
          <w:rFonts w:ascii="Book Antiqua" w:hAnsi="Book Antiqua"/>
          <w:b/>
          <w:bCs/>
        </w:rPr>
        <w:t xml:space="preserve"> A</w:t>
      </w:r>
      <w:r w:rsidRPr="002B7717">
        <w:rPr>
          <w:rFonts w:ascii="Book Antiqua" w:hAnsi="Book Antiqua"/>
        </w:rPr>
        <w:t xml:space="preserve">, </w:t>
      </w:r>
      <w:proofErr w:type="spellStart"/>
      <w:r w:rsidRPr="002B7717">
        <w:rPr>
          <w:rFonts w:ascii="Book Antiqua" w:hAnsi="Book Antiqua"/>
        </w:rPr>
        <w:t>Feldon</w:t>
      </w:r>
      <w:proofErr w:type="spellEnd"/>
      <w:r w:rsidRPr="002B7717">
        <w:rPr>
          <w:rFonts w:ascii="Book Antiqua" w:hAnsi="Book Antiqua"/>
        </w:rPr>
        <w:t xml:space="preserve"> J, </w:t>
      </w:r>
      <w:proofErr w:type="spellStart"/>
      <w:r w:rsidRPr="002B7717">
        <w:rPr>
          <w:rFonts w:ascii="Book Antiqua" w:hAnsi="Book Antiqua"/>
        </w:rPr>
        <w:t>Ferger</w:t>
      </w:r>
      <w:proofErr w:type="spellEnd"/>
      <w:r w:rsidRPr="002B7717">
        <w:rPr>
          <w:rFonts w:ascii="Book Antiqua" w:hAnsi="Book Antiqua"/>
        </w:rPr>
        <w:t xml:space="preserve"> B. Rotenone increases glutamate-induced dopamine release but does not affect hydroxyl-free radical formation in rat striatum. </w:t>
      </w:r>
      <w:r w:rsidRPr="002B7717">
        <w:rPr>
          <w:rFonts w:ascii="Book Antiqua" w:hAnsi="Book Antiqua"/>
          <w:i/>
          <w:iCs/>
        </w:rPr>
        <w:t>Synapse</w:t>
      </w:r>
      <w:r w:rsidRPr="002B7717">
        <w:rPr>
          <w:rFonts w:ascii="Book Antiqua" w:hAnsi="Book Antiqua"/>
        </w:rPr>
        <w:t> 2003; </w:t>
      </w:r>
      <w:r w:rsidRPr="002B7717">
        <w:rPr>
          <w:rFonts w:ascii="Book Antiqua" w:hAnsi="Book Antiqua"/>
          <w:b/>
          <w:bCs/>
        </w:rPr>
        <w:t>50</w:t>
      </w:r>
      <w:r w:rsidRPr="002B7717">
        <w:rPr>
          <w:rFonts w:ascii="Book Antiqua" w:hAnsi="Book Antiqua"/>
        </w:rPr>
        <w:t>: 240-250 [PMID: 14515342 DOI: 10.1002/syn.10260]</w:t>
      </w:r>
    </w:p>
    <w:p w14:paraId="4996C4A2"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88 </w:t>
      </w:r>
      <w:proofErr w:type="spellStart"/>
      <w:r w:rsidRPr="002B7717">
        <w:rPr>
          <w:rFonts w:ascii="Book Antiqua" w:hAnsi="Book Antiqua"/>
          <w:b/>
          <w:bCs/>
        </w:rPr>
        <w:t>Xiong</w:t>
      </w:r>
      <w:proofErr w:type="spellEnd"/>
      <w:r w:rsidRPr="002B7717">
        <w:rPr>
          <w:rFonts w:ascii="Book Antiqua" w:hAnsi="Book Antiqua"/>
          <w:b/>
          <w:bCs/>
        </w:rPr>
        <w:t xml:space="preserve"> ZK</w:t>
      </w:r>
      <w:r w:rsidRPr="002B7717">
        <w:rPr>
          <w:rFonts w:ascii="Book Antiqua" w:hAnsi="Book Antiqua"/>
        </w:rPr>
        <w:t>, Lang J, Xu G, Li HY, Zhang Y, Wang L, Su Y, Sun AJ. Excessive levels of nitric oxide in rat model of Parkinson's disease induced by rotenone. </w:t>
      </w:r>
      <w:r w:rsidRPr="002B7717">
        <w:rPr>
          <w:rFonts w:ascii="Book Antiqua" w:hAnsi="Book Antiqua"/>
          <w:i/>
          <w:iCs/>
        </w:rPr>
        <w:t xml:space="preserve">Exp </w:t>
      </w:r>
      <w:proofErr w:type="spellStart"/>
      <w:r w:rsidRPr="002B7717">
        <w:rPr>
          <w:rFonts w:ascii="Book Antiqua" w:hAnsi="Book Antiqua"/>
          <w:i/>
          <w:iCs/>
        </w:rPr>
        <w:t>Ther</w:t>
      </w:r>
      <w:proofErr w:type="spellEnd"/>
      <w:r w:rsidRPr="002B7717">
        <w:rPr>
          <w:rFonts w:ascii="Book Antiqua" w:hAnsi="Book Antiqua"/>
          <w:i/>
          <w:iCs/>
        </w:rPr>
        <w:t xml:space="preserve"> Med</w:t>
      </w:r>
      <w:r w:rsidRPr="002B7717">
        <w:rPr>
          <w:rFonts w:ascii="Book Antiqua" w:hAnsi="Book Antiqua"/>
        </w:rPr>
        <w:t> 2015; </w:t>
      </w:r>
      <w:r w:rsidRPr="002B7717">
        <w:rPr>
          <w:rFonts w:ascii="Book Antiqua" w:hAnsi="Book Antiqua"/>
          <w:b/>
          <w:bCs/>
        </w:rPr>
        <w:t>9</w:t>
      </w:r>
      <w:r w:rsidRPr="002B7717">
        <w:rPr>
          <w:rFonts w:ascii="Book Antiqua" w:hAnsi="Book Antiqua"/>
        </w:rPr>
        <w:t>: 553-558 [PMID: 25574233 DOI: 10.3892/etm.2014.2099]</w:t>
      </w:r>
    </w:p>
    <w:p w14:paraId="38025717"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89 </w:t>
      </w:r>
      <w:r w:rsidRPr="002B7717">
        <w:rPr>
          <w:rFonts w:ascii="Book Antiqua" w:hAnsi="Book Antiqua"/>
          <w:b/>
          <w:bCs/>
        </w:rPr>
        <w:t>Abdel-Salam OME</w:t>
      </w:r>
      <w:r w:rsidRPr="002B7717">
        <w:rPr>
          <w:rFonts w:ascii="Book Antiqua" w:hAnsi="Book Antiqua"/>
        </w:rPr>
        <w:t xml:space="preserve">, </w:t>
      </w:r>
      <w:proofErr w:type="spellStart"/>
      <w:r w:rsidRPr="002B7717">
        <w:rPr>
          <w:rFonts w:ascii="Book Antiqua" w:hAnsi="Book Antiqua"/>
        </w:rPr>
        <w:t>Youness</w:t>
      </w:r>
      <w:proofErr w:type="spellEnd"/>
      <w:r w:rsidRPr="002B7717">
        <w:rPr>
          <w:rFonts w:ascii="Book Antiqua" w:hAnsi="Book Antiqua"/>
        </w:rPr>
        <w:t xml:space="preserve"> ER, Ahmed NA, El-</w:t>
      </w:r>
      <w:proofErr w:type="spellStart"/>
      <w:r w:rsidRPr="002B7717">
        <w:rPr>
          <w:rFonts w:ascii="Book Antiqua" w:hAnsi="Book Antiqua"/>
        </w:rPr>
        <w:t>Toumy</w:t>
      </w:r>
      <w:proofErr w:type="spellEnd"/>
      <w:r w:rsidRPr="002B7717">
        <w:rPr>
          <w:rFonts w:ascii="Book Antiqua" w:hAnsi="Book Antiqua"/>
        </w:rPr>
        <w:t xml:space="preserve"> SA, </w:t>
      </w:r>
      <w:proofErr w:type="spellStart"/>
      <w:r w:rsidRPr="002B7717">
        <w:rPr>
          <w:rFonts w:ascii="Book Antiqua" w:hAnsi="Book Antiqua"/>
        </w:rPr>
        <w:t>Souleman</w:t>
      </w:r>
      <w:proofErr w:type="spellEnd"/>
      <w:r w:rsidRPr="002B7717">
        <w:rPr>
          <w:rFonts w:ascii="Book Antiqua" w:hAnsi="Book Antiqua"/>
        </w:rPr>
        <w:t xml:space="preserve"> AMA, </w:t>
      </w:r>
      <w:proofErr w:type="spellStart"/>
      <w:r w:rsidRPr="002B7717">
        <w:rPr>
          <w:rFonts w:ascii="Book Antiqua" w:hAnsi="Book Antiqua"/>
        </w:rPr>
        <w:t>Shaffie</w:t>
      </w:r>
      <w:proofErr w:type="spellEnd"/>
      <w:r w:rsidRPr="002B7717">
        <w:rPr>
          <w:rFonts w:ascii="Book Antiqua" w:hAnsi="Book Antiqua"/>
        </w:rPr>
        <w:t xml:space="preserve"> N, </w:t>
      </w:r>
      <w:proofErr w:type="spellStart"/>
      <w:r w:rsidRPr="002B7717">
        <w:rPr>
          <w:rFonts w:ascii="Book Antiqua" w:hAnsi="Book Antiqua"/>
        </w:rPr>
        <w:t>Abouelfadl</w:t>
      </w:r>
      <w:proofErr w:type="spellEnd"/>
      <w:r w:rsidRPr="002B7717">
        <w:rPr>
          <w:rFonts w:ascii="Book Antiqua" w:hAnsi="Book Antiqua"/>
        </w:rPr>
        <w:t xml:space="preserve"> DM. Bougainvillea spectabilis flowers extract protects against the rotenone-induced toxicity. </w:t>
      </w:r>
      <w:r w:rsidRPr="002B7717">
        <w:rPr>
          <w:rFonts w:ascii="Book Antiqua" w:hAnsi="Book Antiqua"/>
          <w:i/>
          <w:iCs/>
        </w:rPr>
        <w:t>Asian Pac J Trop Med</w:t>
      </w:r>
      <w:r w:rsidRPr="002B7717">
        <w:rPr>
          <w:rFonts w:ascii="Book Antiqua" w:hAnsi="Book Antiqua"/>
        </w:rPr>
        <w:t> 2017; </w:t>
      </w:r>
      <w:r w:rsidRPr="002B7717">
        <w:rPr>
          <w:rFonts w:ascii="Book Antiqua" w:hAnsi="Book Antiqua"/>
          <w:b/>
          <w:bCs/>
        </w:rPr>
        <w:t>10</w:t>
      </w:r>
      <w:r w:rsidRPr="002B7717">
        <w:rPr>
          <w:rFonts w:ascii="Book Antiqua" w:hAnsi="Book Antiqua"/>
        </w:rPr>
        <w:t>: 478-490 [PMID: 28647186 DOI: 10.1016/j.apjtm.2017.05.013]</w:t>
      </w:r>
    </w:p>
    <w:p w14:paraId="4CD3D7D5"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90 </w:t>
      </w:r>
      <w:proofErr w:type="spellStart"/>
      <w:r w:rsidRPr="002B7717">
        <w:rPr>
          <w:rFonts w:ascii="Book Antiqua" w:hAnsi="Book Antiqua"/>
          <w:b/>
          <w:bCs/>
        </w:rPr>
        <w:t>Jayaraj</w:t>
      </w:r>
      <w:proofErr w:type="spellEnd"/>
      <w:r w:rsidRPr="002B7717">
        <w:rPr>
          <w:rFonts w:ascii="Book Antiqua" w:hAnsi="Book Antiqua"/>
          <w:b/>
          <w:bCs/>
        </w:rPr>
        <w:t xml:space="preserve"> RL</w:t>
      </w:r>
      <w:r w:rsidRPr="002B7717">
        <w:rPr>
          <w:rFonts w:ascii="Book Antiqua" w:hAnsi="Book Antiqua"/>
        </w:rPr>
        <w:t xml:space="preserve">, </w:t>
      </w:r>
      <w:proofErr w:type="spellStart"/>
      <w:r w:rsidRPr="002B7717">
        <w:rPr>
          <w:rFonts w:ascii="Book Antiqua" w:hAnsi="Book Antiqua"/>
        </w:rPr>
        <w:t>Beiram</w:t>
      </w:r>
      <w:proofErr w:type="spellEnd"/>
      <w:r w:rsidRPr="002B7717">
        <w:rPr>
          <w:rFonts w:ascii="Book Antiqua" w:hAnsi="Book Antiqua"/>
        </w:rPr>
        <w:t xml:space="preserve"> R, </w:t>
      </w:r>
      <w:proofErr w:type="spellStart"/>
      <w:r w:rsidRPr="002B7717">
        <w:rPr>
          <w:rFonts w:ascii="Book Antiqua" w:hAnsi="Book Antiqua"/>
        </w:rPr>
        <w:t>Azimullah</w:t>
      </w:r>
      <w:proofErr w:type="spellEnd"/>
      <w:r w:rsidRPr="002B7717">
        <w:rPr>
          <w:rFonts w:ascii="Book Antiqua" w:hAnsi="Book Antiqua"/>
        </w:rPr>
        <w:t xml:space="preserve"> S, </w:t>
      </w:r>
      <w:proofErr w:type="spellStart"/>
      <w:r w:rsidRPr="002B7717">
        <w:rPr>
          <w:rFonts w:ascii="Book Antiqua" w:hAnsi="Book Antiqua"/>
        </w:rPr>
        <w:t>Meeran</w:t>
      </w:r>
      <w:proofErr w:type="spellEnd"/>
      <w:r w:rsidRPr="002B7717">
        <w:rPr>
          <w:rFonts w:ascii="Book Antiqua" w:hAnsi="Book Antiqua"/>
        </w:rPr>
        <w:t xml:space="preserve"> MFN, Ojha SK, </w:t>
      </w:r>
      <w:proofErr w:type="spellStart"/>
      <w:r w:rsidRPr="002B7717">
        <w:rPr>
          <w:rFonts w:ascii="Book Antiqua" w:hAnsi="Book Antiqua"/>
        </w:rPr>
        <w:t>Adem</w:t>
      </w:r>
      <w:proofErr w:type="spellEnd"/>
      <w:r w:rsidRPr="002B7717">
        <w:rPr>
          <w:rFonts w:ascii="Book Antiqua" w:hAnsi="Book Antiqua"/>
        </w:rPr>
        <w:t xml:space="preserve"> A, Jalal FY. Lycopodium Attenuates Loss of Dopaminergic Neurons by Suppressing Oxidative Stress and Neuroinflammation in a Rat Model of Parkinson's Disease. </w:t>
      </w:r>
      <w:r w:rsidRPr="002B7717">
        <w:rPr>
          <w:rFonts w:ascii="Book Antiqua" w:hAnsi="Book Antiqua"/>
          <w:i/>
          <w:iCs/>
        </w:rPr>
        <w:t>Molecules</w:t>
      </w:r>
      <w:r w:rsidRPr="002B7717">
        <w:rPr>
          <w:rFonts w:ascii="Book Antiqua" w:hAnsi="Book Antiqua"/>
        </w:rPr>
        <w:t> 2019; </w:t>
      </w:r>
      <w:r w:rsidRPr="002B7717">
        <w:rPr>
          <w:rFonts w:ascii="Book Antiqua" w:hAnsi="Book Antiqua"/>
          <w:b/>
          <w:bCs/>
        </w:rPr>
        <w:t>24</w:t>
      </w:r>
      <w:r w:rsidRPr="002B7717">
        <w:rPr>
          <w:rFonts w:ascii="Book Antiqua" w:hAnsi="Book Antiqua"/>
        </w:rPr>
        <w:t> [PMID: 31185705 DOI: 10.3390/molecules24112182]</w:t>
      </w:r>
    </w:p>
    <w:p w14:paraId="760BF55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91 </w:t>
      </w:r>
      <w:r w:rsidRPr="002B7717">
        <w:rPr>
          <w:rFonts w:ascii="Book Antiqua" w:hAnsi="Book Antiqua"/>
          <w:b/>
          <w:bCs/>
        </w:rPr>
        <w:t>Kumar S</w:t>
      </w:r>
      <w:r w:rsidRPr="002B7717">
        <w:rPr>
          <w:rFonts w:ascii="Book Antiqua" w:hAnsi="Book Antiqua"/>
        </w:rPr>
        <w:t>, Kumar P. Beneficial effect of rice bran extract against rotenone-induced experimental Parkinson's disease in rats. </w:t>
      </w:r>
      <w:proofErr w:type="spellStart"/>
      <w:r w:rsidRPr="002B7717">
        <w:rPr>
          <w:rFonts w:ascii="Book Antiqua" w:hAnsi="Book Antiqua"/>
          <w:i/>
          <w:iCs/>
        </w:rPr>
        <w:t>Curr</w:t>
      </w:r>
      <w:proofErr w:type="spellEnd"/>
      <w:r w:rsidRPr="002B7717">
        <w:rPr>
          <w:rFonts w:ascii="Book Antiqua" w:hAnsi="Book Antiqua"/>
          <w:i/>
          <w:iCs/>
        </w:rPr>
        <w:t xml:space="preserve"> Mol </w:t>
      </w:r>
      <w:proofErr w:type="spellStart"/>
      <w:r w:rsidRPr="002B7717">
        <w:rPr>
          <w:rFonts w:ascii="Book Antiqua" w:hAnsi="Book Antiqua"/>
          <w:i/>
          <w:iCs/>
        </w:rPr>
        <w:t>Pharmacol</w:t>
      </w:r>
      <w:proofErr w:type="spellEnd"/>
      <w:r w:rsidRPr="002B7717">
        <w:rPr>
          <w:rFonts w:ascii="Book Antiqua" w:hAnsi="Book Antiqua"/>
        </w:rPr>
        <w:t> 2021 [PMID: 33573588 DOI: 10.2174/1874467214666210126113324]</w:t>
      </w:r>
    </w:p>
    <w:p w14:paraId="43D0318C"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lastRenderedPageBreak/>
        <w:t>92 </w:t>
      </w:r>
      <w:proofErr w:type="spellStart"/>
      <w:r w:rsidRPr="002B7717">
        <w:rPr>
          <w:rFonts w:ascii="Book Antiqua" w:hAnsi="Book Antiqua"/>
          <w:b/>
          <w:bCs/>
        </w:rPr>
        <w:t>Parkhe</w:t>
      </w:r>
      <w:proofErr w:type="spellEnd"/>
      <w:r w:rsidRPr="002B7717">
        <w:rPr>
          <w:rFonts w:ascii="Book Antiqua" w:hAnsi="Book Antiqua"/>
          <w:b/>
          <w:bCs/>
        </w:rPr>
        <w:t xml:space="preserve"> A</w:t>
      </w:r>
      <w:r w:rsidRPr="002B7717">
        <w:rPr>
          <w:rFonts w:ascii="Book Antiqua" w:hAnsi="Book Antiqua"/>
        </w:rPr>
        <w:t xml:space="preserve">, Parekh P, Nalla LV, Sharma N, Sharma M, Gadepalli A, Kate A, </w:t>
      </w:r>
      <w:proofErr w:type="spellStart"/>
      <w:r w:rsidRPr="002B7717">
        <w:rPr>
          <w:rFonts w:ascii="Book Antiqua" w:hAnsi="Book Antiqua"/>
        </w:rPr>
        <w:t>Khairnar</w:t>
      </w:r>
      <w:proofErr w:type="spellEnd"/>
      <w:r w:rsidRPr="002B7717">
        <w:rPr>
          <w:rFonts w:ascii="Book Antiqua" w:hAnsi="Book Antiqua"/>
        </w:rPr>
        <w:t xml:space="preserve"> A. Protective effect of alpha </w:t>
      </w:r>
      <w:proofErr w:type="spellStart"/>
      <w:r w:rsidRPr="002B7717">
        <w:rPr>
          <w:rFonts w:ascii="Book Antiqua" w:hAnsi="Book Antiqua"/>
        </w:rPr>
        <w:t>mangostin</w:t>
      </w:r>
      <w:proofErr w:type="spellEnd"/>
      <w:r w:rsidRPr="002B7717">
        <w:rPr>
          <w:rFonts w:ascii="Book Antiqua" w:hAnsi="Book Antiqua"/>
        </w:rPr>
        <w:t xml:space="preserve"> on rotenone induced toxicity in rat model of Parkinson's disease. </w:t>
      </w:r>
      <w:proofErr w:type="spellStart"/>
      <w:r w:rsidRPr="002B7717">
        <w:rPr>
          <w:rFonts w:ascii="Book Antiqua" w:hAnsi="Book Antiqua"/>
          <w:i/>
          <w:iCs/>
        </w:rPr>
        <w:t>Neurosci</w:t>
      </w:r>
      <w:proofErr w:type="spellEnd"/>
      <w:r w:rsidRPr="002B7717">
        <w:rPr>
          <w:rFonts w:ascii="Book Antiqua" w:hAnsi="Book Antiqua"/>
          <w:i/>
          <w:iCs/>
        </w:rPr>
        <w:t xml:space="preserve"> Lett</w:t>
      </w:r>
      <w:r w:rsidRPr="002B7717">
        <w:rPr>
          <w:rFonts w:ascii="Book Antiqua" w:hAnsi="Book Antiqua"/>
        </w:rPr>
        <w:t> 2020; </w:t>
      </w:r>
      <w:r w:rsidRPr="002B7717">
        <w:rPr>
          <w:rFonts w:ascii="Book Antiqua" w:hAnsi="Book Antiqua"/>
          <w:b/>
          <w:bCs/>
        </w:rPr>
        <w:t>716</w:t>
      </w:r>
      <w:r w:rsidRPr="002B7717">
        <w:rPr>
          <w:rFonts w:ascii="Book Antiqua" w:hAnsi="Book Antiqua"/>
        </w:rPr>
        <w:t>: 134652 [PMID: 31778768 DO</w:t>
      </w:r>
      <w:r w:rsidR="00C6107D">
        <w:rPr>
          <w:rFonts w:ascii="Book Antiqua" w:hAnsi="Book Antiqua"/>
        </w:rPr>
        <w:t>I: 10.1016/j.neulet.2019.134652</w:t>
      </w:r>
      <w:r w:rsidRPr="002B7717">
        <w:rPr>
          <w:rFonts w:ascii="Book Antiqua" w:hAnsi="Book Antiqua"/>
        </w:rPr>
        <w:t>]</w:t>
      </w:r>
    </w:p>
    <w:p w14:paraId="25099603"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93 </w:t>
      </w:r>
      <w:r w:rsidRPr="002B7717">
        <w:rPr>
          <w:rFonts w:ascii="Book Antiqua" w:hAnsi="Book Antiqua"/>
          <w:b/>
          <w:bCs/>
        </w:rPr>
        <w:t>Sharma S</w:t>
      </w:r>
      <w:r w:rsidRPr="002B7717">
        <w:rPr>
          <w:rFonts w:ascii="Book Antiqua" w:hAnsi="Book Antiqua"/>
        </w:rPr>
        <w:t xml:space="preserve">, Raj K, Singh S. Neuroprotective Effect of Quercetin in Combination with </w:t>
      </w:r>
      <w:proofErr w:type="spellStart"/>
      <w:r w:rsidRPr="002B7717">
        <w:rPr>
          <w:rFonts w:ascii="Book Antiqua" w:hAnsi="Book Antiqua"/>
        </w:rPr>
        <w:t>Piperine</w:t>
      </w:r>
      <w:proofErr w:type="spellEnd"/>
      <w:r w:rsidRPr="002B7717">
        <w:rPr>
          <w:rFonts w:ascii="Book Antiqua" w:hAnsi="Book Antiqua"/>
        </w:rPr>
        <w:t xml:space="preserve"> Against Rotenone- and Iron Supplement-Induced Parkinson's Disease in Experimental Rats. </w:t>
      </w:r>
      <w:proofErr w:type="spellStart"/>
      <w:r w:rsidRPr="002B7717">
        <w:rPr>
          <w:rFonts w:ascii="Book Antiqua" w:hAnsi="Book Antiqua"/>
          <w:i/>
          <w:iCs/>
        </w:rPr>
        <w:t>Neurotox</w:t>
      </w:r>
      <w:proofErr w:type="spellEnd"/>
      <w:r w:rsidRPr="002B7717">
        <w:rPr>
          <w:rFonts w:ascii="Book Antiqua" w:hAnsi="Book Antiqua"/>
          <w:i/>
          <w:iCs/>
        </w:rPr>
        <w:t xml:space="preserve"> Res</w:t>
      </w:r>
      <w:r w:rsidRPr="002B7717">
        <w:rPr>
          <w:rFonts w:ascii="Book Antiqua" w:hAnsi="Book Antiqua"/>
        </w:rPr>
        <w:t> 2020; </w:t>
      </w:r>
      <w:r w:rsidRPr="002B7717">
        <w:rPr>
          <w:rFonts w:ascii="Book Antiqua" w:hAnsi="Book Antiqua"/>
          <w:b/>
          <w:bCs/>
        </w:rPr>
        <w:t>37</w:t>
      </w:r>
      <w:r w:rsidRPr="002B7717">
        <w:rPr>
          <w:rFonts w:ascii="Book Antiqua" w:hAnsi="Book Antiqua"/>
        </w:rPr>
        <w:t>: 198-209 [PMID: 31654381 DOI: 10.1007/s12640-019-00120-z]</w:t>
      </w:r>
    </w:p>
    <w:p w14:paraId="7BCCB5DF"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94 </w:t>
      </w:r>
      <w:proofErr w:type="spellStart"/>
      <w:r w:rsidRPr="002B7717">
        <w:rPr>
          <w:rFonts w:ascii="Book Antiqua" w:hAnsi="Book Antiqua"/>
          <w:b/>
          <w:bCs/>
        </w:rPr>
        <w:t>Javed</w:t>
      </w:r>
      <w:proofErr w:type="spellEnd"/>
      <w:r w:rsidRPr="002B7717">
        <w:rPr>
          <w:rFonts w:ascii="Book Antiqua" w:hAnsi="Book Antiqua"/>
          <w:b/>
          <w:bCs/>
        </w:rPr>
        <w:t xml:space="preserve"> H</w:t>
      </w:r>
      <w:r w:rsidRPr="002B7717">
        <w:rPr>
          <w:rFonts w:ascii="Book Antiqua" w:hAnsi="Book Antiqua"/>
        </w:rPr>
        <w:t xml:space="preserve">, </w:t>
      </w:r>
      <w:proofErr w:type="spellStart"/>
      <w:r w:rsidRPr="002B7717">
        <w:rPr>
          <w:rFonts w:ascii="Book Antiqua" w:hAnsi="Book Antiqua"/>
        </w:rPr>
        <w:t>Azimullah</w:t>
      </w:r>
      <w:proofErr w:type="spellEnd"/>
      <w:r w:rsidRPr="002B7717">
        <w:rPr>
          <w:rFonts w:ascii="Book Antiqua" w:hAnsi="Book Antiqua"/>
        </w:rPr>
        <w:t xml:space="preserve"> S, Haque ME, Ojha SK. Cannabinoid Type 2 (CB2) Receptors Activation Protects against Oxidative Stress and Neuroinflammation Associated Dopaminergic Neurodegeneration in Rotenone Model of Parkinson's Disease. </w:t>
      </w:r>
      <w:r w:rsidRPr="002B7717">
        <w:rPr>
          <w:rFonts w:ascii="Book Antiqua" w:hAnsi="Book Antiqua"/>
          <w:i/>
          <w:iCs/>
        </w:rPr>
        <w:t xml:space="preserve">Front </w:t>
      </w:r>
      <w:proofErr w:type="spellStart"/>
      <w:r w:rsidRPr="002B7717">
        <w:rPr>
          <w:rFonts w:ascii="Book Antiqua" w:hAnsi="Book Antiqua"/>
          <w:i/>
          <w:iCs/>
        </w:rPr>
        <w:t>Neurosci</w:t>
      </w:r>
      <w:proofErr w:type="spellEnd"/>
      <w:r w:rsidRPr="002B7717">
        <w:rPr>
          <w:rFonts w:ascii="Book Antiqua" w:hAnsi="Book Antiqua"/>
        </w:rPr>
        <w:t> 2016; </w:t>
      </w:r>
      <w:r w:rsidRPr="002B7717">
        <w:rPr>
          <w:rFonts w:ascii="Book Antiqua" w:hAnsi="Book Antiqua"/>
          <w:b/>
          <w:bCs/>
        </w:rPr>
        <w:t>10</w:t>
      </w:r>
      <w:r w:rsidRPr="002B7717">
        <w:rPr>
          <w:rFonts w:ascii="Book Antiqua" w:hAnsi="Book Antiqua"/>
        </w:rPr>
        <w:t>: 321 [PMID: 27531971 DOI: 10.3389/fnins.2016.00321]</w:t>
      </w:r>
    </w:p>
    <w:p w14:paraId="776A2278" w14:textId="77777777" w:rsidR="002B7717" w:rsidRPr="002B7717" w:rsidRDefault="002B7717" w:rsidP="002B7717">
      <w:pPr>
        <w:pStyle w:val="a3"/>
        <w:shd w:val="clear" w:color="auto" w:fill="FFFFFF"/>
        <w:adjustRightInd w:val="0"/>
        <w:snapToGrid w:val="0"/>
        <w:spacing w:before="0" w:beforeAutospacing="0" w:after="0" w:afterAutospacing="0" w:line="360" w:lineRule="auto"/>
        <w:jc w:val="both"/>
        <w:rPr>
          <w:rFonts w:ascii="Book Antiqua" w:hAnsi="Book Antiqua"/>
        </w:rPr>
      </w:pPr>
      <w:r w:rsidRPr="002B7717">
        <w:rPr>
          <w:rFonts w:ascii="Book Antiqua" w:hAnsi="Book Antiqua"/>
        </w:rPr>
        <w:t>95 </w:t>
      </w:r>
      <w:proofErr w:type="spellStart"/>
      <w:r w:rsidRPr="002B7717">
        <w:rPr>
          <w:rFonts w:ascii="Book Antiqua" w:hAnsi="Book Antiqua"/>
          <w:b/>
          <w:bCs/>
        </w:rPr>
        <w:t>Mossa</w:t>
      </w:r>
      <w:proofErr w:type="spellEnd"/>
      <w:r w:rsidRPr="002B7717">
        <w:rPr>
          <w:rFonts w:ascii="Book Antiqua" w:hAnsi="Book Antiqua"/>
          <w:b/>
          <w:bCs/>
        </w:rPr>
        <w:t xml:space="preserve"> AH</w:t>
      </w:r>
      <w:r w:rsidRPr="002B7717">
        <w:rPr>
          <w:rFonts w:ascii="Book Antiqua" w:hAnsi="Book Antiqua"/>
        </w:rPr>
        <w:t xml:space="preserve">, </w:t>
      </w:r>
      <w:proofErr w:type="spellStart"/>
      <w:r w:rsidRPr="002B7717">
        <w:rPr>
          <w:rFonts w:ascii="Book Antiqua" w:hAnsi="Book Antiqua"/>
        </w:rPr>
        <w:t>Mohafrash</w:t>
      </w:r>
      <w:proofErr w:type="spellEnd"/>
      <w:r w:rsidRPr="002B7717">
        <w:rPr>
          <w:rFonts w:ascii="Book Antiqua" w:hAnsi="Book Antiqua"/>
        </w:rPr>
        <w:t xml:space="preserve"> SMM, Chandrasekaran N. Safety of Natural Insecticides: Toxic Effects on Experimental Animals. </w:t>
      </w:r>
      <w:r w:rsidRPr="002B7717">
        <w:rPr>
          <w:rFonts w:ascii="Book Antiqua" w:hAnsi="Book Antiqua"/>
          <w:i/>
          <w:iCs/>
        </w:rPr>
        <w:t>Biomed Res Int</w:t>
      </w:r>
      <w:r w:rsidRPr="002B7717">
        <w:rPr>
          <w:rFonts w:ascii="Book Antiqua" w:hAnsi="Book Antiqua"/>
        </w:rPr>
        <w:t> 2018; </w:t>
      </w:r>
      <w:r w:rsidRPr="002B7717">
        <w:rPr>
          <w:rFonts w:ascii="Book Antiqua" w:hAnsi="Book Antiqua"/>
          <w:b/>
          <w:bCs/>
        </w:rPr>
        <w:t>2018</w:t>
      </w:r>
      <w:r w:rsidRPr="002B7717">
        <w:rPr>
          <w:rFonts w:ascii="Book Antiqua" w:hAnsi="Book Antiqua"/>
        </w:rPr>
        <w:t>: 4308054 [PMID: 30410930 DOI: 10.1155/2018/4308054]</w:t>
      </w:r>
    </w:p>
    <w:bookmarkEnd w:id="50"/>
    <w:bookmarkEnd w:id="51"/>
    <w:p w14:paraId="3DB95C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1FF938" w14:textId="77777777" w:rsidR="00A77B3E" w:rsidRDefault="00D67C97">
      <w:pPr>
        <w:spacing w:line="360" w:lineRule="auto"/>
        <w:jc w:val="both"/>
      </w:pPr>
      <w:r>
        <w:rPr>
          <w:rFonts w:ascii="Book Antiqua" w:eastAsia="Book Antiqua" w:hAnsi="Book Antiqua" w:cs="Book Antiqua"/>
          <w:b/>
          <w:color w:val="000000"/>
        </w:rPr>
        <w:lastRenderedPageBreak/>
        <w:t>Footnotes</w:t>
      </w:r>
    </w:p>
    <w:p w14:paraId="64A8A013" w14:textId="77777777" w:rsidR="00A77B3E" w:rsidRDefault="00D67C97">
      <w:pPr>
        <w:spacing w:line="360" w:lineRule="auto"/>
        <w:jc w:val="both"/>
      </w:pPr>
      <w:r w:rsidRPr="004C01D3">
        <w:rPr>
          <w:rFonts w:ascii="Book Antiqua" w:eastAsia="Book Antiqua" w:hAnsi="Book Antiqua" w:cs="Book Antiqua"/>
          <w:b/>
          <w:bCs/>
          <w:iCs/>
          <w:color w:val="000000"/>
        </w:rPr>
        <w:t xml:space="preserve">Conflict-of-interest statement: </w:t>
      </w:r>
      <w:bookmarkStart w:id="52" w:name="OLE_LINK75"/>
      <w:bookmarkStart w:id="53" w:name="OLE_LINK76"/>
      <w:r w:rsidRPr="004C01D3">
        <w:rPr>
          <w:rFonts w:ascii="Book Antiqua" w:eastAsia="Book Antiqua" w:hAnsi="Book Antiqua" w:cs="Book Antiqua"/>
          <w:bCs/>
          <w:color w:val="000000"/>
        </w:rPr>
        <w:t>Authors declare no conflict of interests for this article.</w:t>
      </w:r>
      <w:bookmarkEnd w:id="52"/>
      <w:bookmarkEnd w:id="53"/>
    </w:p>
    <w:p w14:paraId="3411E4BA" w14:textId="77777777" w:rsidR="00A77B3E" w:rsidRDefault="00A77B3E">
      <w:pPr>
        <w:spacing w:line="360" w:lineRule="auto"/>
        <w:jc w:val="both"/>
      </w:pPr>
    </w:p>
    <w:p w14:paraId="2D8075A9" w14:textId="77777777" w:rsidR="00A77B3E" w:rsidRDefault="00D67C9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2E8FD0" w14:textId="77777777" w:rsidR="00A77B3E" w:rsidRDefault="00A77B3E">
      <w:pPr>
        <w:spacing w:line="360" w:lineRule="auto"/>
        <w:jc w:val="both"/>
      </w:pPr>
    </w:p>
    <w:p w14:paraId="794FF9F9" w14:textId="77777777" w:rsidR="00A77B3E" w:rsidRDefault="00D67C97">
      <w:pPr>
        <w:spacing w:line="360" w:lineRule="auto"/>
        <w:jc w:val="both"/>
      </w:pPr>
      <w:r>
        <w:rPr>
          <w:rFonts w:ascii="Book Antiqua" w:eastAsia="Book Antiqua" w:hAnsi="Book Antiqua" w:cs="Book Antiqua"/>
          <w:b/>
          <w:color w:val="000000"/>
        </w:rPr>
        <w:t xml:space="preserve">Manuscript source: </w:t>
      </w:r>
      <w:r w:rsidR="00EB1B6F">
        <w:rPr>
          <w:rFonts w:ascii="Book Antiqua" w:eastAsia="Book Antiqua" w:hAnsi="Book Antiqua" w:cs="Book Antiqua"/>
          <w:color w:val="000000"/>
        </w:rPr>
        <w:t xml:space="preserve">Invited </w:t>
      </w:r>
      <w:r w:rsidR="00EB1B6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C35B661" w14:textId="77777777" w:rsidR="00A77B3E" w:rsidRDefault="00A77B3E">
      <w:pPr>
        <w:spacing w:line="360" w:lineRule="auto"/>
        <w:jc w:val="both"/>
      </w:pPr>
    </w:p>
    <w:p w14:paraId="03A25087" w14:textId="77777777" w:rsidR="00A77B3E" w:rsidRDefault="00D67C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04F801BF" w14:textId="77777777" w:rsidR="00A77B3E" w:rsidRDefault="00D67C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3967A06E" w14:textId="77777777" w:rsidR="00A77B3E" w:rsidRDefault="00D67C97">
      <w:pPr>
        <w:spacing w:line="360" w:lineRule="auto"/>
        <w:jc w:val="both"/>
      </w:pPr>
      <w:r>
        <w:rPr>
          <w:rFonts w:ascii="Book Antiqua" w:eastAsia="Book Antiqua" w:hAnsi="Book Antiqua" w:cs="Book Antiqua"/>
          <w:b/>
          <w:color w:val="000000"/>
        </w:rPr>
        <w:t xml:space="preserve">Article in press: </w:t>
      </w:r>
    </w:p>
    <w:p w14:paraId="57825D99" w14:textId="77777777" w:rsidR="00A77B3E" w:rsidRDefault="00A77B3E">
      <w:pPr>
        <w:spacing w:line="360" w:lineRule="auto"/>
        <w:jc w:val="both"/>
      </w:pPr>
    </w:p>
    <w:p w14:paraId="3F4D94EB" w14:textId="77777777" w:rsidR="00A77B3E" w:rsidRDefault="00D67C9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1E56C926" w14:textId="77777777" w:rsidR="00A77B3E" w:rsidRDefault="00D67C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026F7F1D" w14:textId="77777777" w:rsidR="00A77B3E" w:rsidRDefault="00D67C97">
      <w:pPr>
        <w:spacing w:line="360" w:lineRule="auto"/>
        <w:jc w:val="both"/>
      </w:pPr>
      <w:r>
        <w:rPr>
          <w:rFonts w:ascii="Book Antiqua" w:eastAsia="Book Antiqua" w:hAnsi="Book Antiqua" w:cs="Book Antiqua"/>
          <w:b/>
          <w:color w:val="000000"/>
        </w:rPr>
        <w:t>Peer-review report’s scientific quality classification</w:t>
      </w:r>
    </w:p>
    <w:p w14:paraId="0A6C39E1" w14:textId="77777777" w:rsidR="00A77B3E" w:rsidRDefault="00D67C97">
      <w:pPr>
        <w:spacing w:line="360" w:lineRule="auto"/>
        <w:jc w:val="both"/>
      </w:pPr>
      <w:r>
        <w:rPr>
          <w:rFonts w:ascii="Book Antiqua" w:eastAsia="Book Antiqua" w:hAnsi="Book Antiqua" w:cs="Book Antiqua"/>
          <w:color w:val="000000"/>
        </w:rPr>
        <w:t>Grade A (Excellent): 0</w:t>
      </w:r>
    </w:p>
    <w:p w14:paraId="74F52502" w14:textId="77777777" w:rsidR="00A77B3E" w:rsidRDefault="00D67C97">
      <w:pPr>
        <w:spacing w:line="360" w:lineRule="auto"/>
        <w:jc w:val="both"/>
      </w:pPr>
      <w:r>
        <w:rPr>
          <w:rFonts w:ascii="Book Antiqua" w:eastAsia="Book Antiqua" w:hAnsi="Book Antiqua" w:cs="Book Antiqua"/>
          <w:color w:val="000000"/>
        </w:rPr>
        <w:t>Grade B (Very good): B</w:t>
      </w:r>
    </w:p>
    <w:p w14:paraId="7B99BE5E" w14:textId="77777777" w:rsidR="00A77B3E" w:rsidRDefault="00D67C97">
      <w:pPr>
        <w:spacing w:line="360" w:lineRule="auto"/>
        <w:jc w:val="both"/>
      </w:pPr>
      <w:r>
        <w:rPr>
          <w:rFonts w:ascii="Book Antiqua" w:eastAsia="Book Antiqua" w:hAnsi="Book Antiqua" w:cs="Book Antiqua"/>
          <w:color w:val="000000"/>
        </w:rPr>
        <w:t>Grade C (Good): 0</w:t>
      </w:r>
    </w:p>
    <w:p w14:paraId="5429086B" w14:textId="77777777" w:rsidR="00A77B3E" w:rsidRDefault="00D67C97">
      <w:pPr>
        <w:spacing w:line="360" w:lineRule="auto"/>
        <w:jc w:val="both"/>
      </w:pPr>
      <w:r>
        <w:rPr>
          <w:rFonts w:ascii="Book Antiqua" w:eastAsia="Book Antiqua" w:hAnsi="Book Antiqua" w:cs="Book Antiqua"/>
          <w:color w:val="000000"/>
        </w:rPr>
        <w:t>Grade D (Fair): 0</w:t>
      </w:r>
    </w:p>
    <w:p w14:paraId="4534DCD8" w14:textId="77777777" w:rsidR="00A77B3E" w:rsidRDefault="00D67C97">
      <w:pPr>
        <w:spacing w:line="360" w:lineRule="auto"/>
        <w:jc w:val="both"/>
      </w:pPr>
      <w:r>
        <w:rPr>
          <w:rFonts w:ascii="Book Antiqua" w:eastAsia="Book Antiqua" w:hAnsi="Book Antiqua" w:cs="Book Antiqua"/>
          <w:color w:val="000000"/>
        </w:rPr>
        <w:t>Grade E (Poor): 0</w:t>
      </w:r>
    </w:p>
    <w:p w14:paraId="18091A7F" w14:textId="77777777" w:rsidR="00A77B3E" w:rsidRDefault="00A77B3E">
      <w:pPr>
        <w:spacing w:line="360" w:lineRule="auto"/>
        <w:jc w:val="both"/>
      </w:pPr>
    </w:p>
    <w:p w14:paraId="304A2D50" w14:textId="77777777" w:rsidR="00A77B3E" w:rsidRDefault="00D67C9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Xu WX</w:t>
      </w:r>
      <w:r>
        <w:rPr>
          <w:rFonts w:ascii="Book Antiqua" w:eastAsia="Book Antiqua" w:hAnsi="Book Antiqua" w:cs="Book Antiqua"/>
          <w:b/>
          <w:color w:val="000000"/>
        </w:rPr>
        <w:t xml:space="preserve"> S-Editor: </w:t>
      </w:r>
      <w:r w:rsidR="0070707F">
        <w:rPr>
          <w:rFonts w:ascii="Book Antiqua" w:hAnsi="Book Antiqua" w:cs="Book Antiqua" w:hint="eastAsia"/>
          <w:color w:val="000000"/>
          <w:lang w:eastAsia="zh-CN"/>
        </w:rPr>
        <w:t>Zhang H</w:t>
      </w:r>
      <w:r w:rsidR="0070707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28B9323A" w14:textId="77777777" w:rsidR="00A77B3E" w:rsidRDefault="00D67C97">
      <w:pPr>
        <w:spacing w:line="360" w:lineRule="auto"/>
        <w:jc w:val="both"/>
      </w:pPr>
      <w:r>
        <w:rPr>
          <w:rFonts w:ascii="Book Antiqua" w:eastAsia="Book Antiqua" w:hAnsi="Book Antiqua" w:cs="Book Antiqua"/>
          <w:b/>
          <w:color w:val="000000"/>
        </w:rPr>
        <w:lastRenderedPageBreak/>
        <w:t>Figure Legends</w:t>
      </w:r>
    </w:p>
    <w:p w14:paraId="63C89E94" w14:textId="77777777" w:rsidR="001327AD" w:rsidRDefault="001327A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ED67277" wp14:editId="33F23073">
            <wp:extent cx="5875650" cy="323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9924" cy="3240856"/>
                    </a:xfrm>
                    <a:prstGeom prst="rect">
                      <a:avLst/>
                    </a:prstGeom>
                    <a:noFill/>
                  </pic:spPr>
                </pic:pic>
              </a:graphicData>
            </a:graphic>
          </wp:inline>
        </w:drawing>
      </w:r>
    </w:p>
    <w:p w14:paraId="227886DC" w14:textId="77777777" w:rsidR="004F0794" w:rsidRDefault="001327AD">
      <w:pPr>
        <w:spacing w:line="360" w:lineRule="auto"/>
        <w:jc w:val="both"/>
        <w:rPr>
          <w:rFonts w:ascii="Book Antiqua" w:hAnsi="Book Antiqua" w:cs="Book Antiqua"/>
          <w:bCs/>
          <w:color w:val="000000"/>
          <w:lang w:eastAsia="zh-CN"/>
        </w:rPr>
      </w:pPr>
      <w:bookmarkStart w:id="54" w:name="OLE_LINK73"/>
      <w:bookmarkStart w:id="55" w:name="OLE_LINK74"/>
      <w:r>
        <w:rPr>
          <w:rFonts w:ascii="Book Antiqua" w:eastAsia="Book Antiqua" w:hAnsi="Book Antiqua" w:cs="Book Antiqua"/>
          <w:b/>
          <w:bCs/>
          <w:color w:val="000000"/>
        </w:rPr>
        <w:t>Figure 1</w:t>
      </w:r>
      <w:r w:rsidR="00D67C97">
        <w:rPr>
          <w:rFonts w:ascii="Book Antiqua" w:eastAsia="Book Antiqua" w:hAnsi="Book Antiqua" w:cs="Book Antiqua"/>
          <w:b/>
          <w:bCs/>
          <w:color w:val="000000"/>
        </w:rPr>
        <w:t xml:space="preserve"> Proposed scheme for the involvement of </w:t>
      </w:r>
      <w:r w:rsidRPr="001327AD">
        <w:rPr>
          <w:rFonts w:ascii="Book Antiqua" w:eastAsia="Book Antiqua" w:hAnsi="Book Antiqua" w:cs="Book Antiqua"/>
          <w:b/>
          <w:bCs/>
          <w:color w:val="000000"/>
        </w:rPr>
        <w:t xml:space="preserve">nitric oxide </w:t>
      </w:r>
      <w:r w:rsidR="00D67C97">
        <w:rPr>
          <w:rFonts w:ascii="Book Antiqua" w:eastAsia="Book Antiqua" w:hAnsi="Book Antiqua" w:cs="Book Antiqua"/>
          <w:b/>
          <w:bCs/>
          <w:color w:val="000000"/>
        </w:rPr>
        <w:t xml:space="preserve">and </w:t>
      </w:r>
      <w:r w:rsidRPr="001327AD">
        <w:rPr>
          <w:rFonts w:ascii="Book Antiqua" w:eastAsia="Book Antiqua" w:hAnsi="Book Antiqua" w:cs="Book Antiqua"/>
          <w:b/>
          <w:bCs/>
          <w:color w:val="000000"/>
        </w:rPr>
        <w:t xml:space="preserve">metabotropic glutamate receptor subtype 5 </w:t>
      </w:r>
      <w:r w:rsidR="00D67C97">
        <w:rPr>
          <w:rFonts w:ascii="Book Antiqua" w:eastAsia="Book Antiqua" w:hAnsi="Book Antiqua" w:cs="Book Antiqua"/>
          <w:b/>
          <w:bCs/>
          <w:color w:val="000000"/>
        </w:rPr>
        <w:t>in rotenone-induced dopaminergic neurotoxicity.</w:t>
      </w:r>
      <w:r w:rsidR="00D67C97" w:rsidRPr="001327AD">
        <w:rPr>
          <w:rFonts w:ascii="Book Antiqua" w:eastAsia="Book Antiqua" w:hAnsi="Book Antiqua" w:cs="Book Antiqua"/>
          <w:bCs/>
          <w:color w:val="000000"/>
        </w:rPr>
        <w:t xml:space="preserve"> It is now generally accepted that rotenone in low doses of rotenone specifically binds complex I and induces mitochondrial dysfunction. The action of rotenone can be mediated by an increase in the </w:t>
      </w:r>
      <w:bookmarkStart w:id="56" w:name="OLE_LINK1"/>
      <w:bookmarkStart w:id="57" w:name="OLE_LINK2"/>
      <w:r w:rsidR="00D67C97" w:rsidRPr="001327AD">
        <w:rPr>
          <w:rFonts w:ascii="Book Antiqua" w:eastAsia="Book Antiqua" w:hAnsi="Book Antiqua" w:cs="Book Antiqua"/>
          <w:bCs/>
          <w:color w:val="000000"/>
        </w:rPr>
        <w:t>N-methyl-D-aspartate</w:t>
      </w:r>
      <w:bookmarkEnd w:id="56"/>
      <w:bookmarkEnd w:id="57"/>
      <w:r w:rsidR="00D67C97" w:rsidRPr="001327AD">
        <w:rPr>
          <w:rFonts w:ascii="Book Antiqua" w:eastAsia="Book Antiqua" w:hAnsi="Book Antiqua" w:cs="Book Antiqua"/>
          <w:bCs/>
          <w:color w:val="000000"/>
        </w:rPr>
        <w:t xml:space="preserve"> current, which leads to the activation of </w:t>
      </w:r>
      <w:bookmarkStart w:id="58" w:name="OLE_LINK9"/>
      <w:r w:rsidR="00D67C97" w:rsidRPr="001327AD">
        <w:rPr>
          <w:rFonts w:ascii="Book Antiqua" w:eastAsia="Book Antiqua" w:hAnsi="Book Antiqua" w:cs="Book Antiqua"/>
          <w:bCs/>
          <w:color w:val="000000"/>
        </w:rPr>
        <w:t>metabotropic glutamate receptor subtype 5</w:t>
      </w:r>
      <w:bookmarkEnd w:id="58"/>
      <w:r w:rsidR="00D67C97" w:rsidRPr="001327AD">
        <w:rPr>
          <w:rFonts w:ascii="Book Antiqua" w:eastAsia="Book Antiqua" w:hAnsi="Book Antiqua" w:cs="Book Antiqua"/>
          <w:bCs/>
          <w:color w:val="000000"/>
        </w:rPr>
        <w:t xml:space="preserve">. Complex I, in combination with excitation of glutamate receptors, induces the generation of </w:t>
      </w:r>
      <w:bookmarkStart w:id="59" w:name="OLE_LINK10"/>
      <w:bookmarkStart w:id="60" w:name="OLE_LINK11"/>
      <w:r w:rsidR="00D67C97" w:rsidRPr="001327AD">
        <w:rPr>
          <w:rFonts w:ascii="Book Antiqua" w:eastAsia="Book Antiqua" w:hAnsi="Book Antiqua" w:cs="Book Antiqua"/>
          <w:bCs/>
          <w:color w:val="000000"/>
        </w:rPr>
        <w:t>reactive oxygen species</w:t>
      </w:r>
      <w:bookmarkEnd w:id="59"/>
      <w:bookmarkEnd w:id="60"/>
      <w:r w:rsidR="00D67C97" w:rsidRPr="001327AD">
        <w:rPr>
          <w:rFonts w:ascii="Book Antiqua" w:eastAsia="Book Antiqua" w:hAnsi="Book Antiqua" w:cs="Book Antiqua"/>
          <w:bCs/>
          <w:color w:val="000000"/>
        </w:rPr>
        <w:t xml:space="preserve"> and </w:t>
      </w:r>
      <w:bookmarkStart w:id="61" w:name="OLE_LINK7"/>
      <w:bookmarkStart w:id="62" w:name="OLE_LINK8"/>
      <w:bookmarkStart w:id="63" w:name="OLE_LINK12"/>
      <w:r w:rsidR="00D67C97" w:rsidRPr="001327AD">
        <w:rPr>
          <w:rFonts w:ascii="Book Antiqua" w:eastAsia="Book Antiqua" w:hAnsi="Book Antiqua" w:cs="Book Antiqua"/>
          <w:bCs/>
          <w:color w:val="000000"/>
        </w:rPr>
        <w:t>nitric oxide</w:t>
      </w:r>
      <w:bookmarkEnd w:id="61"/>
      <w:bookmarkEnd w:id="62"/>
      <w:bookmarkEnd w:id="63"/>
      <w:r w:rsidR="00D67C97" w:rsidRPr="001327AD">
        <w:rPr>
          <w:rFonts w:ascii="Book Antiqua" w:eastAsia="Book Antiqua" w:hAnsi="Book Antiqua" w:cs="Book Antiqua"/>
          <w:bCs/>
          <w:color w:val="000000"/>
        </w:rPr>
        <w:t xml:space="preserve">. In summary, these key cellular events induce progressive death of dopaminergic neurons in the substantia nigra pars compacta </w:t>
      </w:r>
      <w:r w:rsidR="00D67C97" w:rsidRPr="001327AD">
        <w:rPr>
          <w:rFonts w:ascii="Book Antiqua" w:eastAsia="Book Antiqua" w:hAnsi="Book Antiqua" w:cs="Book Antiqua"/>
          <w:bCs/>
          <w:i/>
          <w:iCs/>
          <w:color w:val="000000"/>
        </w:rPr>
        <w:t>via</w:t>
      </w:r>
      <w:r w:rsidR="00D67C97" w:rsidRPr="001327AD">
        <w:rPr>
          <w:rFonts w:ascii="Book Antiqua" w:eastAsia="Book Antiqua" w:hAnsi="Book Antiqua" w:cs="Book Antiqua"/>
          <w:bCs/>
          <w:color w:val="000000"/>
        </w:rPr>
        <w:t xml:space="preserve"> apoptosis and necrosis. It is important to note that at each stage, the action of rotenone becomes regionally limited so that inhibition of complex I ultimately </w:t>
      </w:r>
      <w:r w:rsidRPr="001327AD">
        <w:rPr>
          <w:rFonts w:ascii="Book Antiqua" w:eastAsia="Book Antiqua" w:hAnsi="Book Antiqua" w:cs="Book Antiqua"/>
          <w:bCs/>
          <w:color w:val="000000"/>
        </w:rPr>
        <w:t>lead</w:t>
      </w:r>
      <w:r w:rsidR="00D67C97" w:rsidRPr="001327AD">
        <w:rPr>
          <w:rFonts w:ascii="Book Antiqua" w:eastAsia="Book Antiqua" w:hAnsi="Book Antiqua" w:cs="Book Antiqua"/>
          <w:bCs/>
          <w:color w:val="000000"/>
        </w:rPr>
        <w:t xml:space="preserve"> to highly selective degeneration and loss of dopaminergic neurons of the nigrostriatal pathway.</w:t>
      </w:r>
      <w:r>
        <w:rPr>
          <w:rFonts w:ascii="Book Antiqua" w:hAnsi="Book Antiqua" w:cs="Book Antiqua" w:hint="eastAsia"/>
          <w:bCs/>
          <w:color w:val="000000"/>
          <w:lang w:eastAsia="zh-CN"/>
        </w:rPr>
        <w:t xml:space="preserve"> NO: </w:t>
      </w:r>
      <w:bookmarkStart w:id="64" w:name="OLE_LINK26"/>
      <w:bookmarkStart w:id="65" w:name="OLE_LINK29"/>
      <w:r>
        <w:rPr>
          <w:rFonts w:ascii="Book Antiqua" w:hAnsi="Book Antiqua" w:cs="Book Antiqua" w:hint="eastAsia"/>
          <w:bCs/>
          <w:color w:val="000000"/>
          <w:lang w:eastAsia="zh-CN"/>
        </w:rPr>
        <w:t>N</w:t>
      </w:r>
      <w:r w:rsidRPr="001327AD">
        <w:rPr>
          <w:rFonts w:ascii="Book Antiqua" w:eastAsia="Book Antiqua" w:hAnsi="Book Antiqua" w:cs="Book Antiqua"/>
          <w:bCs/>
          <w:color w:val="000000"/>
        </w:rPr>
        <w:t>itric oxide</w:t>
      </w:r>
      <w:bookmarkEnd w:id="64"/>
      <w:bookmarkEnd w:id="65"/>
      <w:r>
        <w:rPr>
          <w:rFonts w:ascii="Book Antiqua" w:hAnsi="Book Antiqua" w:cs="Book Antiqua" w:hint="eastAsia"/>
          <w:bCs/>
          <w:color w:val="000000"/>
          <w:lang w:eastAsia="zh-CN"/>
        </w:rPr>
        <w:t>; ROS: R</w:t>
      </w:r>
      <w:r w:rsidRPr="001327AD">
        <w:rPr>
          <w:rFonts w:ascii="Book Antiqua" w:eastAsia="Book Antiqua" w:hAnsi="Book Antiqua" w:cs="Book Antiqua"/>
          <w:bCs/>
          <w:color w:val="000000"/>
        </w:rPr>
        <w:t>eactive oxygen species</w:t>
      </w:r>
      <w:r>
        <w:rPr>
          <w:rFonts w:ascii="Book Antiqua" w:hAnsi="Book Antiqua" w:cs="Book Antiqua" w:hint="eastAsia"/>
          <w:bCs/>
          <w:color w:val="000000"/>
          <w:lang w:eastAsia="zh-CN"/>
        </w:rPr>
        <w:t>.</w:t>
      </w:r>
    </w:p>
    <w:bookmarkEnd w:id="54"/>
    <w:bookmarkEnd w:id="55"/>
    <w:p w14:paraId="04DA5967" w14:textId="77777777" w:rsidR="004F0794" w:rsidRPr="00FA6907" w:rsidRDefault="004F0794" w:rsidP="004F0794">
      <w:pPr>
        <w:pStyle w:val="BodyText21"/>
        <w:snapToGrid w:val="0"/>
        <w:spacing w:line="360" w:lineRule="auto"/>
        <w:rPr>
          <w:rFonts w:ascii="Book Antiqua" w:hAnsi="Book Antiqua"/>
          <w:b/>
          <w:i w:val="0"/>
        </w:rPr>
      </w:pPr>
      <w:r>
        <w:rPr>
          <w:rFonts w:ascii="Book Antiqua" w:hAnsi="Book Antiqua" w:cs="Book Antiqua"/>
          <w:bCs/>
          <w:color w:val="000000"/>
          <w:lang w:eastAsia="zh-CN"/>
        </w:rPr>
        <w:br w:type="page"/>
      </w:r>
      <w:r w:rsidRPr="00FA6907">
        <w:rPr>
          <w:rFonts w:ascii="Book Antiqua" w:hAnsi="Book Antiqua"/>
          <w:b/>
          <w:i w:val="0"/>
        </w:rPr>
        <w:lastRenderedPageBreak/>
        <w:t xml:space="preserve">Table 1 Main findings on </w:t>
      </w:r>
      <w:r w:rsidR="000B31EA">
        <w:rPr>
          <w:rFonts w:ascii="Book Antiqua" w:eastAsiaTheme="minorEastAsia" w:hAnsi="Book Antiqua" w:hint="eastAsia"/>
          <w:b/>
          <w:i w:val="0"/>
          <w:lang w:eastAsia="zh-CN"/>
        </w:rPr>
        <w:t>m</w:t>
      </w:r>
      <w:r w:rsidR="000B31EA" w:rsidRPr="000B31EA">
        <w:rPr>
          <w:rFonts w:ascii="Book Antiqua" w:hAnsi="Book Antiqua"/>
          <w:b/>
          <w:i w:val="0"/>
        </w:rPr>
        <w:t xml:space="preserve">etabotropic glutamate receptors </w:t>
      </w:r>
      <w:r w:rsidRPr="00FA6907">
        <w:rPr>
          <w:rFonts w:ascii="Book Antiqua" w:hAnsi="Book Antiqua"/>
          <w:b/>
          <w:i w:val="0"/>
        </w:rPr>
        <w:t xml:space="preserve">involvement in </w:t>
      </w:r>
      <w:r w:rsidRPr="00FA6907">
        <w:rPr>
          <w:rStyle w:val="a7"/>
          <w:rFonts w:ascii="Book Antiqua" w:hAnsi="Book Antiqua"/>
          <w:b/>
          <w:bCs/>
          <w:shd w:val="clear" w:color="auto" w:fill="FFFFFF"/>
        </w:rPr>
        <w:t>rotenone</w:t>
      </w:r>
      <w:r w:rsidRPr="00FA6907">
        <w:rPr>
          <w:rFonts w:ascii="Book Antiqua" w:hAnsi="Book Antiqua"/>
          <w:b/>
          <w:i w:val="0"/>
          <w:shd w:val="clear" w:color="auto" w:fill="FFFFFF"/>
        </w:rPr>
        <w:t>-induced neurotoxicity</w:t>
      </w:r>
      <w:r w:rsidRPr="00FA6907">
        <w:rPr>
          <w:rFonts w:ascii="Book Antiqua" w:hAnsi="Book Antiqua"/>
          <w:b/>
          <w:i w:val="0"/>
        </w:rPr>
        <w:t xml:space="preserve"> </w:t>
      </w:r>
    </w:p>
    <w:tbl>
      <w:tblPr>
        <w:tblW w:w="9640" w:type="dxa"/>
        <w:tblInd w:w="-292" w:type="dxa"/>
        <w:tblBorders>
          <w:top w:val="single" w:sz="6" w:space="0" w:color="000000"/>
          <w:bottom w:val="single" w:sz="6" w:space="0" w:color="000000"/>
        </w:tblBorders>
        <w:tblLayout w:type="fixed"/>
        <w:tblLook w:val="0000" w:firstRow="0" w:lastRow="0" w:firstColumn="0" w:lastColumn="0" w:noHBand="0" w:noVBand="0"/>
      </w:tblPr>
      <w:tblGrid>
        <w:gridCol w:w="2836"/>
        <w:gridCol w:w="2126"/>
        <w:gridCol w:w="2268"/>
        <w:gridCol w:w="2410"/>
      </w:tblGrid>
      <w:tr w:rsidR="004F0794" w:rsidRPr="00FA6907" w14:paraId="5E7BA082" w14:textId="77777777" w:rsidTr="004F0794">
        <w:trPr>
          <w:cantSplit/>
        </w:trPr>
        <w:tc>
          <w:tcPr>
            <w:tcW w:w="2836" w:type="dxa"/>
            <w:tcBorders>
              <w:top w:val="single" w:sz="6" w:space="0" w:color="000000"/>
              <w:bottom w:val="single" w:sz="6" w:space="0" w:color="000000"/>
            </w:tcBorders>
          </w:tcPr>
          <w:p w14:paraId="47A46FBA" w14:textId="77777777" w:rsidR="004F0794" w:rsidRPr="00FA6907" w:rsidRDefault="004F0794" w:rsidP="00E12C07">
            <w:pPr>
              <w:adjustRightInd w:val="0"/>
              <w:snapToGrid w:val="0"/>
              <w:spacing w:line="360" w:lineRule="auto"/>
              <w:jc w:val="both"/>
              <w:rPr>
                <w:rFonts w:ascii="Book Antiqua" w:hAnsi="Book Antiqua"/>
                <w:lang w:eastAsia="zh-CN"/>
              </w:rPr>
            </w:pPr>
            <w:r w:rsidRPr="00FA6907">
              <w:rPr>
                <w:rFonts w:ascii="Book Antiqua" w:hAnsi="Book Antiqua"/>
                <w:b/>
                <w:bCs/>
              </w:rPr>
              <w:t>Ref</w:t>
            </w:r>
            <w:r>
              <w:rPr>
                <w:rFonts w:ascii="Book Antiqua" w:hAnsi="Book Antiqua" w:hint="eastAsia"/>
                <w:b/>
                <w:bCs/>
                <w:lang w:eastAsia="zh-CN"/>
              </w:rPr>
              <w:t>.</w:t>
            </w:r>
          </w:p>
        </w:tc>
        <w:tc>
          <w:tcPr>
            <w:tcW w:w="2126" w:type="dxa"/>
            <w:tcBorders>
              <w:top w:val="single" w:sz="6" w:space="0" w:color="000000"/>
              <w:bottom w:val="single" w:sz="6" w:space="0" w:color="000000"/>
            </w:tcBorders>
          </w:tcPr>
          <w:p w14:paraId="0A5F0BF7" w14:textId="77777777" w:rsidR="004F0794" w:rsidRPr="00FA6907" w:rsidRDefault="004F0794" w:rsidP="00E12C07">
            <w:pPr>
              <w:adjustRightInd w:val="0"/>
              <w:snapToGrid w:val="0"/>
              <w:spacing w:line="360" w:lineRule="auto"/>
              <w:jc w:val="both"/>
              <w:rPr>
                <w:rFonts w:ascii="Book Antiqua" w:hAnsi="Book Antiqua"/>
                <w:b/>
              </w:rPr>
            </w:pPr>
            <w:r w:rsidRPr="00FA6907">
              <w:rPr>
                <w:rFonts w:ascii="Book Antiqua" w:hAnsi="Book Antiqua"/>
                <w:b/>
              </w:rPr>
              <w:t>Object of study</w:t>
            </w:r>
          </w:p>
        </w:tc>
        <w:tc>
          <w:tcPr>
            <w:tcW w:w="2268" w:type="dxa"/>
            <w:tcBorders>
              <w:top w:val="single" w:sz="6" w:space="0" w:color="000000"/>
              <w:bottom w:val="single" w:sz="6" w:space="0" w:color="000000"/>
            </w:tcBorders>
          </w:tcPr>
          <w:p w14:paraId="7B5AAA97" w14:textId="77777777" w:rsidR="004F0794" w:rsidRPr="00FA6907" w:rsidRDefault="004F0794" w:rsidP="00E12C07">
            <w:pPr>
              <w:adjustRightInd w:val="0"/>
              <w:snapToGrid w:val="0"/>
              <w:spacing w:line="360" w:lineRule="auto"/>
              <w:jc w:val="both"/>
              <w:rPr>
                <w:rFonts w:ascii="Book Antiqua" w:hAnsi="Book Antiqua"/>
                <w:b/>
              </w:rPr>
            </w:pPr>
            <w:proofErr w:type="spellStart"/>
            <w:r w:rsidRPr="00FA6907">
              <w:rPr>
                <w:rFonts w:ascii="Book Antiqua" w:hAnsi="Book Antiqua"/>
                <w:b/>
              </w:rPr>
              <w:t>mGluR</w:t>
            </w:r>
            <w:proofErr w:type="spellEnd"/>
            <w:r w:rsidRPr="00FA6907">
              <w:rPr>
                <w:rFonts w:ascii="Book Antiqua" w:hAnsi="Book Antiqua"/>
                <w:b/>
              </w:rPr>
              <w:t xml:space="preserve"> type </w:t>
            </w:r>
          </w:p>
        </w:tc>
        <w:tc>
          <w:tcPr>
            <w:tcW w:w="2410" w:type="dxa"/>
            <w:tcBorders>
              <w:top w:val="single" w:sz="6" w:space="0" w:color="000000"/>
              <w:bottom w:val="single" w:sz="6" w:space="0" w:color="000000"/>
            </w:tcBorders>
          </w:tcPr>
          <w:p w14:paraId="604F54F8" w14:textId="77777777" w:rsidR="004F0794" w:rsidRPr="00FA6907" w:rsidRDefault="004F0794" w:rsidP="00E12C07">
            <w:pPr>
              <w:adjustRightInd w:val="0"/>
              <w:snapToGrid w:val="0"/>
              <w:spacing w:line="360" w:lineRule="auto"/>
              <w:jc w:val="both"/>
              <w:rPr>
                <w:rFonts w:ascii="Book Antiqua" w:hAnsi="Book Antiqua"/>
                <w:b/>
              </w:rPr>
            </w:pPr>
            <w:r w:rsidRPr="00FA6907">
              <w:rPr>
                <w:rFonts w:ascii="Book Antiqua" w:hAnsi="Book Antiqua"/>
                <w:b/>
              </w:rPr>
              <w:t>Ligand</w:t>
            </w:r>
          </w:p>
        </w:tc>
      </w:tr>
      <w:tr w:rsidR="004F0794" w:rsidRPr="004F0794" w14:paraId="64040A94" w14:textId="77777777" w:rsidTr="004F0794">
        <w:trPr>
          <w:cantSplit/>
        </w:trPr>
        <w:tc>
          <w:tcPr>
            <w:tcW w:w="2836" w:type="dxa"/>
            <w:tcBorders>
              <w:top w:val="single" w:sz="6" w:space="0" w:color="000000"/>
            </w:tcBorders>
          </w:tcPr>
          <w:p w14:paraId="47C98314"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bCs/>
              </w:rPr>
              <w:t>Luo</w:t>
            </w:r>
            <w:r w:rsidRPr="004F0794">
              <w:rPr>
                <w:rFonts w:ascii="Book Antiqua" w:hAnsi="Book Antiqua"/>
                <w:lang w:eastAsia="ja-JP"/>
              </w:rPr>
              <w:t xml:space="preserve"> </w:t>
            </w:r>
            <w:r w:rsidRPr="004F0794">
              <w:rPr>
                <w:rFonts w:ascii="Book Antiqua" w:hAnsi="Book Antiqua"/>
                <w:i/>
                <w:iCs/>
              </w:rPr>
              <w:t>et al</w:t>
            </w:r>
            <w:r w:rsidRPr="004F0794">
              <w:rPr>
                <w:rFonts w:ascii="Book Antiqua" w:hAnsi="Book Antiqua"/>
                <w:vertAlign w:val="superscript"/>
              </w:rPr>
              <w:t>[67]</w:t>
            </w:r>
            <w:r w:rsidRPr="004F0794">
              <w:rPr>
                <w:rFonts w:ascii="Book Antiqua" w:hAnsi="Book Antiqua"/>
              </w:rPr>
              <w:t>, 2019</w:t>
            </w:r>
            <w:r w:rsidRPr="004F0794">
              <w:rPr>
                <w:rFonts w:ascii="Book Antiqua" w:hAnsi="Book Antiqua"/>
                <w:lang w:eastAsia="ja-JP"/>
              </w:rPr>
              <w:t xml:space="preserve"> </w:t>
            </w:r>
          </w:p>
        </w:tc>
        <w:tc>
          <w:tcPr>
            <w:tcW w:w="2126" w:type="dxa"/>
            <w:tcBorders>
              <w:top w:val="single" w:sz="6" w:space="0" w:color="000000"/>
            </w:tcBorders>
          </w:tcPr>
          <w:p w14:paraId="18B666AB"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cell culture; rats</w:t>
            </w:r>
          </w:p>
        </w:tc>
        <w:tc>
          <w:tcPr>
            <w:tcW w:w="2268" w:type="dxa"/>
            <w:tcBorders>
              <w:top w:val="single" w:sz="6" w:space="0" w:color="000000"/>
            </w:tcBorders>
          </w:tcPr>
          <w:p w14:paraId="288D5DC7" w14:textId="77777777" w:rsidR="004F0794" w:rsidRPr="004F0794" w:rsidRDefault="004F0794" w:rsidP="00E12C07">
            <w:pPr>
              <w:adjustRightInd w:val="0"/>
              <w:snapToGrid w:val="0"/>
              <w:spacing w:line="360" w:lineRule="auto"/>
              <w:jc w:val="both"/>
              <w:rPr>
                <w:rFonts w:ascii="Book Antiqua" w:hAnsi="Book Antiqua"/>
              </w:rPr>
            </w:pPr>
            <w:bookmarkStart w:id="66" w:name="OLE_LINK15"/>
            <w:bookmarkStart w:id="67" w:name="OLE_LINK16"/>
            <w:r w:rsidRPr="004F0794">
              <w:rPr>
                <w:rFonts w:ascii="Book Antiqua" w:hAnsi="Book Antiqua"/>
              </w:rPr>
              <w:t>mGluR</w:t>
            </w:r>
            <w:bookmarkEnd w:id="66"/>
            <w:bookmarkEnd w:id="67"/>
            <w:r w:rsidRPr="004F0794">
              <w:rPr>
                <w:rFonts w:ascii="Book Antiqua" w:hAnsi="Book Antiqua"/>
              </w:rPr>
              <w:t>5</w:t>
            </w:r>
          </w:p>
        </w:tc>
        <w:tc>
          <w:tcPr>
            <w:tcW w:w="2410" w:type="dxa"/>
            <w:tcBorders>
              <w:top w:val="single" w:sz="6" w:space="0" w:color="000000"/>
            </w:tcBorders>
          </w:tcPr>
          <w:p w14:paraId="525362D9"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 xml:space="preserve">Antagonist MPEP </w:t>
            </w:r>
          </w:p>
        </w:tc>
      </w:tr>
      <w:tr w:rsidR="004F0794" w:rsidRPr="004F0794" w14:paraId="2807F308" w14:textId="77777777" w:rsidTr="004F0794">
        <w:trPr>
          <w:cantSplit/>
        </w:trPr>
        <w:tc>
          <w:tcPr>
            <w:tcW w:w="2836" w:type="dxa"/>
          </w:tcPr>
          <w:p w14:paraId="0A16B140" w14:textId="77777777" w:rsidR="004F0794" w:rsidRPr="004F0794" w:rsidRDefault="004F0794" w:rsidP="00E12C07">
            <w:pPr>
              <w:adjustRightInd w:val="0"/>
              <w:snapToGrid w:val="0"/>
              <w:spacing w:line="360" w:lineRule="auto"/>
              <w:jc w:val="both"/>
              <w:rPr>
                <w:rFonts w:ascii="Book Antiqua" w:hAnsi="Book Antiqua"/>
                <w:i/>
                <w:iCs/>
              </w:rPr>
            </w:pPr>
            <w:r w:rsidRPr="004F0794">
              <w:rPr>
                <w:rFonts w:ascii="Book Antiqua" w:hAnsi="Book Antiqua"/>
                <w:bCs/>
              </w:rPr>
              <w:t xml:space="preserve">Bai </w:t>
            </w:r>
            <w:r w:rsidRPr="004F0794">
              <w:rPr>
                <w:rFonts w:ascii="Book Antiqua" w:hAnsi="Book Antiqua"/>
                <w:i/>
                <w:iCs/>
              </w:rPr>
              <w:t>et al</w:t>
            </w:r>
            <w:r w:rsidRPr="004F0794">
              <w:rPr>
                <w:rFonts w:ascii="Book Antiqua" w:hAnsi="Book Antiqua"/>
                <w:vertAlign w:val="superscript"/>
              </w:rPr>
              <w:t>[</w:t>
            </w:r>
            <w:hyperlink r:id="rId9" w:anchor="B42" w:history="1">
              <w:r w:rsidRPr="004F0794">
                <w:rPr>
                  <w:rStyle w:val="a6"/>
                  <w:rFonts w:ascii="Book Antiqua" w:hAnsi="Book Antiqua"/>
                  <w:color w:val="auto"/>
                  <w:u w:val="none"/>
                  <w:vertAlign w:val="superscript"/>
                </w:rPr>
                <w:t>66</w:t>
              </w:r>
            </w:hyperlink>
            <w:r w:rsidRPr="004F0794">
              <w:rPr>
                <w:rFonts w:ascii="Book Antiqua" w:hAnsi="Book Antiqua"/>
                <w:vertAlign w:val="superscript"/>
              </w:rPr>
              <w:t>]</w:t>
            </w:r>
            <w:r w:rsidRPr="004F0794">
              <w:rPr>
                <w:rFonts w:ascii="Book Antiqua" w:hAnsi="Book Antiqua"/>
              </w:rPr>
              <w:t>, 2018</w:t>
            </w:r>
          </w:p>
        </w:tc>
        <w:tc>
          <w:tcPr>
            <w:tcW w:w="2126" w:type="dxa"/>
          </w:tcPr>
          <w:p w14:paraId="239AA3CB"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cell culture</w:t>
            </w:r>
          </w:p>
        </w:tc>
        <w:tc>
          <w:tcPr>
            <w:tcW w:w="2268" w:type="dxa"/>
          </w:tcPr>
          <w:p w14:paraId="7E8A576B"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mGluR5</w:t>
            </w:r>
          </w:p>
        </w:tc>
        <w:tc>
          <w:tcPr>
            <w:tcW w:w="2410" w:type="dxa"/>
          </w:tcPr>
          <w:p w14:paraId="1C489850" w14:textId="77777777" w:rsidR="004F0794" w:rsidRPr="004F0794" w:rsidRDefault="004F0794" w:rsidP="00E12C07">
            <w:pPr>
              <w:adjustRightInd w:val="0"/>
              <w:snapToGrid w:val="0"/>
              <w:spacing w:line="360" w:lineRule="auto"/>
              <w:jc w:val="both"/>
              <w:rPr>
                <w:rFonts w:ascii="Book Antiqua" w:hAnsi="Book Antiqua"/>
              </w:rPr>
            </w:pPr>
            <w:r>
              <w:rPr>
                <w:rFonts w:ascii="Book Antiqua" w:hAnsi="Book Antiqua" w:hint="eastAsia"/>
                <w:lang w:eastAsia="zh-CN"/>
              </w:rPr>
              <w:t>A</w:t>
            </w:r>
            <w:r w:rsidRPr="004F0794">
              <w:rPr>
                <w:rFonts w:ascii="Book Antiqua" w:hAnsi="Book Antiqua"/>
              </w:rPr>
              <w:t>gonist CHPG; antagonist MPEP</w:t>
            </w:r>
          </w:p>
        </w:tc>
      </w:tr>
      <w:tr w:rsidR="004F0794" w:rsidRPr="004F0794" w14:paraId="6B2C2BA9" w14:textId="77777777" w:rsidTr="004F0794">
        <w:trPr>
          <w:cantSplit/>
        </w:trPr>
        <w:tc>
          <w:tcPr>
            <w:tcW w:w="2836" w:type="dxa"/>
          </w:tcPr>
          <w:p w14:paraId="540335B3"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bCs/>
              </w:rPr>
              <w:t>Xia</w:t>
            </w:r>
            <w:r w:rsidRPr="004F0794">
              <w:rPr>
                <w:rFonts w:ascii="Book Antiqua" w:hAnsi="Book Antiqua"/>
                <w:i/>
                <w:iCs/>
              </w:rPr>
              <w:t xml:space="preserve"> et al</w:t>
            </w:r>
            <w:r w:rsidRPr="004F0794">
              <w:rPr>
                <w:rFonts w:ascii="Book Antiqua" w:hAnsi="Book Antiqua"/>
                <w:vertAlign w:val="superscript"/>
              </w:rPr>
              <w:t>[65]</w:t>
            </w:r>
            <w:r w:rsidRPr="004F0794">
              <w:rPr>
                <w:rFonts w:ascii="Book Antiqua" w:hAnsi="Book Antiqua"/>
              </w:rPr>
              <w:t>, 2015</w:t>
            </w:r>
          </w:p>
        </w:tc>
        <w:tc>
          <w:tcPr>
            <w:tcW w:w="2126" w:type="dxa"/>
          </w:tcPr>
          <w:p w14:paraId="1A2FEBEC"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cell culture, rats</w:t>
            </w:r>
          </w:p>
        </w:tc>
        <w:tc>
          <w:tcPr>
            <w:tcW w:w="2268" w:type="dxa"/>
          </w:tcPr>
          <w:p w14:paraId="3B7A72AF"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mGluR5</w:t>
            </w:r>
          </w:p>
        </w:tc>
        <w:tc>
          <w:tcPr>
            <w:tcW w:w="2410" w:type="dxa"/>
          </w:tcPr>
          <w:p w14:paraId="638E7505" w14:textId="77777777" w:rsidR="004F0794" w:rsidRPr="004F0794" w:rsidRDefault="004F0794" w:rsidP="00E12C07">
            <w:pPr>
              <w:adjustRightInd w:val="0"/>
              <w:snapToGrid w:val="0"/>
              <w:spacing w:line="360" w:lineRule="auto"/>
              <w:jc w:val="both"/>
              <w:rPr>
                <w:rFonts w:ascii="Book Antiqua" w:hAnsi="Book Antiqua"/>
              </w:rPr>
            </w:pPr>
            <w:r>
              <w:rPr>
                <w:rFonts w:ascii="Book Antiqua" w:hAnsi="Book Antiqua" w:hint="eastAsia"/>
                <w:lang w:eastAsia="zh-CN"/>
              </w:rPr>
              <w:t>A</w:t>
            </w:r>
            <w:r w:rsidRPr="004F0794">
              <w:rPr>
                <w:rFonts w:ascii="Book Antiqua" w:hAnsi="Book Antiqua"/>
              </w:rPr>
              <w:t>ntagonist MPEP</w:t>
            </w:r>
          </w:p>
        </w:tc>
      </w:tr>
      <w:tr w:rsidR="004F0794" w:rsidRPr="004F0794" w14:paraId="74EDA67F" w14:textId="77777777" w:rsidTr="004F0794">
        <w:trPr>
          <w:cantSplit/>
        </w:trPr>
        <w:tc>
          <w:tcPr>
            <w:tcW w:w="2836" w:type="dxa"/>
          </w:tcPr>
          <w:p w14:paraId="1893F359" w14:textId="77777777" w:rsidR="004F0794" w:rsidRPr="004F0794" w:rsidRDefault="004F0794" w:rsidP="00E12C07">
            <w:pPr>
              <w:adjustRightInd w:val="0"/>
              <w:snapToGrid w:val="0"/>
              <w:spacing w:line="360" w:lineRule="auto"/>
              <w:jc w:val="both"/>
              <w:rPr>
                <w:rFonts w:ascii="Book Antiqua" w:hAnsi="Book Antiqua"/>
              </w:rPr>
            </w:pPr>
            <w:proofErr w:type="spellStart"/>
            <w:r w:rsidRPr="004F0794">
              <w:rPr>
                <w:rFonts w:ascii="Book Antiqua" w:hAnsi="Book Antiqua"/>
                <w:bCs/>
              </w:rPr>
              <w:t>Bashkatova</w:t>
            </w:r>
            <w:proofErr w:type="spellEnd"/>
            <w:r w:rsidRPr="004F0794">
              <w:rPr>
                <w:rFonts w:ascii="Book Antiqua" w:hAnsi="Book Antiqua"/>
                <w:i/>
                <w:iCs/>
              </w:rPr>
              <w:t xml:space="preserve"> et al</w:t>
            </w:r>
            <w:r w:rsidRPr="004F0794">
              <w:rPr>
                <w:rFonts w:ascii="Book Antiqua" w:hAnsi="Book Antiqua"/>
                <w:vertAlign w:val="superscript"/>
              </w:rPr>
              <w:t>[</w:t>
            </w:r>
            <w:hyperlink r:id="rId10" w:anchor="B42" w:history="1">
              <w:r w:rsidRPr="004F0794">
                <w:rPr>
                  <w:rStyle w:val="a6"/>
                  <w:rFonts w:ascii="Book Antiqua" w:hAnsi="Book Antiqua"/>
                  <w:color w:val="auto"/>
                  <w:u w:val="none"/>
                  <w:vertAlign w:val="superscript"/>
                </w:rPr>
                <w:t>69</w:t>
              </w:r>
            </w:hyperlink>
            <w:r w:rsidRPr="004F0794">
              <w:rPr>
                <w:rFonts w:ascii="Book Antiqua" w:hAnsi="Book Antiqua"/>
                <w:vertAlign w:val="superscript"/>
              </w:rPr>
              <w:t>]</w:t>
            </w:r>
            <w:r w:rsidRPr="004F0794">
              <w:rPr>
                <w:rFonts w:ascii="Book Antiqua" w:hAnsi="Book Antiqua"/>
              </w:rPr>
              <w:t>, 2012</w:t>
            </w:r>
          </w:p>
        </w:tc>
        <w:tc>
          <w:tcPr>
            <w:tcW w:w="2126" w:type="dxa"/>
          </w:tcPr>
          <w:p w14:paraId="7EEB6808"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rats</w:t>
            </w:r>
          </w:p>
        </w:tc>
        <w:tc>
          <w:tcPr>
            <w:tcW w:w="2268" w:type="dxa"/>
          </w:tcPr>
          <w:p w14:paraId="2802FEC8" w14:textId="77777777" w:rsidR="004F0794" w:rsidRPr="004F0794" w:rsidRDefault="004F0794" w:rsidP="00E12C07">
            <w:pPr>
              <w:adjustRightInd w:val="0"/>
              <w:snapToGrid w:val="0"/>
              <w:spacing w:line="360" w:lineRule="auto"/>
              <w:jc w:val="both"/>
              <w:rPr>
                <w:rFonts w:ascii="Book Antiqua" w:hAnsi="Book Antiqua"/>
              </w:rPr>
            </w:pPr>
            <w:r w:rsidRPr="004F0794">
              <w:rPr>
                <w:rFonts w:ascii="Book Antiqua" w:hAnsi="Book Antiqua"/>
              </w:rPr>
              <w:t>mGluR5</w:t>
            </w:r>
          </w:p>
        </w:tc>
        <w:tc>
          <w:tcPr>
            <w:tcW w:w="2410" w:type="dxa"/>
          </w:tcPr>
          <w:p w14:paraId="15F50C82" w14:textId="77777777" w:rsidR="004F0794" w:rsidRPr="004F0794" w:rsidRDefault="004F0794" w:rsidP="00E12C07">
            <w:pPr>
              <w:adjustRightInd w:val="0"/>
              <w:snapToGrid w:val="0"/>
              <w:spacing w:line="360" w:lineRule="auto"/>
              <w:jc w:val="both"/>
              <w:rPr>
                <w:rFonts w:ascii="Book Antiqua" w:hAnsi="Book Antiqua"/>
              </w:rPr>
            </w:pPr>
            <w:r>
              <w:rPr>
                <w:rFonts w:ascii="Book Antiqua" w:hAnsi="Book Antiqua" w:hint="eastAsia"/>
                <w:lang w:eastAsia="zh-CN"/>
              </w:rPr>
              <w:t>A</w:t>
            </w:r>
            <w:r w:rsidRPr="004F0794">
              <w:rPr>
                <w:rFonts w:ascii="Book Antiqua" w:hAnsi="Book Antiqua"/>
              </w:rPr>
              <w:t xml:space="preserve">ntagonist MPEP </w:t>
            </w:r>
          </w:p>
        </w:tc>
      </w:tr>
      <w:tr w:rsidR="004F0794" w:rsidRPr="00FA6907" w14:paraId="78F8D422" w14:textId="77777777" w:rsidTr="004F0794">
        <w:trPr>
          <w:cantSplit/>
        </w:trPr>
        <w:tc>
          <w:tcPr>
            <w:tcW w:w="2836" w:type="dxa"/>
          </w:tcPr>
          <w:p w14:paraId="5C195D15" w14:textId="77777777" w:rsidR="004F0794" w:rsidRPr="00FA6907" w:rsidRDefault="004F0794" w:rsidP="00E12C07">
            <w:pPr>
              <w:adjustRightInd w:val="0"/>
              <w:snapToGrid w:val="0"/>
              <w:spacing w:line="360" w:lineRule="auto"/>
              <w:jc w:val="both"/>
              <w:rPr>
                <w:rFonts w:ascii="Book Antiqua" w:hAnsi="Book Antiqua"/>
                <w:i/>
                <w:iCs/>
              </w:rPr>
            </w:pPr>
            <w:r w:rsidRPr="00FA6907">
              <w:rPr>
                <w:rFonts w:ascii="Book Antiqua" w:hAnsi="Book Antiqua"/>
                <w:iCs/>
              </w:rPr>
              <w:t xml:space="preserve">Sun </w:t>
            </w:r>
            <w:r w:rsidRPr="00FA6907">
              <w:rPr>
                <w:rFonts w:ascii="Book Antiqua" w:hAnsi="Book Antiqua"/>
                <w:i/>
                <w:iCs/>
              </w:rPr>
              <w:t>et al</w:t>
            </w:r>
            <w:r w:rsidRPr="00FA6907">
              <w:rPr>
                <w:rFonts w:ascii="Book Antiqua" w:hAnsi="Book Antiqua"/>
                <w:vertAlign w:val="superscript"/>
              </w:rPr>
              <w:t>[64]</w:t>
            </w:r>
            <w:r w:rsidRPr="00FA6907">
              <w:rPr>
                <w:rFonts w:ascii="Book Antiqua" w:hAnsi="Book Antiqua"/>
              </w:rPr>
              <w:t>, 2012</w:t>
            </w:r>
          </w:p>
        </w:tc>
        <w:tc>
          <w:tcPr>
            <w:tcW w:w="2126" w:type="dxa"/>
          </w:tcPr>
          <w:p w14:paraId="5414CDB6"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cell culture, rats</w:t>
            </w:r>
          </w:p>
        </w:tc>
        <w:tc>
          <w:tcPr>
            <w:tcW w:w="2268" w:type="dxa"/>
          </w:tcPr>
          <w:p w14:paraId="3D24AC37"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 xml:space="preserve">group I </w:t>
            </w:r>
            <w:proofErr w:type="spellStart"/>
            <w:r w:rsidRPr="00FA6907">
              <w:rPr>
                <w:rFonts w:ascii="Book Antiqua" w:hAnsi="Book Antiqua"/>
              </w:rPr>
              <w:t>mGluR</w:t>
            </w:r>
            <w:proofErr w:type="spellEnd"/>
          </w:p>
        </w:tc>
        <w:tc>
          <w:tcPr>
            <w:tcW w:w="2410" w:type="dxa"/>
          </w:tcPr>
          <w:p w14:paraId="42EF7F70" w14:textId="77777777" w:rsidR="004F0794" w:rsidRPr="00FA6907" w:rsidRDefault="004F0794" w:rsidP="00E12C07">
            <w:pPr>
              <w:adjustRightInd w:val="0"/>
              <w:snapToGrid w:val="0"/>
              <w:spacing w:line="360" w:lineRule="auto"/>
              <w:jc w:val="both"/>
              <w:rPr>
                <w:rFonts w:ascii="Book Antiqua" w:hAnsi="Book Antiqua"/>
                <w:lang w:eastAsia="zh-CN"/>
              </w:rPr>
            </w:pPr>
            <w:r>
              <w:rPr>
                <w:rFonts w:ascii="Book Antiqua" w:hAnsi="Book Antiqua" w:hint="eastAsia"/>
                <w:lang w:eastAsia="zh-CN"/>
              </w:rPr>
              <w:t>A</w:t>
            </w:r>
            <w:r w:rsidRPr="00FA6907">
              <w:rPr>
                <w:rFonts w:ascii="Book Antiqua" w:hAnsi="Book Antiqua"/>
              </w:rPr>
              <w:t>gonist DHPG</w:t>
            </w:r>
          </w:p>
        </w:tc>
      </w:tr>
      <w:tr w:rsidR="004F0794" w:rsidRPr="00FA6907" w14:paraId="2CF687B5" w14:textId="77777777" w:rsidTr="004F0794">
        <w:trPr>
          <w:cantSplit/>
        </w:trPr>
        <w:tc>
          <w:tcPr>
            <w:tcW w:w="2836" w:type="dxa"/>
          </w:tcPr>
          <w:p w14:paraId="7CEF247E" w14:textId="77777777" w:rsidR="004F0794" w:rsidRPr="00FA6907" w:rsidRDefault="004F0794" w:rsidP="00E12C07">
            <w:pPr>
              <w:adjustRightInd w:val="0"/>
              <w:snapToGrid w:val="0"/>
              <w:spacing w:line="360" w:lineRule="auto"/>
              <w:jc w:val="both"/>
              <w:rPr>
                <w:rFonts w:ascii="Book Antiqua" w:hAnsi="Book Antiqua"/>
                <w:i/>
                <w:iCs/>
              </w:rPr>
            </w:pPr>
            <w:r w:rsidRPr="00FA6907">
              <w:rPr>
                <w:rFonts w:ascii="Book Antiqua" w:hAnsi="Book Antiqua"/>
                <w:lang w:eastAsia="ja-JP"/>
              </w:rPr>
              <w:t>Zhu</w:t>
            </w:r>
            <w:r w:rsidRPr="00FA6907">
              <w:rPr>
                <w:rFonts w:ascii="Book Antiqua" w:hAnsi="Book Antiqua"/>
                <w:b/>
                <w:bCs/>
              </w:rPr>
              <w:t xml:space="preserve"> </w:t>
            </w:r>
            <w:r w:rsidRPr="00FA6907">
              <w:rPr>
                <w:rFonts w:ascii="Book Antiqua" w:hAnsi="Book Antiqua"/>
                <w:i/>
                <w:iCs/>
              </w:rPr>
              <w:t>et al</w:t>
            </w:r>
            <w:r w:rsidRPr="00FA6907">
              <w:rPr>
                <w:rFonts w:ascii="Book Antiqua" w:hAnsi="Book Antiqua"/>
                <w:vertAlign w:val="superscript"/>
              </w:rPr>
              <w:t>[68]</w:t>
            </w:r>
            <w:r w:rsidRPr="00FA6907">
              <w:rPr>
                <w:rFonts w:ascii="Book Antiqua" w:hAnsi="Book Antiqua"/>
              </w:rPr>
              <w:t>, 2012</w:t>
            </w:r>
          </w:p>
        </w:tc>
        <w:tc>
          <w:tcPr>
            <w:tcW w:w="2126" w:type="dxa"/>
          </w:tcPr>
          <w:p w14:paraId="7D57F79F"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cell culture, rats</w:t>
            </w:r>
          </w:p>
        </w:tc>
        <w:tc>
          <w:tcPr>
            <w:tcW w:w="2268" w:type="dxa"/>
          </w:tcPr>
          <w:p w14:paraId="32C386B9"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mGluR5</w:t>
            </w:r>
          </w:p>
        </w:tc>
        <w:tc>
          <w:tcPr>
            <w:tcW w:w="2410" w:type="dxa"/>
          </w:tcPr>
          <w:p w14:paraId="121439B5" w14:textId="77777777" w:rsidR="004F0794" w:rsidRPr="00FA6907" w:rsidRDefault="004F0794" w:rsidP="00E12C07">
            <w:pPr>
              <w:adjustRightInd w:val="0"/>
              <w:snapToGrid w:val="0"/>
              <w:spacing w:line="360" w:lineRule="auto"/>
              <w:jc w:val="both"/>
              <w:rPr>
                <w:rFonts w:ascii="Book Antiqua" w:hAnsi="Book Antiqua"/>
              </w:rPr>
            </w:pPr>
            <w:r>
              <w:rPr>
                <w:rFonts w:ascii="Book Antiqua" w:hAnsi="Book Antiqua" w:hint="eastAsia"/>
                <w:lang w:eastAsia="zh-CN"/>
              </w:rPr>
              <w:t>A</w:t>
            </w:r>
            <w:r w:rsidRPr="00FA6907">
              <w:rPr>
                <w:rFonts w:ascii="Book Antiqua" w:hAnsi="Book Antiqua"/>
              </w:rPr>
              <w:t>ntagonist MPEP</w:t>
            </w:r>
          </w:p>
        </w:tc>
      </w:tr>
      <w:tr w:rsidR="004F0794" w:rsidRPr="00FA6907" w14:paraId="21F47327" w14:textId="77777777" w:rsidTr="004F0794">
        <w:trPr>
          <w:cantSplit/>
        </w:trPr>
        <w:tc>
          <w:tcPr>
            <w:tcW w:w="2836" w:type="dxa"/>
          </w:tcPr>
          <w:p w14:paraId="08C0F204" w14:textId="77777777" w:rsidR="004F0794" w:rsidRPr="00FA6907" w:rsidRDefault="004F0794" w:rsidP="00E12C07">
            <w:pPr>
              <w:adjustRightInd w:val="0"/>
              <w:snapToGrid w:val="0"/>
              <w:spacing w:line="360" w:lineRule="auto"/>
              <w:jc w:val="both"/>
              <w:rPr>
                <w:rFonts w:ascii="Book Antiqua" w:hAnsi="Book Antiqua"/>
              </w:rPr>
            </w:pPr>
            <w:proofErr w:type="spellStart"/>
            <w:r w:rsidRPr="00FA6907">
              <w:rPr>
                <w:rFonts w:ascii="Book Antiqua" w:hAnsi="Book Antiqua"/>
                <w:bCs/>
              </w:rPr>
              <w:t>Alam</w:t>
            </w:r>
            <w:proofErr w:type="spellEnd"/>
            <w:r w:rsidRPr="00FA6907">
              <w:rPr>
                <w:rFonts w:ascii="Book Antiqua" w:hAnsi="Book Antiqua"/>
                <w:i/>
                <w:iCs/>
              </w:rPr>
              <w:t xml:space="preserve"> et al</w:t>
            </w:r>
            <w:r w:rsidRPr="00FA6907">
              <w:rPr>
                <w:rFonts w:ascii="Book Antiqua" w:hAnsi="Book Antiqua"/>
                <w:vertAlign w:val="superscript"/>
              </w:rPr>
              <w:t>[70]</w:t>
            </w:r>
            <w:r w:rsidRPr="00FA6907">
              <w:rPr>
                <w:rFonts w:ascii="Book Antiqua" w:hAnsi="Book Antiqua"/>
              </w:rPr>
              <w:t>, 2009</w:t>
            </w:r>
          </w:p>
        </w:tc>
        <w:tc>
          <w:tcPr>
            <w:tcW w:w="2126" w:type="dxa"/>
          </w:tcPr>
          <w:p w14:paraId="6D112CF6"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rats</w:t>
            </w:r>
          </w:p>
        </w:tc>
        <w:tc>
          <w:tcPr>
            <w:tcW w:w="2268" w:type="dxa"/>
          </w:tcPr>
          <w:p w14:paraId="46F6CB55"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mGluR5</w:t>
            </w:r>
          </w:p>
        </w:tc>
        <w:tc>
          <w:tcPr>
            <w:tcW w:w="2410" w:type="dxa"/>
          </w:tcPr>
          <w:p w14:paraId="04E3605D" w14:textId="77777777" w:rsidR="004F0794" w:rsidRPr="00FA6907" w:rsidRDefault="004F0794" w:rsidP="00E12C07">
            <w:pPr>
              <w:adjustRightInd w:val="0"/>
              <w:snapToGrid w:val="0"/>
              <w:spacing w:line="360" w:lineRule="auto"/>
              <w:jc w:val="both"/>
              <w:rPr>
                <w:rFonts w:ascii="Book Antiqua" w:hAnsi="Book Antiqua"/>
              </w:rPr>
            </w:pPr>
            <w:r>
              <w:rPr>
                <w:rFonts w:ascii="Book Antiqua" w:hAnsi="Book Antiqua" w:hint="eastAsia"/>
                <w:lang w:eastAsia="zh-CN"/>
              </w:rPr>
              <w:t>A</w:t>
            </w:r>
            <w:r w:rsidRPr="00FA6907">
              <w:rPr>
                <w:rFonts w:ascii="Book Antiqua" w:hAnsi="Book Antiqua"/>
              </w:rPr>
              <w:t xml:space="preserve">ntagonist MPEP </w:t>
            </w:r>
          </w:p>
        </w:tc>
      </w:tr>
      <w:tr w:rsidR="004F0794" w:rsidRPr="00FA6907" w14:paraId="49C67D26" w14:textId="77777777" w:rsidTr="004F0794">
        <w:trPr>
          <w:cantSplit/>
        </w:trPr>
        <w:tc>
          <w:tcPr>
            <w:tcW w:w="2836" w:type="dxa"/>
          </w:tcPr>
          <w:p w14:paraId="39F26ED1" w14:textId="77777777" w:rsidR="004F0794" w:rsidRPr="00FA6907" w:rsidRDefault="004F0794" w:rsidP="00E12C07">
            <w:pPr>
              <w:adjustRightInd w:val="0"/>
              <w:snapToGrid w:val="0"/>
              <w:spacing w:line="360" w:lineRule="auto"/>
              <w:jc w:val="both"/>
              <w:rPr>
                <w:rFonts w:ascii="Book Antiqua" w:hAnsi="Book Antiqua"/>
                <w:i/>
                <w:iCs/>
              </w:rPr>
            </w:pPr>
            <w:r w:rsidRPr="00FA6907">
              <w:rPr>
                <w:rFonts w:ascii="Book Antiqua" w:hAnsi="Book Antiqua"/>
                <w:bCs/>
              </w:rPr>
              <w:t>Jiang</w:t>
            </w:r>
            <w:r w:rsidRPr="00FA6907">
              <w:rPr>
                <w:rFonts w:ascii="Book Antiqua" w:hAnsi="Book Antiqua"/>
                <w:i/>
                <w:iCs/>
              </w:rPr>
              <w:t xml:space="preserve"> et al</w:t>
            </w:r>
            <w:r w:rsidRPr="00FA6907">
              <w:rPr>
                <w:rFonts w:ascii="Book Antiqua" w:hAnsi="Book Antiqua"/>
                <w:vertAlign w:val="superscript"/>
              </w:rPr>
              <w:t>[63]</w:t>
            </w:r>
            <w:r w:rsidRPr="00FA6907">
              <w:rPr>
                <w:rFonts w:ascii="Book Antiqua" w:hAnsi="Book Antiqua"/>
              </w:rPr>
              <w:t xml:space="preserve">, 2006 </w:t>
            </w:r>
          </w:p>
        </w:tc>
        <w:tc>
          <w:tcPr>
            <w:tcW w:w="2126" w:type="dxa"/>
          </w:tcPr>
          <w:p w14:paraId="249224FD"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cell culture</w:t>
            </w:r>
          </w:p>
        </w:tc>
        <w:tc>
          <w:tcPr>
            <w:tcW w:w="2268" w:type="dxa"/>
          </w:tcPr>
          <w:p w14:paraId="15A1C851"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cs="Arial"/>
                <w:color w:val="333333"/>
                <w:shd w:val="clear" w:color="auto" w:fill="FFFFFF"/>
              </w:rPr>
              <w:t xml:space="preserve">group III </w:t>
            </w:r>
            <w:proofErr w:type="spellStart"/>
            <w:r w:rsidRPr="00FA6907">
              <w:rPr>
                <w:rFonts w:ascii="Book Antiqua" w:hAnsi="Book Antiqua" w:cs="Arial"/>
                <w:color w:val="333333"/>
                <w:shd w:val="clear" w:color="auto" w:fill="FFFFFF"/>
              </w:rPr>
              <w:t>mGluR</w:t>
            </w:r>
            <w:proofErr w:type="spellEnd"/>
          </w:p>
        </w:tc>
        <w:tc>
          <w:tcPr>
            <w:tcW w:w="2410" w:type="dxa"/>
          </w:tcPr>
          <w:p w14:paraId="7A8E8D0F" w14:textId="77777777" w:rsidR="004F0794" w:rsidRPr="00FA6907" w:rsidRDefault="004F0794" w:rsidP="00E12C07">
            <w:pPr>
              <w:adjustRightInd w:val="0"/>
              <w:snapToGrid w:val="0"/>
              <w:spacing w:line="360" w:lineRule="auto"/>
              <w:jc w:val="both"/>
              <w:rPr>
                <w:rFonts w:ascii="Book Antiqua" w:hAnsi="Book Antiqua"/>
              </w:rPr>
            </w:pPr>
            <w:r>
              <w:rPr>
                <w:rFonts w:ascii="Book Antiqua" w:hAnsi="Book Antiqua" w:hint="eastAsia"/>
                <w:lang w:eastAsia="zh-CN"/>
              </w:rPr>
              <w:t>A</w:t>
            </w:r>
            <w:r w:rsidRPr="00FA6907">
              <w:rPr>
                <w:rFonts w:ascii="Book Antiqua" w:hAnsi="Book Antiqua"/>
              </w:rPr>
              <w:t>gonist L-AP-4</w:t>
            </w:r>
          </w:p>
        </w:tc>
      </w:tr>
    </w:tbl>
    <w:p w14:paraId="5EBBE8A7" w14:textId="77777777" w:rsidR="004F0794" w:rsidRPr="004F0794" w:rsidRDefault="004F0794" w:rsidP="004F0794">
      <w:pPr>
        <w:pStyle w:val="BodyText21"/>
        <w:snapToGrid w:val="0"/>
        <w:spacing w:line="360" w:lineRule="auto"/>
        <w:rPr>
          <w:rFonts w:ascii="Book Antiqua" w:eastAsiaTheme="minorEastAsia" w:hAnsi="Book Antiqua"/>
          <w:i w:val="0"/>
          <w:lang w:eastAsia="zh-CN"/>
        </w:rPr>
      </w:pPr>
      <w:r>
        <w:rPr>
          <w:rFonts w:ascii="Book Antiqua" w:eastAsiaTheme="minorEastAsia" w:hAnsi="Book Antiqua" w:hint="eastAsia"/>
          <w:i w:val="0"/>
          <w:lang w:eastAsia="zh-CN"/>
        </w:rPr>
        <w:t>m</w:t>
      </w:r>
      <w:r w:rsidRPr="004F0794">
        <w:rPr>
          <w:rFonts w:ascii="Book Antiqua" w:hAnsi="Book Antiqua"/>
          <w:i w:val="0"/>
        </w:rPr>
        <w:t>GluR</w:t>
      </w:r>
      <w:r w:rsidRPr="004F0794">
        <w:rPr>
          <w:rFonts w:ascii="Book Antiqua" w:eastAsiaTheme="minorEastAsia" w:hAnsi="Book Antiqua" w:hint="eastAsia"/>
          <w:i w:val="0"/>
          <w:lang w:eastAsia="zh-CN"/>
        </w:rPr>
        <w:t xml:space="preserve">: </w:t>
      </w:r>
      <w:bookmarkStart w:id="68" w:name="OLE_LINK27"/>
      <w:bookmarkStart w:id="69" w:name="OLE_LINK28"/>
      <w:r w:rsidR="00FD48CA">
        <w:rPr>
          <w:rFonts w:ascii="Book Antiqua" w:eastAsiaTheme="minorEastAsia" w:hAnsi="Book Antiqua" w:hint="eastAsia"/>
          <w:i w:val="0"/>
          <w:lang w:eastAsia="zh-CN"/>
        </w:rPr>
        <w:t>M</w:t>
      </w:r>
      <w:r w:rsidR="00FD48CA" w:rsidRPr="00FD48CA">
        <w:rPr>
          <w:rFonts w:ascii="Book Antiqua" w:eastAsiaTheme="minorEastAsia" w:hAnsi="Book Antiqua"/>
          <w:i w:val="0"/>
          <w:lang w:eastAsia="zh-CN"/>
        </w:rPr>
        <w:t>etabotropic glutamate receptors</w:t>
      </w:r>
      <w:bookmarkEnd w:id="68"/>
      <w:bookmarkEnd w:id="69"/>
      <w:r w:rsidR="00F22CBE">
        <w:rPr>
          <w:rFonts w:ascii="Book Antiqua" w:eastAsiaTheme="minorEastAsia" w:hAnsi="Book Antiqua" w:hint="eastAsia"/>
          <w:i w:val="0"/>
          <w:lang w:eastAsia="zh-CN"/>
        </w:rPr>
        <w:t xml:space="preserve">; </w:t>
      </w:r>
      <w:r w:rsidRPr="004F0794">
        <w:rPr>
          <w:rFonts w:ascii="Book Antiqua" w:eastAsiaTheme="minorEastAsia" w:hAnsi="Book Antiqua" w:hint="eastAsia"/>
          <w:i w:val="0"/>
          <w:lang w:eastAsia="zh-CN"/>
        </w:rPr>
        <w:t>MPEP:</w:t>
      </w:r>
      <w:r w:rsidRPr="00FD48CA">
        <w:rPr>
          <w:rFonts w:ascii="Book Antiqua" w:eastAsiaTheme="minorEastAsia" w:hAnsi="Book Antiqua" w:hint="eastAsia"/>
          <w:i w:val="0"/>
          <w:lang w:eastAsia="zh-CN"/>
        </w:rPr>
        <w:t xml:space="preserve"> </w:t>
      </w:r>
      <w:r w:rsidR="00FD48CA" w:rsidRPr="00FD48CA">
        <w:rPr>
          <w:rFonts w:ascii="Book Antiqua" w:eastAsia="Book Antiqua" w:hAnsi="Book Antiqua" w:cs="Book Antiqua"/>
          <w:i w:val="0"/>
          <w:color w:val="000000"/>
        </w:rPr>
        <w:t>2-methyl-6-(phenylethynyl) pyridine</w:t>
      </w:r>
      <w:r w:rsidRPr="00FD48CA">
        <w:rPr>
          <w:rFonts w:ascii="Book Antiqua" w:eastAsiaTheme="minorEastAsia" w:hAnsi="Book Antiqua" w:hint="eastAsia"/>
          <w:i w:val="0"/>
          <w:lang w:eastAsia="zh-CN"/>
        </w:rPr>
        <w:t>;</w:t>
      </w:r>
      <w:r>
        <w:rPr>
          <w:rFonts w:ascii="Book Antiqua" w:eastAsiaTheme="minorEastAsia" w:hAnsi="Book Antiqua" w:hint="eastAsia"/>
          <w:i w:val="0"/>
          <w:lang w:eastAsia="zh-CN"/>
        </w:rPr>
        <w:t xml:space="preserve"> </w:t>
      </w:r>
      <w:bookmarkStart w:id="70" w:name="OLE_LINK22"/>
      <w:bookmarkStart w:id="71" w:name="OLE_LINK23"/>
      <w:r>
        <w:rPr>
          <w:rFonts w:ascii="Book Antiqua" w:eastAsiaTheme="minorEastAsia" w:hAnsi="Book Antiqua" w:hint="eastAsia"/>
          <w:i w:val="0"/>
          <w:lang w:eastAsia="zh-CN"/>
        </w:rPr>
        <w:t>CHPG</w:t>
      </w:r>
      <w:bookmarkEnd w:id="70"/>
      <w:bookmarkEnd w:id="71"/>
      <w:r>
        <w:rPr>
          <w:rFonts w:ascii="Book Antiqua" w:eastAsiaTheme="minorEastAsia" w:hAnsi="Book Antiqua" w:hint="eastAsia"/>
          <w:i w:val="0"/>
          <w:lang w:eastAsia="zh-CN"/>
        </w:rPr>
        <w:t>:</w:t>
      </w:r>
      <w:r w:rsidR="00FD48CA" w:rsidRPr="00FD48CA">
        <w:t xml:space="preserve"> </w:t>
      </w:r>
      <w:r w:rsidR="00FD48CA" w:rsidRPr="00FD48CA">
        <w:rPr>
          <w:rFonts w:ascii="Book Antiqua" w:eastAsiaTheme="minorEastAsia" w:hAnsi="Book Antiqua"/>
          <w:i w:val="0"/>
          <w:lang w:eastAsia="zh-CN"/>
        </w:rPr>
        <w:t>(RS)-2-chloro-5-hydroxyphenylglycine</w:t>
      </w:r>
      <w:r>
        <w:rPr>
          <w:rFonts w:ascii="Book Antiqua" w:eastAsiaTheme="minorEastAsia" w:hAnsi="Book Antiqua" w:hint="eastAsia"/>
          <w:i w:val="0"/>
          <w:lang w:eastAsia="zh-CN"/>
        </w:rPr>
        <w:t xml:space="preserve">; </w:t>
      </w:r>
      <w:bookmarkStart w:id="72" w:name="OLE_LINK24"/>
      <w:bookmarkStart w:id="73" w:name="OLE_LINK25"/>
      <w:r>
        <w:rPr>
          <w:rFonts w:ascii="Book Antiqua" w:eastAsiaTheme="minorEastAsia" w:hAnsi="Book Antiqua" w:hint="eastAsia"/>
          <w:i w:val="0"/>
          <w:lang w:eastAsia="zh-CN"/>
        </w:rPr>
        <w:t>DHPG</w:t>
      </w:r>
      <w:bookmarkEnd w:id="72"/>
      <w:bookmarkEnd w:id="73"/>
      <w:r>
        <w:rPr>
          <w:rFonts w:ascii="Book Antiqua" w:eastAsiaTheme="minorEastAsia" w:hAnsi="Book Antiqua" w:hint="eastAsia"/>
          <w:i w:val="0"/>
          <w:lang w:eastAsia="zh-CN"/>
        </w:rPr>
        <w:t xml:space="preserve">: </w:t>
      </w:r>
      <w:r w:rsidR="00FD48CA">
        <w:rPr>
          <w:rFonts w:ascii="Book Antiqua" w:eastAsiaTheme="minorEastAsia" w:hAnsi="Book Antiqua"/>
          <w:i w:val="0"/>
          <w:lang w:eastAsia="zh-CN"/>
        </w:rPr>
        <w:t>(S)-3,5-</w:t>
      </w:r>
      <w:r w:rsidR="00FD48CA">
        <w:rPr>
          <w:rFonts w:ascii="Book Antiqua" w:eastAsiaTheme="minorEastAsia" w:hAnsi="Book Antiqua" w:hint="eastAsia"/>
          <w:i w:val="0"/>
          <w:lang w:eastAsia="zh-CN"/>
        </w:rPr>
        <w:t>d</w:t>
      </w:r>
      <w:r w:rsidR="00FD48CA" w:rsidRPr="00FD48CA">
        <w:rPr>
          <w:rFonts w:ascii="Book Antiqua" w:eastAsiaTheme="minorEastAsia" w:hAnsi="Book Antiqua"/>
          <w:i w:val="0"/>
          <w:lang w:eastAsia="zh-CN"/>
        </w:rPr>
        <w:t>ihydroxyphenylglycine</w:t>
      </w:r>
      <w:r>
        <w:rPr>
          <w:rFonts w:ascii="Book Antiqua" w:eastAsiaTheme="minorEastAsia" w:hAnsi="Book Antiqua" w:hint="eastAsia"/>
          <w:i w:val="0"/>
          <w:lang w:eastAsia="zh-CN"/>
        </w:rPr>
        <w:t>.</w:t>
      </w:r>
    </w:p>
    <w:p w14:paraId="69D9444E" w14:textId="77777777" w:rsidR="004F0794" w:rsidRPr="00FA6907" w:rsidRDefault="004F0794" w:rsidP="004F0794">
      <w:pPr>
        <w:pStyle w:val="BodyText21"/>
        <w:snapToGrid w:val="0"/>
        <w:spacing w:line="360" w:lineRule="auto"/>
        <w:rPr>
          <w:rFonts w:ascii="Book Antiqua" w:hAnsi="Book Antiqua"/>
          <w:b/>
          <w:i w:val="0"/>
        </w:rPr>
      </w:pPr>
      <w:r>
        <w:rPr>
          <w:rFonts w:ascii="Book Antiqua" w:hAnsi="Book Antiqua"/>
          <w:b/>
          <w:i w:val="0"/>
        </w:rPr>
        <w:br w:type="page"/>
      </w:r>
      <w:r w:rsidRPr="00FA6907">
        <w:rPr>
          <w:rFonts w:ascii="Book Antiqua" w:hAnsi="Book Antiqua"/>
          <w:b/>
          <w:i w:val="0"/>
        </w:rPr>
        <w:lastRenderedPageBreak/>
        <w:t xml:space="preserve">Table 2 Main finding on the determination of </w:t>
      </w:r>
      <w:r w:rsidR="000B31EA">
        <w:rPr>
          <w:rFonts w:ascii="Book Antiqua" w:eastAsiaTheme="minorEastAsia" w:hAnsi="Book Antiqua" w:hint="eastAsia"/>
          <w:b/>
          <w:i w:val="0"/>
          <w:lang w:eastAsia="zh-CN"/>
        </w:rPr>
        <w:t>n</w:t>
      </w:r>
      <w:r w:rsidR="000B31EA" w:rsidRPr="000B31EA">
        <w:rPr>
          <w:rFonts w:ascii="Book Antiqua" w:hAnsi="Book Antiqua"/>
          <w:b/>
          <w:i w:val="0"/>
        </w:rPr>
        <w:t xml:space="preserve">itric oxide </w:t>
      </w:r>
      <w:r w:rsidRPr="00FA6907">
        <w:rPr>
          <w:rFonts w:ascii="Book Antiqua" w:hAnsi="Book Antiqua"/>
          <w:b/>
          <w:i w:val="0"/>
        </w:rPr>
        <w:t xml:space="preserve">and its products/metabolites in the rotenone model of neurotoxicity </w:t>
      </w:r>
    </w:p>
    <w:tbl>
      <w:tblPr>
        <w:tblW w:w="5000" w:type="pct"/>
        <w:tblBorders>
          <w:top w:val="single" w:sz="6" w:space="0" w:color="000000"/>
          <w:bottom w:val="single" w:sz="6" w:space="0" w:color="000000"/>
        </w:tblBorders>
        <w:tblLook w:val="0000" w:firstRow="0" w:lastRow="0" w:firstColumn="0" w:lastColumn="0" w:noHBand="0" w:noVBand="0"/>
      </w:tblPr>
      <w:tblGrid>
        <w:gridCol w:w="1703"/>
        <w:gridCol w:w="1267"/>
        <w:gridCol w:w="1623"/>
        <w:gridCol w:w="2527"/>
        <w:gridCol w:w="2456"/>
      </w:tblGrid>
      <w:tr w:rsidR="004F0794" w:rsidRPr="00FA6907" w14:paraId="758E163E" w14:textId="77777777" w:rsidTr="00260240">
        <w:trPr>
          <w:cantSplit/>
        </w:trPr>
        <w:tc>
          <w:tcPr>
            <w:tcW w:w="1034" w:type="pct"/>
            <w:tcBorders>
              <w:top w:val="single" w:sz="6" w:space="0" w:color="000000"/>
              <w:bottom w:val="single" w:sz="6" w:space="0" w:color="000000"/>
            </w:tcBorders>
          </w:tcPr>
          <w:p w14:paraId="4F1E44EB" w14:textId="77777777" w:rsidR="004F0794" w:rsidRPr="00723AD9" w:rsidRDefault="004F0794" w:rsidP="00E12C07">
            <w:pPr>
              <w:adjustRightInd w:val="0"/>
              <w:snapToGrid w:val="0"/>
              <w:spacing w:line="360" w:lineRule="auto"/>
              <w:jc w:val="both"/>
              <w:rPr>
                <w:rFonts w:ascii="Book Antiqua" w:hAnsi="Book Antiqua"/>
                <w:lang w:eastAsia="zh-CN"/>
              </w:rPr>
            </w:pPr>
            <w:r w:rsidRPr="00723AD9">
              <w:rPr>
                <w:rFonts w:ascii="Book Antiqua" w:hAnsi="Book Antiqua"/>
                <w:b/>
                <w:bCs/>
              </w:rPr>
              <w:t>Ref</w:t>
            </w:r>
            <w:r w:rsidR="00723AD9">
              <w:rPr>
                <w:rFonts w:ascii="Book Antiqua" w:hAnsi="Book Antiqua" w:hint="eastAsia"/>
                <w:b/>
                <w:bCs/>
                <w:lang w:eastAsia="zh-CN"/>
              </w:rPr>
              <w:t>.</w:t>
            </w:r>
          </w:p>
        </w:tc>
        <w:tc>
          <w:tcPr>
            <w:tcW w:w="805" w:type="pct"/>
            <w:tcBorders>
              <w:top w:val="single" w:sz="6" w:space="0" w:color="000000"/>
              <w:bottom w:val="single" w:sz="6" w:space="0" w:color="000000"/>
            </w:tcBorders>
          </w:tcPr>
          <w:p w14:paraId="5746CA61" w14:textId="77777777" w:rsidR="004F0794" w:rsidRPr="00FA6907" w:rsidRDefault="004F0794" w:rsidP="00E12C07">
            <w:pPr>
              <w:adjustRightInd w:val="0"/>
              <w:snapToGrid w:val="0"/>
              <w:spacing w:line="360" w:lineRule="auto"/>
              <w:jc w:val="both"/>
              <w:rPr>
                <w:rFonts w:ascii="Book Antiqua" w:hAnsi="Book Antiqua"/>
                <w:b/>
              </w:rPr>
            </w:pPr>
            <w:r w:rsidRPr="00FA6907">
              <w:rPr>
                <w:rFonts w:ascii="Book Antiqua" w:hAnsi="Book Antiqua"/>
                <w:b/>
              </w:rPr>
              <w:t>Dose of rotenone</w:t>
            </w:r>
          </w:p>
        </w:tc>
        <w:tc>
          <w:tcPr>
            <w:tcW w:w="666" w:type="pct"/>
            <w:tcBorders>
              <w:top w:val="single" w:sz="6" w:space="0" w:color="000000"/>
              <w:bottom w:val="single" w:sz="6" w:space="0" w:color="000000"/>
            </w:tcBorders>
          </w:tcPr>
          <w:p w14:paraId="51CED15D" w14:textId="77777777" w:rsidR="004F0794" w:rsidRPr="00FA6907" w:rsidRDefault="004F0794" w:rsidP="00E12C07">
            <w:pPr>
              <w:adjustRightInd w:val="0"/>
              <w:snapToGrid w:val="0"/>
              <w:spacing w:line="360" w:lineRule="auto"/>
              <w:jc w:val="both"/>
              <w:rPr>
                <w:rFonts w:ascii="Book Antiqua" w:hAnsi="Book Antiqua"/>
                <w:b/>
              </w:rPr>
            </w:pPr>
            <w:r w:rsidRPr="00FA6907">
              <w:rPr>
                <w:rFonts w:ascii="Book Antiqua" w:hAnsi="Book Antiqua"/>
                <w:b/>
              </w:rPr>
              <w:t xml:space="preserve">Duration </w:t>
            </w:r>
          </w:p>
        </w:tc>
        <w:tc>
          <w:tcPr>
            <w:tcW w:w="1323" w:type="pct"/>
            <w:tcBorders>
              <w:top w:val="single" w:sz="6" w:space="0" w:color="000000"/>
              <w:bottom w:val="single" w:sz="6" w:space="0" w:color="000000"/>
            </w:tcBorders>
          </w:tcPr>
          <w:p w14:paraId="0642CCBB"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b/>
              </w:rPr>
              <w:t>NO or its products/metabolites</w:t>
            </w:r>
            <w:r w:rsidRPr="00FA6907">
              <w:rPr>
                <w:rFonts w:ascii="Book Antiqua" w:hAnsi="Book Antiqua"/>
              </w:rPr>
              <w:t xml:space="preserve"> </w:t>
            </w:r>
          </w:p>
        </w:tc>
        <w:tc>
          <w:tcPr>
            <w:tcW w:w="1172" w:type="pct"/>
            <w:tcBorders>
              <w:top w:val="single" w:sz="6" w:space="0" w:color="000000"/>
              <w:bottom w:val="single" w:sz="6" w:space="0" w:color="000000"/>
            </w:tcBorders>
          </w:tcPr>
          <w:p w14:paraId="4BB4E3A5" w14:textId="77777777" w:rsidR="004F0794" w:rsidRPr="00611F50" w:rsidRDefault="004F0794" w:rsidP="00E12C07">
            <w:pPr>
              <w:adjustRightInd w:val="0"/>
              <w:snapToGrid w:val="0"/>
              <w:spacing w:line="360" w:lineRule="auto"/>
              <w:jc w:val="both"/>
              <w:rPr>
                <w:rFonts w:ascii="Book Antiqua" w:hAnsi="Book Antiqua"/>
                <w:b/>
              </w:rPr>
            </w:pPr>
            <w:r w:rsidRPr="00FA6907">
              <w:rPr>
                <w:rFonts w:ascii="Book Antiqua" w:hAnsi="Book Antiqua"/>
                <w:b/>
              </w:rPr>
              <w:t>Method of NO</w:t>
            </w:r>
            <w:r w:rsidR="00611F50">
              <w:rPr>
                <w:rFonts w:ascii="Book Antiqua" w:hAnsi="Book Antiqua" w:hint="eastAsia"/>
                <w:b/>
                <w:lang w:eastAsia="zh-CN"/>
              </w:rPr>
              <w:t xml:space="preserve"> </w:t>
            </w:r>
            <w:r w:rsidRPr="00FA6907">
              <w:rPr>
                <w:rFonts w:ascii="Book Antiqua" w:hAnsi="Book Antiqua"/>
                <w:b/>
              </w:rPr>
              <w:t>determination</w:t>
            </w:r>
          </w:p>
        </w:tc>
      </w:tr>
      <w:tr w:rsidR="004F0794" w:rsidRPr="00FA6907" w14:paraId="1F6444C8" w14:textId="77777777" w:rsidTr="00260240">
        <w:trPr>
          <w:cantSplit/>
        </w:trPr>
        <w:tc>
          <w:tcPr>
            <w:tcW w:w="1034" w:type="pct"/>
            <w:tcBorders>
              <w:top w:val="single" w:sz="6" w:space="0" w:color="000000"/>
            </w:tcBorders>
          </w:tcPr>
          <w:p w14:paraId="66F8388A" w14:textId="77777777" w:rsidR="004F0794" w:rsidRPr="00723AD9" w:rsidRDefault="004F0794" w:rsidP="00E12C07">
            <w:pPr>
              <w:adjustRightInd w:val="0"/>
              <w:snapToGrid w:val="0"/>
              <w:spacing w:line="360" w:lineRule="auto"/>
              <w:jc w:val="both"/>
              <w:rPr>
                <w:rFonts w:ascii="Book Antiqua" w:hAnsi="Book Antiqua"/>
                <w:bCs/>
              </w:rPr>
            </w:pPr>
            <w:r w:rsidRPr="00723AD9">
              <w:rPr>
                <w:rFonts w:ascii="Book Antiqua" w:hAnsi="Book Antiqua"/>
                <w:lang w:eastAsia="ja-JP"/>
              </w:rPr>
              <w:t>Kumar</w:t>
            </w:r>
            <w:r w:rsidRPr="00723AD9">
              <w:rPr>
                <w:rFonts w:ascii="Book Antiqua" w:hAnsi="Book Antiqua"/>
                <w:i/>
                <w:iCs/>
              </w:rPr>
              <w:t xml:space="preserve"> et al</w:t>
            </w:r>
            <w:r w:rsidRPr="00723AD9">
              <w:rPr>
                <w:rFonts w:ascii="Book Antiqua" w:hAnsi="Book Antiqua"/>
                <w:vertAlign w:val="superscript"/>
              </w:rPr>
              <w:t>[91]</w:t>
            </w:r>
            <w:r w:rsidRPr="00723AD9">
              <w:rPr>
                <w:rFonts w:ascii="Book Antiqua" w:hAnsi="Book Antiqua"/>
              </w:rPr>
              <w:t>, 2021</w:t>
            </w:r>
          </w:p>
        </w:tc>
        <w:tc>
          <w:tcPr>
            <w:tcW w:w="805" w:type="pct"/>
            <w:tcBorders>
              <w:top w:val="single" w:sz="6" w:space="0" w:color="000000"/>
            </w:tcBorders>
          </w:tcPr>
          <w:p w14:paraId="5B9DF540"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2.0 mg/kg</w:t>
            </w:r>
          </w:p>
        </w:tc>
        <w:tc>
          <w:tcPr>
            <w:tcW w:w="666" w:type="pct"/>
            <w:tcBorders>
              <w:top w:val="single" w:sz="6" w:space="0" w:color="000000"/>
            </w:tcBorders>
          </w:tcPr>
          <w:p w14:paraId="55D68066"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28</w:t>
            </w:r>
          </w:p>
        </w:tc>
        <w:tc>
          <w:tcPr>
            <w:tcW w:w="1323" w:type="pct"/>
            <w:tcBorders>
              <w:top w:val="single" w:sz="6" w:space="0" w:color="000000"/>
            </w:tcBorders>
          </w:tcPr>
          <w:p w14:paraId="2108B554"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cs="Times"/>
              </w:rPr>
              <w:t xml:space="preserve">Nitrite </w:t>
            </w:r>
          </w:p>
        </w:tc>
        <w:tc>
          <w:tcPr>
            <w:tcW w:w="1172" w:type="pct"/>
            <w:tcBorders>
              <w:top w:val="single" w:sz="6" w:space="0" w:color="000000"/>
            </w:tcBorders>
          </w:tcPr>
          <w:p w14:paraId="66211D0C" w14:textId="77777777" w:rsidR="004F0794" w:rsidRPr="00FA6907" w:rsidRDefault="00260240" w:rsidP="00E12C07">
            <w:pPr>
              <w:adjustRightInd w:val="0"/>
              <w:snapToGrid w:val="0"/>
              <w:spacing w:line="360" w:lineRule="auto"/>
              <w:jc w:val="both"/>
              <w:rPr>
                <w:rFonts w:ascii="Book Antiqua" w:hAnsi="Book Antiqua"/>
              </w:rPr>
            </w:pPr>
            <w:r w:rsidRPr="00FA6907">
              <w:rPr>
                <w:rFonts w:ascii="Book Antiqua" w:hAnsi="Book Antiqua"/>
              </w:rPr>
              <w:t>Spectrophotometry</w:t>
            </w:r>
          </w:p>
        </w:tc>
      </w:tr>
      <w:tr w:rsidR="004F0794" w:rsidRPr="00FA6907" w14:paraId="43CC40B6" w14:textId="77777777" w:rsidTr="00260240">
        <w:trPr>
          <w:cantSplit/>
        </w:trPr>
        <w:tc>
          <w:tcPr>
            <w:tcW w:w="1034" w:type="pct"/>
          </w:tcPr>
          <w:p w14:paraId="64AF63F4" w14:textId="77777777" w:rsidR="004F0794" w:rsidRPr="00723AD9" w:rsidRDefault="004F0794" w:rsidP="00E12C07">
            <w:pPr>
              <w:adjustRightInd w:val="0"/>
              <w:snapToGrid w:val="0"/>
              <w:spacing w:line="360" w:lineRule="auto"/>
              <w:jc w:val="both"/>
              <w:rPr>
                <w:rFonts w:ascii="Book Antiqua" w:hAnsi="Book Antiqua"/>
                <w:bCs/>
              </w:rPr>
            </w:pPr>
            <w:proofErr w:type="spellStart"/>
            <w:r w:rsidRPr="00723AD9">
              <w:rPr>
                <w:rFonts w:ascii="Book Antiqua" w:hAnsi="Book Antiqua"/>
                <w:bCs/>
              </w:rPr>
              <w:t>Parkhe</w:t>
            </w:r>
            <w:proofErr w:type="spellEnd"/>
            <w:r w:rsidRPr="00723AD9">
              <w:rPr>
                <w:rFonts w:ascii="Book Antiqua" w:hAnsi="Book Antiqua"/>
                <w:lang w:eastAsia="ja-JP"/>
              </w:rPr>
              <w:t xml:space="preserve"> </w:t>
            </w:r>
            <w:r w:rsidRPr="00723AD9">
              <w:rPr>
                <w:rFonts w:ascii="Book Antiqua" w:hAnsi="Book Antiqua"/>
                <w:i/>
                <w:iCs/>
              </w:rPr>
              <w:t>et al</w:t>
            </w:r>
            <w:r w:rsidRPr="00723AD9">
              <w:rPr>
                <w:rFonts w:ascii="Book Antiqua" w:hAnsi="Book Antiqua"/>
                <w:vertAlign w:val="superscript"/>
              </w:rPr>
              <w:t>[</w:t>
            </w:r>
            <w:hyperlink r:id="rId11" w:anchor="B42" w:history="1">
              <w:r w:rsidRPr="00723AD9">
                <w:rPr>
                  <w:rStyle w:val="a6"/>
                  <w:rFonts w:ascii="Book Antiqua" w:hAnsi="Book Antiqua"/>
                  <w:color w:val="auto"/>
                  <w:vertAlign w:val="superscript"/>
                </w:rPr>
                <w:t>92</w:t>
              </w:r>
            </w:hyperlink>
            <w:r w:rsidRPr="00723AD9">
              <w:rPr>
                <w:rFonts w:ascii="Book Antiqua" w:hAnsi="Book Antiqua"/>
                <w:vertAlign w:val="superscript"/>
              </w:rPr>
              <w:t>]</w:t>
            </w:r>
            <w:r w:rsidRPr="00723AD9">
              <w:rPr>
                <w:rFonts w:ascii="Book Antiqua" w:hAnsi="Book Antiqua"/>
              </w:rPr>
              <w:t>, 2020</w:t>
            </w:r>
          </w:p>
        </w:tc>
        <w:tc>
          <w:tcPr>
            <w:tcW w:w="805" w:type="pct"/>
          </w:tcPr>
          <w:p w14:paraId="379A636E"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2.0 mg/kg</w:t>
            </w:r>
          </w:p>
        </w:tc>
        <w:tc>
          <w:tcPr>
            <w:tcW w:w="666" w:type="pct"/>
          </w:tcPr>
          <w:p w14:paraId="38E539FE"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21</w:t>
            </w:r>
          </w:p>
        </w:tc>
        <w:tc>
          <w:tcPr>
            <w:tcW w:w="1323" w:type="pct"/>
          </w:tcPr>
          <w:p w14:paraId="4CEEA69B"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cs="Times"/>
              </w:rPr>
              <w:t xml:space="preserve">Nitrite </w:t>
            </w:r>
          </w:p>
        </w:tc>
        <w:tc>
          <w:tcPr>
            <w:tcW w:w="1172" w:type="pct"/>
          </w:tcPr>
          <w:p w14:paraId="7A7A6045" w14:textId="77777777" w:rsidR="004F0794" w:rsidRPr="00FA6907" w:rsidRDefault="00260240" w:rsidP="00E12C07">
            <w:pPr>
              <w:adjustRightInd w:val="0"/>
              <w:snapToGrid w:val="0"/>
              <w:spacing w:line="360" w:lineRule="auto"/>
              <w:jc w:val="both"/>
              <w:rPr>
                <w:rFonts w:ascii="Book Antiqua" w:hAnsi="Book Antiqua"/>
              </w:rPr>
            </w:pPr>
            <w:r w:rsidRPr="00FA6907">
              <w:rPr>
                <w:rFonts w:ascii="Book Antiqua" w:hAnsi="Book Antiqua"/>
              </w:rPr>
              <w:t>Spectrophotometry</w:t>
            </w:r>
          </w:p>
        </w:tc>
      </w:tr>
      <w:tr w:rsidR="004F0794" w:rsidRPr="00FA6907" w14:paraId="4722546D" w14:textId="77777777" w:rsidTr="00260240">
        <w:trPr>
          <w:cantSplit/>
        </w:trPr>
        <w:tc>
          <w:tcPr>
            <w:tcW w:w="1034" w:type="pct"/>
          </w:tcPr>
          <w:p w14:paraId="0DDB5386" w14:textId="77777777" w:rsidR="004F0794" w:rsidRPr="00723AD9" w:rsidRDefault="004F0794" w:rsidP="00E12C07">
            <w:pPr>
              <w:adjustRightInd w:val="0"/>
              <w:snapToGrid w:val="0"/>
              <w:spacing w:line="360" w:lineRule="auto"/>
              <w:jc w:val="both"/>
              <w:rPr>
                <w:rFonts w:ascii="Book Antiqua" w:hAnsi="Book Antiqua"/>
                <w:bCs/>
              </w:rPr>
            </w:pPr>
            <w:r w:rsidRPr="00723AD9">
              <w:rPr>
                <w:rFonts w:ascii="Book Antiqua" w:hAnsi="Book Antiqua"/>
                <w:lang w:eastAsia="ja-JP"/>
              </w:rPr>
              <w:t xml:space="preserve">Sharma </w:t>
            </w:r>
            <w:r w:rsidRPr="00723AD9">
              <w:rPr>
                <w:rFonts w:ascii="Book Antiqua" w:hAnsi="Book Antiqua"/>
                <w:i/>
                <w:iCs/>
              </w:rPr>
              <w:t>et al</w:t>
            </w:r>
            <w:r w:rsidRPr="00723AD9">
              <w:rPr>
                <w:rFonts w:ascii="Book Antiqua" w:hAnsi="Book Antiqua"/>
                <w:vertAlign w:val="superscript"/>
              </w:rPr>
              <w:t>[</w:t>
            </w:r>
            <w:hyperlink r:id="rId12" w:anchor="B42" w:history="1">
              <w:r w:rsidRPr="00723AD9">
                <w:rPr>
                  <w:rStyle w:val="a6"/>
                  <w:rFonts w:ascii="Book Antiqua" w:hAnsi="Book Antiqua"/>
                  <w:color w:val="auto"/>
                  <w:vertAlign w:val="superscript"/>
                </w:rPr>
                <w:t>93</w:t>
              </w:r>
            </w:hyperlink>
            <w:r w:rsidRPr="00723AD9">
              <w:rPr>
                <w:rFonts w:ascii="Book Antiqua" w:hAnsi="Book Antiqua"/>
                <w:vertAlign w:val="superscript"/>
              </w:rPr>
              <w:t>]</w:t>
            </w:r>
            <w:r w:rsidRPr="00723AD9">
              <w:rPr>
                <w:rFonts w:ascii="Book Antiqua" w:hAnsi="Book Antiqua"/>
              </w:rPr>
              <w:t>, 2020</w:t>
            </w:r>
          </w:p>
        </w:tc>
        <w:tc>
          <w:tcPr>
            <w:tcW w:w="805" w:type="pct"/>
          </w:tcPr>
          <w:p w14:paraId="321FE125"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2.0 mg/kg</w:t>
            </w:r>
          </w:p>
        </w:tc>
        <w:tc>
          <w:tcPr>
            <w:tcW w:w="666" w:type="pct"/>
          </w:tcPr>
          <w:p w14:paraId="0C0D1B64"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28</w:t>
            </w:r>
          </w:p>
        </w:tc>
        <w:tc>
          <w:tcPr>
            <w:tcW w:w="1323" w:type="pct"/>
          </w:tcPr>
          <w:p w14:paraId="6DE081B9"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cs="Times"/>
              </w:rPr>
              <w:t xml:space="preserve">Nitrite </w:t>
            </w:r>
          </w:p>
        </w:tc>
        <w:tc>
          <w:tcPr>
            <w:tcW w:w="1172" w:type="pct"/>
          </w:tcPr>
          <w:p w14:paraId="58DD9176" w14:textId="77777777" w:rsidR="004F0794" w:rsidRPr="00FA6907" w:rsidRDefault="00260240" w:rsidP="00E12C07">
            <w:pPr>
              <w:adjustRightInd w:val="0"/>
              <w:snapToGrid w:val="0"/>
              <w:spacing w:line="360" w:lineRule="auto"/>
              <w:jc w:val="both"/>
              <w:rPr>
                <w:rFonts w:ascii="Book Antiqua" w:hAnsi="Book Antiqua"/>
              </w:rPr>
            </w:pPr>
            <w:r w:rsidRPr="00FA6907">
              <w:rPr>
                <w:rFonts w:ascii="Book Antiqua" w:hAnsi="Book Antiqua"/>
              </w:rPr>
              <w:t>Spectrophotometry</w:t>
            </w:r>
          </w:p>
        </w:tc>
      </w:tr>
      <w:tr w:rsidR="004F0794" w:rsidRPr="00FA6907" w14:paraId="2C14F61F" w14:textId="77777777" w:rsidTr="00260240">
        <w:trPr>
          <w:cantSplit/>
        </w:trPr>
        <w:tc>
          <w:tcPr>
            <w:tcW w:w="1034" w:type="pct"/>
          </w:tcPr>
          <w:p w14:paraId="0B0DBD68" w14:textId="77777777" w:rsidR="004F0794" w:rsidRPr="00723AD9" w:rsidRDefault="004F0794" w:rsidP="00E12C07">
            <w:pPr>
              <w:adjustRightInd w:val="0"/>
              <w:snapToGrid w:val="0"/>
              <w:spacing w:line="360" w:lineRule="auto"/>
              <w:jc w:val="both"/>
              <w:rPr>
                <w:rFonts w:ascii="Book Antiqua" w:hAnsi="Book Antiqua"/>
                <w:i/>
                <w:iCs/>
              </w:rPr>
            </w:pPr>
            <w:r w:rsidRPr="00723AD9">
              <w:rPr>
                <w:rFonts w:ascii="Book Antiqua" w:hAnsi="Book Antiqua"/>
                <w:bCs/>
              </w:rPr>
              <w:t>Sun</w:t>
            </w:r>
            <w:r w:rsidRPr="00723AD9">
              <w:rPr>
                <w:rFonts w:ascii="Book Antiqua" w:hAnsi="Book Antiqua"/>
                <w:i/>
                <w:iCs/>
              </w:rPr>
              <w:t xml:space="preserve"> et al</w:t>
            </w:r>
            <w:r w:rsidRPr="00723AD9">
              <w:rPr>
                <w:rFonts w:ascii="Book Antiqua" w:hAnsi="Book Antiqua"/>
                <w:vertAlign w:val="superscript"/>
              </w:rPr>
              <w:t>[</w:t>
            </w:r>
            <w:hyperlink r:id="rId13" w:anchor="B42" w:history="1">
              <w:r w:rsidRPr="00723AD9">
                <w:rPr>
                  <w:rStyle w:val="a6"/>
                  <w:rFonts w:ascii="Book Antiqua" w:hAnsi="Book Antiqua"/>
                  <w:color w:val="auto"/>
                  <w:vertAlign w:val="superscript"/>
                </w:rPr>
                <w:t>80</w:t>
              </w:r>
            </w:hyperlink>
            <w:r w:rsidRPr="00723AD9">
              <w:rPr>
                <w:rFonts w:ascii="Book Antiqua" w:hAnsi="Book Antiqua"/>
                <w:vertAlign w:val="superscript"/>
              </w:rPr>
              <w:t>]</w:t>
            </w:r>
            <w:r w:rsidRPr="00723AD9">
              <w:rPr>
                <w:rFonts w:ascii="Book Antiqua" w:hAnsi="Book Antiqua"/>
              </w:rPr>
              <w:t>, 2019</w:t>
            </w:r>
          </w:p>
        </w:tc>
        <w:tc>
          <w:tcPr>
            <w:tcW w:w="805" w:type="pct"/>
          </w:tcPr>
          <w:p w14:paraId="2927F029"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1.5 mg/kg</w:t>
            </w:r>
          </w:p>
        </w:tc>
        <w:tc>
          <w:tcPr>
            <w:tcW w:w="666" w:type="pct"/>
          </w:tcPr>
          <w:p w14:paraId="7C352344"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28</w:t>
            </w:r>
          </w:p>
        </w:tc>
        <w:tc>
          <w:tcPr>
            <w:tcW w:w="1323" w:type="pct"/>
          </w:tcPr>
          <w:p w14:paraId="1D96E7C2"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rPr>
              <w:t>Nitrate/nitrite</w:t>
            </w:r>
          </w:p>
        </w:tc>
        <w:tc>
          <w:tcPr>
            <w:tcW w:w="1172" w:type="pct"/>
          </w:tcPr>
          <w:p w14:paraId="4145C149"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NO</w:t>
            </w:r>
            <w:r w:rsidR="00ED0179" w:rsidRPr="00FA6907">
              <w:rPr>
                <w:rFonts w:ascii="Book Antiqua" w:hAnsi="Book Antiqua"/>
              </w:rPr>
              <w:t xml:space="preserve"> assay ki</w:t>
            </w:r>
            <w:r w:rsidRPr="00FA6907">
              <w:rPr>
                <w:rFonts w:ascii="Book Antiqua" w:hAnsi="Book Antiqua"/>
              </w:rPr>
              <w:t>t</w:t>
            </w:r>
          </w:p>
        </w:tc>
      </w:tr>
      <w:tr w:rsidR="004F0794" w:rsidRPr="00FA6907" w14:paraId="2F9C3EA9" w14:textId="77777777" w:rsidTr="00260240">
        <w:trPr>
          <w:cantSplit/>
        </w:trPr>
        <w:tc>
          <w:tcPr>
            <w:tcW w:w="1034" w:type="pct"/>
          </w:tcPr>
          <w:p w14:paraId="3B32CC9E" w14:textId="77777777" w:rsidR="004F0794" w:rsidRPr="00723AD9" w:rsidRDefault="004F0794" w:rsidP="00E12C07">
            <w:pPr>
              <w:adjustRightInd w:val="0"/>
              <w:snapToGrid w:val="0"/>
              <w:spacing w:line="360" w:lineRule="auto"/>
              <w:jc w:val="both"/>
              <w:rPr>
                <w:rFonts w:ascii="Book Antiqua" w:hAnsi="Book Antiqua"/>
                <w:bCs/>
              </w:rPr>
            </w:pPr>
            <w:proofErr w:type="spellStart"/>
            <w:r w:rsidRPr="00723AD9">
              <w:rPr>
                <w:rFonts w:ascii="Book Antiqua" w:hAnsi="Book Antiqua"/>
                <w:lang w:eastAsia="ja-JP"/>
              </w:rPr>
              <w:t>Jayaraj</w:t>
            </w:r>
            <w:proofErr w:type="spellEnd"/>
            <w:r w:rsidRPr="00723AD9">
              <w:rPr>
                <w:rFonts w:ascii="Book Antiqua" w:hAnsi="Book Antiqua"/>
                <w:lang w:eastAsia="ja-JP"/>
              </w:rPr>
              <w:t xml:space="preserve"> </w:t>
            </w:r>
            <w:r w:rsidRPr="00723AD9">
              <w:rPr>
                <w:rFonts w:ascii="Book Antiqua" w:hAnsi="Book Antiqua"/>
                <w:i/>
                <w:iCs/>
              </w:rPr>
              <w:t>et al</w:t>
            </w:r>
            <w:r w:rsidRPr="00723AD9">
              <w:rPr>
                <w:rFonts w:ascii="Book Antiqua" w:hAnsi="Book Antiqua"/>
                <w:vertAlign w:val="superscript"/>
              </w:rPr>
              <w:t>[</w:t>
            </w:r>
            <w:hyperlink r:id="rId14" w:anchor="B42" w:history="1">
              <w:r w:rsidRPr="00723AD9">
                <w:rPr>
                  <w:rStyle w:val="a6"/>
                  <w:rFonts w:ascii="Book Antiqua" w:hAnsi="Book Antiqua"/>
                  <w:color w:val="auto"/>
                  <w:vertAlign w:val="superscript"/>
                </w:rPr>
                <w:t>90</w:t>
              </w:r>
            </w:hyperlink>
            <w:r w:rsidRPr="00723AD9">
              <w:rPr>
                <w:rFonts w:ascii="Book Antiqua" w:hAnsi="Book Antiqua"/>
                <w:vertAlign w:val="superscript"/>
              </w:rPr>
              <w:t>]</w:t>
            </w:r>
            <w:r w:rsidRPr="00723AD9">
              <w:rPr>
                <w:rFonts w:ascii="Book Antiqua" w:hAnsi="Book Antiqua"/>
              </w:rPr>
              <w:t>, 2019</w:t>
            </w:r>
          </w:p>
        </w:tc>
        <w:tc>
          <w:tcPr>
            <w:tcW w:w="805" w:type="pct"/>
          </w:tcPr>
          <w:p w14:paraId="26E09C92"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1.5 mg/kg</w:t>
            </w:r>
          </w:p>
        </w:tc>
        <w:tc>
          <w:tcPr>
            <w:tcW w:w="666" w:type="pct"/>
          </w:tcPr>
          <w:p w14:paraId="11E35858"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28</w:t>
            </w:r>
          </w:p>
        </w:tc>
        <w:tc>
          <w:tcPr>
            <w:tcW w:w="1323" w:type="pct"/>
          </w:tcPr>
          <w:p w14:paraId="59C0F080"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cs="Times"/>
              </w:rPr>
              <w:t xml:space="preserve">Nitrite </w:t>
            </w:r>
          </w:p>
        </w:tc>
        <w:tc>
          <w:tcPr>
            <w:tcW w:w="1172" w:type="pct"/>
          </w:tcPr>
          <w:p w14:paraId="59D731BE" w14:textId="77777777" w:rsidR="004F0794" w:rsidRPr="00FA6907" w:rsidRDefault="00260240" w:rsidP="00E12C07">
            <w:pPr>
              <w:adjustRightInd w:val="0"/>
              <w:snapToGrid w:val="0"/>
              <w:spacing w:line="360" w:lineRule="auto"/>
              <w:jc w:val="both"/>
              <w:rPr>
                <w:rFonts w:ascii="Book Antiqua" w:hAnsi="Book Antiqua"/>
              </w:rPr>
            </w:pPr>
            <w:r w:rsidRPr="00FA6907">
              <w:rPr>
                <w:rFonts w:ascii="Book Antiqua" w:hAnsi="Book Antiqua"/>
              </w:rPr>
              <w:t>Spectrophotometry</w:t>
            </w:r>
          </w:p>
        </w:tc>
      </w:tr>
      <w:tr w:rsidR="004F0794" w:rsidRPr="00FA6907" w14:paraId="7017344F" w14:textId="77777777" w:rsidTr="00260240">
        <w:trPr>
          <w:cantSplit/>
        </w:trPr>
        <w:tc>
          <w:tcPr>
            <w:tcW w:w="1034" w:type="pct"/>
          </w:tcPr>
          <w:p w14:paraId="181C9DCF" w14:textId="77777777" w:rsidR="004F0794" w:rsidRPr="00723AD9" w:rsidRDefault="004F0794" w:rsidP="00E12C07">
            <w:pPr>
              <w:adjustRightInd w:val="0"/>
              <w:snapToGrid w:val="0"/>
              <w:spacing w:line="360" w:lineRule="auto"/>
              <w:jc w:val="both"/>
              <w:rPr>
                <w:rFonts w:ascii="Book Antiqua" w:hAnsi="Book Antiqua"/>
              </w:rPr>
            </w:pPr>
            <w:r w:rsidRPr="00723AD9">
              <w:rPr>
                <w:rFonts w:ascii="Book Antiqua" w:hAnsi="Book Antiqua"/>
                <w:lang w:eastAsia="ja-JP"/>
              </w:rPr>
              <w:t>Abdel-Salam et al</w:t>
            </w:r>
            <w:r w:rsidRPr="00723AD9">
              <w:rPr>
                <w:rFonts w:ascii="Book Antiqua" w:hAnsi="Book Antiqua"/>
                <w:vertAlign w:val="superscript"/>
              </w:rPr>
              <w:t>[</w:t>
            </w:r>
            <w:hyperlink r:id="rId15" w:anchor="B42" w:history="1">
              <w:r w:rsidRPr="00723AD9">
                <w:rPr>
                  <w:rStyle w:val="a6"/>
                  <w:rFonts w:ascii="Book Antiqua" w:hAnsi="Book Antiqua"/>
                  <w:color w:val="auto"/>
                  <w:vertAlign w:val="superscript"/>
                </w:rPr>
                <w:t>89</w:t>
              </w:r>
            </w:hyperlink>
            <w:r w:rsidRPr="00723AD9">
              <w:rPr>
                <w:rFonts w:ascii="Book Antiqua" w:hAnsi="Book Antiqua"/>
                <w:vertAlign w:val="superscript"/>
              </w:rPr>
              <w:t>]</w:t>
            </w:r>
            <w:r w:rsidRPr="00723AD9">
              <w:rPr>
                <w:rFonts w:ascii="Book Antiqua" w:hAnsi="Book Antiqua"/>
              </w:rPr>
              <w:t>, 2017</w:t>
            </w:r>
            <w:r w:rsidRPr="00723AD9">
              <w:rPr>
                <w:rFonts w:ascii="Book Antiqua" w:hAnsi="Book Antiqua"/>
                <w:lang w:eastAsia="ja-JP"/>
              </w:rPr>
              <w:t xml:space="preserve"> </w:t>
            </w:r>
          </w:p>
        </w:tc>
        <w:tc>
          <w:tcPr>
            <w:tcW w:w="805" w:type="pct"/>
          </w:tcPr>
          <w:p w14:paraId="1CDEBB75" w14:textId="77777777" w:rsidR="004F0794" w:rsidRPr="00FA6907" w:rsidRDefault="009A2FD7" w:rsidP="009A2FD7">
            <w:pPr>
              <w:adjustRightInd w:val="0"/>
              <w:snapToGrid w:val="0"/>
              <w:spacing w:line="360" w:lineRule="auto"/>
              <w:jc w:val="both"/>
              <w:rPr>
                <w:rFonts w:ascii="Book Antiqua" w:hAnsi="Book Antiqua"/>
              </w:rPr>
            </w:pPr>
            <w:r>
              <w:rPr>
                <w:rFonts w:ascii="Book Antiqua" w:hAnsi="Book Antiqua"/>
              </w:rPr>
              <w:t>1.5 mg/kg</w:t>
            </w:r>
            <w:r>
              <w:rPr>
                <w:rFonts w:ascii="Book Antiqua" w:hAnsi="Book Antiqua" w:hint="eastAsia"/>
                <w:lang w:eastAsia="zh-CN"/>
              </w:rPr>
              <w:t xml:space="preserve"> </w:t>
            </w:r>
            <w:r>
              <w:t>×</w:t>
            </w:r>
            <w:r>
              <w:rPr>
                <w:rFonts w:ascii="Book Antiqua" w:hAnsi="Book Antiqua" w:hint="eastAsia"/>
                <w:lang w:eastAsia="zh-CN"/>
              </w:rPr>
              <w:t xml:space="preserve"> </w:t>
            </w:r>
            <w:r w:rsidR="004F0794" w:rsidRPr="00FA6907">
              <w:rPr>
                <w:rFonts w:ascii="Book Antiqua" w:hAnsi="Book Antiqua"/>
              </w:rPr>
              <w:t>3</w:t>
            </w:r>
          </w:p>
        </w:tc>
        <w:tc>
          <w:tcPr>
            <w:tcW w:w="666" w:type="pct"/>
          </w:tcPr>
          <w:p w14:paraId="27CA4641"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7</w:t>
            </w:r>
          </w:p>
        </w:tc>
        <w:tc>
          <w:tcPr>
            <w:tcW w:w="1323" w:type="pct"/>
          </w:tcPr>
          <w:p w14:paraId="15F601C9"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cs="Times"/>
              </w:rPr>
              <w:t xml:space="preserve">Nitrite </w:t>
            </w:r>
          </w:p>
        </w:tc>
        <w:tc>
          <w:tcPr>
            <w:tcW w:w="1172" w:type="pct"/>
          </w:tcPr>
          <w:p w14:paraId="19AF2B27" w14:textId="77777777" w:rsidR="004F0794" w:rsidRPr="00FA6907" w:rsidRDefault="00260240" w:rsidP="00E12C07">
            <w:pPr>
              <w:adjustRightInd w:val="0"/>
              <w:snapToGrid w:val="0"/>
              <w:spacing w:line="360" w:lineRule="auto"/>
              <w:jc w:val="both"/>
              <w:rPr>
                <w:rFonts w:ascii="Book Antiqua" w:hAnsi="Book Antiqua"/>
              </w:rPr>
            </w:pPr>
            <w:r w:rsidRPr="00FA6907">
              <w:rPr>
                <w:rFonts w:ascii="Book Antiqua" w:hAnsi="Book Antiqua"/>
              </w:rPr>
              <w:t>Spectrophotometry</w:t>
            </w:r>
          </w:p>
        </w:tc>
      </w:tr>
      <w:tr w:rsidR="004F0794" w:rsidRPr="00FA6907" w14:paraId="208AEDA8" w14:textId="77777777" w:rsidTr="00260240">
        <w:trPr>
          <w:cantSplit/>
        </w:trPr>
        <w:tc>
          <w:tcPr>
            <w:tcW w:w="1034" w:type="pct"/>
          </w:tcPr>
          <w:p w14:paraId="453E9CEE" w14:textId="77777777" w:rsidR="004F0794" w:rsidRPr="00723AD9" w:rsidRDefault="004F0794" w:rsidP="00E12C07">
            <w:pPr>
              <w:adjustRightInd w:val="0"/>
              <w:snapToGrid w:val="0"/>
              <w:spacing w:line="360" w:lineRule="auto"/>
              <w:jc w:val="both"/>
              <w:rPr>
                <w:rFonts w:ascii="Book Antiqua" w:hAnsi="Book Antiqua"/>
                <w:bCs/>
              </w:rPr>
            </w:pPr>
            <w:proofErr w:type="spellStart"/>
            <w:r w:rsidRPr="00723AD9">
              <w:rPr>
                <w:rFonts w:ascii="Book Antiqua" w:hAnsi="Book Antiqua"/>
                <w:iCs/>
              </w:rPr>
              <w:t>Javed</w:t>
            </w:r>
            <w:proofErr w:type="spellEnd"/>
            <w:r w:rsidRPr="00723AD9">
              <w:rPr>
                <w:rFonts w:ascii="Book Antiqua" w:hAnsi="Book Antiqua"/>
                <w:i/>
                <w:iCs/>
              </w:rPr>
              <w:t xml:space="preserve"> et al</w:t>
            </w:r>
            <w:r w:rsidRPr="00723AD9">
              <w:rPr>
                <w:rFonts w:ascii="Book Antiqua" w:hAnsi="Book Antiqua"/>
                <w:vertAlign w:val="superscript"/>
              </w:rPr>
              <w:t>[</w:t>
            </w:r>
            <w:hyperlink r:id="rId16" w:anchor="B42" w:history="1">
              <w:r w:rsidRPr="00723AD9">
                <w:rPr>
                  <w:rStyle w:val="a6"/>
                  <w:rFonts w:ascii="Book Antiqua" w:hAnsi="Book Antiqua"/>
                  <w:color w:val="auto"/>
                  <w:vertAlign w:val="superscript"/>
                </w:rPr>
                <w:t>86</w:t>
              </w:r>
            </w:hyperlink>
            <w:r w:rsidRPr="00723AD9">
              <w:rPr>
                <w:rFonts w:ascii="Book Antiqua" w:hAnsi="Book Antiqua"/>
                <w:vertAlign w:val="superscript"/>
              </w:rPr>
              <w:t>]</w:t>
            </w:r>
            <w:r w:rsidRPr="00723AD9">
              <w:rPr>
                <w:rFonts w:ascii="Book Antiqua" w:hAnsi="Book Antiqua"/>
              </w:rPr>
              <w:t>, 2016</w:t>
            </w:r>
          </w:p>
        </w:tc>
        <w:tc>
          <w:tcPr>
            <w:tcW w:w="805" w:type="pct"/>
          </w:tcPr>
          <w:p w14:paraId="0E173566"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2.5 mg/kg</w:t>
            </w:r>
          </w:p>
        </w:tc>
        <w:tc>
          <w:tcPr>
            <w:tcW w:w="666" w:type="pct"/>
          </w:tcPr>
          <w:p w14:paraId="2B6842DA"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28</w:t>
            </w:r>
          </w:p>
        </w:tc>
        <w:tc>
          <w:tcPr>
            <w:tcW w:w="1323" w:type="pct"/>
          </w:tcPr>
          <w:p w14:paraId="59D972E5"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cs="Times"/>
              </w:rPr>
              <w:t xml:space="preserve">Nitrite </w:t>
            </w:r>
          </w:p>
        </w:tc>
        <w:tc>
          <w:tcPr>
            <w:tcW w:w="1172" w:type="pct"/>
          </w:tcPr>
          <w:p w14:paraId="0619A2E5" w14:textId="77777777" w:rsidR="004F0794" w:rsidRPr="00FA6907" w:rsidRDefault="00260240" w:rsidP="00E12C07">
            <w:pPr>
              <w:adjustRightInd w:val="0"/>
              <w:snapToGrid w:val="0"/>
              <w:spacing w:line="360" w:lineRule="auto"/>
              <w:jc w:val="both"/>
              <w:rPr>
                <w:rFonts w:ascii="Book Antiqua" w:hAnsi="Book Antiqua"/>
              </w:rPr>
            </w:pPr>
            <w:r w:rsidRPr="00FA6907">
              <w:rPr>
                <w:rFonts w:ascii="Book Antiqua" w:hAnsi="Book Antiqua"/>
              </w:rPr>
              <w:t>Spectrophotometry</w:t>
            </w:r>
          </w:p>
        </w:tc>
      </w:tr>
      <w:tr w:rsidR="004F0794" w:rsidRPr="00FA6907" w14:paraId="495AD5FC" w14:textId="77777777" w:rsidTr="00260240">
        <w:trPr>
          <w:cantSplit/>
        </w:trPr>
        <w:tc>
          <w:tcPr>
            <w:tcW w:w="1034" w:type="pct"/>
          </w:tcPr>
          <w:p w14:paraId="0CCBFDEE" w14:textId="77777777" w:rsidR="004F0794" w:rsidRPr="00723AD9" w:rsidRDefault="004F0794" w:rsidP="00E12C07">
            <w:pPr>
              <w:adjustRightInd w:val="0"/>
              <w:snapToGrid w:val="0"/>
              <w:spacing w:line="360" w:lineRule="auto"/>
              <w:jc w:val="both"/>
              <w:rPr>
                <w:rFonts w:ascii="Book Antiqua" w:hAnsi="Book Antiqua"/>
              </w:rPr>
            </w:pPr>
            <w:proofErr w:type="spellStart"/>
            <w:r w:rsidRPr="00723AD9">
              <w:rPr>
                <w:rFonts w:ascii="Book Antiqua" w:hAnsi="Book Antiqua"/>
                <w:bCs/>
              </w:rPr>
              <w:t>Xiong</w:t>
            </w:r>
            <w:proofErr w:type="spellEnd"/>
            <w:r w:rsidRPr="00723AD9">
              <w:rPr>
                <w:rFonts w:ascii="Book Antiqua" w:hAnsi="Book Antiqua"/>
                <w:bCs/>
              </w:rPr>
              <w:t xml:space="preserve"> </w:t>
            </w:r>
            <w:r w:rsidRPr="00723AD9">
              <w:rPr>
                <w:rFonts w:ascii="Book Antiqua" w:hAnsi="Book Antiqua"/>
                <w:lang w:eastAsia="ja-JP"/>
              </w:rPr>
              <w:t>et al</w:t>
            </w:r>
            <w:r w:rsidRPr="00723AD9">
              <w:rPr>
                <w:rFonts w:ascii="Book Antiqua" w:hAnsi="Book Antiqua"/>
                <w:vertAlign w:val="superscript"/>
              </w:rPr>
              <w:t>[</w:t>
            </w:r>
            <w:hyperlink r:id="rId17" w:anchor="B42" w:history="1">
              <w:r w:rsidRPr="00723AD9">
                <w:rPr>
                  <w:rStyle w:val="a6"/>
                  <w:rFonts w:ascii="Book Antiqua" w:hAnsi="Book Antiqua"/>
                  <w:color w:val="auto"/>
                  <w:vertAlign w:val="superscript"/>
                </w:rPr>
                <w:t>8</w:t>
              </w:r>
            </w:hyperlink>
            <w:r w:rsidRPr="00723AD9">
              <w:rPr>
                <w:rStyle w:val="a6"/>
                <w:rFonts w:ascii="Book Antiqua" w:hAnsi="Book Antiqua"/>
                <w:color w:val="auto"/>
                <w:vertAlign w:val="superscript"/>
              </w:rPr>
              <w:t>8</w:t>
            </w:r>
            <w:r w:rsidRPr="00723AD9">
              <w:rPr>
                <w:rFonts w:ascii="Book Antiqua" w:hAnsi="Book Antiqua"/>
                <w:vertAlign w:val="superscript"/>
              </w:rPr>
              <w:t>]</w:t>
            </w:r>
            <w:r w:rsidRPr="00723AD9">
              <w:rPr>
                <w:rFonts w:ascii="Book Antiqua" w:hAnsi="Book Antiqua"/>
              </w:rPr>
              <w:t>, 2015</w:t>
            </w:r>
            <w:r w:rsidRPr="00723AD9">
              <w:rPr>
                <w:rFonts w:ascii="Book Antiqua" w:hAnsi="Book Antiqua"/>
                <w:lang w:eastAsia="ja-JP"/>
              </w:rPr>
              <w:t xml:space="preserve"> </w:t>
            </w:r>
          </w:p>
        </w:tc>
        <w:tc>
          <w:tcPr>
            <w:tcW w:w="805" w:type="pct"/>
          </w:tcPr>
          <w:p w14:paraId="08D95A46"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1.5 mg/kg</w:t>
            </w:r>
          </w:p>
        </w:tc>
        <w:tc>
          <w:tcPr>
            <w:tcW w:w="666" w:type="pct"/>
          </w:tcPr>
          <w:p w14:paraId="1568D57F"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6</w:t>
            </w:r>
          </w:p>
        </w:tc>
        <w:tc>
          <w:tcPr>
            <w:tcW w:w="1323" w:type="pct"/>
          </w:tcPr>
          <w:p w14:paraId="71D3271A" w14:textId="77777777" w:rsidR="004F0794" w:rsidRPr="00FA6907" w:rsidRDefault="00723AD9" w:rsidP="00E12C07">
            <w:pPr>
              <w:adjustRightInd w:val="0"/>
              <w:snapToGrid w:val="0"/>
              <w:spacing w:line="360" w:lineRule="auto"/>
              <w:jc w:val="both"/>
              <w:rPr>
                <w:rFonts w:ascii="Book Antiqua" w:hAnsi="Book Antiqua"/>
              </w:rPr>
            </w:pPr>
            <w:r w:rsidRPr="00FA6907">
              <w:rPr>
                <w:rFonts w:ascii="Book Antiqua" w:hAnsi="Book Antiqua" w:cs="Times"/>
              </w:rPr>
              <w:t xml:space="preserve">Nitrite </w:t>
            </w:r>
          </w:p>
        </w:tc>
        <w:tc>
          <w:tcPr>
            <w:tcW w:w="1172" w:type="pct"/>
          </w:tcPr>
          <w:p w14:paraId="4C8FF29A" w14:textId="77777777" w:rsidR="004F0794" w:rsidRPr="00FA6907" w:rsidRDefault="00260240" w:rsidP="00E12C07">
            <w:pPr>
              <w:adjustRightInd w:val="0"/>
              <w:snapToGrid w:val="0"/>
              <w:spacing w:line="360" w:lineRule="auto"/>
              <w:jc w:val="both"/>
              <w:rPr>
                <w:rFonts w:ascii="Book Antiqua" w:hAnsi="Book Antiqua"/>
              </w:rPr>
            </w:pPr>
            <w:r w:rsidRPr="00FA6907">
              <w:rPr>
                <w:rFonts w:ascii="Book Antiqua" w:hAnsi="Book Antiqua"/>
              </w:rPr>
              <w:t>Spectrophotometry</w:t>
            </w:r>
          </w:p>
        </w:tc>
      </w:tr>
      <w:tr w:rsidR="004F0794" w:rsidRPr="00FA6907" w14:paraId="6280672A" w14:textId="77777777" w:rsidTr="00260240">
        <w:trPr>
          <w:cantSplit/>
        </w:trPr>
        <w:tc>
          <w:tcPr>
            <w:tcW w:w="1034" w:type="pct"/>
          </w:tcPr>
          <w:p w14:paraId="3CD00ECC" w14:textId="77777777" w:rsidR="004F0794" w:rsidRPr="00723AD9" w:rsidRDefault="004F0794" w:rsidP="00E12C07">
            <w:pPr>
              <w:adjustRightInd w:val="0"/>
              <w:snapToGrid w:val="0"/>
              <w:spacing w:line="360" w:lineRule="auto"/>
              <w:jc w:val="both"/>
              <w:rPr>
                <w:rFonts w:ascii="Book Antiqua" w:hAnsi="Book Antiqua"/>
                <w:iCs/>
                <w:lang w:val="ru-RU"/>
              </w:rPr>
            </w:pPr>
            <w:r w:rsidRPr="00723AD9">
              <w:rPr>
                <w:rFonts w:ascii="Book Antiqua" w:hAnsi="Book Antiqua"/>
                <w:bCs/>
              </w:rPr>
              <w:t>Tapias</w:t>
            </w:r>
            <w:r w:rsidRPr="00723AD9">
              <w:rPr>
                <w:rFonts w:ascii="Book Antiqua" w:hAnsi="Book Antiqua"/>
                <w:i/>
                <w:iCs/>
              </w:rPr>
              <w:t xml:space="preserve"> et al</w:t>
            </w:r>
            <w:r w:rsidRPr="00723AD9">
              <w:rPr>
                <w:rFonts w:ascii="Book Antiqua" w:hAnsi="Book Antiqua"/>
                <w:vertAlign w:val="superscript"/>
              </w:rPr>
              <w:t>[</w:t>
            </w:r>
            <w:hyperlink r:id="rId18" w:anchor="B42" w:history="1">
              <w:r w:rsidRPr="00723AD9">
                <w:rPr>
                  <w:rStyle w:val="a6"/>
                  <w:rFonts w:ascii="Book Antiqua" w:hAnsi="Book Antiqua"/>
                  <w:color w:val="auto"/>
                  <w:vertAlign w:val="superscript"/>
                </w:rPr>
                <w:t>2</w:t>
              </w:r>
            </w:hyperlink>
            <w:r w:rsidRPr="00723AD9">
              <w:rPr>
                <w:rStyle w:val="a6"/>
                <w:rFonts w:ascii="Book Antiqua" w:hAnsi="Book Antiqua"/>
                <w:color w:val="auto"/>
                <w:vertAlign w:val="superscript"/>
              </w:rPr>
              <w:t>3</w:t>
            </w:r>
            <w:r w:rsidRPr="00723AD9">
              <w:rPr>
                <w:rFonts w:ascii="Book Antiqua" w:hAnsi="Book Antiqua"/>
                <w:vertAlign w:val="superscript"/>
              </w:rPr>
              <w:t>]</w:t>
            </w:r>
            <w:r w:rsidRPr="00723AD9">
              <w:rPr>
                <w:rFonts w:ascii="Book Antiqua" w:hAnsi="Book Antiqua"/>
              </w:rPr>
              <w:t>, 2014</w:t>
            </w:r>
          </w:p>
        </w:tc>
        <w:tc>
          <w:tcPr>
            <w:tcW w:w="805" w:type="pct"/>
          </w:tcPr>
          <w:p w14:paraId="14D47151"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3.0 mg/kg</w:t>
            </w:r>
          </w:p>
        </w:tc>
        <w:tc>
          <w:tcPr>
            <w:tcW w:w="666" w:type="pct"/>
          </w:tcPr>
          <w:p w14:paraId="350BF5A9" w14:textId="77777777" w:rsidR="004F0794" w:rsidRPr="00FA6907" w:rsidRDefault="004F0794" w:rsidP="00260240">
            <w:pPr>
              <w:adjustRightInd w:val="0"/>
              <w:snapToGrid w:val="0"/>
              <w:spacing w:line="360" w:lineRule="auto"/>
              <w:jc w:val="both"/>
              <w:rPr>
                <w:rFonts w:ascii="Book Antiqua" w:hAnsi="Book Antiqua"/>
                <w:lang w:eastAsia="zh-CN"/>
              </w:rPr>
            </w:pPr>
            <w:r w:rsidRPr="00FA6907">
              <w:rPr>
                <w:rFonts w:ascii="Book Antiqua" w:hAnsi="Book Antiqua"/>
              </w:rPr>
              <w:t>Individually</w:t>
            </w:r>
            <w:r w:rsidR="00260240">
              <w:rPr>
                <w:rFonts w:ascii="Book Antiqua" w:hAnsi="Book Antiqua" w:hint="eastAsia"/>
                <w:vertAlign w:val="superscript"/>
                <w:lang w:eastAsia="zh-CN"/>
              </w:rPr>
              <w:t>1</w:t>
            </w:r>
          </w:p>
        </w:tc>
        <w:tc>
          <w:tcPr>
            <w:tcW w:w="1323" w:type="pct"/>
          </w:tcPr>
          <w:p w14:paraId="26DC27F1" w14:textId="77777777" w:rsidR="004F0794" w:rsidRPr="00723AD9" w:rsidRDefault="004F0794" w:rsidP="00E12C07">
            <w:pPr>
              <w:adjustRightInd w:val="0"/>
              <w:snapToGrid w:val="0"/>
              <w:spacing w:line="360" w:lineRule="auto"/>
              <w:jc w:val="both"/>
              <w:rPr>
                <w:rFonts w:ascii="Book Antiqua" w:hAnsi="Book Antiqua"/>
              </w:rPr>
            </w:pPr>
            <w:r w:rsidRPr="00FA6907">
              <w:rPr>
                <w:rFonts w:ascii="Book Antiqua" w:hAnsi="Book Antiqua"/>
              </w:rPr>
              <w:t>3</w:t>
            </w:r>
            <w:r w:rsidR="00723AD9">
              <w:rPr>
                <w:rFonts w:ascii="宋体" w:eastAsia="宋体" w:hAnsi="宋体" w:cs="宋体" w:hint="eastAsia"/>
                <w:lang w:eastAsia="zh-CN"/>
              </w:rPr>
              <w:t>-</w:t>
            </w:r>
            <w:r w:rsidRPr="00FA6907">
              <w:rPr>
                <w:rFonts w:ascii="Book Antiqua" w:hAnsi="Book Antiqua"/>
              </w:rPr>
              <w:t>NT</w:t>
            </w:r>
            <w:r w:rsidR="00723AD9">
              <w:rPr>
                <w:rFonts w:ascii="Book Antiqua" w:hAnsi="Book Antiqua" w:hint="eastAsia"/>
                <w:lang w:eastAsia="zh-CN"/>
              </w:rPr>
              <w:t xml:space="preserve"> </w:t>
            </w:r>
            <w:r w:rsidRPr="00FA6907">
              <w:rPr>
                <w:rFonts w:ascii="Book Antiqua" w:hAnsi="Book Antiqua" w:cs="Times"/>
              </w:rPr>
              <w:t>(3-nitrotyrosine)</w:t>
            </w:r>
          </w:p>
        </w:tc>
        <w:tc>
          <w:tcPr>
            <w:tcW w:w="1172" w:type="pct"/>
          </w:tcPr>
          <w:p w14:paraId="66F51054"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Immunofluorescence</w:t>
            </w:r>
          </w:p>
        </w:tc>
      </w:tr>
      <w:tr w:rsidR="004F0794" w:rsidRPr="00FA6907" w14:paraId="01392117" w14:textId="77777777" w:rsidTr="00260240">
        <w:trPr>
          <w:cantSplit/>
        </w:trPr>
        <w:tc>
          <w:tcPr>
            <w:tcW w:w="1034" w:type="pct"/>
          </w:tcPr>
          <w:p w14:paraId="7302B1BD" w14:textId="77777777" w:rsidR="004F0794" w:rsidRPr="00723AD9" w:rsidRDefault="004F0794" w:rsidP="00E12C07">
            <w:pPr>
              <w:adjustRightInd w:val="0"/>
              <w:snapToGrid w:val="0"/>
              <w:spacing w:line="360" w:lineRule="auto"/>
              <w:jc w:val="both"/>
              <w:rPr>
                <w:rFonts w:ascii="Book Antiqua" w:hAnsi="Book Antiqua"/>
              </w:rPr>
            </w:pPr>
            <w:proofErr w:type="spellStart"/>
            <w:r w:rsidRPr="00723AD9">
              <w:rPr>
                <w:rFonts w:ascii="Book Antiqua" w:hAnsi="Book Antiqua"/>
                <w:bCs/>
              </w:rPr>
              <w:t>Bashkatova</w:t>
            </w:r>
            <w:proofErr w:type="spellEnd"/>
            <w:r w:rsidRPr="00723AD9">
              <w:rPr>
                <w:rFonts w:ascii="Book Antiqua" w:hAnsi="Book Antiqua"/>
                <w:i/>
                <w:iCs/>
              </w:rPr>
              <w:t xml:space="preserve"> et al</w:t>
            </w:r>
            <w:r w:rsidRPr="00723AD9">
              <w:rPr>
                <w:rFonts w:ascii="Book Antiqua" w:hAnsi="Book Antiqua"/>
                <w:vertAlign w:val="superscript"/>
              </w:rPr>
              <w:t>[</w:t>
            </w:r>
            <w:hyperlink r:id="rId19" w:anchor="B42" w:history="1">
              <w:r w:rsidRPr="00723AD9">
                <w:rPr>
                  <w:rStyle w:val="a6"/>
                  <w:rFonts w:ascii="Book Antiqua" w:hAnsi="Book Antiqua"/>
                  <w:color w:val="auto"/>
                  <w:vertAlign w:val="superscript"/>
                </w:rPr>
                <w:t>69</w:t>
              </w:r>
            </w:hyperlink>
            <w:r w:rsidRPr="00723AD9">
              <w:rPr>
                <w:rFonts w:ascii="Book Antiqua" w:hAnsi="Book Antiqua"/>
                <w:vertAlign w:val="superscript"/>
              </w:rPr>
              <w:t>]</w:t>
            </w:r>
            <w:r w:rsidRPr="00723AD9">
              <w:rPr>
                <w:rFonts w:ascii="Book Antiqua" w:hAnsi="Book Antiqua"/>
              </w:rPr>
              <w:t>, 2012</w:t>
            </w:r>
          </w:p>
        </w:tc>
        <w:tc>
          <w:tcPr>
            <w:tcW w:w="805" w:type="pct"/>
          </w:tcPr>
          <w:p w14:paraId="496986B0"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1.5 mg/kg</w:t>
            </w:r>
          </w:p>
        </w:tc>
        <w:tc>
          <w:tcPr>
            <w:tcW w:w="666" w:type="pct"/>
          </w:tcPr>
          <w:p w14:paraId="7060DE7C"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60</w:t>
            </w:r>
          </w:p>
        </w:tc>
        <w:tc>
          <w:tcPr>
            <w:tcW w:w="1323" w:type="pct"/>
          </w:tcPr>
          <w:p w14:paraId="4F441F00"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NO (</w:t>
            </w:r>
            <w:proofErr w:type="spellStart"/>
            <w:r w:rsidRPr="00FA6907">
              <w:rPr>
                <w:rFonts w:ascii="Book Antiqua" w:hAnsi="Book Antiqua"/>
              </w:rPr>
              <w:t>Nitroxyl</w:t>
            </w:r>
            <w:proofErr w:type="spellEnd"/>
            <w:r w:rsidRPr="00FA6907">
              <w:rPr>
                <w:rFonts w:ascii="Book Antiqua" w:hAnsi="Book Antiqua"/>
              </w:rPr>
              <w:t xml:space="preserve"> radical)</w:t>
            </w:r>
          </w:p>
        </w:tc>
        <w:tc>
          <w:tcPr>
            <w:tcW w:w="1172" w:type="pct"/>
          </w:tcPr>
          <w:p w14:paraId="036628D5"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EPR</w:t>
            </w:r>
          </w:p>
        </w:tc>
      </w:tr>
      <w:tr w:rsidR="004F0794" w:rsidRPr="00FA6907" w14:paraId="22C39F15" w14:textId="77777777" w:rsidTr="00260240">
        <w:trPr>
          <w:cantSplit/>
        </w:trPr>
        <w:tc>
          <w:tcPr>
            <w:tcW w:w="1034" w:type="pct"/>
          </w:tcPr>
          <w:p w14:paraId="07B71B31" w14:textId="77777777" w:rsidR="004F0794" w:rsidRPr="00723AD9" w:rsidRDefault="004F0794" w:rsidP="00E12C07">
            <w:pPr>
              <w:adjustRightInd w:val="0"/>
              <w:snapToGrid w:val="0"/>
              <w:spacing w:line="360" w:lineRule="auto"/>
              <w:jc w:val="both"/>
              <w:rPr>
                <w:rFonts w:ascii="Book Antiqua" w:hAnsi="Book Antiqua"/>
                <w:i/>
                <w:iCs/>
              </w:rPr>
            </w:pPr>
            <w:proofErr w:type="spellStart"/>
            <w:r w:rsidRPr="00723AD9">
              <w:rPr>
                <w:rFonts w:ascii="Book Antiqua" w:hAnsi="Book Antiqua"/>
                <w:bCs/>
              </w:rPr>
              <w:t>Bashkatova</w:t>
            </w:r>
            <w:proofErr w:type="spellEnd"/>
            <w:r w:rsidRPr="00723AD9">
              <w:rPr>
                <w:rFonts w:ascii="Book Antiqua" w:hAnsi="Book Antiqua"/>
                <w:i/>
                <w:iCs/>
              </w:rPr>
              <w:t xml:space="preserve"> et al</w:t>
            </w:r>
            <w:r w:rsidRPr="00723AD9">
              <w:rPr>
                <w:rFonts w:ascii="Book Antiqua" w:hAnsi="Book Antiqua"/>
                <w:vertAlign w:val="superscript"/>
              </w:rPr>
              <w:t>[78]</w:t>
            </w:r>
            <w:r w:rsidRPr="00723AD9">
              <w:rPr>
                <w:rFonts w:ascii="Book Antiqua" w:hAnsi="Book Antiqua"/>
              </w:rPr>
              <w:t>, 2004</w:t>
            </w:r>
          </w:p>
        </w:tc>
        <w:tc>
          <w:tcPr>
            <w:tcW w:w="805" w:type="pct"/>
          </w:tcPr>
          <w:p w14:paraId="169AE43F"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1.5 mg/kg</w:t>
            </w:r>
          </w:p>
        </w:tc>
        <w:tc>
          <w:tcPr>
            <w:tcW w:w="666" w:type="pct"/>
          </w:tcPr>
          <w:p w14:paraId="4F3301C4"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60</w:t>
            </w:r>
          </w:p>
        </w:tc>
        <w:tc>
          <w:tcPr>
            <w:tcW w:w="1323" w:type="pct"/>
          </w:tcPr>
          <w:p w14:paraId="72D79939"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NO (</w:t>
            </w:r>
            <w:proofErr w:type="spellStart"/>
            <w:r w:rsidRPr="00FA6907">
              <w:rPr>
                <w:rFonts w:ascii="Book Antiqua" w:hAnsi="Book Antiqua"/>
              </w:rPr>
              <w:t>Nitroxyl</w:t>
            </w:r>
            <w:proofErr w:type="spellEnd"/>
            <w:r w:rsidRPr="00FA6907">
              <w:rPr>
                <w:rFonts w:ascii="Book Antiqua" w:hAnsi="Book Antiqua"/>
              </w:rPr>
              <w:t xml:space="preserve"> radical)</w:t>
            </w:r>
          </w:p>
        </w:tc>
        <w:tc>
          <w:tcPr>
            <w:tcW w:w="1172" w:type="pct"/>
          </w:tcPr>
          <w:p w14:paraId="541E2022"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EPR</w:t>
            </w:r>
          </w:p>
        </w:tc>
      </w:tr>
      <w:tr w:rsidR="004F0794" w:rsidRPr="00FA6907" w14:paraId="291A3999" w14:textId="77777777" w:rsidTr="00260240">
        <w:trPr>
          <w:cantSplit/>
        </w:trPr>
        <w:tc>
          <w:tcPr>
            <w:tcW w:w="1034" w:type="pct"/>
          </w:tcPr>
          <w:p w14:paraId="45BA9D3B" w14:textId="77777777" w:rsidR="004F0794" w:rsidRPr="00723AD9" w:rsidRDefault="004F0794" w:rsidP="00E12C07">
            <w:pPr>
              <w:adjustRightInd w:val="0"/>
              <w:snapToGrid w:val="0"/>
              <w:spacing w:line="360" w:lineRule="auto"/>
              <w:jc w:val="both"/>
              <w:rPr>
                <w:rFonts w:ascii="Book Antiqua" w:hAnsi="Book Antiqua"/>
                <w:i/>
                <w:iCs/>
              </w:rPr>
            </w:pPr>
            <w:r w:rsidRPr="00723AD9">
              <w:rPr>
                <w:rFonts w:ascii="Book Antiqua" w:hAnsi="Book Antiqua"/>
                <w:bCs/>
              </w:rPr>
              <w:lastRenderedPageBreak/>
              <w:t>He</w:t>
            </w:r>
            <w:r w:rsidRPr="00723AD9">
              <w:rPr>
                <w:rFonts w:ascii="Book Antiqua" w:hAnsi="Book Antiqua"/>
                <w:i/>
                <w:iCs/>
              </w:rPr>
              <w:t xml:space="preserve"> et al</w:t>
            </w:r>
            <w:r w:rsidRPr="00723AD9">
              <w:rPr>
                <w:rFonts w:ascii="Book Antiqua" w:hAnsi="Book Antiqua"/>
                <w:vertAlign w:val="superscript"/>
              </w:rPr>
              <w:t>[</w:t>
            </w:r>
            <w:hyperlink r:id="rId20" w:anchor="B42" w:history="1">
              <w:r w:rsidRPr="00723AD9">
                <w:rPr>
                  <w:rStyle w:val="a6"/>
                  <w:rFonts w:ascii="Book Antiqua" w:hAnsi="Book Antiqua"/>
                  <w:color w:val="auto"/>
                  <w:vertAlign w:val="superscript"/>
                </w:rPr>
                <w:t>76</w:t>
              </w:r>
            </w:hyperlink>
            <w:r w:rsidRPr="00723AD9">
              <w:rPr>
                <w:rFonts w:ascii="Book Antiqua" w:hAnsi="Book Antiqua"/>
                <w:vertAlign w:val="superscript"/>
              </w:rPr>
              <w:t>]</w:t>
            </w:r>
            <w:r w:rsidRPr="00723AD9">
              <w:rPr>
                <w:rFonts w:ascii="Book Antiqua" w:hAnsi="Book Antiqua"/>
              </w:rPr>
              <w:t>, 2003</w:t>
            </w:r>
          </w:p>
        </w:tc>
        <w:tc>
          <w:tcPr>
            <w:tcW w:w="805" w:type="pct"/>
          </w:tcPr>
          <w:p w14:paraId="232EA78B" w14:textId="77777777" w:rsidR="004F0794" w:rsidRPr="00FA6907" w:rsidRDefault="009A2FD7" w:rsidP="00E12C07">
            <w:pPr>
              <w:adjustRightInd w:val="0"/>
              <w:snapToGrid w:val="0"/>
              <w:spacing w:line="360" w:lineRule="auto"/>
              <w:jc w:val="both"/>
              <w:rPr>
                <w:rFonts w:ascii="Book Antiqua" w:hAnsi="Book Antiqua"/>
              </w:rPr>
            </w:pPr>
            <w:r>
              <w:rPr>
                <w:rFonts w:ascii="Book Antiqua" w:hAnsi="Book Antiqua"/>
              </w:rPr>
              <w:t>2</w:t>
            </w:r>
            <w:r w:rsidR="00ED0179">
              <w:rPr>
                <w:rFonts w:ascii="Book Antiqua" w:hAnsi="Book Antiqua" w:hint="eastAsia"/>
                <w:lang w:eastAsia="zh-CN"/>
              </w:rPr>
              <w:t xml:space="preserve"> </w:t>
            </w:r>
            <w:r>
              <w:rPr>
                <w:rFonts w:ascii="Book Antiqua" w:hAnsi="Book Antiqua"/>
              </w:rPr>
              <w:t>mg/kg</w:t>
            </w:r>
            <w:r>
              <w:rPr>
                <w:rFonts w:ascii="Book Antiqua" w:hAnsi="Book Antiqua" w:hint="eastAsia"/>
                <w:lang w:eastAsia="zh-CN"/>
              </w:rPr>
              <w:t xml:space="preserve"> </w:t>
            </w:r>
            <w:r>
              <w:t>×</w:t>
            </w:r>
            <w:r>
              <w:rPr>
                <w:rFonts w:ascii="Book Antiqua" w:hAnsi="Book Antiqua" w:hint="eastAsia"/>
                <w:lang w:eastAsia="zh-CN"/>
              </w:rPr>
              <w:t xml:space="preserve"> </w:t>
            </w:r>
            <w:r w:rsidR="004F0794" w:rsidRPr="00FA6907">
              <w:rPr>
                <w:rFonts w:ascii="Book Antiqua" w:hAnsi="Book Antiqua"/>
              </w:rPr>
              <w:t>3</w:t>
            </w:r>
          </w:p>
        </w:tc>
        <w:tc>
          <w:tcPr>
            <w:tcW w:w="666" w:type="pct"/>
          </w:tcPr>
          <w:p w14:paraId="4FDE416F"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40</w:t>
            </w:r>
          </w:p>
        </w:tc>
        <w:tc>
          <w:tcPr>
            <w:tcW w:w="1323" w:type="pct"/>
          </w:tcPr>
          <w:p w14:paraId="1C81132C"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rPr>
              <w:t>3</w:t>
            </w:r>
            <w:r w:rsidR="00723AD9">
              <w:rPr>
                <w:rFonts w:ascii="宋体" w:eastAsia="宋体" w:hAnsi="宋体" w:cs="宋体" w:hint="eastAsia"/>
                <w:lang w:eastAsia="zh-CN"/>
              </w:rPr>
              <w:t>-</w:t>
            </w:r>
            <w:r w:rsidRPr="00FA6907">
              <w:rPr>
                <w:rFonts w:ascii="Book Antiqua" w:hAnsi="Book Antiqua"/>
              </w:rPr>
              <w:t>NT</w:t>
            </w:r>
            <w:r w:rsidR="00723AD9">
              <w:rPr>
                <w:rFonts w:ascii="Book Antiqua" w:hAnsi="Book Antiqua" w:hint="eastAsia"/>
                <w:lang w:eastAsia="zh-CN"/>
              </w:rPr>
              <w:t xml:space="preserve"> </w:t>
            </w:r>
            <w:r w:rsidRPr="00FA6907">
              <w:rPr>
                <w:rFonts w:ascii="Book Antiqua" w:hAnsi="Book Antiqua"/>
              </w:rPr>
              <w:t>(3</w:t>
            </w:r>
            <w:r w:rsidR="00723AD9">
              <w:rPr>
                <w:rFonts w:ascii="宋体" w:eastAsia="宋体" w:hAnsi="宋体" w:cs="宋体" w:hint="eastAsia"/>
                <w:lang w:eastAsia="zh-CN"/>
              </w:rPr>
              <w:t>-</w:t>
            </w:r>
            <w:r w:rsidRPr="00FA6907">
              <w:rPr>
                <w:rFonts w:ascii="Book Antiqua" w:hAnsi="Book Antiqua"/>
              </w:rPr>
              <w:t>nitrotyrosine)</w:t>
            </w:r>
          </w:p>
        </w:tc>
        <w:tc>
          <w:tcPr>
            <w:tcW w:w="1172" w:type="pct"/>
          </w:tcPr>
          <w:p w14:paraId="1EC93C47" w14:textId="77777777" w:rsidR="004F0794" w:rsidRPr="00FA6907" w:rsidRDefault="004F0794" w:rsidP="00E12C07">
            <w:pPr>
              <w:adjustRightInd w:val="0"/>
              <w:snapToGrid w:val="0"/>
              <w:spacing w:line="360" w:lineRule="auto"/>
              <w:jc w:val="both"/>
              <w:rPr>
                <w:rFonts w:ascii="Book Antiqua" w:hAnsi="Book Antiqua"/>
              </w:rPr>
            </w:pPr>
            <w:r w:rsidRPr="00FA6907">
              <w:rPr>
                <w:rFonts w:ascii="Book Antiqua" w:hAnsi="Book Antiqua"/>
                <w:shd w:val="clear" w:color="auto" w:fill="FFFFFF"/>
              </w:rPr>
              <w:t>HPLC</w:t>
            </w:r>
          </w:p>
        </w:tc>
      </w:tr>
    </w:tbl>
    <w:p w14:paraId="6E207932" w14:textId="77777777" w:rsidR="00A77B3E" w:rsidRPr="00260240" w:rsidRDefault="00260240" w:rsidP="00260240">
      <w:pPr>
        <w:shd w:val="clear" w:color="auto" w:fill="FFFFFF"/>
        <w:adjustRightInd w:val="0"/>
        <w:snapToGrid w:val="0"/>
        <w:spacing w:line="360" w:lineRule="auto"/>
        <w:jc w:val="both"/>
        <w:rPr>
          <w:rFonts w:ascii="Book Antiqua" w:hAnsi="Book Antiqua"/>
          <w:bCs/>
          <w:lang w:eastAsia="zh-CN"/>
        </w:rPr>
      </w:pPr>
      <w:r>
        <w:rPr>
          <w:rFonts w:ascii="Book Antiqua" w:hAnsi="Book Antiqua" w:hint="eastAsia"/>
          <w:vertAlign w:val="superscript"/>
          <w:lang w:eastAsia="zh-CN"/>
        </w:rPr>
        <w:t>1</w:t>
      </w:r>
      <w:r w:rsidR="004F0794" w:rsidRPr="00FA6907">
        <w:rPr>
          <w:rFonts w:ascii="Book Antiqua" w:hAnsi="Book Antiqua"/>
        </w:rPr>
        <w:t xml:space="preserve">Tissue collection was carried out when each individual animal had reached endpoint (when the behavioral phenotype became debilitating, </w:t>
      </w:r>
      <w:r w:rsidR="004F0794" w:rsidRPr="009A2FD7">
        <w:rPr>
          <w:rFonts w:ascii="Book Antiqua" w:hAnsi="Book Antiqua"/>
          <w:i/>
        </w:rPr>
        <w:t>i.e.</w:t>
      </w:r>
      <w:r w:rsidR="004F0794" w:rsidRPr="00FA6907">
        <w:rPr>
          <w:rFonts w:ascii="Book Antiqua" w:hAnsi="Book Antiqua"/>
        </w:rPr>
        <w:t xml:space="preserve">, when </w:t>
      </w:r>
      <w:proofErr w:type="spellStart"/>
      <w:r w:rsidR="004F0794" w:rsidRPr="00FA6907">
        <w:rPr>
          <w:rFonts w:ascii="Book Antiqua" w:hAnsi="Book Antiqua"/>
        </w:rPr>
        <w:t>akynesia</w:t>
      </w:r>
      <w:proofErr w:type="spellEnd"/>
      <w:r w:rsidR="004F0794" w:rsidRPr="00FA6907">
        <w:rPr>
          <w:rFonts w:ascii="Book Antiqua" w:hAnsi="Book Antiqua"/>
        </w:rPr>
        <w:t xml:space="preserve">, rigidity, and postural instability were </w:t>
      </w:r>
      <w:proofErr w:type="gramStart"/>
      <w:r w:rsidR="004F0794" w:rsidRPr="00FA6907">
        <w:rPr>
          <w:rFonts w:ascii="Book Antiqua" w:hAnsi="Book Antiqua"/>
        </w:rPr>
        <w:t>manifeste</w:t>
      </w:r>
      <w:r w:rsidR="004F0794" w:rsidRPr="008C6CAD">
        <w:rPr>
          <w:rFonts w:ascii="Book Antiqua" w:hAnsi="Book Antiqua"/>
          <w:color w:val="000000" w:themeColor="text1"/>
        </w:rPr>
        <w:t>d)</w:t>
      </w:r>
      <w:r w:rsidR="004F0794" w:rsidRPr="008C6CAD">
        <w:rPr>
          <w:rFonts w:ascii="Book Antiqua" w:hAnsi="Book Antiqua"/>
          <w:color w:val="000000" w:themeColor="text1"/>
          <w:vertAlign w:val="superscript"/>
        </w:rPr>
        <w:t>[</w:t>
      </w:r>
      <w:proofErr w:type="gramEnd"/>
      <w:hyperlink r:id="rId21" w:anchor="B42" w:history="1">
        <w:r w:rsidR="004F0794" w:rsidRPr="008C6CAD">
          <w:rPr>
            <w:rStyle w:val="a6"/>
            <w:rFonts w:ascii="Book Antiqua" w:hAnsi="Book Antiqua"/>
            <w:color w:val="000000" w:themeColor="text1"/>
            <w:u w:val="none"/>
            <w:vertAlign w:val="superscript"/>
          </w:rPr>
          <w:t>2</w:t>
        </w:r>
      </w:hyperlink>
      <w:r w:rsidR="004F0794" w:rsidRPr="008C6CAD">
        <w:rPr>
          <w:rStyle w:val="a6"/>
          <w:rFonts w:ascii="Book Antiqua" w:hAnsi="Book Antiqua"/>
          <w:color w:val="000000" w:themeColor="text1"/>
          <w:u w:val="none"/>
          <w:vertAlign w:val="superscript"/>
        </w:rPr>
        <w:t>3</w:t>
      </w:r>
      <w:r w:rsidR="004F0794" w:rsidRPr="008C6CAD">
        <w:rPr>
          <w:rFonts w:ascii="Book Antiqua" w:hAnsi="Book Antiqua"/>
          <w:color w:val="000000" w:themeColor="text1"/>
          <w:vertAlign w:val="superscript"/>
        </w:rPr>
        <w:t>]</w:t>
      </w:r>
      <w:r w:rsidR="004F0794" w:rsidRPr="008C6CAD">
        <w:rPr>
          <w:rFonts w:ascii="Book Antiqua" w:hAnsi="Book Antiqua"/>
          <w:color w:val="000000" w:themeColor="text1"/>
        </w:rPr>
        <w:t>.</w:t>
      </w:r>
      <w:r w:rsidR="00ED0179" w:rsidRPr="008C6CAD">
        <w:rPr>
          <w:rFonts w:ascii="Book Antiqua" w:hAnsi="Book Antiqua"/>
          <w:color w:val="000000" w:themeColor="text1"/>
          <w:lang w:eastAsia="zh-CN"/>
        </w:rPr>
        <w:t xml:space="preserve"> </w:t>
      </w:r>
      <w:r w:rsidR="00ED0179">
        <w:rPr>
          <w:rFonts w:ascii="Book Antiqua" w:hAnsi="Book Antiqua" w:hint="eastAsia"/>
          <w:lang w:eastAsia="zh-CN"/>
        </w:rPr>
        <w:t xml:space="preserve">NO: </w:t>
      </w:r>
      <w:r w:rsidR="00ED0179">
        <w:rPr>
          <w:rFonts w:ascii="Book Antiqua" w:hAnsi="Book Antiqua" w:cs="Book Antiqua" w:hint="eastAsia"/>
          <w:bCs/>
          <w:color w:val="000000"/>
          <w:lang w:eastAsia="zh-CN"/>
        </w:rPr>
        <w:t>N</w:t>
      </w:r>
      <w:r w:rsidR="00ED0179" w:rsidRPr="001327AD">
        <w:rPr>
          <w:rFonts w:ascii="Book Antiqua" w:eastAsia="Book Antiqua" w:hAnsi="Book Antiqua" w:cs="Book Antiqua"/>
          <w:bCs/>
          <w:color w:val="000000"/>
        </w:rPr>
        <w:t>itric oxide</w:t>
      </w:r>
      <w:r w:rsidR="00ED0179">
        <w:rPr>
          <w:rFonts w:ascii="Book Antiqua" w:hAnsi="Book Antiqua" w:hint="eastAsia"/>
          <w:lang w:eastAsia="zh-CN"/>
        </w:rPr>
        <w:t xml:space="preserve">; EPR: </w:t>
      </w:r>
      <w:r w:rsidR="00ED0179">
        <w:rPr>
          <w:rFonts w:ascii="Book Antiqua" w:hAnsi="Book Antiqua" w:cs="Book Antiqua" w:hint="eastAsia"/>
          <w:color w:val="000000"/>
          <w:lang w:eastAsia="zh-CN"/>
        </w:rPr>
        <w:t>E</w:t>
      </w:r>
      <w:r w:rsidR="00ED0179">
        <w:rPr>
          <w:rFonts w:ascii="Book Antiqua" w:eastAsia="Book Antiqua" w:hAnsi="Book Antiqua" w:cs="Book Antiqua"/>
          <w:color w:val="000000"/>
        </w:rPr>
        <w:t>lectron paramagnetic resonance</w:t>
      </w:r>
      <w:r w:rsidR="00ED0179">
        <w:rPr>
          <w:rFonts w:ascii="Book Antiqua" w:hAnsi="Book Antiqua" w:hint="eastAsia"/>
          <w:lang w:eastAsia="zh-CN"/>
        </w:rPr>
        <w:t xml:space="preserve">; </w:t>
      </w:r>
      <w:bookmarkStart w:id="74" w:name="OLE_LINK32"/>
      <w:bookmarkStart w:id="75" w:name="OLE_LINK33"/>
      <w:r w:rsidR="00ED0179">
        <w:rPr>
          <w:rFonts w:ascii="Book Antiqua" w:hAnsi="Book Antiqua" w:hint="eastAsia"/>
          <w:lang w:eastAsia="zh-CN"/>
        </w:rPr>
        <w:t>HPLC</w:t>
      </w:r>
      <w:bookmarkEnd w:id="74"/>
      <w:bookmarkEnd w:id="75"/>
      <w:r w:rsidR="00ED0179">
        <w:rPr>
          <w:rFonts w:ascii="Book Antiqua" w:hAnsi="Book Antiqua" w:hint="eastAsia"/>
          <w:lang w:eastAsia="zh-CN"/>
        </w:rPr>
        <w:t xml:space="preserve">: </w:t>
      </w:r>
      <w:r w:rsidR="00ED0179" w:rsidRPr="00ED0179">
        <w:rPr>
          <w:rFonts w:ascii="Book Antiqua" w:hAnsi="Book Antiqua"/>
          <w:lang w:eastAsia="zh-CN"/>
        </w:rPr>
        <w:t>High performance liquid chromatography</w:t>
      </w:r>
      <w:r w:rsidR="00ED0179">
        <w:rPr>
          <w:rFonts w:ascii="Book Antiqua" w:hAnsi="Book Antiqua" w:hint="eastAsia"/>
          <w:lang w:eastAsia="zh-CN"/>
        </w:rPr>
        <w:t>.</w:t>
      </w:r>
    </w:p>
    <w:sectPr w:rsidR="00A77B3E" w:rsidRPr="00260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D060" w14:textId="77777777" w:rsidR="00204CBB" w:rsidRDefault="00204CBB" w:rsidP="00F0326B">
      <w:r>
        <w:separator/>
      </w:r>
    </w:p>
  </w:endnote>
  <w:endnote w:type="continuationSeparator" w:id="0">
    <w:p w14:paraId="3624D87D" w14:textId="77777777" w:rsidR="00204CBB" w:rsidRDefault="00204CBB" w:rsidP="00F0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w:altName w:val="Arial Unicode MS"/>
    <w:panose1 w:val="02020603050405020304"/>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43481"/>
      <w:docPartObj>
        <w:docPartGallery w:val="Page Numbers (Bottom of Page)"/>
        <w:docPartUnique/>
      </w:docPartObj>
    </w:sdtPr>
    <w:sdtEndPr/>
    <w:sdtContent>
      <w:sdt>
        <w:sdtPr>
          <w:id w:val="860082579"/>
          <w:docPartObj>
            <w:docPartGallery w:val="Page Numbers (Top of Page)"/>
            <w:docPartUnique/>
          </w:docPartObj>
        </w:sdtPr>
        <w:sdtEndPr/>
        <w:sdtContent>
          <w:p w14:paraId="59B35F6B" w14:textId="77777777" w:rsidR="00F0326B" w:rsidRDefault="00F0326B">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6729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6729B">
              <w:rPr>
                <w:b/>
                <w:bCs/>
                <w:noProof/>
              </w:rPr>
              <w:t>28</w:t>
            </w:r>
            <w:r>
              <w:rPr>
                <w:b/>
                <w:bCs/>
                <w:sz w:val="24"/>
                <w:szCs w:val="24"/>
              </w:rPr>
              <w:fldChar w:fldCharType="end"/>
            </w:r>
          </w:p>
        </w:sdtContent>
      </w:sdt>
    </w:sdtContent>
  </w:sdt>
  <w:p w14:paraId="51606FAD" w14:textId="77777777" w:rsidR="00F0326B" w:rsidRDefault="00F032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B32F" w14:textId="77777777" w:rsidR="00204CBB" w:rsidRDefault="00204CBB" w:rsidP="00F0326B">
      <w:r>
        <w:separator/>
      </w:r>
    </w:p>
  </w:footnote>
  <w:footnote w:type="continuationSeparator" w:id="0">
    <w:p w14:paraId="1C823579" w14:textId="77777777" w:rsidR="00204CBB" w:rsidRDefault="00204CBB" w:rsidP="00F0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DA8"/>
    <w:rsid w:val="0003294F"/>
    <w:rsid w:val="000B31EA"/>
    <w:rsid w:val="000E0E6E"/>
    <w:rsid w:val="001327AD"/>
    <w:rsid w:val="00204CBB"/>
    <w:rsid w:val="00215D2C"/>
    <w:rsid w:val="00260240"/>
    <w:rsid w:val="002B7717"/>
    <w:rsid w:val="0034490E"/>
    <w:rsid w:val="00464D14"/>
    <w:rsid w:val="004C01D3"/>
    <w:rsid w:val="004F0794"/>
    <w:rsid w:val="00553E10"/>
    <w:rsid w:val="00611F50"/>
    <w:rsid w:val="00665EB6"/>
    <w:rsid w:val="0070707F"/>
    <w:rsid w:val="007126D6"/>
    <w:rsid w:val="00723AD9"/>
    <w:rsid w:val="0080340E"/>
    <w:rsid w:val="00845AC2"/>
    <w:rsid w:val="008B2769"/>
    <w:rsid w:val="008C6CAD"/>
    <w:rsid w:val="008F2297"/>
    <w:rsid w:val="00905082"/>
    <w:rsid w:val="0090531F"/>
    <w:rsid w:val="00957851"/>
    <w:rsid w:val="00976A8C"/>
    <w:rsid w:val="009A2FD7"/>
    <w:rsid w:val="009B0EC1"/>
    <w:rsid w:val="00A05270"/>
    <w:rsid w:val="00A77B3E"/>
    <w:rsid w:val="00B23D3B"/>
    <w:rsid w:val="00B252DE"/>
    <w:rsid w:val="00C6107D"/>
    <w:rsid w:val="00C6729B"/>
    <w:rsid w:val="00CA2A55"/>
    <w:rsid w:val="00D67C97"/>
    <w:rsid w:val="00DE5FC6"/>
    <w:rsid w:val="00DF5952"/>
    <w:rsid w:val="00EB1B6F"/>
    <w:rsid w:val="00ED0179"/>
    <w:rsid w:val="00F0326B"/>
    <w:rsid w:val="00F22CBE"/>
    <w:rsid w:val="00F34C7F"/>
    <w:rsid w:val="00F95F2F"/>
    <w:rsid w:val="00FD48CA"/>
    <w:rsid w:val="00FE16D6"/>
    <w:rsid w:val="00FF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93619"/>
  <w15:docId w15:val="{32266470-E7E9-482E-9E07-5982F60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Hyperlink0">
    <w:name w:val="MsoHyperlink"/>
    <w:basedOn w:val="a0"/>
  </w:style>
  <w:style w:type="character" w:customStyle="1" w:styleId="hps">
    <w:name w:val="hps"/>
    <w:basedOn w:val="a0"/>
  </w:style>
  <w:style w:type="paragraph" w:styleId="a3">
    <w:name w:val="Normal (Web)"/>
    <w:basedOn w:val="a"/>
    <w:uiPriority w:val="99"/>
    <w:unhideWhenUsed/>
    <w:rsid w:val="002B7717"/>
    <w:pPr>
      <w:spacing w:before="100" w:beforeAutospacing="1" w:after="100" w:afterAutospacing="1"/>
    </w:pPr>
    <w:rPr>
      <w:rFonts w:ascii="宋体" w:eastAsia="宋体" w:hAnsi="宋体" w:cs="宋体"/>
      <w:lang w:eastAsia="zh-CN"/>
    </w:rPr>
  </w:style>
  <w:style w:type="paragraph" w:styleId="a4">
    <w:name w:val="Balloon Text"/>
    <w:basedOn w:val="a"/>
    <w:link w:val="a5"/>
    <w:rsid w:val="001327AD"/>
    <w:rPr>
      <w:sz w:val="18"/>
      <w:szCs w:val="18"/>
    </w:rPr>
  </w:style>
  <w:style w:type="character" w:customStyle="1" w:styleId="a5">
    <w:name w:val="批注框文本 字符"/>
    <w:basedOn w:val="a0"/>
    <w:link w:val="a4"/>
    <w:rsid w:val="001327AD"/>
    <w:rPr>
      <w:sz w:val="18"/>
      <w:szCs w:val="18"/>
    </w:rPr>
  </w:style>
  <w:style w:type="paragraph" w:customStyle="1" w:styleId="BodyText21">
    <w:name w:val="Body Text 21"/>
    <w:basedOn w:val="a"/>
    <w:rsid w:val="004F0794"/>
    <w:pPr>
      <w:autoSpaceDE w:val="0"/>
      <w:autoSpaceDN w:val="0"/>
      <w:adjustRightInd w:val="0"/>
      <w:spacing w:line="480" w:lineRule="auto"/>
      <w:jc w:val="both"/>
    </w:pPr>
    <w:rPr>
      <w:rFonts w:ascii="Arial" w:eastAsia="Times New Roman" w:hAnsi="Arial" w:cs="Arial"/>
      <w:i/>
      <w:iCs/>
      <w:noProof/>
      <w:lang w:eastAsia="de-DE"/>
    </w:rPr>
  </w:style>
  <w:style w:type="character" w:styleId="a6">
    <w:name w:val="Hyperlink"/>
    <w:basedOn w:val="a0"/>
    <w:uiPriority w:val="99"/>
    <w:unhideWhenUsed/>
    <w:rsid w:val="004F0794"/>
    <w:rPr>
      <w:color w:val="0000FF"/>
      <w:u w:val="single"/>
    </w:rPr>
  </w:style>
  <w:style w:type="character" w:styleId="a7">
    <w:name w:val="Emphasis"/>
    <w:basedOn w:val="a0"/>
    <w:uiPriority w:val="20"/>
    <w:qFormat/>
    <w:rsid w:val="004F0794"/>
    <w:rPr>
      <w:i/>
      <w:iCs/>
    </w:rPr>
  </w:style>
  <w:style w:type="character" w:styleId="a8">
    <w:name w:val="Strong"/>
    <w:basedOn w:val="a0"/>
    <w:uiPriority w:val="22"/>
    <w:qFormat/>
    <w:rsid w:val="004F0794"/>
    <w:rPr>
      <w:b/>
      <w:bCs/>
    </w:rPr>
  </w:style>
  <w:style w:type="paragraph" w:styleId="a9">
    <w:name w:val="header"/>
    <w:basedOn w:val="a"/>
    <w:link w:val="aa"/>
    <w:rsid w:val="00F0326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0326B"/>
    <w:rPr>
      <w:sz w:val="18"/>
      <w:szCs w:val="18"/>
    </w:rPr>
  </w:style>
  <w:style w:type="paragraph" w:styleId="ab">
    <w:name w:val="footer"/>
    <w:basedOn w:val="a"/>
    <w:link w:val="ac"/>
    <w:uiPriority w:val="99"/>
    <w:rsid w:val="00F0326B"/>
    <w:pPr>
      <w:tabs>
        <w:tab w:val="center" w:pos="4153"/>
        <w:tab w:val="right" w:pos="8306"/>
      </w:tabs>
      <w:snapToGrid w:val="0"/>
    </w:pPr>
    <w:rPr>
      <w:sz w:val="18"/>
      <w:szCs w:val="18"/>
    </w:rPr>
  </w:style>
  <w:style w:type="character" w:customStyle="1" w:styleId="ac">
    <w:name w:val="页脚 字符"/>
    <w:basedOn w:val="a0"/>
    <w:link w:val="ab"/>
    <w:uiPriority w:val="99"/>
    <w:rsid w:val="00F032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2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jgnet.com/2220-3206/full/v10/i10/223.htm" TargetMode="External"/><Relationship Id="rId18" Type="http://schemas.openxmlformats.org/officeDocument/2006/relationships/hyperlink" Target="https://www.wjgnet.com/2220-3206/full/v10/i10/223.htm" TargetMode="External"/><Relationship Id="rId3" Type="http://schemas.openxmlformats.org/officeDocument/2006/relationships/webSettings" Target="webSettings.xml"/><Relationship Id="rId21" Type="http://schemas.openxmlformats.org/officeDocument/2006/relationships/hyperlink" Target="https://www.wjgnet.com/2220-3206/full/v10/i10/223.htm" TargetMode="External"/><Relationship Id="rId7" Type="http://schemas.openxmlformats.org/officeDocument/2006/relationships/hyperlink" Target="https://www.wjgnet.com/2220-3206/full/v10/i4/34.htm" TargetMode="External"/><Relationship Id="rId12" Type="http://schemas.openxmlformats.org/officeDocument/2006/relationships/hyperlink" Target="https://www.wjgnet.com/2220-3206/full/v10/i10/223.htm" TargetMode="External"/><Relationship Id="rId17" Type="http://schemas.openxmlformats.org/officeDocument/2006/relationships/hyperlink" Target="https://www.wjgnet.com/2220-3206/full/v10/i10/223.htm" TargetMode="External"/><Relationship Id="rId2" Type="http://schemas.openxmlformats.org/officeDocument/2006/relationships/settings" Target="settings.xml"/><Relationship Id="rId16" Type="http://schemas.openxmlformats.org/officeDocument/2006/relationships/hyperlink" Target="https://www.wjgnet.com/2220-3206/full/v10/i10/223.htm" TargetMode="External"/><Relationship Id="rId20" Type="http://schemas.openxmlformats.org/officeDocument/2006/relationships/hyperlink" Target="https://www.wjgnet.com/2220-3206/full/v10/i10/223.ht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wjgnet.com/2220-3206/full/v10/i10/223.htm" TargetMode="External"/><Relationship Id="rId5" Type="http://schemas.openxmlformats.org/officeDocument/2006/relationships/endnotes" Target="endnotes.xml"/><Relationship Id="rId15" Type="http://schemas.openxmlformats.org/officeDocument/2006/relationships/hyperlink" Target="https://www.wjgnet.com/2220-3206/full/v10/i10/223.htm" TargetMode="External"/><Relationship Id="rId23" Type="http://schemas.openxmlformats.org/officeDocument/2006/relationships/theme" Target="theme/theme1.xml"/><Relationship Id="rId10" Type="http://schemas.openxmlformats.org/officeDocument/2006/relationships/hyperlink" Target="https://www.wjgnet.com/2220-3206/full/v10/i10/223.htm" TargetMode="External"/><Relationship Id="rId19" Type="http://schemas.openxmlformats.org/officeDocument/2006/relationships/hyperlink" Target="https://www.wjgnet.com/2220-3206/full/v10/i10/223.htm" TargetMode="External"/><Relationship Id="rId4" Type="http://schemas.openxmlformats.org/officeDocument/2006/relationships/footnotes" Target="footnotes.xml"/><Relationship Id="rId9" Type="http://schemas.openxmlformats.org/officeDocument/2006/relationships/hyperlink" Target="https://www.wjgnet.com/2220-3206/full/v10/i10/223.htm" TargetMode="External"/><Relationship Id="rId14" Type="http://schemas.openxmlformats.org/officeDocument/2006/relationships/hyperlink" Target="https://www.wjgnet.com/2220-3206/full/v10/i10/22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28</Pages>
  <Words>7372</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51</cp:revision>
  <dcterms:created xsi:type="dcterms:W3CDTF">2021-07-23T01:48:00Z</dcterms:created>
  <dcterms:modified xsi:type="dcterms:W3CDTF">2021-08-03T09:30:00Z</dcterms:modified>
</cp:coreProperties>
</file>