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65347</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Ectopic pancreas at the ampulla of Vater diagnosed with endoscopic snare papillectomy: A case report and review of literature </w:t>
      </w:r>
    </w:p>
    <w:p>
      <w:pPr>
        <w:adjustRightInd w:val="0"/>
        <w:snapToGrid w:val="0"/>
        <w:spacing w:line="360" w:lineRule="auto"/>
        <w:ind w:hanging="120"/>
        <w:jc w:val="both"/>
        <w:rPr>
          <w:rFonts w:ascii="Book Antiqua" w:hAnsi="Book Antiqua"/>
          <w:lang w:eastAsia="zh-CN"/>
        </w:rPr>
      </w:pPr>
      <w:r>
        <w:rPr>
          <w:rFonts w:hint="eastAsia" w:ascii="Book Antiqua" w:hAnsi="Book Antiqua"/>
          <w:lang w:eastAsia="zh-CN"/>
        </w:rPr>
        <w:t xml:space="preserve"> </w:t>
      </w:r>
      <w:r>
        <w:rPr>
          <w:rFonts w:ascii="Book Antiqua" w:hAnsi="Book Antiqua"/>
          <w:lang w:eastAsia="zh-CN"/>
        </w:rPr>
        <w:t xml:space="preserve"> </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Vyawahare MA </w:t>
      </w:r>
      <w:r>
        <w:rPr>
          <w:rFonts w:ascii="Book Antiqua" w:hAnsi="Book Antiqua" w:eastAsia="Book Antiqua" w:cs="Book Antiqua"/>
          <w:i/>
          <w:iCs/>
          <w:color w:val="000000"/>
        </w:rPr>
        <w:t>et al</w:t>
      </w:r>
      <w:r>
        <w:rPr>
          <w:rFonts w:ascii="Book Antiqua" w:hAnsi="Book Antiqua" w:eastAsia="Book Antiqua" w:cs="Book Antiqua"/>
          <w:color w:val="000000"/>
        </w:rPr>
        <w:t xml:space="preserve">. Ectopic pancreas at the ampulla of Vater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Manoj A Vyawahare, Naga Bharati Musthyla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Manoj A Vyawahare, </w:t>
      </w:r>
      <w:r>
        <w:rPr>
          <w:rFonts w:ascii="Book Antiqua" w:hAnsi="Book Antiqua" w:eastAsia="Book Antiqua" w:cs="Book Antiqua"/>
          <w:color w:val="000000"/>
        </w:rPr>
        <w:t>Department of Medical Gastroenterology, American Oncology Institute at Nangia Specialty Hospital, Nagpur 440028, Maharashtra, India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Naga Bharati Musthyla, </w:t>
      </w:r>
      <w:r>
        <w:rPr>
          <w:rFonts w:ascii="Book Antiqua" w:hAnsi="Book Antiqua" w:eastAsia="Book Antiqua" w:cs="Book Antiqua"/>
          <w:color w:val="000000"/>
        </w:rPr>
        <w:t>Department of Pathology, AmPath Central Reference Laboratory, Hyderabad 500019, Telangana, India</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Vyawahare MA contributed to conception and design of the study; Vyawahare MA and Musthyla NB contributed to collection, analysis and interpretation of the data, drafting, critical revision and final approval of the manuscript.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Corresponding author: Manoj A Vyawahare, MD, Chief Doctor, </w:t>
      </w:r>
      <w:r>
        <w:rPr>
          <w:rFonts w:ascii="Book Antiqua" w:hAnsi="Book Antiqua" w:eastAsia="Book Antiqua" w:cs="Book Antiqua"/>
          <w:color w:val="000000"/>
        </w:rPr>
        <w:t>Department of Medical Gastroenterology, American Oncology Institute at Nangia Specialty Hospital, C1/1, opposite MIA Centre for Sports and Recreation, MIDC, Hingna, Nagpur 440028, Maharashtra, India. drmanojvyawahare@gmail.com</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5,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Revised:</w:t>
      </w:r>
      <w:r>
        <w:rPr>
          <w:rFonts w:ascii="Book Antiqua" w:hAnsi="Book Antiqua" w:eastAsia="Book Antiqua" w:cs="Book Antiqua"/>
          <w:color w:val="000000"/>
        </w:rPr>
        <w:t xml:space="preserve"> May 14,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Cs/>
          <w:color w:val="000000"/>
        </w:rPr>
        <w:t>July 5, 2021</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宋体"/>
          <w:color w:val="000000" w:themeColor="text1"/>
          <w14:textFill>
            <w14:solidFill>
              <w14:schemeClr w14:val="tx1"/>
            </w14:solidFill>
          </w14:textFill>
        </w:rPr>
        <w:t>September 16, 2021</w:t>
      </w:r>
    </w:p>
    <w:p>
      <w:pPr>
        <w:adjustRightInd w:val="0"/>
        <w:snapToGrid w:val="0"/>
        <w:spacing w:line="360" w:lineRule="auto"/>
        <w:jc w:val="both"/>
        <w:rPr>
          <w:rFonts w:ascii="Book Antiqua" w:hAnsi="Book Antiqua"/>
        </w:rPr>
        <w:sectPr>
          <w:footerReference r:id="rId5"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Ectopic pancreas is a rare developmental anomaly that results in a variety of clinical presentations. Patients with ectopic pancreas are mostly asymptomatic, and if symptomatic, symptoms are usually nonspecific and determined by the location of the lesion and the various complications arising from it. Ectopic pancreas at the ampulla of Vater (</w:t>
      </w:r>
      <w:r>
        <w:rPr>
          <w:rFonts w:ascii="Book Antiqua" w:hAnsi="Book Antiqua" w:eastAsia="Book Antiqua" w:cs="Book Antiqua"/>
          <w:color w:val="000000"/>
          <w:shd w:val="clear" w:color="auto" w:fill="FFFFFF"/>
        </w:rPr>
        <w:t>EPAV) is rare and typically diagnosed after highly morbid surgical procedures such as pancreaticoduodenectomy or ampullectomy. To our knowledge, we report t</w:t>
      </w:r>
      <w:r>
        <w:rPr>
          <w:rFonts w:ascii="Book Antiqua" w:hAnsi="Book Antiqua" w:eastAsia="Book Antiqua" w:cs="Book Antiqua"/>
          <w:color w:val="000000"/>
        </w:rPr>
        <w:t xml:space="preserve">he first case of confirmed EPAV with a minimally invasive intervention.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CASE SUMMARY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A 71-year-old male with</w:t>
      </w:r>
      <w:r>
        <w:rPr>
          <w:rFonts w:ascii="Book Antiqua" w:hAnsi="Book Antiqua" w:eastAsia="Book Antiqua" w:cs="Book Antiqua"/>
          <w:color w:val="000000"/>
          <w:shd w:val="clear" w:color="auto" w:fill="FFFFFF"/>
        </w:rPr>
        <w:t xml:space="preserve"> coronary artery disease, presented to us with new-onset dyspepsia with imaging studies revealing a ‘double duct sign’ secondary to a small subepithelial ampullary lesion. His hematological and biochemical investigations were normal. His age, comorbidity, poor diagnostic accuracy of </w:t>
      </w:r>
      <w:r>
        <w:rPr>
          <w:rFonts w:ascii="Book Antiqua" w:hAnsi="Book Antiqua" w:eastAsia="Book Antiqua" w:cs="Book Antiqua"/>
          <w:color w:val="000000"/>
        </w:rPr>
        <w:t xml:space="preserve">endoscopy, biopsies and imaging techniques for subepithelial ampullary lesions, and suspicion of malignancy made us acquire histological diagnosis before morbid surgical intervention. We performed balloon-catheter-assisted endoscopic snare papillectomy which aided us to achieve </w:t>
      </w:r>
      <w:r>
        <w:rPr>
          <w:rFonts w:ascii="Book Antiqua" w:hAnsi="Book Antiqua" w:eastAsia="Book Antiqua" w:cs="Book Antiqua"/>
          <w:i/>
          <w:color w:val="000000"/>
        </w:rPr>
        <w:t>en bloc</w:t>
      </w:r>
      <w:r>
        <w:rPr>
          <w:rFonts w:ascii="Book Antiqua" w:hAnsi="Book Antiqua" w:eastAsia="Book Antiqua" w:cs="Book Antiqua"/>
          <w:color w:val="000000"/>
        </w:rPr>
        <w:t xml:space="preserve"> resection of the ampulla for histopathological diagnosis and staging. The patient’s post-procedure recovery was uneventful. </w:t>
      </w:r>
      <w:r>
        <w:rPr>
          <w:rFonts w:ascii="Book Antiqua" w:hAnsi="Book Antiqua" w:eastAsia="Book Antiqua" w:cs="Book Antiqua"/>
          <w:color w:val="000000"/>
          <w:shd w:val="clear" w:color="auto" w:fill="FFFFFF"/>
        </w:rPr>
        <w:t xml:space="preserve">The </w:t>
      </w:r>
      <w:r>
        <w:rPr>
          <w:rFonts w:ascii="Book Antiqua" w:hAnsi="Book Antiqua" w:eastAsia="Book Antiqua" w:cs="Book Antiqua"/>
          <w:i/>
          <w:color w:val="000000"/>
          <w:shd w:val="clear" w:color="auto" w:fill="FFFFFF"/>
        </w:rPr>
        <w:t>en bloc</w:t>
      </w:r>
      <w:r>
        <w:rPr>
          <w:rFonts w:ascii="Book Antiqua" w:hAnsi="Book Antiqua" w:eastAsia="Book Antiqua" w:cs="Book Antiqua"/>
          <w:color w:val="000000"/>
          <w:shd w:val="clear" w:color="auto" w:fill="FFFFFF"/>
        </w:rPr>
        <w:t xml:space="preserve"> resected specimen revealed ectopic pancreatic tissue in the ampullary region. Thus, the benign histopathology avoided morbid surgical intervention in our patient. At 15 mo follow-up, the patient is asymptomatic.</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EPAV is rare and remains challenging to diagnose. This rare entity should be included in the differential diagnosis of subepithelial ampullary lesions. Endoscopic </w:t>
      </w:r>
      <w:r>
        <w:rPr>
          <w:rFonts w:ascii="Book Antiqua" w:hAnsi="Book Antiqua" w:eastAsia="Book Antiqua" w:cs="Book Antiqua"/>
          <w:i/>
          <w:color w:val="000000"/>
        </w:rPr>
        <w:t>en bloc</w:t>
      </w:r>
      <w:r>
        <w:rPr>
          <w:rFonts w:ascii="Book Antiqua" w:hAnsi="Book Antiqua" w:eastAsia="Book Antiqua" w:cs="Book Antiqua"/>
          <w:color w:val="000000"/>
        </w:rPr>
        <w:t xml:space="preserve"> resection of the papilla may play a vital role as a diagnostic and therapeutic option for preoperative histological diagnosis and staging to avoid morbid surgical procedures.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Ectopic pancreas; Heterotopic pancreas; Ampulla of Vater; Endoscopic snare papillectomy; Ampullary tumors; Case report</w:t>
      </w:r>
    </w:p>
    <w:p>
      <w:pPr>
        <w:adjustRightInd w:val="0"/>
        <w:snapToGrid w:val="0"/>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Book Antiqua" w:hAnsi="Book Antiqua" w:eastAsia="宋体" w:cs="Book Antiqua"/>
          <w:lang w:val="en-US" w:eastAsia="zh-CN"/>
        </w:rPr>
      </w:pPr>
      <w:r>
        <w:rPr>
          <w:rFonts w:hint="eastAsia" w:ascii="Book Antiqua" w:hAnsi="Book Antiqua" w:eastAsia="宋体" w:cs="Book Antiqua"/>
          <w:b/>
          <w:bCs/>
          <w:color w:val="000000"/>
          <w:lang w:val="en-US" w:eastAsia="zh-CN"/>
        </w:rPr>
        <w:t xml:space="preserve">Citation: </w:t>
      </w:r>
      <w:r>
        <w:rPr>
          <w:rFonts w:ascii="Book Antiqua" w:hAnsi="Book Antiqua" w:eastAsia="Book Antiqua" w:cs="Book Antiqua"/>
          <w:color w:val="000000"/>
        </w:rPr>
        <w:t xml:space="preserve">Vyawahare MA, Musthyla NB. Ectopic pancreas at the ampulla of Vater diagnosed with endoscopic snare papillectomy: A case report and review of literature.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w:t>
      </w:r>
      <w:r>
        <w:rPr>
          <w:rFonts w:ascii="Book Antiqua" w:hAnsi="Book Antiqua" w:eastAsia="Book Antiqua" w:cs="Book Antiqua"/>
          <w:lang w:val="pt-BR"/>
        </w:rPr>
        <w:t xml:space="preserve">2021; 13(9): </w:t>
      </w:r>
      <w:r>
        <w:rPr>
          <w:rFonts w:hint="eastAsia" w:ascii="Book Antiqua" w:hAnsi="Book Antiqua" w:eastAsia="宋体" w:cs="Book Antiqua"/>
          <w:lang w:val="en-US" w:eastAsia="zh-CN"/>
        </w:rPr>
        <w:t>437</w:t>
      </w:r>
      <w:r>
        <w:rPr>
          <w:rFonts w:ascii="Book Antiqua" w:hAnsi="Book Antiqua" w:eastAsia="Book Antiqua" w:cs="Book Antiqua"/>
          <w:lang w:val="pt-BR"/>
        </w:rPr>
        <w:t>-</w:t>
      </w:r>
      <w:r>
        <w:rPr>
          <w:rFonts w:hint="eastAsia" w:ascii="Book Antiqua" w:hAnsi="Book Antiqua" w:eastAsia="宋体" w:cs="Book Antiqua"/>
          <w:lang w:val="en-US" w:eastAsia="zh-CN"/>
        </w:rPr>
        <w:t>446</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Book Antiqua" w:hAnsi="Book Antiqua" w:eastAsia="Book Antiqua" w:cs="Book Antiqua"/>
          <w:lang w:val="pt-BR"/>
        </w:rPr>
      </w:pPr>
      <w:r>
        <w:rPr>
          <w:rFonts w:ascii="Book Antiqua" w:hAnsi="Book Antiqua" w:eastAsia="Book Antiqua" w:cs="Book Antiqua"/>
          <w:b/>
          <w:bCs/>
          <w:lang w:val="pt-BR"/>
        </w:rPr>
        <w:t>URL:</w:t>
      </w:r>
      <w:r>
        <w:rPr>
          <w:rFonts w:ascii="Book Antiqua" w:hAnsi="Book Antiqua" w:eastAsia="Book Antiqua" w:cs="Book Antiqua"/>
          <w:lang w:val="pt-BR"/>
        </w:rPr>
        <w:t xml:space="preserve"> https://www.wjgnet.com/1948-5190/full/v13/i9/</w:t>
      </w:r>
      <w:r>
        <w:rPr>
          <w:rFonts w:hint="eastAsia" w:ascii="Book Antiqua" w:hAnsi="Book Antiqua" w:eastAsia="宋体" w:cs="Book Antiqua"/>
          <w:lang w:val="en-US" w:eastAsia="zh-CN"/>
        </w:rPr>
        <w:t>437</w:t>
      </w:r>
      <w:r>
        <w:rPr>
          <w:rFonts w:ascii="Book Antiqua" w:hAnsi="Book Antiqua" w:eastAsia="Book Antiqua" w:cs="Book Antiqua"/>
          <w:lang w:val="pt-BR"/>
        </w:rPr>
        <w:t xml:space="preserve">.htm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ascii="Book Antiqua" w:hAnsi="Book Antiqua" w:eastAsia="宋体" w:cs="Book Antiqua"/>
          <w:lang w:val="en-US" w:eastAsia="zh-CN"/>
        </w:rPr>
      </w:pPr>
      <w:r>
        <w:rPr>
          <w:rFonts w:ascii="Book Antiqua" w:hAnsi="Book Antiqua" w:eastAsia="Book Antiqua" w:cs="Book Antiqua"/>
          <w:b/>
          <w:bCs/>
          <w:lang w:val="pt-BR"/>
        </w:rPr>
        <w:t>DOI:</w:t>
      </w:r>
      <w:r>
        <w:rPr>
          <w:rFonts w:ascii="Book Antiqua" w:hAnsi="Book Antiqua" w:eastAsia="Book Antiqua" w:cs="Book Antiqua"/>
          <w:lang w:val="pt-BR"/>
        </w:rPr>
        <w:t xml:space="preserve"> https://dx.doi.org/10.4253/wjge.v13.i9.</w:t>
      </w:r>
      <w:r>
        <w:rPr>
          <w:rFonts w:hint="eastAsia" w:ascii="Book Antiqua" w:hAnsi="Book Antiqua" w:eastAsia="宋体" w:cs="Book Antiqua"/>
          <w:lang w:val="en-US" w:eastAsia="zh-CN"/>
        </w:rPr>
        <w:t>437</w:t>
      </w:r>
      <w:bookmarkStart w:id="11" w:name="_GoBack"/>
      <w:bookmarkEnd w:id="11"/>
    </w:p>
    <w:p>
      <w:pPr>
        <w:adjustRightInd w:val="0"/>
        <w:snapToGrid w:val="0"/>
        <w:spacing w:line="360" w:lineRule="auto"/>
        <w:jc w:val="both"/>
        <w:rPr>
          <w:rFonts w:ascii="Book Antiqua" w:hAnsi="Book Antiqua"/>
          <w:lang w:val="pt-BR"/>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Ectopic pancreas at the ampulla of Vater (</w:t>
      </w:r>
      <w:r>
        <w:rPr>
          <w:rFonts w:ascii="Book Antiqua" w:hAnsi="Book Antiqua" w:eastAsia="Book Antiqua" w:cs="Book Antiqua"/>
          <w:color w:val="000000"/>
          <w:shd w:val="clear" w:color="auto" w:fill="FFFFFF"/>
        </w:rPr>
        <w:t>EPAV)</w:t>
      </w:r>
      <w:r>
        <w:rPr>
          <w:rFonts w:ascii="Book Antiqua" w:hAnsi="Book Antiqua" w:eastAsia="Book Antiqua" w:cs="Book Antiqua"/>
          <w:color w:val="000000"/>
        </w:rPr>
        <w:t xml:space="preserve"> is an extremely rare condition, usually mimicking malignancy and presents as abdominal pain and obstructive jaundice. This rare entity should be included in the differential diagnosis of subepithelial ampullary lesions. The diagnosis of EPAV remains very challenging despite several endoscopic and radiological advances. The diagnosis is usually based on </w:t>
      </w:r>
      <w:r>
        <w:rPr>
          <w:rFonts w:ascii="Book Antiqua" w:hAnsi="Book Antiqua" w:eastAsia="Book Antiqua" w:cs="Book Antiqua"/>
          <w:color w:val="000000"/>
          <w:shd w:val="clear" w:color="auto" w:fill="FFFFFF"/>
        </w:rPr>
        <w:t>morbid surgical interventions such as pancreaticoduodenectomy/ampullectomy or autopsy</w:t>
      </w:r>
      <w:r>
        <w:rPr>
          <w:rFonts w:ascii="Book Antiqua" w:hAnsi="Book Antiqua" w:eastAsia="Book Antiqua" w:cs="Book Antiqua"/>
          <w:color w:val="000000"/>
        </w:rPr>
        <w:t xml:space="preserve">. Endoscopic </w:t>
      </w:r>
      <w:r>
        <w:rPr>
          <w:rFonts w:ascii="Book Antiqua" w:hAnsi="Book Antiqua" w:eastAsia="Book Antiqua" w:cs="Book Antiqua"/>
          <w:i/>
          <w:color w:val="000000"/>
        </w:rPr>
        <w:t>en bloc</w:t>
      </w:r>
      <w:r>
        <w:rPr>
          <w:rFonts w:ascii="Book Antiqua" w:hAnsi="Book Antiqua" w:eastAsia="Book Antiqua" w:cs="Book Antiqua"/>
          <w:color w:val="000000"/>
        </w:rPr>
        <w:t xml:space="preserve"> resection of the papilla with endoscopic snare papillectomy may play a vital role as a diagnostic and therapeutic option for preoperative histological diagnosis and staging to avoid morbid surgical procedures.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rPr>
      </w:pPr>
      <w:r>
        <w:rPr>
          <w:rFonts w:ascii="Book Antiqua" w:hAnsi="Book Antiqua" w:eastAsia="Book Antiqua" w:cs="Book Antiqua"/>
          <w:color w:val="000000"/>
          <w:shd w:val="clear" w:color="auto" w:fill="FFFFFF"/>
        </w:rPr>
        <w:t>Ectopic or heterotopic pancreas is a rare developmental anomaly with an estimated frequency of 0.6% to 13.7% at autopsy. It is mostly an incidental finding in</w:t>
      </w:r>
      <w:r>
        <w:rPr>
          <w:rFonts w:ascii="Book Antiqua" w:hAnsi="Book Antiqua" w:eastAsia="Book Antiqua" w:cs="Book Antiqua"/>
          <w:color w:val="000000"/>
        </w:rPr>
        <w:t xml:space="preserve"> the upper gastrointestinal tract, the most typical sites being the stomach (25%-38%), duodenum (17%-36%), and jejunum (15%-21.7%). It has been noted occasionally in the esophagus, gallbladder, common bile duct (CBD), spleen, mesentery, mediastinum and fallopian tubes</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The clinical manifestations of ectopic pancreas are usually nonspecific and are determined by the location of the lesion and the various complications arising from it.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Ectopic pancreas at the ampulla of Vater (EPAV) is extremely rare and usually presents as obstructive jaundice or abdominal pain, and hence, mimicking ampullary malignancy. </w:t>
      </w:r>
      <w:r>
        <w:rPr>
          <w:rFonts w:ascii="Book Antiqua" w:hAnsi="Book Antiqua" w:eastAsia="Book Antiqua" w:cs="Book Antiqua"/>
          <w:color w:val="000000"/>
          <w:shd w:val="clear" w:color="auto" w:fill="FFFFFF"/>
        </w:rPr>
        <w:t xml:space="preserve">Despite several advances in endoscopic and radiological techniques, the diagnosis of EPAV remains challenging and is mostly identified post-surgery or at autopsy. </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 xml:space="preserve">Endoscopic snare papillectomy (ESP) is a minimally invasive technique that helps to achieve </w:t>
      </w:r>
      <w:r>
        <w:rPr>
          <w:rFonts w:ascii="Book Antiqua" w:hAnsi="Book Antiqua" w:eastAsia="Book Antiqua" w:cs="Book Antiqua"/>
          <w:i/>
          <w:color w:val="000000"/>
        </w:rPr>
        <w:t>en bloc</w:t>
      </w:r>
      <w:r>
        <w:rPr>
          <w:rFonts w:ascii="Book Antiqua" w:hAnsi="Book Antiqua" w:eastAsia="Book Antiqua" w:cs="Book Antiqua"/>
          <w:color w:val="000000"/>
        </w:rPr>
        <w:t xml:space="preserve"> resection of the ampulla for preoperative histopathological diagnosis and staging, and thus avoids morbid surgical intervention. To our knowledge, we</w:t>
      </w:r>
      <w:r>
        <w:rPr>
          <w:rFonts w:ascii="Book Antiqua" w:hAnsi="Book Antiqua" w:eastAsia="Book Antiqua" w:cs="Book Antiqua"/>
          <w:color w:val="000000"/>
          <w:shd w:val="clear" w:color="auto" w:fill="FFFFFF"/>
        </w:rPr>
        <w:t xml:space="preserve"> report the first case of this rare and challenging entity diagnosed by </w:t>
      </w:r>
      <w:r>
        <w:rPr>
          <w:rFonts w:ascii="Book Antiqua" w:hAnsi="Book Antiqua" w:eastAsia="Book Antiqua" w:cs="Book Antiqua"/>
          <w:i/>
          <w:color w:val="000000"/>
          <w:shd w:val="clear" w:color="auto" w:fill="FFFFFF"/>
        </w:rPr>
        <w:t>en bloc</w:t>
      </w:r>
      <w:r>
        <w:rPr>
          <w:rFonts w:ascii="Book Antiqua" w:hAnsi="Book Antiqua" w:eastAsia="Book Antiqua" w:cs="Book Antiqua"/>
          <w:color w:val="000000"/>
          <w:shd w:val="clear" w:color="auto" w:fill="FFFFFF"/>
        </w:rPr>
        <w:t xml:space="preserve"> resection of the ampulla with ESP.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Chief complaints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A 71-year old male presented in the outpatient department in August 2019 with the chief complaint of epigastric pain of 3 mo duration.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present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The epigastric pain was mild to moderate, localized, continuous, with no relation to meals. There was no relief with proton pump inhibitors. There was no history of jaundice, pruritus, clay-colored stools, anorexia, weight loss, dysphagia, gastrointestinal bleeding or vomiting.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History of past illness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The patient had undergone coronary angioplasty for coronary artery disease in 2010 and was on dual antiplatelet drugs.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Personal and family history</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He had no addictions, and his family history was non-contributory.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Physical examination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The patient was conscious and oriented. His pulse rate was 80 bpm and regular, and blood pressure was 110/70 mmHg. There was no pallor, icterus, or lymphadenopathy. Abdominal examination and other systemic examinations did not reveal any abnormalities.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Laboratory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His blood investigations were as follows: Hb 13.9 g/ dL, white blood cell count 4600/µL, platelet count 166000/µL, prothrombin time 16.5 s, serum bilirubin 0.42 mg/ dL, ALT 18 U/L, AST 17 U/L, ALP 83 U/L (&lt; 129 U/L), gamma glutamyl transferase - 33 U/L (&lt; 71 U/L), and serum creatinine 1.22 mg/dL (&lt; 1.4 mg/dL).</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i/>
          <w:color w:val="000000"/>
        </w:rPr>
        <w:t>Imaging examinations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At the local medical center, he had undergone ultrasonography of the abdomen that revealed dilatation of the CBD (15 mm) and pancreatic duct (PD) (5 mm). He was referred to our center for further management. Abdominal magnetic resonance imaging and magnetic resonance cholangiopancreatography (MRCP) showed dilated CBD (15 mm) and PD (6 mm) with abrupt cut-off at the level of the ampulla. No other abnormalities were noted (Figure 1). Endoscopic ultrasonography (EUS) revealed a subepithelial, hypoechoic mass lesion at the ampulla 7 mm in size, causing upstream dilation of the CBD and PD. The lesion was free from duodenal muscularis propria. There was no regional lymphadenopathy. </w:t>
      </w:r>
    </w:p>
    <w:p>
      <w:pPr>
        <w:adjustRightInd w:val="0"/>
        <w:snapToGrid w:val="0"/>
        <w:spacing w:line="360" w:lineRule="auto"/>
        <w:jc w:val="both"/>
        <w:rPr>
          <w:rFonts w:ascii="Book Antiqua" w:hAnsi="Book Antiqua"/>
          <w:b/>
          <w:bCs/>
          <w:i/>
          <w:iCs/>
        </w:rPr>
      </w:pPr>
    </w:p>
    <w:p>
      <w:pPr>
        <w:adjustRightInd w:val="0"/>
        <w:snapToGrid w:val="0"/>
        <w:spacing w:line="360" w:lineRule="auto"/>
        <w:jc w:val="both"/>
        <w:rPr>
          <w:rFonts w:ascii="Book Antiqua" w:hAnsi="Book Antiqua"/>
          <w:b/>
          <w:bCs/>
          <w:i/>
          <w:iCs/>
        </w:rPr>
      </w:pPr>
      <w:r>
        <w:rPr>
          <w:rFonts w:ascii="Book Antiqua" w:hAnsi="Book Antiqua" w:eastAsia="Book Antiqua" w:cs="Book Antiqua"/>
          <w:b/>
          <w:bCs/>
          <w:i/>
          <w:iCs/>
          <w:caps/>
          <w:color w:val="000000"/>
        </w:rPr>
        <w:t>D</w:t>
      </w:r>
      <w:r>
        <w:rPr>
          <w:rFonts w:ascii="Book Antiqua" w:hAnsi="Book Antiqua" w:eastAsia="Book Antiqua" w:cs="Book Antiqua"/>
          <w:b/>
          <w:bCs/>
          <w:i/>
          <w:iCs/>
          <w:color w:val="000000"/>
        </w:rPr>
        <w:t>iagnostic and therapeutic intervention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The age and comorbidity of the patient, the limitations and diagnostic accuracy of endoscopy, biopsies and imaging for ampullary lesions, and suspicion of malignancy made us acquire the histological diagnosis of ampullary lesion before a highly morbid surgical intervention. EUS-guided biopsy was not possible due to technical difficulties of the tiny mobile lesion. Hence, ESP was considered a diagnostic and therapeutic intervention for the subepithelial ampullary lesion. ESP aids in achieving </w:t>
      </w:r>
      <w:r>
        <w:rPr>
          <w:rFonts w:ascii="Book Antiqua" w:hAnsi="Book Antiqua" w:eastAsia="Book Antiqua" w:cs="Book Antiqua"/>
          <w:i/>
          <w:color w:val="000000"/>
        </w:rPr>
        <w:t>en bloc</w:t>
      </w:r>
      <w:r>
        <w:rPr>
          <w:rFonts w:ascii="Book Antiqua" w:hAnsi="Book Antiqua" w:eastAsia="Book Antiqua" w:cs="Book Antiqua"/>
          <w:color w:val="000000"/>
        </w:rPr>
        <w:t xml:space="preserve"> resection of the ampulla for histopathological diagnosis and staging. Thus, </w:t>
      </w:r>
      <w:r>
        <w:rPr>
          <w:rFonts w:ascii="Book Antiqua" w:hAnsi="Book Antiqua" w:eastAsia="Book Antiqua" w:cs="Book Antiqua"/>
          <w:i/>
          <w:color w:val="000000"/>
        </w:rPr>
        <w:t>en bloc</w:t>
      </w:r>
      <w:r>
        <w:rPr>
          <w:rFonts w:ascii="Book Antiqua" w:hAnsi="Book Antiqua" w:eastAsia="Book Antiqua" w:cs="Book Antiqua"/>
          <w:color w:val="000000"/>
        </w:rPr>
        <w:t xml:space="preserve"> ESP was performed with a balloon-catheter-assisted technique as described by Aiura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ascii="Book Antiqua" w:hAnsi="Book Antiqua" w:eastAsia="Book Antiqua" w:cs="Book Antiqua"/>
          <w:color w:val="000000"/>
        </w:rPr>
        <w:t>. ESP was carried out with a therapeutic duodenoscope (TJF Q 180V, Olympus Medical Systems Corp., Tokyo, Japan) with a 4.2 mm diameter accessory channel. Selective CBD cannulation was achieved with a 0.035” guidewire using a sphincterotome. The linked stone extraction balloon catheter (Fusion Quattro Extraction Balloon, Wilson Cook Medical Inc., Winston-Salem NC, USA) and a 5 Fr snare were inserted over the guidewire through the accessory channel side by side. The balloon catheter alone was advanced into the bile duct, and then the balloon was expanded with distilled water mixed with contrast. The balloon was pulled back gently towards the duodenal lumen, at which point the snare was opened so that it grasped the base of the papilla next to the inflated balloon. Pulling the balloon catheter toward the duodenal lumen made it easier to snare the papillary lesion entirely by lifting the papilla from the duodenal wall and towards the lumen</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t>
      </w:r>
      <w:r>
        <w:rPr>
          <w:rFonts w:ascii="Book Antiqua" w:hAnsi="Book Antiqua" w:eastAsia="Book Antiqua" w:cs="Book Antiqua"/>
          <w:i/>
          <w:color w:val="000000"/>
        </w:rPr>
        <w:t>En bloc</w:t>
      </w:r>
      <w:r>
        <w:rPr>
          <w:rFonts w:ascii="Book Antiqua" w:hAnsi="Book Antiqua" w:eastAsia="Book Antiqua" w:cs="Book Antiqua"/>
          <w:color w:val="000000"/>
        </w:rPr>
        <w:t xml:space="preserve"> papillectomy was performed with a monopolar electrosurgical current (ERBE Vio3, Endocut Q mode). A 5 Fr X 7 cm single pigtail pancreatic plastic stent was placed prophylactically, and a 10 Fr X 10 cm biliary plastic stent was placed after biliary sphincterotomy (Figure 2).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Histopathological examination of the retrieved specimen showed ampullary-type mucosa with the central area of erosion associated with mild acute on chronic inflammation in the lamina propria. There was a lobular arrangement of normal looking exocrine pancreatic tissue on the deeper aspect of the lamina propria consistent with the ectopic pancreatic tissue (</w:t>
      </w:r>
      <w:r>
        <w:rPr>
          <w:rFonts w:ascii="Book Antiqua" w:hAnsi="Book Antiqua" w:eastAsia="Book Antiqua" w:cs="Book Antiqua"/>
          <w:color w:val="000000"/>
          <w:shd w:val="clear" w:color="auto" w:fill="FFFFFF"/>
        </w:rPr>
        <w:t xml:space="preserve">Gasper Fuentes Classification - Type III) </w:t>
      </w:r>
      <w:r>
        <w:rPr>
          <w:rFonts w:ascii="Book Antiqua" w:hAnsi="Book Antiqua" w:eastAsia="Book Antiqua" w:cs="Book Antiqua"/>
          <w:color w:val="000000"/>
        </w:rPr>
        <w:t xml:space="preserve">(Figure 3). Thus, the final diagnosis in the presented case was EPAV.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TREATMENT</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ESP (as described in section 'Diagnostic and Therapeutic intervention') played a vital role as a diagnostic and therapeutic modality in this case.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Post-procedure recovery was uneventful. Both stents were removed after ten days. The patient was asymptomatic at the 15 mo follow-up.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rPr>
      </w:pPr>
      <w:r>
        <w:rPr>
          <w:rFonts w:ascii="Book Antiqua" w:hAnsi="Book Antiqua" w:eastAsia="Book Antiqua" w:cs="Book Antiqua"/>
          <w:color w:val="000000"/>
          <w:shd w:val="clear" w:color="auto" w:fill="FFFFFF"/>
        </w:rPr>
        <w:t>Ectopic pancreas is an uncommon developmental anomaly where pancreatic tissue has grown outside its usual location and shows no vascular or anatomical connections to the pancreas. The prevalence of ectopic pancreas is estimated to range from 0.6% to 13.7% of autopsies. It is mostly identified as an incidental finding within</w:t>
      </w:r>
      <w:r>
        <w:rPr>
          <w:rFonts w:ascii="Book Antiqua" w:hAnsi="Book Antiqua" w:eastAsia="Book Antiqua" w:cs="Book Antiqua"/>
          <w:color w:val="000000"/>
        </w:rPr>
        <w:t xml:space="preserve"> the upper gastrointestinal tract, the most typical sites being the stomach (25%-38%), duodenum (17%-36%), and jejunum (15%-21.7%)</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Ectopic pancreas is found in all age groups, with most cases in the 4th to 6th decade of life with a male preponderance (male:female ratio is 3:1). </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In 1909, Heinrich described the first histological classification system for ectopic pancreas that Gasper Fuentes subsequently modified in 1973</w:t>
      </w:r>
      <w:r>
        <w:rPr>
          <w:rFonts w:ascii="Book Antiqua" w:hAnsi="Book Antiqua" w:eastAsia="Book Antiqua" w:cs="Book Antiqua"/>
          <w:color w:val="000000"/>
          <w:vertAlign w:val="superscript"/>
        </w:rPr>
        <w:t>[4,5]</w:t>
      </w:r>
      <w:r>
        <w:rPr>
          <w:rFonts w:ascii="Book Antiqua" w:hAnsi="Book Antiqua" w:eastAsia="Book Antiqua" w:cs="Book Antiqua"/>
          <w:color w:val="000000"/>
          <w:shd w:val="clear" w:color="auto" w:fill="FFFFFF"/>
        </w:rPr>
        <w:t xml:space="preserve"> (Table 1).</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exact incidence of EPAV is unknown. The autopsy series by Dolzhikov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found 48 cases (14.7%) of ectopic pancreatic tissue in 327 routine autopsies of the ampulla of Vater. Notably, the ectopic pancreatic tissue was detected macroscopically in one case only (2.1%) where it was suspected as a tumor of the ampulla of Vater. All other 47 cases had no macroscopic changes. The ectopic pancreatic tissue was positioned in the medial wall of the major duodenal papilla (37.5%), interductular septum (37.5%), lateral wall (16.7%) and the parapapillary area of the duodenum (8.3%). The autopsy findings further stated that the most common site of EPAV was in the walls of the ampulla of Vater and the base of the interductular septum (39.6%) followed by mucosa and the muscular glandular layer of the ampulla of Vater (27.1%). The exocrine variety of ectopic pancreas was the most typical variant (72.9%)</w:t>
      </w:r>
      <w:r>
        <w:rPr>
          <w:rFonts w:ascii="Book Antiqua" w:hAnsi="Book Antiqua" w:eastAsia="Book Antiqua" w:cs="Book Antiqua"/>
          <w:color w:val="000000"/>
          <w:vertAlign w:val="superscript"/>
        </w:rPr>
        <w:t>[6]</w:t>
      </w:r>
      <w:r>
        <w:rPr>
          <w:rFonts w:ascii="Book Antiqua" w:hAnsi="Book Antiqua" w:eastAsia="Book Antiqua" w:cs="Book Antiqua"/>
          <w:color w:val="000000"/>
        </w:rPr>
        <w:t>.</w:t>
      </w:r>
    </w:p>
    <w:p>
      <w:pPr>
        <w:adjustRightInd w:val="0"/>
        <w:snapToGrid w:val="0"/>
        <w:spacing w:line="360" w:lineRule="auto"/>
        <w:jc w:val="both"/>
        <w:rPr>
          <w:rFonts w:ascii="Book Antiqua" w:hAnsi="Book Antiqua"/>
        </w:rPr>
      </w:pP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EPAV</w:t>
      </w:r>
      <w:r>
        <w:rPr>
          <w:rFonts w:ascii="Book Antiqua" w:hAnsi="Book Antiqua" w:eastAsia="Book Antiqua" w:cs="Book Antiqua"/>
          <w:color w:val="000000"/>
        </w:rPr>
        <w:t xml:space="preserve"> is an infrequent entity presenting with clinical symptoms in the form of jaundice or abdominal pain. We found only 43 cases of EPAV (excluding bile duct ectopic pancreatic tissue) after an extensive literature search (</w:t>
      </w:r>
      <w:r>
        <w:rPr>
          <w:rFonts w:ascii="Book Antiqua" w:hAnsi="Book Antiqua" w:eastAsia="Book Antiqua" w:cs="Book Antiqua"/>
          <w:color w:val="000000"/>
          <w:shd w:val="clear" w:color="auto" w:fill="FFFFFF"/>
        </w:rPr>
        <w:t>Table 2)</w:t>
      </w:r>
      <w:r>
        <w:rPr>
          <w:rFonts w:ascii="Book Antiqua" w:hAnsi="Book Antiqua" w:eastAsia="Book Antiqua" w:cs="Book Antiqua"/>
          <w:color w:val="000000"/>
          <w:shd w:val="clear" w:color="auto" w:fill="FFFFFF"/>
          <w:vertAlign w:val="superscript"/>
        </w:rPr>
        <w:t>[7-31]</w:t>
      </w:r>
      <w:r>
        <w:rPr>
          <w:rFonts w:ascii="Book Antiqua" w:hAnsi="Book Antiqua" w:eastAsia="Book Antiqua" w:cs="Book Antiqua"/>
          <w:color w:val="000000"/>
          <w:shd w:val="clear" w:color="auto" w:fill="FFFFFF"/>
        </w:rPr>
        <w:t>. The most extensive series was fourteen cases by Vankemmel and Houcke</w:t>
      </w:r>
      <w:r>
        <w:rPr>
          <w:rFonts w:ascii="Book Antiqua" w:hAnsi="Book Antiqua" w:eastAsia="Book Antiqua" w:cs="Book Antiqua"/>
          <w:color w:val="000000"/>
          <w:shd w:val="clear" w:color="auto" w:fill="FFFFFF"/>
          <w:vertAlign w:val="superscript"/>
        </w:rPr>
        <w:t>[12]</w:t>
      </w:r>
      <w:r>
        <w:rPr>
          <w:rFonts w:ascii="Book Antiqua" w:hAnsi="Book Antiqua" w:eastAsia="Book Antiqua" w:cs="Book Antiqua"/>
          <w:color w:val="000000"/>
          <w:shd w:val="clear" w:color="auto" w:fill="FFFFFF"/>
        </w:rPr>
        <w:t xml:space="preserve"> in 1977</w:t>
      </w:r>
      <w:r>
        <w:rPr>
          <w:rFonts w:ascii="Book Antiqua" w:hAnsi="Book Antiqua" w:eastAsia="Book Antiqua" w:cs="Book Antiqua"/>
          <w:color w:val="000000"/>
        </w:rPr>
        <w:t>. They found these cases after undertaking a systematic study with multiple sections of the region of the ampulla of Vater in a total of 50 pancreaticoduodenectomies (49 – chronic pancreatitis; 1 – benign ampullary tumor). The age of the 43 cases of EPAV ranged from 32 years to 72 years with almost equal sex distribution. The most common symptoms were jaundice and abdominal pain. Eighty-two percent of cases revealed some degree of biliary dilatation, but it was shown that jaundice did not correlate with the size of the lesion. The size of the tumor ranged from 1 mm to 40 mm. The precise mechanism of CBD obstruction by ectopic pancreas is not known but may be due to mechanical obstruction (pressure by ectopic pancreatic tissue or surrounding tissue edema) or functional obstruction (spasm due to irritative secretions).</w:t>
      </w:r>
      <w:r>
        <w:rPr>
          <w:rFonts w:ascii="Book Antiqua" w:hAnsi="Book Antiqua" w:eastAsia="Book Antiqua" w:cs="Book Antiqua"/>
          <w:color w:val="000000"/>
          <w:shd w:val="clear" w:color="auto" w:fill="FFFFFF"/>
        </w:rPr>
        <w:t xml:space="preserve"> </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The important differential diagnoses for an ampullary lesion in addition to adenomatous lesions are neuroendocrine tumors, adenomyomas, gangliocytic paraganglioma, duodenal duplication cyst, inflammatory pseudotumor and infrequently ectopic pancreas</w:t>
      </w:r>
      <w:r>
        <w:rPr>
          <w:rFonts w:ascii="Book Antiqua" w:hAnsi="Book Antiqua" w:eastAsia="Book Antiqua" w:cs="Book Antiqua"/>
          <w:color w:val="000000"/>
          <w:shd w:val="clear" w:color="auto" w:fill="FFFFFF"/>
          <w:vertAlign w:val="superscript"/>
        </w:rPr>
        <w:t>[32-34]</w:t>
      </w:r>
      <w:r>
        <w:rPr>
          <w:rFonts w:ascii="Book Antiqua" w:hAnsi="Book Antiqua" w:eastAsia="Book Antiqua" w:cs="Book Antiqua"/>
          <w:color w:val="000000"/>
          <w:shd w:val="clear" w:color="auto" w:fill="FFFFFF"/>
        </w:rPr>
        <w:t>. Despite several advances in endoscopic and radiological techniques, the diagnosis of EPAV remains challenging. The unique finding of central umbilication on endoscopy is seldom seen at the ampulla of Vater. An endoscopic biopsy is unhelpful due to the subepithelial nature of the lesion. Radiological techniques such as CT scan and MRCP do not appear to be useful for preoperative diagnosis. Although very few cases had been subjected to EUS according to the previously reported cases, EUS appears to assist in determining the dimensions, layer of origin, adherence to the muscularis propria of the ampullary lesion and any regional lymphadenopathy. EUS-guided fine needle aspiration may help to clarify the diagnosis</w:t>
      </w:r>
      <w:r>
        <w:rPr>
          <w:rFonts w:ascii="Book Antiqua" w:hAnsi="Book Antiqua" w:eastAsia="Book Antiqua" w:cs="Book Antiqua"/>
          <w:color w:val="000000"/>
          <w:shd w:val="clear" w:color="auto" w:fill="FFFFFF"/>
          <w:vertAlign w:val="superscript"/>
        </w:rPr>
        <w:t>[35]</w:t>
      </w:r>
      <w:r>
        <w:rPr>
          <w:rFonts w:ascii="Book Antiqua" w:hAnsi="Book Antiqua" w:eastAsia="Book Antiqua" w:cs="Book Antiqua"/>
          <w:color w:val="000000"/>
          <w:shd w:val="clear" w:color="auto" w:fill="FFFFFF"/>
        </w:rPr>
        <w: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Thus, </w:t>
      </w:r>
      <w:r>
        <w:rPr>
          <w:rFonts w:ascii="Book Antiqua" w:hAnsi="Book Antiqua" w:eastAsia="Book Antiqua" w:cs="Book Antiqua"/>
          <w:color w:val="000000"/>
        </w:rPr>
        <w:t xml:space="preserve">almost all the reported cases of EPAV in the literature are diagnosed after surgical intervention (95%), either in the form of pancreaticoduodenectomy (80%) or transduodenal ampullectomy (10%) or other interventions (10%). This appears to be due to in preoperative diagnosis and suspicion of malignancy. Similar findings were reported in the literature review by Biswas </w:t>
      </w:r>
      <w:r>
        <w:rPr>
          <w:rFonts w:ascii="Book Antiqua" w:hAnsi="Book Antiqua" w:eastAsia="Book Antiqua" w:cs="Book Antiqua"/>
          <w:i/>
          <w:iCs/>
          <w:color w:val="000000"/>
        </w:rPr>
        <w:t>et al</w:t>
      </w:r>
      <w:r>
        <w:rPr>
          <w:rFonts w:ascii="Book Antiqua" w:hAnsi="Book Antiqua" w:eastAsia="Book Antiqua" w:cs="Book Antiqua"/>
          <w:color w:val="000000"/>
          <w:shd w:val="clear" w:color="auto" w:fill="FFFFFF"/>
          <w:vertAlign w:val="superscript"/>
        </w:rPr>
        <w:t>[26]</w:t>
      </w:r>
      <w:r>
        <w:rPr>
          <w:rFonts w:ascii="Book Antiqua" w:hAnsi="Book Antiqua" w:eastAsia="Book Antiqua" w:cs="Book Antiqua"/>
          <w:color w:val="000000"/>
        </w:rPr>
        <w:t xml:space="preserve"> in 2007. Surgical intervention carries a high rate of morbidity (pancreaticoduodenectomy – 25%-50% and transduodenal ampullectomy – 20%-30%) and mortality (pancreaticoduodenectomy 3-9% and transduodenal ampullectomy – 0%-6%)</w:t>
      </w:r>
      <w:r>
        <w:rPr>
          <w:rFonts w:ascii="Book Antiqua" w:hAnsi="Book Antiqua" w:eastAsia="Book Antiqua" w:cs="Book Antiqua"/>
          <w:color w:val="000000"/>
          <w:vertAlign w:val="superscript"/>
        </w:rPr>
        <w:t>[36]</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rPr>
        <w:t xml:space="preserve">ESP is a minimally invasive technique that helps achieve </w:t>
      </w:r>
      <w:r>
        <w:rPr>
          <w:rFonts w:ascii="Book Antiqua" w:hAnsi="Book Antiqua" w:eastAsia="Book Antiqua" w:cs="Book Antiqua"/>
          <w:i/>
          <w:color w:val="000000"/>
        </w:rPr>
        <w:t>en bloc</w:t>
      </w:r>
      <w:r>
        <w:rPr>
          <w:rFonts w:ascii="Book Antiqua" w:hAnsi="Book Antiqua" w:eastAsia="Book Antiqua" w:cs="Book Antiqua"/>
          <w:color w:val="000000"/>
        </w:rPr>
        <w:t xml:space="preserve"> resection of the ampulla for accurate preoperative histology and thus avoids morbid surgical procedures. ESP is a safe procedure that has low morbidity and mortality rates (9.7%–20% and 0.09%–0.3%, respectively)</w:t>
      </w:r>
      <w:r>
        <w:rPr>
          <w:rFonts w:ascii="Book Antiqua" w:hAnsi="Book Antiqua" w:eastAsia="Book Antiqua" w:cs="Book Antiqua"/>
          <w:color w:val="000000"/>
          <w:vertAlign w:val="superscript"/>
        </w:rPr>
        <w:t>[36]</w:t>
      </w:r>
      <w:r>
        <w:rPr>
          <w:rFonts w:ascii="Book Antiqua" w:hAnsi="Book Antiqua" w:eastAsia="Book Antiqua" w:cs="Book Antiqua"/>
          <w:color w:val="000000"/>
        </w:rPr>
        <w:t xml:space="preserve">. Lesions less than 5 cm, with no evidence of intraductal growth and no evidence of malignancy on endoscopic appearance (spontaneous bleeding, ulceration) are considered suitable for ESP. However, with advances in endoscopic techniques and </w:t>
      </w:r>
      <w:r>
        <w:rPr>
          <w:rFonts w:ascii="Book Antiqua" w:hAnsi="Book Antiqua" w:eastAsia="Book Antiqua" w:cs="Book Antiqua"/>
          <w:color w:val="000000"/>
          <w:shd w:val="clear" w:color="auto" w:fill="FFFFFF"/>
        </w:rPr>
        <w:t>armamentarium</w:t>
      </w:r>
      <w:r>
        <w:rPr>
          <w:rFonts w:ascii="Book Antiqua" w:hAnsi="Book Antiqua" w:eastAsia="Book Antiqua" w:cs="Book Antiqua"/>
          <w:color w:val="000000"/>
        </w:rPr>
        <w:t>, the indications are expanding</w:t>
      </w:r>
      <w:r>
        <w:rPr>
          <w:rFonts w:ascii="Book Antiqua" w:hAnsi="Book Antiqua" w:eastAsia="Book Antiqua" w:cs="Book Antiqua"/>
          <w:color w:val="000000"/>
          <w:vertAlign w:val="superscript"/>
        </w:rPr>
        <w:t>[37]</w:t>
      </w:r>
      <w:r>
        <w:rPr>
          <w:rFonts w:ascii="Book Antiqua" w:hAnsi="Book Antiqua" w:eastAsia="Book Antiqua" w:cs="Book Antiqua"/>
          <w:color w:val="000000"/>
        </w:rPr>
        <w:t xml:space="preserve">. ESP can provide accurate histology and grading, tumor and lymphovascular invasion staging in cases of malignancy. There are plenty of debatable issues such as the use of submucosal injection, cautery current settings, and the use of prophylactic pancreatic stents </w:t>
      </w:r>
      <w:r>
        <w:rPr>
          <w:rFonts w:ascii="Book Antiqua" w:hAnsi="Book Antiqua" w:eastAsia="Book Antiqua" w:cs="Book Antiqua"/>
          <w:i/>
          <w:iCs/>
          <w:color w:val="000000"/>
        </w:rPr>
        <w:t>etc.</w:t>
      </w:r>
      <w:r>
        <w:rPr>
          <w:rFonts w:ascii="Book Antiqua" w:hAnsi="Book Antiqua" w:eastAsia="Book Antiqua" w:cs="Book Antiqua"/>
          <w:color w:val="000000"/>
        </w:rPr>
        <w:t xml:space="preserve">, in ESP. However, ESP seems to be a feasible and safe modality to achieve </w:t>
      </w:r>
      <w:r>
        <w:rPr>
          <w:rFonts w:ascii="Book Antiqua" w:hAnsi="Book Antiqua" w:eastAsia="Book Antiqua" w:cs="Book Antiqua"/>
          <w:i/>
          <w:color w:val="000000"/>
        </w:rPr>
        <w:t>en bloc</w:t>
      </w:r>
      <w:r>
        <w:rPr>
          <w:rFonts w:ascii="Book Antiqua" w:hAnsi="Book Antiqua" w:eastAsia="Book Antiqua" w:cs="Book Antiqua"/>
          <w:color w:val="000000"/>
        </w:rPr>
        <w:t xml:space="preserve"> resection of ampullary lesions for accurate histology after pre-procedure work up in expert hands. </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Our patient presented with new-onset dyspepsia with a ‘double duct sign’ on imaging, giving rise to the suspicion of ampullary malignancy. </w:t>
      </w:r>
      <w:r>
        <w:rPr>
          <w:rFonts w:ascii="Book Antiqua" w:hAnsi="Book Antiqua" w:eastAsia="Book Antiqua" w:cs="Book Antiqua"/>
          <w:color w:val="000000"/>
        </w:rPr>
        <w:t xml:space="preserve">The age and comorbidity of the patient, the limitations and diagnostic accuracy of endoscopy, biopsies and imaging for ampullary lesions, and suspicion of malignancy made us acquire the histological diagnosis of ampullary lesion before considering a highly morbid surgical intervention. </w:t>
      </w:r>
      <w:r>
        <w:rPr>
          <w:rFonts w:ascii="Book Antiqua" w:hAnsi="Book Antiqua" w:eastAsia="Book Antiqua" w:cs="Book Antiqua"/>
          <w:color w:val="000000"/>
          <w:shd w:val="clear" w:color="auto" w:fill="FFFFFF"/>
        </w:rPr>
        <w:t xml:space="preserve">Hence, we carried out endoscopic </w:t>
      </w:r>
      <w:r>
        <w:rPr>
          <w:rFonts w:ascii="Book Antiqua" w:hAnsi="Book Antiqua" w:eastAsia="Book Antiqua" w:cs="Book Antiqua"/>
          <w:i/>
          <w:color w:val="000000"/>
          <w:shd w:val="clear" w:color="auto" w:fill="FFFFFF"/>
        </w:rPr>
        <w:t>en bloc</w:t>
      </w:r>
      <w:r>
        <w:rPr>
          <w:rFonts w:ascii="Book Antiqua" w:hAnsi="Book Antiqua" w:eastAsia="Book Antiqua" w:cs="Book Antiqua"/>
          <w:color w:val="000000"/>
          <w:shd w:val="clear" w:color="auto" w:fill="FFFFFF"/>
        </w:rPr>
        <w:t xml:space="preserve"> resection of the subepithelial ampullary lesion using a balloon-catheter-assisted ESP. The benign histopathology of the resected specimen avoided morbid surgical intervention in our case.    </w:t>
      </w:r>
    </w:p>
    <w:p>
      <w:pPr>
        <w:adjustRightInd w:val="0"/>
        <w:snapToGrid w:val="0"/>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To our knowledge, this is the first reported case of EPAV managed with minimally invasive ESP.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EPAV mimicking malignancy with a ‘double duct sign’ is an extremely rare condition. The diagnosis remains challenging even with advances in endoscopic and radiological techniques. Hence, the diagnosis rests totally on </w:t>
      </w:r>
      <w:r>
        <w:rPr>
          <w:rFonts w:ascii="Book Antiqua" w:hAnsi="Book Antiqua" w:eastAsia="Book Antiqua" w:cs="Book Antiqua"/>
          <w:color w:val="000000"/>
          <w:shd w:val="clear" w:color="auto" w:fill="FFFFFF"/>
        </w:rPr>
        <w:t>morbid surgical interventions or autopsy</w:t>
      </w:r>
      <w:r>
        <w:rPr>
          <w:rFonts w:ascii="Book Antiqua" w:hAnsi="Book Antiqua" w:eastAsia="Book Antiqua" w:cs="Book Antiqua"/>
          <w:color w:val="000000"/>
        </w:rPr>
        <w:t xml:space="preserve">. This rare entity should be included in the differential diagnosis of subepithelial ampullary lesions. ESP which helps to achieve </w:t>
      </w:r>
      <w:r>
        <w:rPr>
          <w:rFonts w:ascii="Book Antiqua" w:hAnsi="Book Antiqua" w:eastAsia="Book Antiqua" w:cs="Book Antiqua"/>
          <w:i/>
          <w:color w:val="000000"/>
        </w:rPr>
        <w:t>en bloc</w:t>
      </w:r>
      <w:r>
        <w:rPr>
          <w:rFonts w:ascii="Book Antiqua" w:hAnsi="Book Antiqua" w:eastAsia="Book Antiqua" w:cs="Book Antiqua"/>
          <w:color w:val="000000"/>
        </w:rPr>
        <w:t xml:space="preserve"> resection of the ampulla may play a vital role as a diagnostic and therapeutic option for preoperative histological diagnosis and staging to avoid morbid surgical procedures.</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 xml:space="preserve">The authors are thankful to Dr. Manish Gaikwad, Dr. Jayesh Timane and Dr. Amol Samarth for their help in writing the manuscript. </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REFERENCES</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Dolan RV</w:t>
      </w:r>
      <w:r>
        <w:rPr>
          <w:rFonts w:ascii="Book Antiqua" w:hAnsi="Book Antiqua"/>
        </w:rPr>
        <w:t xml:space="preserve">, ReMine WH, Dockerty MB. The fate of heterotopic pancreatic tissue. A study of 212 cases. </w:t>
      </w:r>
      <w:r>
        <w:rPr>
          <w:rFonts w:ascii="Book Antiqua" w:hAnsi="Book Antiqua"/>
          <w:i/>
          <w:iCs/>
        </w:rPr>
        <w:t>Arch Surg</w:t>
      </w:r>
      <w:r>
        <w:rPr>
          <w:rFonts w:ascii="Book Antiqua" w:hAnsi="Book Antiqua"/>
        </w:rPr>
        <w:t xml:space="preserve"> 1974; </w:t>
      </w:r>
      <w:r>
        <w:rPr>
          <w:rFonts w:ascii="Book Antiqua" w:hAnsi="Book Antiqua"/>
          <w:b/>
          <w:bCs/>
        </w:rPr>
        <w:t>109</w:t>
      </w:r>
      <w:r>
        <w:rPr>
          <w:rFonts w:ascii="Book Antiqua" w:hAnsi="Book Antiqua"/>
        </w:rPr>
        <w:t>: 762-765 [PMID: 4420439 DOI: 10.1001/archsurg.1974.01360060032010]</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De Castro Barbosa JJ</w:t>
      </w:r>
      <w:r>
        <w:rPr>
          <w:rFonts w:ascii="Book Antiqua" w:hAnsi="Book Antiqua"/>
        </w:rPr>
        <w:t xml:space="preserve">, Dockerty MB, Waugh JM. Pancreatic heterotopia; review of the literature and report of 41 authenticated surgical cases, of which 25 were clinically significant. </w:t>
      </w:r>
      <w:r>
        <w:rPr>
          <w:rFonts w:ascii="Book Antiqua" w:hAnsi="Book Antiqua"/>
          <w:i/>
          <w:iCs/>
        </w:rPr>
        <w:t>Surg Gynecol Obstet</w:t>
      </w:r>
      <w:r>
        <w:rPr>
          <w:rFonts w:ascii="Book Antiqua" w:hAnsi="Book Antiqua"/>
        </w:rPr>
        <w:t xml:space="preserve"> 1946; </w:t>
      </w:r>
      <w:r>
        <w:rPr>
          <w:rFonts w:ascii="Book Antiqua" w:hAnsi="Book Antiqua"/>
          <w:b/>
          <w:bCs/>
        </w:rPr>
        <w:t>82</w:t>
      </w:r>
      <w:r>
        <w:rPr>
          <w:rFonts w:ascii="Book Antiqua" w:hAnsi="Book Antiqua"/>
        </w:rPr>
        <w:t>: 527-542 [PMID: 21024692]</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Aiura K</w:t>
      </w:r>
      <w:r>
        <w:rPr>
          <w:rFonts w:ascii="Book Antiqua" w:hAnsi="Book Antiqua"/>
        </w:rPr>
        <w:t xml:space="preserve">, Imaeda H, Kitajima M, Kumai K. Balloon-catheter-assisted endoscopic snare papillectomy for benign tumors of the major duodenal papilla. </w:t>
      </w:r>
      <w:r>
        <w:rPr>
          <w:rFonts w:ascii="Book Antiqua" w:hAnsi="Book Antiqua"/>
          <w:i/>
          <w:iCs/>
        </w:rPr>
        <w:t>Gastrointest Endosc</w:t>
      </w:r>
      <w:r>
        <w:rPr>
          <w:rFonts w:ascii="Book Antiqua" w:hAnsi="Book Antiqua"/>
        </w:rPr>
        <w:t xml:space="preserve"> 2003; </w:t>
      </w:r>
      <w:r>
        <w:rPr>
          <w:rFonts w:ascii="Book Antiqua" w:hAnsi="Book Antiqua"/>
          <w:b/>
          <w:bCs/>
        </w:rPr>
        <w:t>57</w:t>
      </w:r>
      <w:r>
        <w:rPr>
          <w:rFonts w:ascii="Book Antiqua" w:hAnsi="Book Antiqua"/>
        </w:rPr>
        <w:t>: 743-747 [PMID: 12709713 DOI: 10.1067/mge.2003.213]</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bookmarkStart w:id="0" w:name="OLE_LINK3"/>
      <w:r>
        <w:rPr>
          <w:rFonts w:ascii="Book Antiqua" w:hAnsi="Book Antiqua"/>
          <w:b/>
          <w:bCs/>
        </w:rPr>
        <w:t>von Heinrich H</w:t>
      </w:r>
      <w:r>
        <w:rPr>
          <w:rFonts w:ascii="Book Antiqua" w:hAnsi="Book Antiqua"/>
        </w:rPr>
        <w:t xml:space="preserve">. </w:t>
      </w:r>
      <w:bookmarkStart w:id="1" w:name="OLE_LINK2"/>
      <w:r>
        <w:rPr>
          <w:rFonts w:ascii="Book Antiqua" w:hAnsi="Book Antiqua"/>
        </w:rPr>
        <w:t>Ein Beitrag zur Histologie des sogen: Akzessorischen Pankreas</w:t>
      </w:r>
      <w:bookmarkEnd w:id="1"/>
      <w:r>
        <w:rPr>
          <w:rFonts w:ascii="Book Antiqua" w:hAnsi="Book Antiqua"/>
        </w:rPr>
        <w:t>.</w:t>
      </w:r>
      <w:bookmarkEnd w:id="0"/>
      <w:r>
        <w:rPr>
          <w:rFonts w:ascii="Book Antiqua" w:hAnsi="Book Antiqua"/>
        </w:rPr>
        <w:t xml:space="preserve"> </w:t>
      </w:r>
      <w:r>
        <w:rPr>
          <w:rFonts w:ascii="Book Antiqua" w:hAnsi="Book Antiqua"/>
          <w:i/>
          <w:iCs/>
        </w:rPr>
        <w:t>Virchows Arch A Pathol Anat Histopathol</w:t>
      </w:r>
      <w:r>
        <w:rPr>
          <w:rFonts w:ascii="Book Antiqua" w:hAnsi="Book Antiqua"/>
        </w:rPr>
        <w:t xml:space="preserve"> 1909; </w:t>
      </w:r>
      <w:r>
        <w:rPr>
          <w:rFonts w:ascii="Book Antiqua" w:hAnsi="Book Antiqua"/>
          <w:b/>
          <w:bCs/>
        </w:rPr>
        <w:t>198</w:t>
      </w:r>
      <w:r>
        <w:rPr>
          <w:rFonts w:ascii="Book Antiqua" w:hAnsi="Book Antiqua"/>
        </w:rPr>
        <w:t xml:space="preserve">: 392–401 [DOI: </w:t>
      </w:r>
      <w:bookmarkStart w:id="2" w:name="OLE_LINK4"/>
      <w:r>
        <w:rPr>
          <w:rFonts w:ascii="Book Antiqua" w:hAnsi="Book Antiqua"/>
        </w:rPr>
        <w:t>10.1007/BF02085327</w:t>
      </w:r>
      <w:bookmarkEnd w:id="2"/>
      <w:r>
        <w:rPr>
          <w:rFonts w:ascii="Book Antiqua" w:hAnsi="Book Antiqua"/>
        </w:rPr>
        <w:t>]</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Gaspar Fuentes A</w:t>
      </w:r>
      <w:r>
        <w:rPr>
          <w:rFonts w:ascii="Book Antiqua" w:hAnsi="Book Antiqua"/>
        </w:rPr>
        <w:t xml:space="preserve">, Campos Tarrech JM, Fernández Burgui JL, Castells Tejón E, Ruíz Rossello J, Gómez Pérez J, Armengol Miró J. [Pancreatic ectopias]. </w:t>
      </w:r>
      <w:r>
        <w:rPr>
          <w:rFonts w:ascii="Book Antiqua" w:hAnsi="Book Antiqua"/>
          <w:i/>
          <w:iCs/>
        </w:rPr>
        <w:t>Rev Esp Enferm Apar Dig</w:t>
      </w:r>
      <w:r>
        <w:rPr>
          <w:rFonts w:ascii="Book Antiqua" w:hAnsi="Book Antiqua"/>
        </w:rPr>
        <w:t xml:space="preserve"> 1973; </w:t>
      </w:r>
      <w:r>
        <w:rPr>
          <w:rFonts w:ascii="Book Antiqua" w:hAnsi="Book Antiqua"/>
          <w:b/>
          <w:bCs/>
        </w:rPr>
        <w:t>39</w:t>
      </w:r>
      <w:r>
        <w:rPr>
          <w:rFonts w:ascii="Book Antiqua" w:hAnsi="Book Antiqua"/>
        </w:rPr>
        <w:t xml:space="preserve">: 255-268 [PMID: </w:t>
      </w:r>
      <w:bookmarkStart w:id="3" w:name="OLE_LINK5"/>
      <w:r>
        <w:rPr>
          <w:rFonts w:ascii="Book Antiqua" w:hAnsi="Book Antiqua"/>
        </w:rPr>
        <w:t>4699117</w:t>
      </w:r>
      <w:bookmarkEnd w:id="3"/>
      <w:r>
        <w:rPr>
          <w:rFonts w:ascii="Book Antiqua" w:hAnsi="Book Antiqua"/>
        </w:rPr>
        <w:t>]</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bookmarkStart w:id="4" w:name="OLE_LINK6"/>
      <w:r>
        <w:rPr>
          <w:rFonts w:ascii="Book Antiqua" w:hAnsi="Book Antiqua"/>
          <w:b/>
          <w:bCs/>
        </w:rPr>
        <w:t>Dolzhikov AA,</w:t>
      </w:r>
      <w:r>
        <w:rPr>
          <w:rFonts w:ascii="Book Antiqua" w:hAnsi="Book Antiqua"/>
        </w:rPr>
        <w:t xml:space="preserve"> Tverskoi AV, Petrichko SA, Mukhina TS. </w:t>
      </w:r>
      <w:bookmarkStart w:id="5" w:name="OLE_LINK7"/>
      <w:r>
        <w:rPr>
          <w:rFonts w:ascii="Book Antiqua" w:hAnsi="Book Antiqua"/>
        </w:rPr>
        <w:t>Morphology of the ectopic pancreatic tissue in the major duodenal papilla</w:t>
      </w:r>
      <w:bookmarkEnd w:id="4"/>
      <w:bookmarkEnd w:id="5"/>
      <w:r>
        <w:rPr>
          <w:rFonts w:ascii="Book Antiqua" w:hAnsi="Book Antiqua"/>
        </w:rPr>
        <w:t xml:space="preserve">. </w:t>
      </w:r>
      <w:r>
        <w:rPr>
          <w:rFonts w:ascii="Book Antiqua" w:hAnsi="Book Antiqua"/>
          <w:i/>
          <w:iCs/>
        </w:rPr>
        <w:t>RJPBCS</w:t>
      </w:r>
      <w:r>
        <w:rPr>
          <w:rFonts w:ascii="Book Antiqua" w:hAnsi="Book Antiqua"/>
        </w:rPr>
        <w:t xml:space="preserve"> 2015; </w:t>
      </w:r>
      <w:r>
        <w:rPr>
          <w:rFonts w:ascii="Book Antiqua" w:hAnsi="Book Antiqua"/>
          <w:b/>
          <w:bCs/>
        </w:rPr>
        <w:t>6</w:t>
      </w:r>
      <w:r>
        <w:rPr>
          <w:rFonts w:ascii="Book Antiqua" w:hAnsi="Book Antiqua"/>
        </w:rPr>
        <w:t>: 172-177</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Hoelzer H</w:t>
      </w:r>
      <w:r>
        <w:rPr>
          <w:rFonts w:ascii="Book Antiqua" w:hAnsi="Book Antiqua"/>
        </w:rPr>
        <w:t xml:space="preserve">. </w:t>
      </w:r>
      <w:bookmarkStart w:id="6" w:name="OLE_LINK8"/>
      <w:r>
        <w:rPr>
          <w:rFonts w:ascii="Book Antiqua" w:hAnsi="Book Antiqua"/>
        </w:rPr>
        <w:t>An occlusion of Vater's Papilla by accessory pancreas</w:t>
      </w:r>
      <w:bookmarkEnd w:id="6"/>
      <w:r>
        <w:rPr>
          <w:rFonts w:ascii="Book Antiqua" w:hAnsi="Book Antiqua"/>
        </w:rPr>
        <w:t xml:space="preserve">. </w:t>
      </w:r>
      <w:r>
        <w:rPr>
          <w:rFonts w:ascii="Book Antiqua" w:hAnsi="Book Antiqua"/>
          <w:i/>
          <w:iCs/>
        </w:rPr>
        <w:t>Zentralbl Chir</w:t>
      </w:r>
      <w:r>
        <w:rPr>
          <w:rFonts w:ascii="Book Antiqua" w:hAnsi="Book Antiqua"/>
        </w:rPr>
        <w:t xml:space="preserve"> 1940; </w:t>
      </w:r>
      <w:r>
        <w:rPr>
          <w:rFonts w:ascii="Book Antiqua" w:hAnsi="Book Antiqua"/>
          <w:b/>
          <w:bCs/>
        </w:rPr>
        <w:t>67</w:t>
      </w:r>
      <w:r>
        <w:rPr>
          <w:rFonts w:ascii="Book Antiqua" w:hAnsi="Book Antiqua"/>
        </w:rPr>
        <w:t>: 1715-1717</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r>
        <w:rPr>
          <w:rFonts w:ascii="Book Antiqua" w:hAnsi="Book Antiqua"/>
          <w:b/>
          <w:bCs/>
        </w:rPr>
        <w:t>Mitchell N,</w:t>
      </w:r>
      <w:r>
        <w:rPr>
          <w:rFonts w:ascii="Book Antiqua" w:hAnsi="Book Antiqua"/>
        </w:rPr>
        <w:t xml:space="preserve"> Augrist A. </w:t>
      </w:r>
      <w:bookmarkStart w:id="7" w:name="OLE_LINK9"/>
      <w:r>
        <w:rPr>
          <w:rFonts w:ascii="Book Antiqua" w:hAnsi="Book Antiqua"/>
        </w:rPr>
        <w:t>Myoepithelial hamartoma of the gastrointestinal tract</w:t>
      </w:r>
      <w:bookmarkEnd w:id="7"/>
      <w:r>
        <w:rPr>
          <w:rFonts w:ascii="Book Antiqua" w:hAnsi="Book Antiqua"/>
        </w:rPr>
        <w:t xml:space="preserve">. </w:t>
      </w:r>
      <w:r>
        <w:rPr>
          <w:rFonts w:ascii="Book Antiqua" w:hAnsi="Book Antiqua"/>
          <w:i/>
          <w:iCs/>
        </w:rPr>
        <w:t>Ann Intern Med</w:t>
      </w:r>
      <w:r>
        <w:rPr>
          <w:rFonts w:ascii="Book Antiqua" w:hAnsi="Book Antiqua"/>
        </w:rPr>
        <w:t xml:space="preserve"> 1943; </w:t>
      </w:r>
      <w:r>
        <w:rPr>
          <w:rFonts w:ascii="Book Antiqua" w:hAnsi="Book Antiqua"/>
          <w:b/>
          <w:bCs/>
        </w:rPr>
        <w:t>19</w:t>
      </w:r>
      <w:r>
        <w:rPr>
          <w:rFonts w:ascii="Book Antiqua" w:hAnsi="Book Antiqua"/>
        </w:rPr>
        <w:t>: 952-964.</w:t>
      </w:r>
    </w:p>
    <w:p>
      <w:pPr>
        <w:adjustRightInd w:val="0"/>
        <w:snapToGrid w:val="0"/>
        <w:spacing w:line="360" w:lineRule="auto"/>
        <w:jc w:val="both"/>
        <w:rPr>
          <w:rFonts w:ascii="Book Antiqua" w:hAnsi="Book Antiqua"/>
        </w:rPr>
      </w:pPr>
      <w:r>
        <w:rPr>
          <w:rFonts w:ascii="Book Antiqua" w:hAnsi="Book Antiqua"/>
        </w:rPr>
        <w:t xml:space="preserve">9 </w:t>
      </w:r>
      <w:r>
        <w:rPr>
          <w:rFonts w:ascii="Book Antiqua" w:hAnsi="Book Antiqua" w:eastAsia="Book Antiqua" w:cs="Book Antiqua"/>
          <w:b/>
          <w:bCs/>
          <w:color w:val="000000"/>
        </w:rPr>
        <w:t>Varay A</w:t>
      </w:r>
      <w:r>
        <w:rPr>
          <w:rFonts w:ascii="Book Antiqua" w:hAnsi="Book Antiqua" w:eastAsia="Book Antiqua" w:cs="Book Antiqua"/>
          <w:color w:val="000000"/>
        </w:rPr>
        <w:t xml:space="preserve">. Microscopic epithelioma of Vater's ampulla. </w:t>
      </w:r>
      <w:r>
        <w:rPr>
          <w:rFonts w:ascii="Book Antiqua" w:hAnsi="Book Antiqua" w:eastAsia="Book Antiqua" w:cs="Book Antiqua"/>
          <w:i/>
          <w:iCs/>
          <w:color w:val="000000"/>
        </w:rPr>
        <w:t>Paris Med</w:t>
      </w:r>
      <w:r>
        <w:rPr>
          <w:rFonts w:ascii="Book Antiqua" w:hAnsi="Book Antiqua" w:eastAsia="Book Antiqua" w:cs="Book Antiqua"/>
          <w:color w:val="000000"/>
        </w:rPr>
        <w:t xml:space="preserve"> 1946; </w:t>
      </w:r>
      <w:r>
        <w:rPr>
          <w:rFonts w:ascii="Book Antiqua" w:hAnsi="Book Antiqua" w:eastAsia="Book Antiqua" w:cs="Book Antiqua"/>
          <w:b/>
          <w:bCs/>
          <w:color w:val="000000"/>
        </w:rPr>
        <w:t>1</w:t>
      </w:r>
      <w:r>
        <w:rPr>
          <w:rFonts w:ascii="Book Antiqua" w:hAnsi="Book Antiqua" w:eastAsia="Book Antiqua" w:cs="Book Antiqua"/>
          <w:color w:val="000000"/>
        </w:rPr>
        <w:t>:183</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Pearson S</w:t>
      </w:r>
      <w:r>
        <w:rPr>
          <w:rFonts w:ascii="Book Antiqua" w:hAnsi="Book Antiqua"/>
        </w:rPr>
        <w:t xml:space="preserve">. Aberrant pancreas. Review of the literature and report of three cases, one of which produced common and pancreatic duct obstruction. </w:t>
      </w:r>
      <w:r>
        <w:rPr>
          <w:rFonts w:ascii="Book Antiqua" w:hAnsi="Book Antiqua"/>
          <w:i/>
          <w:iCs/>
        </w:rPr>
        <w:t>AMA Arch Surg</w:t>
      </w:r>
      <w:r>
        <w:rPr>
          <w:rFonts w:ascii="Book Antiqua" w:hAnsi="Book Antiqua"/>
        </w:rPr>
        <w:t xml:space="preserve"> 1951; </w:t>
      </w:r>
      <w:r>
        <w:rPr>
          <w:rFonts w:ascii="Book Antiqua" w:hAnsi="Book Antiqua"/>
          <w:b/>
          <w:bCs/>
        </w:rPr>
        <w:t>63</w:t>
      </w:r>
      <w:r>
        <w:rPr>
          <w:rFonts w:ascii="Book Antiqua" w:hAnsi="Book Antiqua"/>
        </w:rPr>
        <w:t>: 168-186 [PMID: 14846476]</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r>
        <w:rPr>
          <w:rFonts w:ascii="Book Antiqua" w:hAnsi="Book Antiqua"/>
          <w:b/>
          <w:bCs/>
        </w:rPr>
        <w:t>Weber CM</w:t>
      </w:r>
      <w:r>
        <w:rPr>
          <w:rFonts w:ascii="Book Antiqua" w:hAnsi="Book Antiqua"/>
        </w:rPr>
        <w:t xml:space="preserve">, Zito PF, Becker SM. Heterotopic pancreas: an unusual cause of obstruction of the common bile duct. </w:t>
      </w:r>
      <w:r>
        <w:rPr>
          <w:rFonts w:ascii="Book Antiqua" w:hAnsi="Book Antiqua"/>
          <w:i/>
          <w:iCs/>
        </w:rPr>
        <w:t>Am J Gastroenterol</w:t>
      </w:r>
      <w:r>
        <w:rPr>
          <w:rFonts w:ascii="Book Antiqua" w:hAnsi="Book Antiqua"/>
        </w:rPr>
        <w:t xml:space="preserve"> 1968; </w:t>
      </w:r>
      <w:r>
        <w:rPr>
          <w:rFonts w:ascii="Book Antiqua" w:hAnsi="Book Antiqua"/>
          <w:b/>
          <w:bCs/>
        </w:rPr>
        <w:t>49</w:t>
      </w:r>
      <w:r>
        <w:rPr>
          <w:rFonts w:ascii="Book Antiqua" w:hAnsi="Book Antiqua"/>
        </w:rPr>
        <w:t>: 153-159 [PMID: 4867915]</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Vankemmel M,</w:t>
      </w:r>
      <w:r>
        <w:rPr>
          <w:rFonts w:ascii="Book Antiqua" w:hAnsi="Book Antiqua"/>
        </w:rPr>
        <w:t xml:space="preserve"> Houcke M. Ectopíc Pancreas of the Ampulla of Vater. In: Delmont J: The Sphincter of Oddi. 3rd Symposium, Nice, June 1976. Basel, Karger, 1977: 153-155 [DOI: 10.1159/000400308]</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Bill K</w:t>
      </w:r>
      <w:r>
        <w:rPr>
          <w:rFonts w:ascii="Book Antiqua" w:hAnsi="Book Antiqua"/>
        </w:rPr>
        <w:t xml:space="preserve">, Belber JP, Carson JW. Adenomyoma (pancreatic heterotopia) of the duodenum producing common bile duct obstruction. </w:t>
      </w:r>
      <w:r>
        <w:rPr>
          <w:rFonts w:ascii="Book Antiqua" w:hAnsi="Book Antiqua"/>
          <w:i/>
          <w:iCs/>
        </w:rPr>
        <w:t>Gastrointest Endosc</w:t>
      </w:r>
      <w:r>
        <w:rPr>
          <w:rFonts w:ascii="Book Antiqua" w:hAnsi="Book Antiqua"/>
        </w:rPr>
        <w:t xml:space="preserve"> 1982; </w:t>
      </w:r>
      <w:r>
        <w:rPr>
          <w:rFonts w:ascii="Book Antiqua" w:hAnsi="Book Antiqua"/>
          <w:b/>
          <w:bCs/>
        </w:rPr>
        <w:t>28</w:t>
      </w:r>
      <w:r>
        <w:rPr>
          <w:rFonts w:ascii="Book Antiqua" w:hAnsi="Book Antiqua"/>
        </w:rPr>
        <w:t>: 182-184 [PMID: 7129042 DOI: 10.1016/s0016-5107(82)73049-4]</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O'Reilly DJ</w:t>
      </w:r>
      <w:r>
        <w:rPr>
          <w:rFonts w:ascii="Book Antiqua" w:hAnsi="Book Antiqua"/>
        </w:rPr>
        <w:t xml:space="preserve">, Craig RM, Lorenzo G, Yokoo H. Heterotopic pancreas mimicking carcinoma of the head of the pancreas: a rare cause of obstructive jaundice. </w:t>
      </w:r>
      <w:r>
        <w:rPr>
          <w:rFonts w:ascii="Book Antiqua" w:hAnsi="Book Antiqua"/>
          <w:i/>
          <w:iCs/>
        </w:rPr>
        <w:t>J Clin Gastroenterol</w:t>
      </w:r>
      <w:r>
        <w:rPr>
          <w:rFonts w:ascii="Book Antiqua" w:hAnsi="Book Antiqua"/>
        </w:rPr>
        <w:t xml:space="preserve"> 1983; </w:t>
      </w:r>
      <w:r>
        <w:rPr>
          <w:rFonts w:ascii="Book Antiqua" w:hAnsi="Book Antiqua"/>
          <w:b/>
          <w:bCs/>
        </w:rPr>
        <w:t>5</w:t>
      </w:r>
      <w:r>
        <w:rPr>
          <w:rFonts w:ascii="Book Antiqua" w:hAnsi="Book Antiqua"/>
        </w:rPr>
        <w:t>: 165-168 [PMID: 6853990 DOI: 10.1097/00004836-198304000-00014]</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15 </w:t>
      </w:r>
      <w:r>
        <w:rPr>
          <w:rFonts w:ascii="Book Antiqua" w:hAnsi="Book Antiqua"/>
          <w:b/>
          <w:bCs/>
        </w:rPr>
        <w:t>Laughlin EH</w:t>
      </w:r>
      <w:r>
        <w:rPr>
          <w:rFonts w:ascii="Book Antiqua" w:hAnsi="Book Antiqua"/>
        </w:rPr>
        <w:t xml:space="preserve">, Keown ME, Jackson JE. Heterotopic pancreas obstructing the ampulla of Vater. </w:t>
      </w:r>
      <w:r>
        <w:rPr>
          <w:rFonts w:ascii="Book Antiqua" w:hAnsi="Book Antiqua"/>
          <w:i/>
          <w:iCs/>
        </w:rPr>
        <w:t>Arch Surg</w:t>
      </w:r>
      <w:r>
        <w:rPr>
          <w:rFonts w:ascii="Book Antiqua" w:hAnsi="Book Antiqua"/>
        </w:rPr>
        <w:t xml:space="preserve"> 1983; </w:t>
      </w:r>
      <w:r>
        <w:rPr>
          <w:rFonts w:ascii="Book Antiqua" w:hAnsi="Book Antiqua"/>
          <w:b/>
          <w:bCs/>
        </w:rPr>
        <w:t>118</w:t>
      </w:r>
      <w:r>
        <w:rPr>
          <w:rFonts w:ascii="Book Antiqua" w:hAnsi="Book Antiqua"/>
        </w:rPr>
        <w:t>: 979-980 [PMID: 6870529 DOI: 10.1001/archsurg.1983.01390080081020]</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bookmarkStart w:id="8" w:name="OLE_LINK10"/>
      <w:r>
        <w:rPr>
          <w:rFonts w:ascii="Book Antiqua" w:hAnsi="Book Antiqua"/>
          <w:b/>
          <w:bCs/>
        </w:rPr>
        <w:t>Xu S</w:t>
      </w:r>
      <w:r>
        <w:rPr>
          <w:rFonts w:ascii="Book Antiqua" w:hAnsi="Book Antiqua"/>
        </w:rPr>
        <w:t xml:space="preserve">. </w:t>
      </w:r>
      <w:bookmarkStart w:id="9" w:name="OLE_LINK11"/>
      <w:r>
        <w:rPr>
          <w:rFonts w:ascii="Book Antiqua" w:hAnsi="Book Antiqua"/>
        </w:rPr>
        <w:t xml:space="preserve">A report of 6 cases of heterotopic pancreas in the lower part of the common bile duct. </w:t>
      </w:r>
      <w:bookmarkEnd w:id="8"/>
      <w:bookmarkEnd w:id="9"/>
      <w:r>
        <w:rPr>
          <w:rFonts w:ascii="Book Antiqua" w:hAnsi="Book Antiqua"/>
          <w:i/>
          <w:iCs/>
        </w:rPr>
        <w:t>Zhongguo Waike Zazhi</w:t>
      </w:r>
      <w:r>
        <w:rPr>
          <w:rFonts w:ascii="Book Antiqua" w:hAnsi="Book Antiqua"/>
        </w:rPr>
        <w:t xml:space="preserve"> 1991; </w:t>
      </w:r>
      <w:r>
        <w:rPr>
          <w:rFonts w:ascii="Book Antiqua" w:hAnsi="Book Antiqua"/>
          <w:b/>
          <w:bCs/>
        </w:rPr>
        <w:t>299</w:t>
      </w:r>
      <w:r>
        <w:rPr>
          <w:rFonts w:ascii="Book Antiqua" w:hAnsi="Book Antiqua"/>
        </w:rPr>
        <w:t>: 564-565</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Kubota K</w:t>
      </w:r>
      <w:r>
        <w:rPr>
          <w:rFonts w:ascii="Book Antiqua" w:hAnsi="Book Antiqua"/>
        </w:rPr>
        <w:t xml:space="preserve">, Bandai Y, Watanabe M, Toyoda H, Oka T, Makuuchi M. Biliary stricture due to mucosal hyperplasia of the common bile duct: a case report. </w:t>
      </w:r>
      <w:r>
        <w:rPr>
          <w:rFonts w:ascii="Book Antiqua" w:hAnsi="Book Antiqua"/>
          <w:i/>
          <w:iCs/>
        </w:rPr>
        <w:t>Hepatogastroenterology</w:t>
      </w:r>
      <w:r>
        <w:rPr>
          <w:rFonts w:ascii="Book Antiqua" w:hAnsi="Book Antiqua"/>
        </w:rPr>
        <w:t xml:space="preserve"> 1996; </w:t>
      </w:r>
      <w:r>
        <w:rPr>
          <w:rFonts w:ascii="Book Antiqua" w:hAnsi="Book Antiqua"/>
          <w:b/>
          <w:bCs/>
        </w:rPr>
        <w:t>43</w:t>
      </w:r>
      <w:r>
        <w:rPr>
          <w:rFonts w:ascii="Book Antiqua" w:hAnsi="Book Antiqua"/>
        </w:rPr>
        <w:t>: 147-151 [PMID: 8682451]</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Hammarström LE</w:t>
      </w:r>
      <w:r>
        <w:rPr>
          <w:rFonts w:ascii="Book Antiqua" w:hAnsi="Book Antiqua"/>
        </w:rPr>
        <w:t xml:space="preserve">, Nordgren H. Ectopic pancreas of the ampulla of Vater. </w:t>
      </w:r>
      <w:r>
        <w:rPr>
          <w:rFonts w:ascii="Book Antiqua" w:hAnsi="Book Antiqua"/>
          <w:i/>
          <w:iCs/>
        </w:rPr>
        <w:t>Endoscopy</w:t>
      </w:r>
      <w:r>
        <w:rPr>
          <w:rFonts w:ascii="Book Antiqua" w:hAnsi="Book Antiqua"/>
        </w:rPr>
        <w:t xml:space="preserve"> 1999; </w:t>
      </w:r>
      <w:r>
        <w:rPr>
          <w:rFonts w:ascii="Book Antiqua" w:hAnsi="Book Antiqua"/>
          <w:b/>
          <w:bCs/>
        </w:rPr>
        <w:t>31</w:t>
      </w:r>
      <w:r>
        <w:rPr>
          <w:rFonts w:ascii="Book Antiqua" w:hAnsi="Book Antiqua"/>
        </w:rPr>
        <w:t>: S67 [PMID: 10604636]</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r>
        <w:rPr>
          <w:rFonts w:ascii="Book Antiqua" w:hAnsi="Book Antiqua"/>
          <w:b/>
          <w:bCs/>
        </w:rPr>
        <w:t>Molinari M</w:t>
      </w:r>
      <w:r>
        <w:rPr>
          <w:rFonts w:ascii="Book Antiqua" w:hAnsi="Book Antiqua"/>
        </w:rPr>
        <w:t xml:space="preserve">, Ong A, Farolan MJ, Helton WS, Espat NJ. Pancreatic heterotopia and other uncommon causes of non-malignant biliary obstruction. </w:t>
      </w:r>
      <w:r>
        <w:rPr>
          <w:rFonts w:ascii="Book Antiqua" w:hAnsi="Book Antiqua"/>
          <w:i/>
          <w:iCs/>
        </w:rPr>
        <w:t>Surg Oncol</w:t>
      </w:r>
      <w:r>
        <w:rPr>
          <w:rFonts w:ascii="Book Antiqua" w:hAnsi="Book Antiqua"/>
        </w:rPr>
        <w:t xml:space="preserve"> 2000; </w:t>
      </w:r>
      <w:r>
        <w:rPr>
          <w:rFonts w:ascii="Book Antiqua" w:hAnsi="Book Antiqua"/>
          <w:b/>
          <w:bCs/>
        </w:rPr>
        <w:t>9</w:t>
      </w:r>
      <w:r>
        <w:rPr>
          <w:rFonts w:ascii="Book Antiqua" w:hAnsi="Book Antiqua"/>
        </w:rPr>
        <w:t>: 135-142 [PMID: 11356342 DOI: 10.1016/s0960-7404(00)00036-0]</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Chen CH</w:t>
      </w:r>
      <w:r>
        <w:rPr>
          <w:rFonts w:ascii="Book Antiqua" w:hAnsi="Book Antiqua"/>
        </w:rPr>
        <w:t xml:space="preserve">, Yang CC, Yeh YH, Chou DA, Kuo CL. Ectopic pancreas located in the major duodenal papilla: case report and review. </w:t>
      </w:r>
      <w:r>
        <w:rPr>
          <w:rFonts w:ascii="Book Antiqua" w:hAnsi="Book Antiqua"/>
          <w:i/>
          <w:iCs/>
        </w:rPr>
        <w:t>Gastrointest Endosc</w:t>
      </w:r>
      <w:r>
        <w:rPr>
          <w:rFonts w:ascii="Book Antiqua" w:hAnsi="Book Antiqua"/>
        </w:rPr>
        <w:t xml:space="preserve"> 2001; </w:t>
      </w:r>
      <w:r>
        <w:rPr>
          <w:rFonts w:ascii="Book Antiqua" w:hAnsi="Book Antiqua"/>
          <w:b/>
          <w:bCs/>
        </w:rPr>
        <w:t>53</w:t>
      </w:r>
      <w:r>
        <w:rPr>
          <w:rFonts w:ascii="Book Antiqua" w:hAnsi="Book Antiqua"/>
        </w:rPr>
        <w:t>: 121-123 [PMID: 11154509 DOI: 10.1067/mge.2001.111396]</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Contini S</w:t>
      </w:r>
      <w:r>
        <w:rPr>
          <w:rFonts w:ascii="Book Antiqua" w:hAnsi="Book Antiqua"/>
        </w:rPr>
        <w:t xml:space="preserve">, Zinicola R, Bonati L, Caruana P. Heterotopic pancreas in the ampulla of Vater. </w:t>
      </w:r>
      <w:r>
        <w:rPr>
          <w:rFonts w:ascii="Book Antiqua" w:hAnsi="Book Antiqua"/>
          <w:i/>
          <w:iCs/>
        </w:rPr>
        <w:t>Minerva Chir</w:t>
      </w:r>
      <w:r>
        <w:rPr>
          <w:rFonts w:ascii="Book Antiqua" w:hAnsi="Book Antiqua"/>
        </w:rPr>
        <w:t xml:space="preserve"> 2003; </w:t>
      </w:r>
      <w:r>
        <w:rPr>
          <w:rFonts w:ascii="Book Antiqua" w:hAnsi="Book Antiqua"/>
          <w:b/>
          <w:bCs/>
        </w:rPr>
        <w:t>58</w:t>
      </w:r>
      <w:r>
        <w:rPr>
          <w:rFonts w:ascii="Book Antiqua" w:hAnsi="Book Antiqua"/>
        </w:rPr>
        <w:t>: 405-408 [PMID: 12955065]</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Obermaier R</w:t>
      </w:r>
      <w:r>
        <w:rPr>
          <w:rFonts w:ascii="Book Antiqua" w:hAnsi="Book Antiqua"/>
        </w:rPr>
        <w:t xml:space="preserve">, Walch A, Kurtz C, von Dobschuetz E, Adam U, Neeff H, Benz S, Hopt UT. Heterotopic pancreatitis with obstruction of the major duodenal papill--a rare trigger of obstructive orthotopic pancreatitis. </w:t>
      </w:r>
      <w:r>
        <w:rPr>
          <w:rFonts w:ascii="Book Antiqua" w:hAnsi="Book Antiqua"/>
          <w:i/>
          <w:iCs/>
        </w:rPr>
        <w:t>Pancreatology</w:t>
      </w:r>
      <w:r>
        <w:rPr>
          <w:rFonts w:ascii="Book Antiqua" w:hAnsi="Book Antiqua"/>
        </w:rPr>
        <w:t xml:space="preserve"> 2004; </w:t>
      </w:r>
      <w:r>
        <w:rPr>
          <w:rFonts w:ascii="Book Antiqua" w:hAnsi="Book Antiqua"/>
          <w:b/>
          <w:bCs/>
        </w:rPr>
        <w:t>4</w:t>
      </w:r>
      <w:r>
        <w:rPr>
          <w:rFonts w:ascii="Book Antiqua" w:hAnsi="Book Antiqua"/>
        </w:rPr>
        <w:t>: 244-248 [PMID: 15148443 DOI: 10.1159/000078435]</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Wagle PK</w:t>
      </w:r>
      <w:r>
        <w:rPr>
          <w:rFonts w:ascii="Book Antiqua" w:hAnsi="Book Antiqua"/>
        </w:rPr>
        <w:t xml:space="preserve">, Shetty GS, Sampat M, Patel K. Ectopic pancreatic tissue mimicking ampullary tumor. </w:t>
      </w:r>
      <w:r>
        <w:rPr>
          <w:rFonts w:ascii="Book Antiqua" w:hAnsi="Book Antiqua"/>
          <w:i/>
          <w:iCs/>
        </w:rPr>
        <w:t>Indian J Gastroenterol</w:t>
      </w:r>
      <w:r>
        <w:rPr>
          <w:rFonts w:ascii="Book Antiqua" w:hAnsi="Book Antiqua"/>
        </w:rPr>
        <w:t xml:space="preserve"> 2005; </w:t>
      </w:r>
      <w:r>
        <w:rPr>
          <w:rFonts w:ascii="Book Antiqua" w:hAnsi="Book Antiqua"/>
          <w:b/>
          <w:bCs/>
        </w:rPr>
        <w:t>24</w:t>
      </w:r>
      <w:r>
        <w:rPr>
          <w:rFonts w:ascii="Book Antiqua" w:hAnsi="Book Antiqua"/>
        </w:rPr>
        <w:t>: 265-266 [PMID: 16424630]</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Filippou DK</w:t>
      </w:r>
      <w:r>
        <w:rPr>
          <w:rFonts w:ascii="Book Antiqua" w:hAnsi="Book Antiqua"/>
        </w:rPr>
        <w:t xml:space="preserve">, Vezakis A, Filippou G, Condilis N, Rizos S, Skandalakis P. A rare case of ectopic pancreas in the ampulla of Vater presented with obstructive jaundice. </w:t>
      </w:r>
      <w:r>
        <w:rPr>
          <w:rFonts w:ascii="Book Antiqua" w:hAnsi="Book Antiqua"/>
          <w:i/>
          <w:iCs/>
        </w:rPr>
        <w:t>Ann Ital Chir</w:t>
      </w:r>
      <w:r>
        <w:rPr>
          <w:rFonts w:ascii="Book Antiqua" w:hAnsi="Book Antiqua"/>
        </w:rPr>
        <w:t xml:space="preserve"> 2006; </w:t>
      </w:r>
      <w:r>
        <w:rPr>
          <w:rFonts w:ascii="Book Antiqua" w:hAnsi="Book Antiqua"/>
          <w:b/>
          <w:bCs/>
        </w:rPr>
        <w:t>77</w:t>
      </w:r>
      <w:r>
        <w:rPr>
          <w:rFonts w:ascii="Book Antiqua" w:hAnsi="Book Antiqua"/>
        </w:rPr>
        <w:t>: 517-519 [PMID: 17343237]</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Karahan OI</w:t>
      </w:r>
      <w:r>
        <w:rPr>
          <w:rFonts w:ascii="Book Antiqua" w:hAnsi="Book Antiqua"/>
        </w:rPr>
        <w:t>, Kahriman G, Soyuer I, Arti</w:t>
      </w:r>
      <w:r>
        <w:rPr>
          <w:rFonts w:ascii="Book Antiqua" w:hAnsi="Book Antiqua" w:cs="Cambria"/>
        </w:rPr>
        <w:t>ş</w:t>
      </w:r>
      <w:r>
        <w:rPr>
          <w:rFonts w:ascii="Book Antiqua" w:hAnsi="Book Antiqua"/>
        </w:rPr>
        <w:t xml:space="preserve"> T, Comu NB. MR cholangiopancreatography findings of heterotopic pancreatic tissue in the distal common bile duct. </w:t>
      </w:r>
      <w:r>
        <w:rPr>
          <w:rFonts w:ascii="Book Antiqua" w:hAnsi="Book Antiqua"/>
          <w:i/>
          <w:iCs/>
        </w:rPr>
        <w:t>Diagn Interv Radiol</w:t>
      </w:r>
      <w:r>
        <w:rPr>
          <w:rFonts w:ascii="Book Antiqua" w:hAnsi="Book Antiqua"/>
        </w:rPr>
        <w:t xml:space="preserve"> 2006; </w:t>
      </w:r>
      <w:r>
        <w:rPr>
          <w:rFonts w:ascii="Book Antiqua" w:hAnsi="Book Antiqua"/>
          <w:b/>
          <w:bCs/>
        </w:rPr>
        <w:t>12</w:t>
      </w:r>
      <w:r>
        <w:rPr>
          <w:rFonts w:ascii="Book Antiqua" w:hAnsi="Book Antiqua"/>
        </w:rPr>
        <w:t>: 180-182 [PMID: 17160801]</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Biswas A</w:t>
      </w:r>
      <w:r>
        <w:rPr>
          <w:rFonts w:ascii="Book Antiqua" w:hAnsi="Book Antiqua"/>
        </w:rPr>
        <w:t xml:space="preserve">, Husain EA, Feakins RM, Abraham AT. Heterotopic pancreas mimicking cholangiocarcinoma. Case report and literature review. </w:t>
      </w:r>
      <w:r>
        <w:rPr>
          <w:rFonts w:ascii="Book Antiqua" w:hAnsi="Book Antiqua"/>
          <w:i/>
          <w:iCs/>
        </w:rPr>
        <w:t>JOP</w:t>
      </w:r>
      <w:r>
        <w:rPr>
          <w:rFonts w:ascii="Book Antiqua" w:hAnsi="Book Antiqua"/>
        </w:rPr>
        <w:t xml:space="preserve"> 2007; </w:t>
      </w:r>
      <w:r>
        <w:rPr>
          <w:rFonts w:ascii="Book Antiqua" w:hAnsi="Book Antiqua"/>
          <w:b/>
          <w:bCs/>
        </w:rPr>
        <w:t>8</w:t>
      </w:r>
      <w:r>
        <w:rPr>
          <w:rFonts w:ascii="Book Antiqua" w:hAnsi="Book Antiqua"/>
        </w:rPr>
        <w:t>: 28-34 [PMID: 17228130]</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Hsu SD</w:t>
      </w:r>
      <w:r>
        <w:rPr>
          <w:rFonts w:ascii="Book Antiqua" w:hAnsi="Book Antiqua"/>
        </w:rPr>
        <w:t xml:space="preserve">, Chan DC, Hsieh HF, Chen TW, Yu JC, Chou SJ. Ectopic pancreas presenting as ampulla of Vater tumor. </w:t>
      </w:r>
      <w:r>
        <w:rPr>
          <w:rFonts w:ascii="Book Antiqua" w:hAnsi="Book Antiqua"/>
          <w:i/>
          <w:iCs/>
        </w:rPr>
        <w:t>Am J Surg</w:t>
      </w:r>
      <w:r>
        <w:rPr>
          <w:rFonts w:ascii="Book Antiqua" w:hAnsi="Book Antiqua"/>
        </w:rPr>
        <w:t xml:space="preserve"> 2008; </w:t>
      </w:r>
      <w:r>
        <w:rPr>
          <w:rFonts w:ascii="Book Antiqua" w:hAnsi="Book Antiqua"/>
          <w:b/>
          <w:bCs/>
        </w:rPr>
        <w:t>195</w:t>
      </w:r>
      <w:r>
        <w:rPr>
          <w:rFonts w:ascii="Book Antiqua" w:hAnsi="Book Antiqua"/>
        </w:rPr>
        <w:t>: 498-500 [PMID: 18304504 DOI: 10.1016/j.amjsurg.2007.01.043]</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Rao RN</w:t>
      </w:r>
      <w:r>
        <w:rPr>
          <w:rFonts w:ascii="Book Antiqua" w:hAnsi="Book Antiqua"/>
        </w:rPr>
        <w:t xml:space="preserve">, Kamlesh Y, Pallav G, Singla N. Ectopic pancreas presenting as periampullary tumor with obstructive jaundice and pruritus is a rare diagnostic and therapeutic dilemma. A case report. </w:t>
      </w:r>
      <w:r>
        <w:rPr>
          <w:rFonts w:ascii="Book Antiqua" w:hAnsi="Book Antiqua"/>
          <w:i/>
          <w:iCs/>
        </w:rPr>
        <w:t>JOP</w:t>
      </w:r>
      <w:r>
        <w:rPr>
          <w:rFonts w:ascii="Book Antiqua" w:hAnsi="Book Antiqua"/>
        </w:rPr>
        <w:t xml:space="preserve"> 2011; </w:t>
      </w:r>
      <w:r>
        <w:rPr>
          <w:rFonts w:ascii="Book Antiqua" w:hAnsi="Book Antiqua"/>
          <w:b/>
          <w:bCs/>
        </w:rPr>
        <w:t>12</w:t>
      </w:r>
      <w:r>
        <w:rPr>
          <w:rFonts w:ascii="Book Antiqua" w:hAnsi="Book Antiqua"/>
        </w:rPr>
        <w:t>: 607-609 [PMID: 22072252]</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Ciesielski K,</w:t>
      </w:r>
      <w:r>
        <w:rPr>
          <w:rFonts w:ascii="Book Antiqua" w:hAnsi="Book Antiqua"/>
        </w:rPr>
        <w:t xml:space="preserve"> Ciesielski W, Rogowski-Tylman A. Obstruction of the ampulla of Vater and jaundice caused by focal ectopic pancreas. </w:t>
      </w:r>
      <w:r>
        <w:rPr>
          <w:rFonts w:ascii="Book Antiqua" w:hAnsi="Book Antiqua"/>
          <w:i/>
          <w:iCs/>
        </w:rPr>
        <w:t xml:space="preserve">Pediatr Med Rodz </w:t>
      </w:r>
      <w:r>
        <w:rPr>
          <w:rFonts w:ascii="Book Antiqua" w:hAnsi="Book Antiqua"/>
        </w:rPr>
        <w:t xml:space="preserve">2015; </w:t>
      </w:r>
      <w:r>
        <w:rPr>
          <w:rFonts w:ascii="Book Antiqua" w:hAnsi="Book Antiqua"/>
          <w:b/>
          <w:bCs/>
        </w:rPr>
        <w:t>11</w:t>
      </w:r>
      <w:r>
        <w:rPr>
          <w:rFonts w:ascii="Book Antiqua" w:hAnsi="Book Antiqua"/>
        </w:rPr>
        <w:t>: 227–230</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30 </w:t>
      </w:r>
      <w:r>
        <w:rPr>
          <w:rFonts w:ascii="Book Antiqua" w:hAnsi="Book Antiqua"/>
          <w:b/>
          <w:bCs/>
        </w:rPr>
        <w:t>Kang GE,</w:t>
      </w:r>
      <w:r>
        <w:rPr>
          <w:rFonts w:ascii="Book Antiqua" w:hAnsi="Book Antiqua"/>
        </w:rPr>
        <w:t xml:space="preserve"> Kim H, Lee JK, Kim DH, Jeong BN, Jang JH, Yeo SM, Sohn KR. Simultaneous manifestation of gangliocytic paraganglioma and heterotopic pancreas of ampulla of Vater treated by endoscopic resection. </w:t>
      </w:r>
      <w:r>
        <w:rPr>
          <w:rFonts w:ascii="Book Antiqua" w:hAnsi="Book Antiqua"/>
          <w:i/>
          <w:iCs/>
        </w:rPr>
        <w:t>Korean J Pancreas Biliary Tract</w:t>
      </w:r>
      <w:r>
        <w:rPr>
          <w:rFonts w:ascii="Book Antiqua" w:hAnsi="Book Antiqua"/>
        </w:rPr>
        <w:t xml:space="preserve"> 2016; </w:t>
      </w:r>
      <w:r>
        <w:rPr>
          <w:rFonts w:ascii="Book Antiqua" w:hAnsi="Book Antiqua"/>
          <w:b/>
          <w:bCs/>
        </w:rPr>
        <w:t>21</w:t>
      </w:r>
      <w:r>
        <w:rPr>
          <w:rFonts w:ascii="Book Antiqua" w:hAnsi="Book Antiqua"/>
        </w:rPr>
        <w:t>: 232-238</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Nari G,</w:t>
      </w:r>
      <w:r>
        <w:rPr>
          <w:rFonts w:ascii="Book Antiqua" w:hAnsi="Book Antiqua"/>
        </w:rPr>
        <w:t xml:space="preserve"> Mariot D, Lucero P, Romero L, Elias E, Arce KD. Ectopic pancreas in the major duodenal papilla mimicking ampulloma. </w:t>
      </w:r>
      <w:r>
        <w:rPr>
          <w:rFonts w:ascii="Book Antiqua" w:hAnsi="Book Antiqua"/>
          <w:i/>
          <w:iCs/>
        </w:rPr>
        <w:t>Trends in Res</w:t>
      </w:r>
      <w:r>
        <w:rPr>
          <w:rFonts w:ascii="Book Antiqua" w:hAnsi="Book Antiqua"/>
        </w:rPr>
        <w:t xml:space="preserve"> 2019; </w:t>
      </w:r>
      <w:r>
        <w:rPr>
          <w:rFonts w:ascii="Book Antiqua" w:hAnsi="Book Antiqua"/>
          <w:b/>
          <w:bCs/>
        </w:rPr>
        <w:t>2</w:t>
      </w:r>
      <w:r>
        <w:rPr>
          <w:rFonts w:ascii="Book Antiqua" w:hAnsi="Book Antiqua"/>
        </w:rPr>
        <w:t>: 1-2</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ASGE Standards of Practice Committee.</w:t>
      </w:r>
      <w:r>
        <w:rPr>
          <w:rFonts w:ascii="Book Antiqua" w:hAnsi="Book Antiqua"/>
        </w:rPr>
        <w:t xml:space="preserve">, Chathadi KV, Khashab MA, Acosta RD, Chandrasekhara V, Eloubeidi MA, Faulx AL, Fonkalsrud L, Lightdale JR, Salztman JR, Shaukat A, Wang A, Cash BD, DeWitt JM. The role of endoscopy in ampullary and duodenal adenomas. </w:t>
      </w:r>
      <w:r>
        <w:rPr>
          <w:rFonts w:ascii="Book Antiqua" w:hAnsi="Book Antiqua"/>
          <w:i/>
          <w:iCs/>
        </w:rPr>
        <w:t>Gastrointest Endosc</w:t>
      </w:r>
      <w:r>
        <w:rPr>
          <w:rFonts w:ascii="Book Antiqua" w:hAnsi="Book Antiqua"/>
        </w:rPr>
        <w:t xml:space="preserve"> 2015; </w:t>
      </w:r>
      <w:r>
        <w:rPr>
          <w:rFonts w:ascii="Book Antiqua" w:hAnsi="Book Antiqua"/>
          <w:b/>
          <w:bCs/>
        </w:rPr>
        <w:t>82</w:t>
      </w:r>
      <w:r>
        <w:rPr>
          <w:rFonts w:ascii="Book Antiqua" w:hAnsi="Book Antiqua"/>
        </w:rPr>
        <w:t>: 773-781 [PMID: 26260385 DOI: 10.1016/j.gie.2015.06.027]</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33 </w:t>
      </w:r>
      <w:r>
        <w:rPr>
          <w:rFonts w:ascii="Book Antiqua" w:hAnsi="Book Antiqua"/>
          <w:b/>
          <w:bCs/>
        </w:rPr>
        <w:t>Tanaka S</w:t>
      </w:r>
      <w:r>
        <w:rPr>
          <w:rFonts w:ascii="Book Antiqua" w:hAnsi="Book Antiqua"/>
        </w:rPr>
        <w:t xml:space="preserve">, Goubaru M, Ohnishi A, Takahashi H, Takayama H, Nagahara T, Iwamuro M, Horiguchi S, Ohta T, Murakami I. Duodenal duplication cyst of the ampulla of Vater. </w:t>
      </w:r>
      <w:r>
        <w:rPr>
          <w:rFonts w:ascii="Book Antiqua" w:hAnsi="Book Antiqua"/>
          <w:i/>
          <w:iCs/>
        </w:rPr>
        <w:t>Intern Med</w:t>
      </w:r>
      <w:r>
        <w:rPr>
          <w:rFonts w:ascii="Book Antiqua" w:hAnsi="Book Antiqua"/>
        </w:rPr>
        <w:t xml:space="preserve"> 2007; </w:t>
      </w:r>
      <w:r>
        <w:rPr>
          <w:rFonts w:ascii="Book Antiqua" w:hAnsi="Book Antiqua"/>
          <w:b/>
          <w:bCs/>
        </w:rPr>
        <w:t>46</w:t>
      </w:r>
      <w:r>
        <w:rPr>
          <w:rFonts w:ascii="Book Antiqua" w:hAnsi="Book Antiqua"/>
        </w:rPr>
        <w:t>: 1979-1982 [PMID: 18084120 DOI: 10.2169/internalmedicine.46.0451]</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Kwak JW</w:t>
      </w:r>
      <w:r>
        <w:rPr>
          <w:rFonts w:ascii="Book Antiqua" w:hAnsi="Book Antiqua"/>
        </w:rPr>
        <w:t xml:space="preserve">, Paik CN, Jung SH, Chang UI, Lee KM, Chung WC, Yoo JY, Yang JM. An inflammatory myofibroblastic tumor of the ampulla of vater successfully managed with endoscopic papillectomy: report of a case. </w:t>
      </w:r>
      <w:r>
        <w:rPr>
          <w:rFonts w:ascii="Book Antiqua" w:hAnsi="Book Antiqua"/>
          <w:i/>
          <w:iCs/>
        </w:rPr>
        <w:t>Gut Liver</w:t>
      </w:r>
      <w:r>
        <w:rPr>
          <w:rFonts w:ascii="Book Antiqua" w:hAnsi="Book Antiqua"/>
        </w:rPr>
        <w:t xml:space="preserve"> 2010; </w:t>
      </w:r>
      <w:r>
        <w:rPr>
          <w:rFonts w:ascii="Book Antiqua" w:hAnsi="Book Antiqua"/>
          <w:b/>
          <w:bCs/>
        </w:rPr>
        <w:t>4</w:t>
      </w:r>
      <w:r>
        <w:rPr>
          <w:rFonts w:ascii="Book Antiqua" w:hAnsi="Book Antiqua"/>
        </w:rPr>
        <w:t>: 419-422 [PMID: 20981226 DOI: 10.5009/gnl.2010.4.3.419]</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35 </w:t>
      </w:r>
      <w:r>
        <w:rPr>
          <w:rFonts w:ascii="Book Antiqua" w:hAnsi="Book Antiqua"/>
          <w:b/>
          <w:bCs/>
        </w:rPr>
        <w:t>Gottschalk U</w:t>
      </w:r>
      <w:r>
        <w:rPr>
          <w:rFonts w:ascii="Book Antiqua" w:hAnsi="Book Antiqua"/>
        </w:rPr>
        <w:t xml:space="preserve">, Dietrich CF, Jenssen C. Ectopic pancreas in the upper gastrointestinal tract: Is endosonographic diagnosis reliable? Data from the German Endoscopic Ultrasound Registry and review of the literature. </w:t>
      </w:r>
      <w:r>
        <w:rPr>
          <w:rFonts w:ascii="Book Antiqua" w:hAnsi="Book Antiqua"/>
          <w:i/>
          <w:iCs/>
        </w:rPr>
        <w:t>Endosc Ultrasound</w:t>
      </w:r>
      <w:r>
        <w:rPr>
          <w:rFonts w:ascii="Book Antiqua" w:hAnsi="Book Antiqua"/>
        </w:rPr>
        <w:t xml:space="preserve"> 2018; </w:t>
      </w:r>
      <w:r>
        <w:rPr>
          <w:rFonts w:ascii="Book Antiqua" w:hAnsi="Book Antiqua"/>
          <w:b/>
          <w:bCs/>
        </w:rPr>
        <w:t>7</w:t>
      </w:r>
      <w:r>
        <w:rPr>
          <w:rFonts w:ascii="Book Antiqua" w:hAnsi="Book Antiqua"/>
        </w:rPr>
        <w:t>: 270-278 [PMID: 28836514 DOI: 10.4103/eus.eus_18_17]</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36 </w:t>
      </w:r>
      <w:r>
        <w:rPr>
          <w:rFonts w:ascii="Book Antiqua" w:hAnsi="Book Antiqua"/>
          <w:b/>
          <w:bCs/>
        </w:rPr>
        <w:t>Klein A</w:t>
      </w:r>
      <w:r>
        <w:rPr>
          <w:rFonts w:ascii="Book Antiqua" w:hAnsi="Book Antiqua"/>
        </w:rPr>
        <w:t xml:space="preserve">, Tutticci N, Bourke MJ. Endoscopic resection of advanced and laterally spreading duodenal papillary tumors. </w:t>
      </w:r>
      <w:r>
        <w:rPr>
          <w:rFonts w:ascii="Book Antiqua" w:hAnsi="Book Antiqua"/>
          <w:i/>
          <w:iCs/>
        </w:rPr>
        <w:t>Dig Endosc</w:t>
      </w:r>
      <w:r>
        <w:rPr>
          <w:rFonts w:ascii="Book Antiqua" w:hAnsi="Book Antiqua"/>
        </w:rPr>
        <w:t xml:space="preserve"> 2016; </w:t>
      </w:r>
      <w:r>
        <w:rPr>
          <w:rFonts w:ascii="Book Antiqua" w:hAnsi="Book Antiqua"/>
          <w:b/>
          <w:bCs/>
        </w:rPr>
        <w:t>28</w:t>
      </w:r>
      <w:r>
        <w:rPr>
          <w:rFonts w:ascii="Book Antiqua" w:hAnsi="Book Antiqua"/>
        </w:rPr>
        <w:t>: 121-130 [PMID: 26573214 DOI: 10.1111/den.12574]</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37 </w:t>
      </w:r>
      <w:r>
        <w:rPr>
          <w:rFonts w:ascii="Book Antiqua" w:hAnsi="Book Antiqua"/>
          <w:b/>
          <w:bCs/>
        </w:rPr>
        <w:t>Cheng CL</w:t>
      </w:r>
      <w:r>
        <w:rPr>
          <w:rFonts w:ascii="Book Antiqua" w:hAnsi="Book Antiqua"/>
        </w:rPr>
        <w:t xml:space="preserve">, Sherman S, Fogel EL, McHenry L, Watkins JL, Fukushima T, Howard TJ, Lazzell-Pannell L, Lehman GA. Endoscopic snare papillectomy for tumors of the duodenal papillae. </w:t>
      </w:r>
      <w:r>
        <w:rPr>
          <w:rFonts w:ascii="Book Antiqua" w:hAnsi="Book Antiqua"/>
          <w:i/>
          <w:iCs/>
        </w:rPr>
        <w:t>Gastrointest Endosc</w:t>
      </w:r>
      <w:r>
        <w:rPr>
          <w:rFonts w:ascii="Book Antiqua" w:hAnsi="Book Antiqua"/>
        </w:rPr>
        <w:t xml:space="preserve"> 2004; </w:t>
      </w:r>
      <w:r>
        <w:rPr>
          <w:rFonts w:ascii="Book Antiqua" w:hAnsi="Book Antiqua"/>
          <w:b/>
          <w:bCs/>
        </w:rPr>
        <w:t>60</w:t>
      </w:r>
      <w:r>
        <w:rPr>
          <w:rFonts w:ascii="Book Antiqua" w:hAnsi="Book Antiqua"/>
        </w:rPr>
        <w:t>: 757-764 [PMID: 15557951 DOI: 10.1016/s0016-5107(04)02029-2]</w:t>
      </w: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study participant, or their legal guardian, provided informed written consent prior to study enrollment.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no conflicts of interest.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Unsolicited manuscript</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5,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5, 2021</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Cs/>
          <w:color w:val="000000"/>
        </w:rPr>
        <w:t>July 5, 2021</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India</w:t>
      </w:r>
    </w:p>
    <w:p>
      <w:pPr>
        <w:adjustRightInd w:val="0"/>
        <w:snapToGrid w:val="0"/>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A (Excellent):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B (Very good):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C (Good): C</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D (Fair): 0</w:t>
      </w:r>
    </w:p>
    <w:p>
      <w:pPr>
        <w:adjustRightInd w:val="0"/>
        <w:snapToGrid w:val="0"/>
        <w:spacing w:line="360" w:lineRule="auto"/>
        <w:jc w:val="both"/>
        <w:rPr>
          <w:rFonts w:ascii="Book Antiqua" w:hAnsi="Book Antiqua"/>
        </w:rPr>
      </w:pPr>
      <w:r>
        <w:rPr>
          <w:rFonts w:ascii="Book Antiqua" w:hAnsi="Book Antiqua" w:eastAsia="Book Antiqua" w:cs="Book Antiqua"/>
          <w:color w:val="000000"/>
        </w:rPr>
        <w:t>Grade E (Poor): 0</w:t>
      </w:r>
    </w:p>
    <w:p>
      <w:pPr>
        <w:adjustRightInd w:val="0"/>
        <w:snapToGrid w:val="0"/>
        <w:spacing w:line="360" w:lineRule="auto"/>
        <w:jc w:val="both"/>
        <w:rPr>
          <w:rFonts w:ascii="Book Antiqua" w:hAnsi="Book Antiqua"/>
        </w:rPr>
      </w:pP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Gassler N</w:t>
      </w:r>
      <w:r>
        <w:rPr>
          <w:rFonts w:ascii="Book Antiqua" w:hAnsi="Book Antiqua" w:eastAsia="Book Antiqua" w:cs="Book Antiqua"/>
          <w:b/>
          <w:color w:val="000000"/>
        </w:rPr>
        <w:t xml:space="preserve"> S-Editor: </w:t>
      </w:r>
      <w:r>
        <w:rPr>
          <w:rFonts w:ascii="Book Antiqua" w:hAnsi="Book Antiqua" w:eastAsia="Book Antiqua" w:cs="Book Antiqua"/>
          <w:color w:val="000000"/>
        </w:rPr>
        <w:t>Liu M</w:t>
      </w:r>
      <w:r>
        <w:rPr>
          <w:rFonts w:ascii="Book Antiqua" w:hAnsi="Book Antiqua" w:eastAsia="Book Antiqua" w:cs="Book Antiqua"/>
          <w:b/>
          <w:color w:val="000000"/>
        </w:rPr>
        <w:t xml:space="preserve"> L-Editor: </w:t>
      </w:r>
      <w:r>
        <w:rPr>
          <w:rFonts w:ascii="Book Antiqua" w:hAnsi="Book Antiqua" w:eastAsia="Book Antiqua" w:cs="Book Antiqua"/>
          <w:color w:val="000000"/>
        </w:rPr>
        <w:t>Webster JR</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Wang LYT</w:t>
      </w:r>
    </w:p>
    <w:p>
      <w:pPr>
        <w:adjustRightInd w:val="0"/>
        <w:snapToGrid w:val="0"/>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adjustRightInd w:val="0"/>
        <w:snapToGrid w:val="0"/>
        <w:spacing w:line="360" w:lineRule="auto"/>
        <w:jc w:val="both"/>
        <w:rPr>
          <w:rFonts w:ascii="Book Antiqua" w:hAnsi="Book Antiqua"/>
        </w:rPr>
      </w:pPr>
      <w:r>
        <w:rPr>
          <w:rFonts w:ascii="Book Antiqua" w:hAnsi="Book Antiqua"/>
          <w:lang w:val="en-GB" w:eastAsia="zh-CN"/>
        </w:rPr>
        <w:drawing>
          <wp:inline distT="0" distB="0" distL="0" distR="0">
            <wp:extent cx="2254250" cy="2028190"/>
            <wp:effectExtent l="0" t="0" r="0" b="0"/>
            <wp:docPr id="3073" name="Picture 2" descr="C:\Users\Dell\Desktop\INTERESTING CASES 2020\ECTOPIC PANCREAS EP\IMAGES\FIG 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Picture 2" descr="C:\Users\Dell\Desktop\INTERESTING CASES 2020\ECTOPIC PANCREAS EP\IMAGES\FIG NO 1.jpg"/>
                    <pic:cNvPicPr>
                      <a:picLocks noChangeAspect="1"/>
                    </pic:cNvPicPr>
                  </pic:nvPicPr>
                  <pic:blipFill>
                    <a:blip r:embed="rId7"/>
                    <a:stretch>
                      <a:fillRect/>
                    </a:stretch>
                  </pic:blipFill>
                  <pic:spPr>
                    <a:xfrm>
                      <a:off x="0" y="0"/>
                      <a:ext cx="2255516" cy="2029203"/>
                    </a:xfrm>
                    <a:prstGeom prst="rect">
                      <a:avLst/>
                    </a:prstGeom>
                    <a:noFill/>
                    <a:ln w="9525">
                      <a:noFill/>
                    </a:ln>
                  </pic:spPr>
                </pic:pic>
              </a:graphicData>
            </a:graphic>
          </wp:inline>
        </w:drawing>
      </w:r>
    </w:p>
    <w:p>
      <w:pPr>
        <w:adjustRightInd w:val="0"/>
        <w:snapToGrid w:val="0"/>
        <w:spacing w:line="360" w:lineRule="auto"/>
        <w:jc w:val="both"/>
        <w:rPr>
          <w:rFonts w:ascii="Book Antiqua" w:hAnsi="Book Antiqua"/>
          <w:b/>
          <w:bCs/>
        </w:rPr>
      </w:pPr>
      <w:r>
        <w:rPr>
          <w:rFonts w:ascii="Book Antiqua" w:hAnsi="Book Antiqua" w:eastAsia="Book Antiqua" w:cs="Book Antiqua"/>
          <w:b/>
          <w:bCs/>
          <w:color w:val="000000"/>
        </w:rPr>
        <w:t>Figure 1 Magnetic resonance cholangiopancreatography showing the dilated common bile duct and pancreatic duct with abrupt cut-off at the ampulla.</w:t>
      </w:r>
    </w:p>
    <w:p>
      <w:pPr>
        <w:adjustRightInd w:val="0"/>
        <w:snapToGrid w:val="0"/>
        <w:spacing w:line="360" w:lineRule="auto"/>
        <w:jc w:val="both"/>
        <w:rPr>
          <w:rFonts w:ascii="Book Antiqua" w:hAnsi="Book Antiqua"/>
        </w:rPr>
      </w:pPr>
      <w:r>
        <w:rPr>
          <w:rFonts w:ascii="Book Antiqua" w:hAnsi="Book Antiqua"/>
        </w:rPr>
        <w:br w:type="page"/>
      </w:r>
      <w:r>
        <w:rPr>
          <w:rFonts w:ascii="Book Antiqua" w:hAnsi="Book Antiqua"/>
          <w:lang w:val="en-GB" w:eastAsia="zh-CN"/>
        </w:rPr>
        <w:drawing>
          <wp:inline distT="0" distB="0" distL="0" distR="0">
            <wp:extent cx="5037455" cy="25203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51044" cy="2527216"/>
                    </a:xfrm>
                    <a:prstGeom prst="rect">
                      <a:avLst/>
                    </a:prstGeom>
                    <a:noFill/>
                  </pic:spPr>
                </pic:pic>
              </a:graphicData>
            </a:graphic>
          </wp:inline>
        </w:drawing>
      </w:r>
    </w:p>
    <w:p>
      <w:pPr>
        <w:adjustRightInd w:val="0"/>
        <w:snapToGrid w:val="0"/>
        <w:spacing w:line="360" w:lineRule="auto"/>
        <w:jc w:val="both"/>
        <w:rPr>
          <w:rFonts w:ascii="Book Antiqua" w:hAnsi="Book Antiqua"/>
        </w:rPr>
      </w:pPr>
      <w:r>
        <w:rPr>
          <w:rFonts w:ascii="Book Antiqua" w:hAnsi="Book Antiqua" w:eastAsia="Book Antiqua" w:cs="Book Antiqua"/>
          <w:b/>
          <w:bCs/>
          <w:color w:val="000000"/>
        </w:rPr>
        <w:t>Figure 2 Endoscopic snare papillectomy</w:t>
      </w:r>
      <w:r>
        <w:rPr>
          <w:rFonts w:ascii="Book Antiqua" w:hAnsi="Book Antiqua" w:eastAsia="宋体" w:cs="宋体"/>
          <w:b/>
          <w:bCs/>
          <w:color w:val="000000"/>
          <w:lang w:eastAsia="zh-CN"/>
        </w:rPr>
        <w:t xml:space="preserve">. </w:t>
      </w:r>
      <w:r>
        <w:rPr>
          <w:rFonts w:ascii="Book Antiqua" w:hAnsi="Book Antiqua" w:eastAsia="宋体" w:cs="宋体"/>
          <w:color w:val="000000"/>
          <w:lang w:eastAsia="zh-CN"/>
        </w:rPr>
        <w:t xml:space="preserve">A: </w:t>
      </w:r>
      <w:r>
        <w:rPr>
          <w:rFonts w:ascii="Book Antiqua" w:hAnsi="Book Antiqua" w:eastAsia="Book Antiqua" w:cs="Book Antiqua"/>
          <w:color w:val="000000"/>
        </w:rPr>
        <w:t>Endoscopic view of the sub-epithelial ampullary lesion; B: Cholangiogram showing terminal common bile duct (CBD) stricture with upstream dilated CBD after selective CBD cannulation; C: Endoscopic view showing snaring of the papilla while pulling back the expanded balloon within the CBD towards the duodenal lumen; D: Endoscopic view after endoscopic snare papillectomy; E: Endoscopic view of the biliary sphincterotomy and pancreatic stent in place.</w:t>
      </w:r>
    </w:p>
    <w:p>
      <w:pPr>
        <w:adjustRightInd w:val="0"/>
        <w:snapToGrid w:val="0"/>
        <w:spacing w:line="360" w:lineRule="auto"/>
        <w:ind w:hanging="248"/>
        <w:jc w:val="both"/>
        <w:rPr>
          <w:rFonts w:ascii="Book Antiqua" w:hAnsi="Book Antiqua"/>
        </w:rPr>
      </w:pPr>
      <w:r>
        <w:rPr>
          <w:rFonts w:ascii="Book Antiqua" w:hAnsi="Book Antiqua"/>
        </w:rPr>
        <w:br w:type="page"/>
      </w:r>
      <w:r>
        <w:rPr>
          <w:rFonts w:ascii="Book Antiqua" w:hAnsi="Book Antiqua"/>
          <w:lang w:val="en-GB" w:eastAsia="zh-CN"/>
        </w:rPr>
        <w:drawing>
          <wp:inline distT="0" distB="0" distL="0" distR="0">
            <wp:extent cx="4512945" cy="28301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35571" cy="2844581"/>
                    </a:xfrm>
                    <a:prstGeom prst="rect">
                      <a:avLst/>
                    </a:prstGeom>
                    <a:noFill/>
                  </pic:spPr>
                </pic:pic>
              </a:graphicData>
            </a:graphic>
          </wp:inline>
        </w:drawing>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3 Ectopic pancreas at the ampulla of Vater–histopathology. </w:t>
      </w:r>
      <w:bookmarkStart w:id="10" w:name="OLE_LINK12"/>
      <w:r>
        <w:rPr>
          <w:rFonts w:ascii="Book Antiqua" w:hAnsi="Book Antiqua" w:eastAsia="Book Antiqua" w:cs="Book Antiqua"/>
          <w:color w:val="000000"/>
        </w:rPr>
        <w:t>A: Hematoxylin and eosin (HE) staining</w:t>
      </w:r>
      <w:bookmarkEnd w:id="10"/>
      <w:r>
        <w:rPr>
          <w:rFonts w:ascii="Book Antiqua" w:hAnsi="Book Antiqua" w:eastAsia="Book Antiqua" w:cs="Book Antiqua"/>
          <w:color w:val="000000"/>
        </w:rPr>
        <w:t xml:space="preserve"> showing ampullary mucosa with ectopic pancreatic tissue (arrow) on low power view; B: Ampullary mucosa with inflammatory infiltrates in the lamina propria; C: HE staining showing ectopic exocrine pancreatic tissue (arrows) (20 ×); D: Pancreatic acini (40 ×).</w:t>
      </w:r>
    </w:p>
    <w:p>
      <w:pPr>
        <w:adjustRightInd w:val="0"/>
        <w:snapToGrid w:val="0"/>
        <w:spacing w:line="360" w:lineRule="auto"/>
        <w:jc w:val="both"/>
        <w:rPr>
          <w:rFonts w:ascii="Book Antiqua" w:hAnsi="Book Antiqua"/>
          <w:b/>
          <w:bCs/>
          <w:lang w:val="en-IN"/>
        </w:rPr>
      </w:pPr>
      <w:r>
        <w:rPr>
          <w:rFonts w:ascii="Book Antiqua" w:hAnsi="Book Antiqua" w:eastAsia="Book Antiqua" w:cs="Book Antiqua"/>
          <w:color w:val="000000"/>
        </w:rPr>
        <w:br w:type="page"/>
      </w:r>
      <w:r>
        <w:rPr>
          <w:rFonts w:ascii="Book Antiqua" w:hAnsi="Book Antiqua"/>
          <w:b/>
          <w:bCs/>
          <w:lang w:val="en-IN"/>
        </w:rPr>
        <w:t>Table 1 Histological classification of ectopic pancreas</w:t>
      </w:r>
    </w:p>
    <w:tbl>
      <w:tblPr>
        <w:tblStyle w:val="8"/>
        <w:tblW w:w="5040" w:type="dxa"/>
        <w:tblInd w:w="108" w:type="dxa"/>
        <w:tblLayout w:type="autofit"/>
        <w:tblCellMar>
          <w:top w:w="0" w:type="dxa"/>
          <w:left w:w="108" w:type="dxa"/>
          <w:bottom w:w="0" w:type="dxa"/>
          <w:right w:w="108" w:type="dxa"/>
        </w:tblCellMar>
      </w:tblPr>
      <w:tblGrid>
        <w:gridCol w:w="5040"/>
      </w:tblGrid>
      <w:tr>
        <w:tblPrEx>
          <w:tblCellMar>
            <w:top w:w="0" w:type="dxa"/>
            <w:left w:w="108" w:type="dxa"/>
            <w:bottom w:w="0" w:type="dxa"/>
            <w:right w:w="108" w:type="dxa"/>
          </w:tblCellMar>
        </w:tblPrEx>
        <w:trPr>
          <w:trHeight w:val="1002" w:hRule="atLeast"/>
        </w:trPr>
        <w:tc>
          <w:tcPr>
            <w:tcW w:w="5040" w:type="dxa"/>
            <w:tcBorders>
              <w:top w:val="single" w:color="auto" w:sz="8" w:space="0"/>
              <w:left w:val="nil"/>
              <w:bottom w:val="nil"/>
              <w:right w:val="nil"/>
            </w:tcBorders>
            <w:shd w:val="clear" w:color="auto" w:fill="auto"/>
            <w:vAlign w:val="center"/>
          </w:tcPr>
          <w:p>
            <w:pPr>
              <w:spacing w:after="0" w:line="240" w:lineRule="auto"/>
              <w:jc w:val="both"/>
              <w:rPr>
                <w:rFonts w:ascii="Book Antiqua" w:hAnsi="Book Antiqua" w:eastAsia="等线" w:cs="宋体"/>
                <w:color w:val="000000"/>
                <w:lang w:eastAsia="zh-CN"/>
              </w:rPr>
            </w:pPr>
            <w:r>
              <w:rPr>
                <w:rFonts w:ascii="Book Antiqua" w:hAnsi="Book Antiqua" w:eastAsia="等线" w:cs="宋体"/>
                <w:color w:val="000000"/>
                <w:lang w:val="en-GB" w:eastAsia="zh-CN"/>
              </w:rPr>
              <w:t>Heinrich classification (1909)</w:t>
            </w:r>
          </w:p>
        </w:tc>
      </w:tr>
      <w:tr>
        <w:tblPrEx>
          <w:tblCellMar>
            <w:top w:w="0" w:type="dxa"/>
            <w:left w:w="108" w:type="dxa"/>
            <w:bottom w:w="0" w:type="dxa"/>
            <w:right w:w="108" w:type="dxa"/>
          </w:tblCellMar>
        </w:tblPrEx>
        <w:trPr>
          <w:trHeight w:val="1002" w:hRule="atLeast"/>
        </w:trPr>
        <w:tc>
          <w:tcPr>
            <w:tcW w:w="5040" w:type="dxa"/>
            <w:tcBorders>
              <w:top w:val="nil"/>
              <w:left w:val="nil"/>
              <w:bottom w:val="nil"/>
              <w:right w:val="nil"/>
            </w:tcBorders>
            <w:shd w:val="clear" w:color="auto" w:fill="auto"/>
            <w:vAlign w:val="center"/>
          </w:tcPr>
          <w:p>
            <w:pPr>
              <w:spacing w:after="0" w:line="240" w:lineRule="auto"/>
              <w:jc w:val="both"/>
              <w:rPr>
                <w:rFonts w:ascii="Book Antiqua" w:hAnsi="Book Antiqua" w:eastAsia="等线" w:cs="宋体"/>
                <w:color w:val="000000"/>
                <w:lang w:eastAsia="zh-CN"/>
              </w:rPr>
            </w:pPr>
            <w:r>
              <w:rPr>
                <w:rFonts w:ascii="Book Antiqua" w:hAnsi="Book Antiqua" w:eastAsia="等线" w:cs="宋体"/>
                <w:color w:val="000000"/>
                <w:lang w:val="en-GB" w:eastAsia="zh-CN"/>
              </w:rPr>
              <w:t>Type I - Contains acini, ducts and islands of Langerhans</w:t>
            </w:r>
          </w:p>
        </w:tc>
      </w:tr>
      <w:tr>
        <w:tblPrEx>
          <w:tblCellMar>
            <w:top w:w="0" w:type="dxa"/>
            <w:left w:w="108" w:type="dxa"/>
            <w:bottom w:w="0" w:type="dxa"/>
            <w:right w:w="108" w:type="dxa"/>
          </w:tblCellMar>
        </w:tblPrEx>
        <w:trPr>
          <w:trHeight w:val="1002" w:hRule="atLeast"/>
        </w:trPr>
        <w:tc>
          <w:tcPr>
            <w:tcW w:w="5040" w:type="dxa"/>
            <w:tcBorders>
              <w:top w:val="nil"/>
              <w:left w:val="nil"/>
              <w:bottom w:val="nil"/>
              <w:right w:val="nil"/>
            </w:tcBorders>
            <w:shd w:val="clear" w:color="auto" w:fill="auto"/>
            <w:vAlign w:val="center"/>
          </w:tcPr>
          <w:p>
            <w:pPr>
              <w:spacing w:after="0" w:line="240" w:lineRule="auto"/>
              <w:jc w:val="both"/>
              <w:rPr>
                <w:rFonts w:ascii="Book Antiqua" w:hAnsi="Book Antiqua" w:eastAsia="等线" w:cs="宋体"/>
                <w:color w:val="000000"/>
                <w:lang w:eastAsia="zh-CN"/>
              </w:rPr>
            </w:pPr>
            <w:r>
              <w:rPr>
                <w:rFonts w:ascii="Book Antiqua" w:hAnsi="Book Antiqua" w:eastAsia="等线" w:cs="宋体"/>
                <w:color w:val="000000"/>
                <w:lang w:val="en-GB" w:eastAsia="zh-CN"/>
              </w:rPr>
              <w:t>Type II - Contains acini and ducts, but lacks endocrine elements</w:t>
            </w:r>
          </w:p>
        </w:tc>
      </w:tr>
      <w:tr>
        <w:trPr>
          <w:trHeight w:val="1002" w:hRule="atLeast"/>
        </w:trPr>
        <w:tc>
          <w:tcPr>
            <w:tcW w:w="5040" w:type="dxa"/>
            <w:tcBorders>
              <w:top w:val="nil"/>
              <w:left w:val="nil"/>
              <w:bottom w:val="nil"/>
              <w:right w:val="nil"/>
            </w:tcBorders>
            <w:shd w:val="clear" w:color="auto" w:fill="auto"/>
            <w:vAlign w:val="center"/>
          </w:tcPr>
          <w:p>
            <w:pPr>
              <w:spacing w:after="0" w:line="240" w:lineRule="auto"/>
              <w:jc w:val="both"/>
              <w:rPr>
                <w:rFonts w:ascii="Book Antiqua" w:hAnsi="Book Antiqua" w:eastAsia="等线" w:cs="宋体"/>
                <w:color w:val="000000"/>
                <w:lang w:eastAsia="zh-CN"/>
              </w:rPr>
            </w:pPr>
            <w:r>
              <w:rPr>
                <w:rFonts w:ascii="Book Antiqua" w:hAnsi="Book Antiqua" w:eastAsia="等线" w:cs="宋体"/>
                <w:color w:val="000000"/>
                <w:lang w:val="en-GB" w:eastAsia="zh-CN"/>
              </w:rPr>
              <w:t>Type III Comprises proliferating ducts, exhibiting neither acini nor endocrine elements</w:t>
            </w:r>
          </w:p>
        </w:tc>
      </w:tr>
      <w:tr>
        <w:tblPrEx>
          <w:tblCellMar>
            <w:top w:w="0" w:type="dxa"/>
            <w:left w:w="108" w:type="dxa"/>
            <w:bottom w:w="0" w:type="dxa"/>
            <w:right w:w="108" w:type="dxa"/>
          </w:tblCellMar>
        </w:tblPrEx>
        <w:trPr>
          <w:trHeight w:val="1002" w:hRule="atLeast"/>
        </w:trPr>
        <w:tc>
          <w:tcPr>
            <w:tcW w:w="5040" w:type="dxa"/>
            <w:tcBorders>
              <w:top w:val="nil"/>
              <w:left w:val="nil"/>
              <w:bottom w:val="nil"/>
              <w:right w:val="nil"/>
            </w:tcBorders>
            <w:shd w:val="clear" w:color="auto" w:fill="auto"/>
            <w:vAlign w:val="center"/>
          </w:tcPr>
          <w:p>
            <w:pPr>
              <w:spacing w:after="0" w:line="240" w:lineRule="auto"/>
              <w:jc w:val="both"/>
              <w:rPr>
                <w:rFonts w:ascii="Book Antiqua" w:hAnsi="Book Antiqua" w:eastAsia="等线" w:cs="宋体"/>
                <w:color w:val="000000"/>
                <w:lang w:eastAsia="zh-CN"/>
              </w:rPr>
            </w:pPr>
            <w:r>
              <w:rPr>
                <w:rFonts w:ascii="Book Antiqua" w:hAnsi="Book Antiqua" w:eastAsia="等线" w:cs="宋体"/>
                <w:color w:val="000000"/>
                <w:lang w:val="en-IN" w:eastAsia="zh-CN"/>
              </w:rPr>
              <w:t>Gasper Fuentes Classification (1973)</w:t>
            </w:r>
          </w:p>
        </w:tc>
      </w:tr>
      <w:tr>
        <w:trPr>
          <w:trHeight w:val="1002" w:hRule="atLeast"/>
        </w:trPr>
        <w:tc>
          <w:tcPr>
            <w:tcW w:w="5040" w:type="dxa"/>
            <w:tcBorders>
              <w:top w:val="nil"/>
              <w:left w:val="nil"/>
              <w:bottom w:val="nil"/>
              <w:right w:val="nil"/>
            </w:tcBorders>
            <w:shd w:val="clear" w:color="auto" w:fill="auto"/>
            <w:vAlign w:val="center"/>
          </w:tcPr>
          <w:p>
            <w:pPr>
              <w:spacing w:after="0" w:line="240" w:lineRule="auto"/>
              <w:jc w:val="both"/>
              <w:rPr>
                <w:rFonts w:ascii="Book Antiqua" w:hAnsi="Book Antiqua" w:eastAsia="等线" w:cs="宋体"/>
                <w:color w:val="000000"/>
                <w:lang w:eastAsia="zh-CN"/>
              </w:rPr>
            </w:pPr>
            <w:r>
              <w:rPr>
                <w:rFonts w:ascii="Book Antiqua" w:hAnsi="Book Antiqua" w:eastAsia="等线" w:cs="宋体"/>
                <w:color w:val="000000"/>
                <w:lang w:val="en-IN" w:eastAsia="zh-CN"/>
              </w:rPr>
              <w:t>Type I - typical pancreatic tissue with acini, ducts, and islet cells similar to the normal pancreas.</w:t>
            </w:r>
          </w:p>
        </w:tc>
      </w:tr>
      <w:tr>
        <w:trPr>
          <w:trHeight w:val="1002" w:hRule="atLeast"/>
        </w:trPr>
        <w:tc>
          <w:tcPr>
            <w:tcW w:w="5040" w:type="dxa"/>
            <w:tcBorders>
              <w:top w:val="nil"/>
              <w:left w:val="nil"/>
              <w:bottom w:val="nil"/>
              <w:right w:val="nil"/>
            </w:tcBorders>
            <w:shd w:val="clear" w:color="auto" w:fill="auto"/>
            <w:vAlign w:val="center"/>
          </w:tcPr>
          <w:p>
            <w:pPr>
              <w:spacing w:after="0" w:line="240" w:lineRule="auto"/>
              <w:jc w:val="both"/>
              <w:rPr>
                <w:rFonts w:ascii="Book Antiqua" w:hAnsi="Book Antiqua" w:eastAsia="等线" w:cs="宋体"/>
                <w:color w:val="000000"/>
                <w:lang w:eastAsia="zh-CN"/>
              </w:rPr>
            </w:pPr>
            <w:r>
              <w:rPr>
                <w:rFonts w:ascii="Book Antiqua" w:hAnsi="Book Antiqua" w:eastAsia="等线" w:cs="宋体"/>
                <w:color w:val="000000"/>
                <w:lang w:val="en-IN" w:eastAsia="zh-CN"/>
              </w:rPr>
              <w:t>Type II (canalicular variety) - pancreatic ducts only.</w:t>
            </w:r>
          </w:p>
        </w:tc>
      </w:tr>
      <w:tr>
        <w:trPr>
          <w:trHeight w:val="1002" w:hRule="atLeast"/>
        </w:trPr>
        <w:tc>
          <w:tcPr>
            <w:tcW w:w="5040" w:type="dxa"/>
            <w:tcBorders>
              <w:top w:val="nil"/>
              <w:left w:val="nil"/>
              <w:bottom w:val="nil"/>
              <w:right w:val="nil"/>
            </w:tcBorders>
            <w:shd w:val="clear" w:color="auto" w:fill="auto"/>
            <w:vAlign w:val="center"/>
          </w:tcPr>
          <w:p>
            <w:pPr>
              <w:spacing w:after="0" w:line="240" w:lineRule="auto"/>
              <w:jc w:val="both"/>
              <w:rPr>
                <w:rFonts w:ascii="Book Antiqua" w:hAnsi="Book Antiqua" w:eastAsia="等线" w:cs="宋体"/>
                <w:color w:val="000000"/>
                <w:lang w:eastAsia="zh-CN"/>
              </w:rPr>
            </w:pPr>
            <w:r>
              <w:rPr>
                <w:rFonts w:ascii="Book Antiqua" w:hAnsi="Book Antiqua" w:eastAsia="等线" w:cs="宋体"/>
                <w:color w:val="000000"/>
                <w:lang w:val="en-IN" w:eastAsia="zh-CN"/>
              </w:rPr>
              <w:t>Type III (exocrine pancreas) - acinar tissue only.</w:t>
            </w:r>
          </w:p>
        </w:tc>
      </w:tr>
      <w:tr>
        <w:tblPrEx>
          <w:tblCellMar>
            <w:top w:w="0" w:type="dxa"/>
            <w:left w:w="108" w:type="dxa"/>
            <w:bottom w:w="0" w:type="dxa"/>
            <w:right w:w="108" w:type="dxa"/>
          </w:tblCellMar>
        </w:tblPrEx>
        <w:trPr>
          <w:trHeight w:val="1002" w:hRule="atLeast"/>
        </w:trPr>
        <w:tc>
          <w:tcPr>
            <w:tcW w:w="5040" w:type="dxa"/>
            <w:tcBorders>
              <w:top w:val="nil"/>
              <w:left w:val="nil"/>
              <w:bottom w:val="single" w:color="auto" w:sz="8" w:space="0"/>
              <w:right w:val="nil"/>
            </w:tcBorders>
            <w:shd w:val="clear" w:color="auto" w:fill="auto"/>
            <w:vAlign w:val="center"/>
          </w:tcPr>
          <w:p>
            <w:pPr>
              <w:spacing w:after="0" w:line="240" w:lineRule="auto"/>
              <w:jc w:val="both"/>
              <w:rPr>
                <w:rFonts w:ascii="Book Antiqua" w:hAnsi="Book Antiqua" w:eastAsia="等线" w:cs="宋体"/>
                <w:color w:val="000000"/>
                <w:lang w:eastAsia="zh-CN"/>
              </w:rPr>
            </w:pPr>
            <w:r>
              <w:rPr>
                <w:rFonts w:ascii="Book Antiqua" w:hAnsi="Book Antiqua" w:eastAsia="等线" w:cs="宋体"/>
                <w:color w:val="000000"/>
                <w:lang w:val="en-IN" w:eastAsia="zh-CN"/>
              </w:rPr>
              <w:t>Type IV (endocrine pancreas) - islet cells only.</w:t>
            </w:r>
          </w:p>
        </w:tc>
      </w:tr>
    </w:tbl>
    <w:p>
      <w:pPr>
        <w:adjustRightInd w:val="0"/>
        <w:snapToGrid w:val="0"/>
        <w:spacing w:line="360" w:lineRule="auto"/>
        <w:jc w:val="both"/>
        <w:rPr>
          <w:rFonts w:ascii="Book Antiqua" w:hAnsi="Book Antiqua"/>
          <w:b/>
          <w:bCs/>
          <w:lang w:val="en-IN"/>
        </w:rPr>
      </w:pPr>
      <w:r>
        <w:rPr>
          <w:rFonts w:ascii="Book Antiqua" w:hAnsi="Book Antiqua"/>
          <w:b/>
          <w:bCs/>
          <w:lang w:val="en-IN"/>
        </w:rPr>
        <w:br w:type="page"/>
      </w:r>
      <w:r>
        <w:rPr>
          <w:rFonts w:ascii="Book Antiqua" w:hAnsi="Book Antiqua"/>
          <w:b/>
          <w:bCs/>
          <w:lang w:val="en-IN"/>
        </w:rPr>
        <w:t xml:space="preserve">Table 2 Summary of clinical features of patients with ectopic pancreas at the ampulla of Vater </w:t>
      </w:r>
    </w:p>
    <w:tbl>
      <w:tblPr>
        <w:tblStyle w:val="9"/>
        <w:tblW w:w="11428" w:type="dxa"/>
        <w:tblInd w:w="-601"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27"/>
        <w:gridCol w:w="851"/>
        <w:gridCol w:w="992"/>
        <w:gridCol w:w="1966"/>
        <w:gridCol w:w="1152"/>
        <w:gridCol w:w="1221"/>
        <w:gridCol w:w="311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7" w:hRule="atLeast"/>
        </w:trPr>
        <w:tc>
          <w:tcPr>
            <w:tcW w:w="2127" w:type="dxa"/>
            <w:tcBorders>
              <w:top w:val="single" w:color="auto" w:sz="4" w:space="0"/>
              <w:bottom w:val="single" w:color="auto" w:sz="4" w:space="0"/>
            </w:tcBorders>
          </w:tcPr>
          <w:p>
            <w:pPr>
              <w:widowControl w:val="0"/>
              <w:adjustRightInd w:val="0"/>
              <w:snapToGrid w:val="0"/>
              <w:spacing w:after="0" w:line="360" w:lineRule="auto"/>
              <w:jc w:val="both"/>
              <w:rPr>
                <w:rFonts w:ascii="Book Antiqua" w:hAnsi="Book Antiqua" w:eastAsia="宋体"/>
                <w:b/>
                <w:lang w:val="en-IN" w:eastAsia="en-IN"/>
              </w:rPr>
            </w:pPr>
            <w:r>
              <w:rPr>
                <w:rFonts w:ascii="Book Antiqua" w:hAnsi="Book Antiqua" w:eastAsia="宋体"/>
                <w:b/>
                <w:lang w:val="en-IN" w:eastAsia="en-IN"/>
              </w:rPr>
              <w:t>Author</w:t>
            </w:r>
          </w:p>
        </w:tc>
        <w:tc>
          <w:tcPr>
            <w:tcW w:w="851" w:type="dxa"/>
            <w:tcBorders>
              <w:top w:val="single" w:color="auto" w:sz="4" w:space="0"/>
              <w:bottom w:val="single" w:color="auto" w:sz="4" w:space="0"/>
            </w:tcBorders>
          </w:tcPr>
          <w:p>
            <w:pPr>
              <w:widowControl w:val="0"/>
              <w:adjustRightInd w:val="0"/>
              <w:snapToGrid w:val="0"/>
              <w:spacing w:after="0" w:line="360" w:lineRule="auto"/>
              <w:jc w:val="both"/>
              <w:rPr>
                <w:rFonts w:ascii="Book Antiqua" w:hAnsi="Book Antiqua" w:eastAsia="宋体"/>
                <w:b/>
                <w:lang w:val="en-IN" w:eastAsia="en-IN"/>
              </w:rPr>
            </w:pPr>
            <w:r>
              <w:rPr>
                <w:rFonts w:ascii="Book Antiqua" w:hAnsi="Book Antiqua" w:eastAsia="宋体"/>
                <w:b/>
                <w:lang w:val="en-IN" w:eastAsia="en-IN"/>
              </w:rPr>
              <w:t>Number of cases</w:t>
            </w:r>
          </w:p>
        </w:tc>
        <w:tc>
          <w:tcPr>
            <w:tcW w:w="992" w:type="dxa"/>
            <w:tcBorders>
              <w:top w:val="single" w:color="auto" w:sz="4" w:space="0"/>
              <w:bottom w:val="single" w:color="auto" w:sz="4" w:space="0"/>
            </w:tcBorders>
          </w:tcPr>
          <w:p>
            <w:pPr>
              <w:widowControl w:val="0"/>
              <w:adjustRightInd w:val="0"/>
              <w:snapToGrid w:val="0"/>
              <w:spacing w:after="0" w:line="360" w:lineRule="auto"/>
              <w:jc w:val="both"/>
              <w:rPr>
                <w:rFonts w:ascii="Book Antiqua" w:hAnsi="Book Antiqua" w:eastAsia="宋体"/>
                <w:b/>
                <w:lang w:val="en-IN" w:eastAsia="en-IN"/>
              </w:rPr>
            </w:pPr>
            <w:r>
              <w:rPr>
                <w:rFonts w:ascii="Book Antiqua" w:hAnsi="Book Antiqua" w:eastAsia="宋体"/>
                <w:b/>
                <w:lang w:val="en-IN" w:eastAsia="en-IN"/>
              </w:rPr>
              <w:t>Age</w:t>
            </w:r>
            <w:r>
              <w:rPr>
                <w:rFonts w:hint="eastAsia" w:ascii="Book Antiqua" w:hAnsi="Book Antiqua" w:eastAsia="宋体"/>
                <w:b/>
                <w:lang w:val="en-IN" w:eastAsia="zh-CN"/>
              </w:rPr>
              <w:t xml:space="preserve"> </w:t>
            </w:r>
            <w:r>
              <w:rPr>
                <w:rFonts w:ascii="Book Antiqua" w:hAnsi="Book Antiqua" w:eastAsia="宋体"/>
                <w:b/>
                <w:lang w:val="en-IN" w:eastAsia="en-IN"/>
              </w:rPr>
              <w:t>(yr)/sex</w:t>
            </w:r>
          </w:p>
        </w:tc>
        <w:tc>
          <w:tcPr>
            <w:tcW w:w="1966" w:type="dxa"/>
            <w:tcBorders>
              <w:top w:val="single" w:color="auto" w:sz="4" w:space="0"/>
              <w:bottom w:val="single" w:color="auto" w:sz="4" w:space="0"/>
            </w:tcBorders>
          </w:tcPr>
          <w:p>
            <w:pPr>
              <w:widowControl w:val="0"/>
              <w:adjustRightInd w:val="0"/>
              <w:snapToGrid w:val="0"/>
              <w:spacing w:after="0" w:line="360" w:lineRule="auto"/>
              <w:jc w:val="both"/>
              <w:rPr>
                <w:rFonts w:ascii="Book Antiqua" w:hAnsi="Book Antiqua" w:eastAsia="宋体"/>
                <w:b/>
                <w:lang w:val="en-IN" w:eastAsia="en-IN"/>
              </w:rPr>
            </w:pPr>
            <w:r>
              <w:rPr>
                <w:rFonts w:ascii="Book Antiqua" w:hAnsi="Book Antiqua" w:eastAsia="宋体"/>
                <w:b/>
                <w:lang w:val="en-IN" w:eastAsia="en-IN"/>
              </w:rPr>
              <w:t xml:space="preserve">Symptoms </w:t>
            </w:r>
          </w:p>
        </w:tc>
        <w:tc>
          <w:tcPr>
            <w:tcW w:w="1152" w:type="dxa"/>
            <w:tcBorders>
              <w:top w:val="single" w:color="auto" w:sz="4" w:space="0"/>
              <w:bottom w:val="single" w:color="auto" w:sz="4" w:space="0"/>
            </w:tcBorders>
          </w:tcPr>
          <w:p>
            <w:pPr>
              <w:widowControl w:val="0"/>
              <w:adjustRightInd w:val="0"/>
              <w:snapToGrid w:val="0"/>
              <w:spacing w:after="0" w:line="360" w:lineRule="auto"/>
              <w:jc w:val="both"/>
              <w:rPr>
                <w:rFonts w:ascii="Book Antiqua" w:hAnsi="Book Antiqua" w:eastAsia="宋体"/>
                <w:b/>
                <w:lang w:val="en-IN" w:eastAsia="en-IN"/>
              </w:rPr>
            </w:pPr>
            <w:r>
              <w:rPr>
                <w:rFonts w:ascii="Book Antiqua" w:hAnsi="Book Antiqua" w:eastAsia="宋体"/>
                <w:b/>
                <w:lang w:val="en-IN" w:eastAsia="en-IN"/>
              </w:rPr>
              <w:t>Tumor size (mm)</w:t>
            </w:r>
          </w:p>
        </w:tc>
        <w:tc>
          <w:tcPr>
            <w:tcW w:w="1221" w:type="dxa"/>
            <w:tcBorders>
              <w:top w:val="single" w:color="auto" w:sz="4" w:space="0"/>
              <w:bottom w:val="single" w:color="auto" w:sz="4" w:space="0"/>
            </w:tcBorders>
          </w:tcPr>
          <w:p>
            <w:pPr>
              <w:widowControl w:val="0"/>
              <w:adjustRightInd w:val="0"/>
              <w:snapToGrid w:val="0"/>
              <w:spacing w:after="0" w:line="360" w:lineRule="auto"/>
              <w:jc w:val="both"/>
              <w:rPr>
                <w:rFonts w:ascii="Book Antiqua" w:hAnsi="Book Antiqua" w:eastAsia="宋体"/>
                <w:b/>
                <w:lang w:val="en-IN" w:eastAsia="en-IN"/>
              </w:rPr>
            </w:pPr>
            <w:r>
              <w:rPr>
                <w:rFonts w:ascii="Book Antiqua" w:hAnsi="Book Antiqua" w:eastAsia="宋体"/>
                <w:b/>
                <w:lang w:val="en-IN" w:eastAsia="en-IN"/>
              </w:rPr>
              <w:t>CBD dilation</w:t>
            </w:r>
          </w:p>
        </w:tc>
        <w:tc>
          <w:tcPr>
            <w:tcW w:w="3119" w:type="dxa"/>
            <w:tcBorders>
              <w:top w:val="single" w:color="auto" w:sz="4" w:space="0"/>
              <w:bottom w:val="single" w:color="auto" w:sz="4" w:space="0"/>
            </w:tcBorders>
          </w:tcPr>
          <w:p>
            <w:pPr>
              <w:widowControl w:val="0"/>
              <w:adjustRightInd w:val="0"/>
              <w:snapToGrid w:val="0"/>
              <w:spacing w:after="0" w:line="360" w:lineRule="auto"/>
              <w:jc w:val="both"/>
              <w:rPr>
                <w:rFonts w:ascii="Book Antiqua" w:hAnsi="Book Antiqua" w:eastAsia="宋体"/>
                <w:b/>
                <w:lang w:val="en-IN" w:eastAsia="en-IN"/>
              </w:rPr>
            </w:pPr>
            <w:r>
              <w:rPr>
                <w:rFonts w:ascii="Book Antiqua" w:hAnsi="Book Antiqua" w:eastAsia="宋体"/>
                <w:b/>
                <w:lang w:val="en-IN" w:eastAsia="en-IN"/>
              </w:rPr>
              <w:t xml:space="preserve">Treatment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2127" w:type="dxa"/>
            <w:tcBorders>
              <w:top w:val="single" w:color="auto" w:sz="4" w:space="0"/>
            </w:tcBorders>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Hoelzer</w:t>
            </w:r>
            <w:r>
              <w:rPr>
                <w:rFonts w:ascii="Book Antiqua" w:hAnsi="Book Antiqua" w:eastAsia="宋体"/>
                <w:color w:val="000000" w:themeColor="text1"/>
                <w:vertAlign w:val="superscript"/>
                <w:lang w:val="en-IN" w:eastAsia="en-IN"/>
                <w14:textFill>
                  <w14:solidFill>
                    <w14:schemeClr w14:val="tx1"/>
                  </w14:solidFill>
                </w14:textFill>
              </w:rPr>
              <w:t>[7]</w:t>
            </w:r>
            <w:r>
              <w:rPr>
                <w:rFonts w:ascii="Book Antiqua" w:hAnsi="Book Antiqua" w:eastAsia="宋体"/>
                <w:color w:val="000000" w:themeColor="text1"/>
                <w:lang w:val="en-IN" w:eastAsia="en-IN"/>
                <w14:textFill>
                  <w14:solidFill>
                    <w14:schemeClr w14:val="tx1"/>
                  </w14:solidFill>
                </w14:textFill>
              </w:rPr>
              <w:t>, 1940</w:t>
            </w:r>
          </w:p>
        </w:tc>
        <w:tc>
          <w:tcPr>
            <w:tcW w:w="851" w:type="dxa"/>
            <w:tcBorders>
              <w:top w:val="single" w:color="auto" w:sz="4" w:space="0"/>
            </w:tcBorders>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Borders>
              <w:top w:val="single" w:color="auto" w:sz="4" w:space="0"/>
            </w:tcBorders>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54/F</w:t>
            </w:r>
          </w:p>
        </w:tc>
        <w:tc>
          <w:tcPr>
            <w:tcW w:w="1966" w:type="dxa"/>
            <w:tcBorders>
              <w:top w:val="single" w:color="auto" w:sz="4" w:space="0"/>
            </w:tcBorders>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 jaundice</w:t>
            </w:r>
          </w:p>
        </w:tc>
        <w:tc>
          <w:tcPr>
            <w:tcW w:w="1152" w:type="dxa"/>
            <w:tcBorders>
              <w:top w:val="single" w:color="auto" w:sz="4" w:space="0"/>
            </w:tcBorders>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 xml:space="preserve">12 </w:t>
            </w:r>
          </w:p>
        </w:tc>
        <w:tc>
          <w:tcPr>
            <w:tcW w:w="1221" w:type="dxa"/>
            <w:tcBorders>
              <w:top w:val="single" w:color="auto" w:sz="4" w:space="0"/>
            </w:tcBorders>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Borders>
              <w:top w:val="single" w:color="auto" w:sz="4" w:space="0"/>
            </w:tcBorders>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Inoperable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Mitchell and Augrist</w:t>
            </w:r>
            <w:r>
              <w:rPr>
                <w:rFonts w:ascii="Book Antiqua" w:hAnsi="Book Antiqua" w:eastAsia="宋体"/>
                <w:color w:val="000000" w:themeColor="text1"/>
                <w:vertAlign w:val="superscript"/>
                <w:lang w:val="en-IN" w:eastAsia="en-IN"/>
                <w14:textFill>
                  <w14:solidFill>
                    <w14:schemeClr w14:val="tx1"/>
                  </w14:solidFill>
                </w14:textFill>
              </w:rPr>
              <w:t>[8]</w:t>
            </w:r>
            <w:r>
              <w:rPr>
                <w:rFonts w:ascii="Book Antiqua" w:hAnsi="Book Antiqua" w:eastAsia="宋体"/>
                <w:color w:val="000000" w:themeColor="text1"/>
                <w:lang w:val="en-IN" w:eastAsia="en-IN"/>
                <w14:textFill>
                  <w14:solidFill>
                    <w14:schemeClr w14:val="tx1"/>
                  </w14:solidFill>
                </w14:textFill>
              </w:rPr>
              <w:t>, 1943</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68/F</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N/A</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 xml:space="preserve">5 </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No</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Varay</w:t>
            </w:r>
            <w:r>
              <w:rPr>
                <w:rFonts w:ascii="Book Antiqua" w:hAnsi="Book Antiqua" w:eastAsia="宋体"/>
                <w:color w:val="000000" w:themeColor="text1"/>
                <w:vertAlign w:val="superscript"/>
                <w:lang w:val="en-IN" w:eastAsia="en-IN"/>
                <w14:textFill>
                  <w14:solidFill>
                    <w14:schemeClr w14:val="tx1"/>
                  </w14:solidFill>
                </w14:textFill>
              </w:rPr>
              <w:t>[9]</w:t>
            </w:r>
            <w:r>
              <w:rPr>
                <w:rFonts w:ascii="Book Antiqua" w:hAnsi="Book Antiqua" w:eastAsia="宋体"/>
                <w:color w:val="000000" w:themeColor="text1"/>
                <w:lang w:val="en-IN" w:eastAsia="en-IN"/>
                <w14:textFill>
                  <w14:solidFill>
                    <w14:schemeClr w14:val="tx1"/>
                  </w14:solidFill>
                </w14:textFill>
              </w:rPr>
              <w:t>, 1946</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44/F</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 xml:space="preserve">3 </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 xml:space="preserve">Yes </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utoSpaceDE w:val="0"/>
              <w:autoSpaceDN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Pearson</w:t>
            </w:r>
            <w:r>
              <w:rPr>
                <w:rFonts w:ascii="Book Antiqua" w:hAnsi="Book Antiqua" w:eastAsia="宋体"/>
                <w:color w:val="000000" w:themeColor="text1"/>
                <w:vertAlign w:val="superscript"/>
                <w:lang w:val="en-IN" w:eastAsia="en-IN"/>
                <w14:textFill>
                  <w14:solidFill>
                    <w14:schemeClr w14:val="tx1"/>
                  </w14:solidFill>
                </w14:textFill>
              </w:rPr>
              <w:t>[10]</w:t>
            </w:r>
            <w:r>
              <w:rPr>
                <w:rFonts w:ascii="Book Antiqua" w:hAnsi="Book Antiqua" w:eastAsia="宋体"/>
                <w:color w:val="000000" w:themeColor="text1"/>
                <w:lang w:val="en-IN" w:eastAsia="en-IN"/>
                <w14:textFill>
                  <w14:solidFill>
                    <w14:schemeClr w14:val="tx1"/>
                  </w14:solidFill>
                </w14:textFill>
              </w:rPr>
              <w:t>, 1951</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43/F</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 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25</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Weber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[11]</w:t>
            </w:r>
            <w:r>
              <w:rPr>
                <w:rFonts w:ascii="Book Antiqua" w:hAnsi="Book Antiqua" w:eastAsia="宋体"/>
                <w:color w:val="000000" w:themeColor="text1"/>
                <w:lang w:val="en-IN" w:eastAsia="en-IN"/>
                <w14:textFill>
                  <w14:solidFill>
                    <w14:schemeClr w14:val="tx1"/>
                  </w14:solidFill>
                </w14:textFill>
              </w:rPr>
              <w:t xml:space="preserve">, 1968 </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46/F</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 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8</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Vankemmel and Houcke</w:t>
            </w:r>
            <w:r>
              <w:rPr>
                <w:rFonts w:ascii="Book Antiqua" w:hAnsi="Book Antiqua" w:eastAsia="宋体"/>
                <w:color w:val="000000" w:themeColor="text1"/>
                <w:vertAlign w:val="superscript"/>
                <w:lang w:val="en-IN" w:eastAsia="en-IN"/>
                <w14:textFill>
                  <w14:solidFill>
                    <w14:schemeClr w14:val="tx1"/>
                  </w14:solidFill>
                </w14:textFill>
              </w:rPr>
              <w:t>[12]</w:t>
            </w:r>
            <w:r>
              <w:rPr>
                <w:rFonts w:ascii="Book Antiqua" w:hAnsi="Book Antiqua" w:eastAsia="宋体"/>
                <w:color w:val="000000" w:themeColor="text1"/>
                <w:lang w:val="en-IN" w:eastAsia="en-IN"/>
                <w14:textFill>
                  <w14:solidFill>
                    <w14:schemeClr w14:val="tx1"/>
                  </w14:solidFill>
                </w14:textFill>
              </w:rPr>
              <w:t>, 1977</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14</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32-53/ NA</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13 cases – chronic pancreatitis</w:t>
            </w:r>
          </w:p>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 case – ampullary tumor</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1-10 mm</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NA</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14 cases - 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Bill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[13]</w:t>
            </w:r>
            <w:r>
              <w:rPr>
                <w:rFonts w:ascii="Book Antiqua" w:hAnsi="Book Antiqua" w:eastAsia="宋体"/>
                <w:color w:val="000000" w:themeColor="text1"/>
                <w:lang w:val="en-IN" w:eastAsia="en-IN"/>
                <w14:textFill>
                  <w14:solidFill>
                    <w14:schemeClr w14:val="tx1"/>
                  </w14:solidFill>
                </w14:textFill>
              </w:rPr>
              <w:t>, 1982</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64/M</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40</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O'Reilly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[14]</w:t>
            </w:r>
            <w:r>
              <w:rPr>
                <w:rFonts w:ascii="Book Antiqua" w:hAnsi="Book Antiqua" w:eastAsia="宋体"/>
                <w:iCs/>
                <w:color w:val="000000" w:themeColor="text1"/>
                <w:lang w:val="en-IN" w:eastAsia="en-IN"/>
                <w14:textFill>
                  <w14:solidFill>
                    <w14:schemeClr w14:val="tx1"/>
                  </w14:solidFill>
                </w14:textFill>
              </w:rPr>
              <w:t>, 1983</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61/M</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8</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utoSpaceDE w:val="0"/>
              <w:autoSpaceDN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Laughlin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[15]</w:t>
            </w:r>
            <w:r>
              <w:rPr>
                <w:rFonts w:ascii="Book Antiqua" w:hAnsi="Book Antiqua" w:eastAsia="宋体"/>
                <w:iCs/>
                <w:color w:val="000000" w:themeColor="text1"/>
                <w:lang w:val="en-IN" w:eastAsia="en-IN"/>
                <w14:textFill>
                  <w14:solidFill>
                    <w14:schemeClr w14:val="tx1"/>
                  </w14:solidFill>
                </w14:textFill>
              </w:rPr>
              <w:t>, 1983</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54/F</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5</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Ampullectomy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2127" w:type="dxa"/>
          </w:tcPr>
          <w:p>
            <w:pPr>
              <w:widowControl w:val="0"/>
              <w:autoSpaceDE w:val="0"/>
              <w:autoSpaceDN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Xu</w:t>
            </w:r>
            <w:r>
              <w:rPr>
                <w:rFonts w:ascii="Book Antiqua" w:hAnsi="Book Antiqua" w:eastAsia="宋体"/>
                <w:color w:val="000000" w:themeColor="text1"/>
                <w:vertAlign w:val="superscript"/>
                <w:lang w:val="en-IN" w:eastAsia="en-IN"/>
                <w14:textFill>
                  <w14:solidFill>
                    <w14:schemeClr w14:val="tx1"/>
                  </w14:solidFill>
                </w14:textFill>
              </w:rPr>
              <w:t>[16]</w:t>
            </w:r>
            <w:r>
              <w:rPr>
                <w:rFonts w:ascii="Book Antiqua" w:hAnsi="Book Antiqua" w:eastAsia="宋体"/>
                <w:color w:val="000000" w:themeColor="text1"/>
                <w:lang w:val="en-IN" w:eastAsia="en-IN"/>
                <w14:textFill>
                  <w14:solidFill>
                    <w14:schemeClr w14:val="tx1"/>
                  </w14:solidFill>
                </w14:textFill>
              </w:rPr>
              <w:t>, 1991</w:t>
            </w:r>
            <w:r>
              <w:rPr>
                <w:rFonts w:ascii="Book Antiqua" w:hAnsi="Book Antiqua" w:eastAsia="宋体"/>
                <w:color w:val="000000" w:themeColor="text1"/>
                <w:vertAlign w:val="superscript"/>
                <w:lang w:val="en-IN" w:eastAsia="en-IN"/>
                <w14:textFill>
                  <w14:solidFill>
                    <w14:schemeClr w14:val="tx1"/>
                  </w14:solidFill>
                </w14:textFill>
              </w:rPr>
              <w:t>1</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6</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35-60 /</w:t>
            </w:r>
          </w:p>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5M/1F</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6 cases - 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NA</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NA</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6 cases - 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utoSpaceDE w:val="0"/>
              <w:autoSpaceDN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Kubota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[17]</w:t>
            </w:r>
            <w:r>
              <w:rPr>
                <w:rFonts w:ascii="Book Antiqua" w:hAnsi="Book Antiqua" w:eastAsia="宋体"/>
                <w:iCs/>
                <w:color w:val="000000" w:themeColor="text1"/>
                <w:lang w:val="en-IN" w:eastAsia="en-IN"/>
                <w14:textFill>
                  <w14:solidFill>
                    <w14:schemeClr w14:val="tx1"/>
                  </w14:solidFill>
                </w14:textFill>
              </w:rPr>
              <w:t>, 1996</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71/M</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NA</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Hammarström and Nordgren</w:t>
            </w:r>
            <w:r>
              <w:rPr>
                <w:rFonts w:ascii="Book Antiqua" w:hAnsi="Book Antiqua" w:eastAsia="宋体"/>
                <w:color w:val="000000" w:themeColor="text1"/>
                <w:vertAlign w:val="superscript"/>
                <w:lang w:val="en-IN" w:eastAsia="en-IN"/>
                <w14:textFill>
                  <w14:solidFill>
                    <w14:schemeClr w14:val="tx1"/>
                  </w14:solidFill>
                </w14:textFill>
              </w:rPr>
              <w:t>[18]</w:t>
            </w:r>
            <w:r>
              <w:rPr>
                <w:rFonts w:ascii="Book Antiqua" w:hAnsi="Book Antiqua" w:eastAsia="宋体"/>
                <w:iCs/>
                <w:color w:val="000000" w:themeColor="text1"/>
                <w:lang w:val="en-IN" w:eastAsia="en-IN"/>
                <w14:textFill>
                  <w14:solidFill>
                    <w14:schemeClr w14:val="tx1"/>
                  </w14:solidFill>
                </w14:textFill>
              </w:rPr>
              <w:t xml:space="preserve">, 1999 </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NA/F</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Acute pancreatitis</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4</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No</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ERCP, Sphincterotomy &amp; biopsy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 w:hRule="atLeast"/>
        </w:trPr>
        <w:tc>
          <w:tcPr>
            <w:tcW w:w="2127" w:type="dxa"/>
          </w:tcPr>
          <w:p>
            <w:pPr>
              <w:widowControl w:val="0"/>
              <w:autoSpaceDE w:val="0"/>
              <w:autoSpaceDN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Molinari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[19]</w:t>
            </w:r>
            <w:r>
              <w:rPr>
                <w:rFonts w:ascii="Book Antiqua" w:hAnsi="Book Antiqua" w:eastAsia="宋体"/>
                <w:color w:val="000000" w:themeColor="text1"/>
                <w:lang w:val="en-IN" w:eastAsia="en-IN"/>
                <w14:textFill>
                  <w14:solidFill>
                    <w14:schemeClr w14:val="tx1"/>
                  </w14:solidFill>
                </w14:textFill>
              </w:rPr>
              <w:t xml:space="preserve">, 2000 </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42/M</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 jaundice, weight loss</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4</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 xml:space="preserve">Yes </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utoSpaceDE w:val="0"/>
              <w:autoSpaceDN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Chen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[20]</w:t>
            </w:r>
            <w:r>
              <w:rPr>
                <w:rFonts w:ascii="Book Antiqua" w:hAnsi="Book Antiqua" w:eastAsia="宋体"/>
                <w:color w:val="000000" w:themeColor="text1"/>
                <w:lang w:val="en-IN" w:eastAsia="en-IN"/>
                <w14:textFill>
                  <w14:solidFill>
                    <w14:schemeClr w14:val="tx1"/>
                  </w14:solidFill>
                </w14:textFill>
              </w:rPr>
              <w:t>, 2001</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59/F</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12</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 xml:space="preserve">Yes </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Ampullectomy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utoSpaceDE w:val="0"/>
              <w:autoSpaceDN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Contini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[21]</w:t>
            </w:r>
            <w:r>
              <w:rPr>
                <w:rFonts w:ascii="Book Antiqua" w:hAnsi="Book Antiqua" w:eastAsia="宋体"/>
                <w:color w:val="000000" w:themeColor="text1"/>
                <w:lang w:val="en-IN" w:eastAsia="en-IN"/>
                <w14:textFill>
                  <w14:solidFill>
                    <w14:schemeClr w14:val="tx1"/>
                  </w14:solidFill>
                </w14:textFill>
              </w:rPr>
              <w:t>, 2003</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72/F</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 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8</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 xml:space="preserve">Yes </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Ampullectomy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Obermaier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[22]</w:t>
            </w:r>
            <w:r>
              <w:rPr>
                <w:rFonts w:ascii="Book Antiqua" w:hAnsi="Book Antiqua" w:eastAsia="宋体"/>
                <w:color w:val="000000" w:themeColor="text1"/>
                <w:lang w:val="en-IN" w:eastAsia="en-IN"/>
                <w14:textFill>
                  <w14:solidFill>
                    <w14:schemeClr w14:val="tx1"/>
                  </w14:solidFill>
                </w14:textFill>
              </w:rPr>
              <w:t xml:space="preserve">, 2004 </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46/M</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2</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utoSpaceDE w:val="0"/>
              <w:autoSpaceDN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Wagle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[23]</w:t>
            </w:r>
            <w:r>
              <w:rPr>
                <w:rFonts w:ascii="Book Antiqua" w:hAnsi="Book Antiqua" w:eastAsia="宋体"/>
                <w:color w:val="000000" w:themeColor="text1"/>
                <w:lang w:val="en-IN" w:eastAsia="en-IN"/>
                <w14:textFill>
                  <w14:solidFill>
                    <w14:schemeClr w14:val="tx1"/>
                  </w14:solidFill>
                </w14:textFill>
              </w:rPr>
              <w:t>, 2005</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70/F</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 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NA</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Filippou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[24]</w:t>
            </w:r>
            <w:r>
              <w:rPr>
                <w:rFonts w:ascii="Book Antiqua" w:hAnsi="Book Antiqua" w:eastAsia="宋体"/>
                <w:color w:val="000000" w:themeColor="text1"/>
                <w:lang w:val="en-IN" w:eastAsia="en-IN"/>
                <w14:textFill>
                  <w14:solidFill>
                    <w14:schemeClr w14:val="tx1"/>
                  </w14:solidFill>
                </w14:textFill>
              </w:rPr>
              <w:t xml:space="preserve">, 2006 </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69/F</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Jaundice, weight loss</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NA</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Ampullectomy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Karahan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[25]</w:t>
            </w:r>
            <w:r>
              <w:rPr>
                <w:rFonts w:ascii="Book Antiqua" w:hAnsi="Book Antiqua" w:eastAsia="宋体"/>
                <w:color w:val="000000" w:themeColor="text1"/>
                <w:lang w:val="en-IN" w:eastAsia="en-IN"/>
                <w14:textFill>
                  <w14:solidFill>
                    <w14:schemeClr w14:val="tx1"/>
                  </w14:solidFill>
                </w14:textFill>
              </w:rPr>
              <w:t>, 2006</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67/M</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 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 xml:space="preserve">10 </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Laparotomy, biopsy, Choledochojejunostomy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Biswas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[26]</w:t>
            </w:r>
            <w:r>
              <w:rPr>
                <w:rFonts w:ascii="Book Antiqua" w:hAnsi="Book Antiqua" w:eastAsia="宋体"/>
                <w:color w:val="000000" w:themeColor="text1"/>
                <w:lang w:val="en-IN" w:eastAsia="en-IN"/>
                <w14:textFill>
                  <w14:solidFill>
                    <w14:schemeClr w14:val="tx1"/>
                  </w14:solidFill>
                </w14:textFill>
              </w:rPr>
              <w:t>, 2007</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47/M</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 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15</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Hsu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[27]</w:t>
            </w:r>
            <w:r>
              <w:rPr>
                <w:rFonts w:ascii="Book Antiqua" w:hAnsi="Book Antiqua" w:eastAsia="宋体"/>
                <w:color w:val="000000" w:themeColor="text1"/>
                <w:lang w:val="en-IN" w:eastAsia="en-IN"/>
                <w14:textFill>
                  <w14:solidFill>
                    <w14:schemeClr w14:val="tx1"/>
                  </w14:solidFill>
                </w14:textFill>
              </w:rPr>
              <w:t>, 2008</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54/M</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 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NA</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Rao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[28]</w:t>
            </w:r>
            <w:r>
              <w:rPr>
                <w:rFonts w:ascii="Book Antiqua" w:hAnsi="Book Antiqua" w:eastAsia="宋体"/>
                <w:color w:val="000000" w:themeColor="text1"/>
                <w:lang w:val="en-IN" w:eastAsia="en-IN"/>
                <w14:textFill>
                  <w14:solidFill>
                    <w14:schemeClr w14:val="tx1"/>
                  </w14:solidFill>
                </w14:textFill>
              </w:rPr>
              <w:t>, 2011</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48/M</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1.5</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Pancreaticoduodenectomy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Ciesielski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[29]</w:t>
            </w:r>
            <w:r>
              <w:rPr>
                <w:rFonts w:ascii="Book Antiqua" w:hAnsi="Book Antiqua" w:eastAsia="宋体"/>
                <w:color w:val="000000" w:themeColor="text1"/>
                <w:lang w:val="en-IN" w:eastAsia="en-IN"/>
                <w14:textFill>
                  <w14:solidFill>
                    <w14:schemeClr w14:val="tx1"/>
                  </w14:solidFill>
                </w14:textFill>
              </w:rPr>
              <w:t>, 2015</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54/M</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 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NA</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No</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Cholecystectomy with intraoperative CBD BX</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Kang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[30]</w:t>
            </w:r>
            <w:r>
              <w:rPr>
                <w:rFonts w:ascii="Book Antiqua" w:hAnsi="Book Antiqua" w:eastAsia="宋体"/>
                <w:color w:val="000000" w:themeColor="text1"/>
                <w:lang w:val="en-IN" w:eastAsia="en-IN"/>
                <w14:textFill>
                  <w14:solidFill>
                    <w14:schemeClr w14:val="tx1"/>
                  </w14:solidFill>
                </w14:textFill>
              </w:rPr>
              <w:t>, 2016</w:t>
            </w:r>
            <w:r>
              <w:rPr>
                <w:rFonts w:ascii="Book Antiqua" w:hAnsi="Book Antiqua" w:eastAsia="宋体"/>
                <w:color w:val="000000" w:themeColor="text1"/>
                <w:vertAlign w:val="superscript"/>
                <w:lang w:val="en-IN" w:eastAsia="en-IN"/>
                <w14:textFill>
                  <w14:solidFill>
                    <w14:schemeClr w14:val="tx1"/>
                  </w14:solidFill>
                </w14:textFill>
              </w:rPr>
              <w:t>2</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39/F</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 xml:space="preserve">14 </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No</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Endoscopic resection</w:t>
            </w:r>
          </w:p>
          <w:p>
            <w:pPr>
              <w:widowControl w:val="0"/>
              <w:adjustRightInd w:val="0"/>
              <w:snapToGrid w:val="0"/>
              <w:spacing w:after="0" w:line="360" w:lineRule="auto"/>
              <w:jc w:val="both"/>
              <w:rPr>
                <w:rFonts w:ascii="Book Antiqua" w:hAnsi="Book Antiqua" w:eastAsia="宋体"/>
                <w:lang w:val="en-IN" w:eastAsia="en-I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 xml:space="preserve">Nari </w:t>
            </w:r>
            <w:r>
              <w:rPr>
                <w:rFonts w:ascii="Book Antiqua" w:hAnsi="Book Antiqua" w:eastAsia="宋体"/>
                <w:i/>
                <w:color w:val="000000" w:themeColor="text1"/>
                <w:lang w:val="en-IN" w:eastAsia="en-IN"/>
                <w14:textFill>
                  <w14:solidFill>
                    <w14:schemeClr w14:val="tx1"/>
                  </w14:solidFill>
                </w14:textFill>
              </w:rPr>
              <w:t>et al</w:t>
            </w:r>
            <w:r>
              <w:rPr>
                <w:rFonts w:ascii="Book Antiqua" w:hAnsi="Book Antiqua" w:eastAsia="宋体"/>
                <w:color w:val="000000" w:themeColor="text1"/>
                <w:vertAlign w:val="superscript"/>
                <w:lang w:val="en-IN" w:eastAsia="en-IN"/>
                <w14:textFill>
                  <w14:solidFill>
                    <w14:schemeClr w14:val="tx1"/>
                  </w14:solidFill>
                </w14:textFill>
              </w:rPr>
              <w:t>[31]</w:t>
            </w:r>
            <w:r>
              <w:rPr>
                <w:rFonts w:ascii="Book Antiqua" w:hAnsi="Book Antiqua" w:eastAsia="宋体"/>
                <w:color w:val="000000" w:themeColor="text1"/>
                <w:lang w:val="en-IN" w:eastAsia="en-IN"/>
                <w14:textFill>
                  <w14:solidFill>
                    <w14:schemeClr w14:val="tx1"/>
                  </w14:solidFill>
                </w14:textFill>
              </w:rPr>
              <w:t>, 2019</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49/M</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 Jaundice</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NA</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 xml:space="preserve">Cholecystectomy with CBD Exploration and Bx; </w:t>
            </w:r>
          </w:p>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Papillo - Sphincterotomy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2127" w:type="dxa"/>
          </w:tcPr>
          <w:p>
            <w:pPr>
              <w:widowControl w:val="0"/>
              <w:adjustRightInd w:val="0"/>
              <w:snapToGrid w:val="0"/>
              <w:spacing w:after="0" w:line="360" w:lineRule="auto"/>
              <w:jc w:val="both"/>
              <w:rPr>
                <w:rFonts w:ascii="Book Antiqua" w:hAnsi="Book Antiqua" w:eastAsia="宋体"/>
                <w:color w:val="000000" w:themeColor="text1"/>
                <w:lang w:val="en-IN" w:eastAsia="en-IN"/>
                <w14:textFill>
                  <w14:solidFill>
                    <w14:schemeClr w14:val="tx1"/>
                  </w14:solidFill>
                </w14:textFill>
              </w:rPr>
            </w:pPr>
            <w:r>
              <w:rPr>
                <w:rFonts w:ascii="Book Antiqua" w:hAnsi="Book Antiqua" w:eastAsia="宋体"/>
                <w:color w:val="000000" w:themeColor="text1"/>
                <w:lang w:val="en-IN" w:eastAsia="en-IN"/>
                <w14:textFill>
                  <w14:solidFill>
                    <w14:schemeClr w14:val="tx1"/>
                  </w14:solidFill>
                </w14:textFill>
              </w:rPr>
              <w:t>Present case, 2021</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1</w:t>
            </w:r>
          </w:p>
        </w:tc>
        <w:tc>
          <w:tcPr>
            <w:tcW w:w="99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71/M</w:t>
            </w:r>
          </w:p>
        </w:tc>
        <w:tc>
          <w:tcPr>
            <w:tcW w:w="1966"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Abdominal pain</w:t>
            </w:r>
          </w:p>
        </w:tc>
        <w:tc>
          <w:tcPr>
            <w:tcW w:w="1152"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8</w:t>
            </w:r>
          </w:p>
        </w:tc>
        <w:tc>
          <w:tcPr>
            <w:tcW w:w="122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Yes</w:t>
            </w:r>
          </w:p>
        </w:tc>
        <w:tc>
          <w:tcPr>
            <w:tcW w:w="3119"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Endoscopic snare papillectomy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2127"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 xml:space="preserve">Total no of cases </w:t>
            </w:r>
          </w:p>
        </w:tc>
        <w:tc>
          <w:tcPr>
            <w:tcW w:w="851" w:type="dxa"/>
          </w:tcPr>
          <w:p>
            <w:pPr>
              <w:widowControl w:val="0"/>
              <w:adjustRightInd w:val="0"/>
              <w:snapToGrid w:val="0"/>
              <w:spacing w:after="0" w:line="360" w:lineRule="auto"/>
              <w:jc w:val="both"/>
              <w:rPr>
                <w:rFonts w:ascii="Book Antiqua" w:hAnsi="Book Antiqua" w:eastAsia="宋体"/>
                <w:lang w:val="en-IN" w:eastAsia="en-IN"/>
              </w:rPr>
            </w:pPr>
            <w:r>
              <w:rPr>
                <w:rFonts w:ascii="Book Antiqua" w:hAnsi="Book Antiqua" w:eastAsia="宋体"/>
                <w:lang w:val="en-IN" w:eastAsia="en-IN"/>
              </w:rPr>
              <w:t>44</w:t>
            </w:r>
          </w:p>
        </w:tc>
        <w:tc>
          <w:tcPr>
            <w:tcW w:w="992" w:type="dxa"/>
          </w:tcPr>
          <w:p>
            <w:pPr>
              <w:widowControl w:val="0"/>
              <w:adjustRightInd w:val="0"/>
              <w:snapToGrid w:val="0"/>
              <w:spacing w:after="0" w:line="360" w:lineRule="auto"/>
              <w:jc w:val="both"/>
              <w:rPr>
                <w:rFonts w:ascii="Book Antiqua" w:hAnsi="Book Antiqua" w:eastAsia="宋体"/>
                <w:lang w:val="en-IN" w:eastAsia="en-IN"/>
              </w:rPr>
            </w:pPr>
          </w:p>
        </w:tc>
        <w:tc>
          <w:tcPr>
            <w:tcW w:w="1966" w:type="dxa"/>
          </w:tcPr>
          <w:p>
            <w:pPr>
              <w:widowControl w:val="0"/>
              <w:adjustRightInd w:val="0"/>
              <w:snapToGrid w:val="0"/>
              <w:spacing w:after="0" w:line="360" w:lineRule="auto"/>
              <w:jc w:val="both"/>
              <w:rPr>
                <w:rFonts w:ascii="Book Antiqua" w:hAnsi="Book Antiqua" w:eastAsia="宋体"/>
                <w:lang w:val="en-IN" w:eastAsia="en-IN"/>
              </w:rPr>
            </w:pPr>
          </w:p>
        </w:tc>
        <w:tc>
          <w:tcPr>
            <w:tcW w:w="1152" w:type="dxa"/>
          </w:tcPr>
          <w:p>
            <w:pPr>
              <w:widowControl w:val="0"/>
              <w:adjustRightInd w:val="0"/>
              <w:snapToGrid w:val="0"/>
              <w:spacing w:after="0" w:line="360" w:lineRule="auto"/>
              <w:jc w:val="both"/>
              <w:rPr>
                <w:rFonts w:ascii="Book Antiqua" w:hAnsi="Book Antiqua" w:eastAsia="宋体"/>
                <w:lang w:val="en-IN" w:eastAsia="en-IN"/>
              </w:rPr>
            </w:pPr>
          </w:p>
        </w:tc>
        <w:tc>
          <w:tcPr>
            <w:tcW w:w="1221" w:type="dxa"/>
          </w:tcPr>
          <w:p>
            <w:pPr>
              <w:widowControl w:val="0"/>
              <w:adjustRightInd w:val="0"/>
              <w:snapToGrid w:val="0"/>
              <w:spacing w:after="0" w:line="360" w:lineRule="auto"/>
              <w:jc w:val="both"/>
              <w:rPr>
                <w:rFonts w:ascii="Book Antiqua" w:hAnsi="Book Antiqua" w:eastAsia="宋体"/>
                <w:lang w:val="en-IN" w:eastAsia="en-IN"/>
              </w:rPr>
            </w:pPr>
          </w:p>
        </w:tc>
        <w:tc>
          <w:tcPr>
            <w:tcW w:w="3119" w:type="dxa"/>
          </w:tcPr>
          <w:p>
            <w:pPr>
              <w:widowControl w:val="0"/>
              <w:adjustRightInd w:val="0"/>
              <w:snapToGrid w:val="0"/>
              <w:spacing w:after="0" w:line="360" w:lineRule="auto"/>
              <w:jc w:val="both"/>
              <w:rPr>
                <w:rFonts w:ascii="Book Antiqua" w:hAnsi="Book Antiqua" w:eastAsia="宋体"/>
                <w:lang w:val="en-IN" w:eastAsia="en-IN"/>
              </w:rPr>
            </w:pPr>
          </w:p>
        </w:tc>
      </w:tr>
    </w:tbl>
    <w:p>
      <w:pPr>
        <w:pStyle w:val="14"/>
        <w:snapToGrid w:val="0"/>
        <w:spacing w:line="360" w:lineRule="auto"/>
        <w:jc w:val="both"/>
        <w:rPr>
          <w:rFonts w:ascii="Book Antiqua" w:hAnsi="Book Antiqua" w:cs="Times New Roman"/>
        </w:rPr>
      </w:pPr>
      <w:r>
        <w:rPr>
          <w:rFonts w:ascii="Book Antiqua" w:hAnsi="Book Antiqua" w:cs="Times New Roman"/>
          <w:vertAlign w:val="superscript"/>
        </w:rPr>
        <w:t>1</w:t>
      </w:r>
      <w:r>
        <w:rPr>
          <w:rFonts w:ascii="Book Antiqua" w:hAnsi="Book Antiqua" w:cs="Times New Roman"/>
        </w:rPr>
        <w:t>Article</w:t>
      </w:r>
      <w:r>
        <w:rPr>
          <w:rFonts w:ascii="Book Antiqua" w:hAnsi="Book Antiqua" w:cs="Times New Roman"/>
          <w:lang w:val="en-IN"/>
        </w:rPr>
        <w:t xml:space="preserve"> </w:t>
      </w:r>
      <w:r>
        <w:rPr>
          <w:rFonts w:ascii="Book Antiqua" w:hAnsi="Book Antiqua" w:cs="Times New Roman"/>
        </w:rPr>
        <w:t xml:space="preserve">in Chinese language. </w:t>
      </w:r>
    </w:p>
    <w:p>
      <w:pPr>
        <w:pStyle w:val="14"/>
        <w:snapToGrid w:val="0"/>
        <w:spacing w:line="360" w:lineRule="auto"/>
        <w:jc w:val="both"/>
        <w:rPr>
          <w:rFonts w:ascii="Book Antiqua" w:hAnsi="Book Antiqua" w:cs="Times New Roman"/>
          <w:lang w:val="en-IN"/>
        </w:rPr>
      </w:pPr>
      <w:r>
        <w:rPr>
          <w:rFonts w:ascii="Book Antiqua" w:hAnsi="Book Antiqua" w:cs="Times New Roman"/>
          <w:vertAlign w:val="superscript"/>
          <w:lang w:val="en-IN"/>
        </w:rPr>
        <w:t>2</w:t>
      </w:r>
      <w:r>
        <w:rPr>
          <w:rFonts w:ascii="Book Antiqua" w:hAnsi="Book Antiqua" w:cs="Times New Roman"/>
          <w:lang w:val="en-IN"/>
        </w:rPr>
        <w:t>A</w:t>
      </w:r>
      <w:r>
        <w:rPr>
          <w:rFonts w:ascii="Book Antiqua" w:hAnsi="Book Antiqua" w:cs="Times New Roman"/>
        </w:rPr>
        <w:t>rticle in Korean language</w:t>
      </w:r>
      <w:r>
        <w:rPr>
          <w:rFonts w:ascii="Book Antiqua" w:hAnsi="Book Antiqua" w:cs="Times New Roman"/>
          <w:lang w:val="en-IN"/>
        </w:rPr>
        <w:t xml:space="preserve">. </w:t>
      </w:r>
    </w:p>
    <w:p>
      <w:pPr>
        <w:pStyle w:val="14"/>
        <w:snapToGrid w:val="0"/>
        <w:spacing w:line="360" w:lineRule="auto"/>
        <w:jc w:val="both"/>
        <w:rPr>
          <w:rFonts w:ascii="Book Antiqua" w:hAnsi="Book Antiqua" w:eastAsia="Book Antiqua" w:cs="Book Antiqua"/>
        </w:rPr>
      </w:pPr>
      <w:r>
        <w:rPr>
          <w:rFonts w:ascii="Book Antiqua" w:hAnsi="Book Antiqua" w:cs="Times New Roman"/>
          <w:lang w:val="en-IN"/>
        </w:rPr>
        <w:t>A</w:t>
      </w:r>
      <w:r>
        <w:rPr>
          <w:rFonts w:ascii="Book Antiqua" w:hAnsi="Book Antiqua" w:cs="Times New Roman"/>
        </w:rPr>
        <w:t xml:space="preserve">mpullary </w:t>
      </w:r>
      <w:r>
        <w:rPr>
          <w:rFonts w:ascii="Book Antiqua" w:hAnsi="Book Antiqua" w:cs="Times New Roman"/>
          <w:lang w:val="en-IN"/>
        </w:rPr>
        <w:t>g</w:t>
      </w:r>
      <w:r>
        <w:rPr>
          <w:rFonts w:ascii="Book Antiqua" w:hAnsi="Book Antiqua" w:cs="Times New Roman"/>
        </w:rPr>
        <w:t xml:space="preserve">angliocytic paraganglioma along with ectopic pancreas. </w:t>
      </w:r>
      <w:r>
        <w:rPr>
          <w:rFonts w:ascii="Book Antiqua" w:hAnsi="Book Antiqua" w:eastAsia="Book Antiqua" w:cs="Book Antiqua"/>
        </w:rPr>
        <w:t>CBD: Common bile duct; N/A: Not applicable</w:t>
      </w:r>
      <w:r>
        <w:rPr>
          <w:rFonts w:ascii="Book Antiqua" w:hAnsi="Book Antiqua" w:cs="宋体"/>
          <w:lang w:eastAsia="zh-CN"/>
        </w:rPr>
        <w:t xml:space="preserve">; </w:t>
      </w:r>
      <w:r>
        <w:rPr>
          <w:rFonts w:ascii="Book Antiqua" w:hAnsi="Book Antiqua" w:eastAsia="Book Antiqua" w:cs="Book Antiqua"/>
        </w:rPr>
        <w:t>NA: Not available.</w:t>
      </w:r>
    </w:p>
    <w:p>
      <w:pPr>
        <w:pStyle w:val="14"/>
        <w:snapToGrid w:val="0"/>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after="0" w:line="240" w:lineRule="auto"/>
        <w:ind w:left="240" w:leftChars="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spacing w:after="0" w:line="240" w:lineRule="auto"/>
        <w:ind w:left="240" w:leftChars="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spacing w:after="0" w:line="240" w:lineRule="auto"/>
        <w:ind w:left="240" w:leftChars="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spacing w:after="0" w:line="240" w:lineRule="auto"/>
        <w:ind w:left="240" w:leftChars="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spacing w:after="0" w:line="240" w:lineRule="auto"/>
        <w:ind w:left="240" w:leftChars="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spacing w:after="0" w:line="240" w:lineRule="auto"/>
        <w:ind w:left="240" w:leftChars="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spacing w:after="0" w:line="240" w:lineRule="auto"/>
        <w:ind w:leftChars="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pStyle w:val="14"/>
        <w:snapToGrid w:val="0"/>
        <w:spacing w:after="0" w:line="240" w:lineRule="auto"/>
        <w:jc w:val="both"/>
        <w:rPr>
          <w:rFonts w:ascii="Book Antiqua" w:hAnsi="Book Antiqua" w:eastAsia="Book Antiqua" w:cs="Book Antiqua"/>
        </w:rPr>
      </w:pPr>
    </w:p>
    <w:sectPr>
      <w:pgSz w:w="11906" w:h="16838"/>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0643267"/>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25</w:t>
            </w:r>
            <w:r>
              <w:rPr>
                <w:rFonts w:ascii="Book Antiqua" w:hAnsi="Book Antiqua"/>
                <w:b/>
                <w:bCs/>
                <w:sz w:val="24"/>
                <w:szCs w:val="24"/>
              </w:rPr>
              <w:fldChar w:fldCharType="end"/>
            </w:r>
          </w:p>
        </w:sdtContent>
      </w:sdt>
    </w:sdtContent>
  </w:sdt>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2118"/>
    <w:rsid w:val="000641D0"/>
    <w:rsid w:val="000D1CEC"/>
    <w:rsid w:val="000D2896"/>
    <w:rsid w:val="000E03FF"/>
    <w:rsid w:val="00101AC6"/>
    <w:rsid w:val="00146BDB"/>
    <w:rsid w:val="00161FDC"/>
    <w:rsid w:val="001E22D6"/>
    <w:rsid w:val="0024295E"/>
    <w:rsid w:val="00244172"/>
    <w:rsid w:val="00287B76"/>
    <w:rsid w:val="002E74DF"/>
    <w:rsid w:val="002F4433"/>
    <w:rsid w:val="00300C2A"/>
    <w:rsid w:val="003625A8"/>
    <w:rsid w:val="00364676"/>
    <w:rsid w:val="00373D53"/>
    <w:rsid w:val="00386F1C"/>
    <w:rsid w:val="003B5C0B"/>
    <w:rsid w:val="003F04FC"/>
    <w:rsid w:val="003F5E03"/>
    <w:rsid w:val="00435C24"/>
    <w:rsid w:val="00440F51"/>
    <w:rsid w:val="00494AD6"/>
    <w:rsid w:val="004B0C7B"/>
    <w:rsid w:val="004B1739"/>
    <w:rsid w:val="004C4605"/>
    <w:rsid w:val="004E6584"/>
    <w:rsid w:val="00510E30"/>
    <w:rsid w:val="00540CF9"/>
    <w:rsid w:val="00546F56"/>
    <w:rsid w:val="00565F37"/>
    <w:rsid w:val="005D21BA"/>
    <w:rsid w:val="005E42BF"/>
    <w:rsid w:val="00605406"/>
    <w:rsid w:val="0060590D"/>
    <w:rsid w:val="00695847"/>
    <w:rsid w:val="006E68B5"/>
    <w:rsid w:val="00704CA0"/>
    <w:rsid w:val="007C6083"/>
    <w:rsid w:val="007D458C"/>
    <w:rsid w:val="007E2D84"/>
    <w:rsid w:val="008013D4"/>
    <w:rsid w:val="00861914"/>
    <w:rsid w:val="00877CE2"/>
    <w:rsid w:val="008B55F0"/>
    <w:rsid w:val="008C4D3A"/>
    <w:rsid w:val="008D2E86"/>
    <w:rsid w:val="008E327B"/>
    <w:rsid w:val="00904BD5"/>
    <w:rsid w:val="00934448"/>
    <w:rsid w:val="00935F37"/>
    <w:rsid w:val="00984824"/>
    <w:rsid w:val="00990490"/>
    <w:rsid w:val="009D6DAC"/>
    <w:rsid w:val="009E1D66"/>
    <w:rsid w:val="00A77B3E"/>
    <w:rsid w:val="00AA5996"/>
    <w:rsid w:val="00B26087"/>
    <w:rsid w:val="00B36184"/>
    <w:rsid w:val="00B46EBF"/>
    <w:rsid w:val="00B62842"/>
    <w:rsid w:val="00B818BE"/>
    <w:rsid w:val="00B843E9"/>
    <w:rsid w:val="00B91311"/>
    <w:rsid w:val="00B965BC"/>
    <w:rsid w:val="00BC19D0"/>
    <w:rsid w:val="00BC6D9E"/>
    <w:rsid w:val="00C03A2A"/>
    <w:rsid w:val="00C46E67"/>
    <w:rsid w:val="00C5573F"/>
    <w:rsid w:val="00C914B5"/>
    <w:rsid w:val="00CA2A55"/>
    <w:rsid w:val="00CE5655"/>
    <w:rsid w:val="00D460C1"/>
    <w:rsid w:val="00D56CDB"/>
    <w:rsid w:val="00D75CA4"/>
    <w:rsid w:val="00E05379"/>
    <w:rsid w:val="00E366F2"/>
    <w:rsid w:val="00E467DD"/>
    <w:rsid w:val="00E647F1"/>
    <w:rsid w:val="00E74171"/>
    <w:rsid w:val="00E85CB8"/>
    <w:rsid w:val="00EC69E3"/>
    <w:rsid w:val="00EF555F"/>
    <w:rsid w:val="00F034A3"/>
    <w:rsid w:val="00F476A9"/>
    <w:rsid w:val="00F520A3"/>
    <w:rsid w:val="00F6314F"/>
    <w:rsid w:val="00F921E1"/>
    <w:rsid w:val="00FF2AC8"/>
    <w:rsid w:val="13DB6B6C"/>
    <w:rsid w:val="399317A8"/>
    <w:rsid w:val="3BBB3F9F"/>
    <w:rsid w:val="4B9075EC"/>
    <w:rsid w:val="54F734CD"/>
    <w:rsid w:val="7F000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0"/>
  </w:style>
  <w:style w:type="paragraph" w:styleId="3">
    <w:name w:val="Balloon Text"/>
    <w:basedOn w:val="1"/>
    <w:link w:val="18"/>
    <w:uiPriority w:val="0"/>
    <w:rPr>
      <w:rFonts w:ascii="Tahoma" w:hAnsi="Tahoma" w:cs="Tahoma"/>
      <w:sz w:val="16"/>
      <w:szCs w:val="16"/>
    </w:rPr>
  </w:style>
  <w:style w:type="paragraph" w:styleId="4">
    <w:name w:val="footer"/>
    <w:basedOn w:val="1"/>
    <w:link w:val="17"/>
    <w:unhideWhenUsed/>
    <w:qFormat/>
    <w:uiPriority w:val="99"/>
    <w:pPr>
      <w:tabs>
        <w:tab w:val="center" w:pos="4153"/>
        <w:tab w:val="right" w:pos="8306"/>
      </w:tabs>
      <w:snapToGrid w:val="0"/>
    </w:pPr>
    <w:rPr>
      <w:sz w:val="18"/>
      <w:szCs w:val="18"/>
    </w:rPr>
  </w:style>
  <w:style w:type="paragraph" w:styleId="5">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3"/>
    <w:semiHidden/>
    <w:unhideWhenUsed/>
    <w:qFormat/>
    <w:uiPriority w:val="0"/>
    <w:rPr>
      <w:b/>
      <w:bCs/>
    </w:rPr>
  </w:style>
  <w:style w:type="table" w:styleId="9">
    <w:name w:val="Table Grid"/>
    <w:basedOn w:val="8"/>
    <w:qFormat/>
    <w:uiPriority w:val="59"/>
    <w:pPr>
      <w:widowControl w:val="0"/>
      <w:spacing w:after="160" w:line="259" w:lineRule="auto"/>
      <w:jc w:val="both"/>
    </w:pPr>
    <w:rPr>
      <w:rFonts w:ascii="Calibri" w:hAnsi="Calibri" w:eastAsia="宋体"/>
      <w:lang w:val="en-IN" w:eastAsia="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semiHidden/>
    <w:unhideWhenUsed/>
    <w:qFormat/>
    <w:uiPriority w:val="0"/>
    <w:rPr>
      <w:sz w:val="21"/>
      <w:szCs w:val="21"/>
    </w:rPr>
  </w:style>
  <w:style w:type="character" w:customStyle="1" w:styleId="12">
    <w:name w:val="批注文字 字符"/>
    <w:basedOn w:val="10"/>
    <w:link w:val="2"/>
    <w:semiHidden/>
    <w:qFormat/>
    <w:uiPriority w:val="0"/>
    <w:rPr>
      <w:sz w:val="24"/>
      <w:szCs w:val="24"/>
    </w:rPr>
  </w:style>
  <w:style w:type="character" w:customStyle="1" w:styleId="13">
    <w:name w:val="批注主题 字符"/>
    <w:basedOn w:val="12"/>
    <w:link w:val="7"/>
    <w:semiHidden/>
    <w:uiPriority w:val="0"/>
    <w:rPr>
      <w:b/>
      <w:bCs/>
      <w:sz w:val="24"/>
      <w:szCs w:val="24"/>
    </w:rPr>
  </w:style>
  <w:style w:type="paragraph" w:customStyle="1" w:styleId="14">
    <w:name w:val="Default"/>
    <w:qFormat/>
    <w:uiPriority w:val="0"/>
    <w:pPr>
      <w:autoSpaceDE w:val="0"/>
      <w:autoSpaceDN w:val="0"/>
      <w:adjustRightInd w:val="0"/>
      <w:spacing w:after="200" w:line="276" w:lineRule="auto"/>
    </w:pPr>
    <w:rPr>
      <w:rFonts w:ascii="Calibri" w:hAnsi="Calibri" w:eastAsia="宋体" w:cs="Calibri"/>
      <w:color w:val="000000"/>
      <w:sz w:val="24"/>
      <w:szCs w:val="24"/>
      <w:lang w:val="en-GB" w:eastAsia="en-GB" w:bidi="ar-SA"/>
    </w:rPr>
  </w:style>
  <w:style w:type="paragraph" w:customStyle="1" w:styleId="15">
    <w:name w:val="Revision1"/>
    <w:hidden/>
    <w:semiHidden/>
    <w:qFormat/>
    <w:uiPriority w:val="99"/>
    <w:pPr>
      <w:spacing w:after="200" w:line="276" w:lineRule="auto"/>
    </w:pPr>
    <w:rPr>
      <w:rFonts w:ascii="Times New Roman" w:hAnsi="Times New Roman" w:cs="Times New Roman" w:eastAsiaTheme="minorEastAsia"/>
      <w:sz w:val="24"/>
      <w:szCs w:val="24"/>
      <w:lang w:val="en-US" w:eastAsia="en-US" w:bidi="ar-SA"/>
    </w:rPr>
  </w:style>
  <w:style w:type="character" w:customStyle="1" w:styleId="16">
    <w:name w:val="页眉 字符"/>
    <w:basedOn w:val="10"/>
    <w:link w:val="5"/>
    <w:qFormat/>
    <w:uiPriority w:val="0"/>
    <w:rPr>
      <w:sz w:val="18"/>
      <w:szCs w:val="18"/>
    </w:rPr>
  </w:style>
  <w:style w:type="character" w:customStyle="1" w:styleId="17">
    <w:name w:val="页脚 字符"/>
    <w:basedOn w:val="10"/>
    <w:link w:val="4"/>
    <w:qFormat/>
    <w:uiPriority w:val="99"/>
    <w:rPr>
      <w:sz w:val="18"/>
      <w:szCs w:val="18"/>
    </w:rPr>
  </w:style>
  <w:style w:type="character" w:customStyle="1" w:styleId="18">
    <w:name w:val="批注框文本 字符"/>
    <w:basedOn w:val="10"/>
    <w:link w:val="3"/>
    <w:qFormat/>
    <w:uiPriority w:val="0"/>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D9A030-6F91-4977-96B2-75664894EB01}">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25</Pages>
  <Words>4536</Words>
  <Characters>25858</Characters>
  <Lines>215</Lines>
  <Paragraphs>60</Paragraphs>
  <TotalTime>1</TotalTime>
  <ScaleCrop>false</ScaleCrop>
  <LinksUpToDate>false</LinksUpToDate>
  <CharactersWithSpaces>30334</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2021-08-11T11:11:00Z</dcterms:created>
  <dc:creator>joan</dc:creator>
  <cp:lastModifiedBy>晓晨</cp:lastModifiedBy>
  <dcterms:modified xsi:type="dcterms:W3CDTF">2021-09-16T08:03:32Z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EF3D3048C798487BBB86DFD1508B4041</vt:lpwstr>
  </property>
</Properties>
</file>