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209800" w14:textId="77777777" w:rsidR="00A77B3E" w:rsidRDefault="006C186E" w:rsidP="005518F7">
      <w:pPr>
        <w:snapToGrid w:val="0"/>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5F74119D" w14:textId="77777777" w:rsidR="00A77B3E" w:rsidRDefault="006C186E" w:rsidP="005518F7">
      <w:pPr>
        <w:snapToGrid w:val="0"/>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65359</w:t>
      </w:r>
    </w:p>
    <w:p w14:paraId="02D4972B" w14:textId="77777777" w:rsidR="00A77B3E" w:rsidRDefault="006C186E" w:rsidP="005518F7">
      <w:pPr>
        <w:snapToGrid w:val="0"/>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30B80C03" w14:textId="77777777" w:rsidR="00A77B3E" w:rsidRDefault="00A77B3E" w:rsidP="005518F7">
      <w:pPr>
        <w:snapToGrid w:val="0"/>
        <w:spacing w:line="360" w:lineRule="auto"/>
        <w:jc w:val="both"/>
      </w:pPr>
    </w:p>
    <w:p w14:paraId="1FB19C32" w14:textId="77777777" w:rsidR="00A77B3E" w:rsidRDefault="006C186E" w:rsidP="005518F7">
      <w:pPr>
        <w:snapToGrid w:val="0"/>
        <w:spacing w:line="360" w:lineRule="auto"/>
        <w:jc w:val="both"/>
      </w:pPr>
      <w:r>
        <w:rPr>
          <w:rFonts w:ascii="Book Antiqua" w:eastAsia="Book Antiqua" w:hAnsi="Book Antiqua" w:cs="Book Antiqua"/>
          <w:b/>
          <w:i/>
          <w:color w:val="000000"/>
        </w:rPr>
        <w:t>Basic Study</w:t>
      </w:r>
    </w:p>
    <w:p w14:paraId="7BC1F11E" w14:textId="77777777" w:rsidR="00A77B3E" w:rsidRDefault="006C186E" w:rsidP="005518F7">
      <w:pPr>
        <w:snapToGrid w:val="0"/>
        <w:spacing w:line="360" w:lineRule="auto"/>
        <w:jc w:val="both"/>
      </w:pPr>
      <w:r>
        <w:rPr>
          <w:rFonts w:ascii="Book Antiqua" w:eastAsia="Book Antiqua" w:hAnsi="Book Antiqua" w:cs="Book Antiqua"/>
          <w:b/>
          <w:bCs/>
          <w:color w:val="000000"/>
        </w:rPr>
        <w:t>Proteomics identifies a novel role of fibrinogen-like protein 1 in Crohn’s disease</w:t>
      </w:r>
    </w:p>
    <w:p w14:paraId="5A4C0CA0" w14:textId="77777777" w:rsidR="00A77B3E" w:rsidRDefault="00A77B3E" w:rsidP="005518F7">
      <w:pPr>
        <w:snapToGrid w:val="0"/>
        <w:spacing w:line="360" w:lineRule="auto"/>
        <w:jc w:val="both"/>
      </w:pPr>
    </w:p>
    <w:p w14:paraId="328D325D" w14:textId="77777777" w:rsidR="00A77B3E" w:rsidRDefault="006C186E" w:rsidP="005518F7">
      <w:pPr>
        <w:snapToGrid w:val="0"/>
        <w:spacing w:line="360" w:lineRule="auto"/>
        <w:jc w:val="both"/>
      </w:pPr>
      <w:r>
        <w:rPr>
          <w:rFonts w:ascii="Book Antiqua" w:eastAsia="Book Antiqua" w:hAnsi="Book Antiqua" w:cs="Book Antiqua"/>
          <w:color w:val="000000"/>
        </w:rPr>
        <w:t xml:space="preserve">Sun XL </w:t>
      </w:r>
      <w:r>
        <w:rPr>
          <w:rFonts w:ascii="Book Antiqua" w:eastAsia="Book Antiqua" w:hAnsi="Book Antiqua" w:cs="Book Antiqua"/>
          <w:i/>
          <w:iCs/>
          <w:color w:val="000000"/>
        </w:rPr>
        <w:t>et al</w:t>
      </w:r>
      <w:r>
        <w:rPr>
          <w:rFonts w:ascii="Book Antiqua" w:eastAsia="Book Antiqua" w:hAnsi="Book Antiqua" w:cs="Book Antiqua"/>
          <w:color w:val="000000"/>
        </w:rPr>
        <w:t>. FGL1 in Crohn’s disease</w:t>
      </w:r>
    </w:p>
    <w:p w14:paraId="6DD1E443" w14:textId="77777777" w:rsidR="00A77B3E" w:rsidRDefault="00A77B3E" w:rsidP="005518F7">
      <w:pPr>
        <w:snapToGrid w:val="0"/>
        <w:spacing w:line="360" w:lineRule="auto"/>
        <w:jc w:val="both"/>
      </w:pPr>
    </w:p>
    <w:p w14:paraId="282ECD4F" w14:textId="77777777" w:rsidR="00A77B3E" w:rsidRDefault="006C186E" w:rsidP="005518F7">
      <w:pPr>
        <w:snapToGrid w:val="0"/>
        <w:spacing w:line="360" w:lineRule="auto"/>
        <w:jc w:val="both"/>
      </w:pP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 xml:space="preserve">-Liang Sun, Li-Chao </w:t>
      </w:r>
      <w:proofErr w:type="spellStart"/>
      <w:r>
        <w:rPr>
          <w:rFonts w:ascii="Book Antiqua" w:eastAsia="Book Antiqua" w:hAnsi="Book Antiqua" w:cs="Book Antiqua"/>
          <w:color w:val="000000"/>
        </w:rPr>
        <w:t>Qiao</w:t>
      </w:r>
      <w:proofErr w:type="spellEnd"/>
      <w:r>
        <w:rPr>
          <w:rFonts w:ascii="Book Antiqua" w:eastAsia="Book Antiqua" w:hAnsi="Book Antiqua" w:cs="Book Antiqua"/>
          <w:color w:val="000000"/>
        </w:rPr>
        <w:t xml:space="preserve">, Jing Gong, </w:t>
      </w:r>
      <w:proofErr w:type="spellStart"/>
      <w:r>
        <w:rPr>
          <w:rFonts w:ascii="Book Antiqua" w:eastAsia="Book Antiqua" w:hAnsi="Book Antiqua" w:cs="Book Antiqua"/>
          <w:color w:val="000000"/>
        </w:rPr>
        <w:t>Ke</w:t>
      </w:r>
      <w:proofErr w:type="spellEnd"/>
      <w:r>
        <w:rPr>
          <w:rFonts w:ascii="Book Antiqua" w:eastAsia="Book Antiqua" w:hAnsi="Book Antiqua" w:cs="Book Antiqua"/>
          <w:color w:val="000000"/>
        </w:rPr>
        <w:t xml:space="preserve"> Wen, </w:t>
      </w:r>
      <w:proofErr w:type="spellStart"/>
      <w:r>
        <w:rPr>
          <w:rFonts w:ascii="Book Antiqua" w:eastAsia="Book Antiqua" w:hAnsi="Book Antiqua" w:cs="Book Antiqua"/>
          <w:color w:val="000000"/>
        </w:rPr>
        <w:t>Zhi-Zhong</w:t>
      </w:r>
      <w:proofErr w:type="spellEnd"/>
      <w:r>
        <w:rPr>
          <w:rFonts w:ascii="Book Antiqua" w:eastAsia="Book Antiqua" w:hAnsi="Book Antiqua" w:cs="Book Antiqua"/>
          <w:color w:val="000000"/>
        </w:rPr>
        <w:t xml:space="preserve"> Xu, Bo-Lin Yang</w:t>
      </w:r>
    </w:p>
    <w:p w14:paraId="268729FD" w14:textId="77777777" w:rsidR="00A77B3E" w:rsidRDefault="00A77B3E" w:rsidP="005518F7">
      <w:pPr>
        <w:snapToGrid w:val="0"/>
        <w:spacing w:line="360" w:lineRule="auto"/>
        <w:jc w:val="both"/>
      </w:pPr>
    </w:p>
    <w:p w14:paraId="2A62A408" w14:textId="411B60FC" w:rsidR="00A77B3E" w:rsidRDefault="006C186E" w:rsidP="005518F7">
      <w:pPr>
        <w:snapToGrid w:val="0"/>
        <w:spacing w:line="360" w:lineRule="auto"/>
        <w:jc w:val="both"/>
      </w:pPr>
      <w:proofErr w:type="spellStart"/>
      <w:r>
        <w:rPr>
          <w:rFonts w:ascii="Book Antiqua" w:eastAsia="Book Antiqua" w:hAnsi="Book Antiqua" w:cs="Book Antiqua"/>
          <w:b/>
          <w:bCs/>
          <w:color w:val="000000"/>
        </w:rPr>
        <w:t>Xue</w:t>
      </w:r>
      <w:proofErr w:type="spellEnd"/>
      <w:r>
        <w:rPr>
          <w:rFonts w:ascii="Book Antiqua" w:eastAsia="Book Antiqua" w:hAnsi="Book Antiqua" w:cs="Book Antiqua"/>
          <w:b/>
          <w:bCs/>
          <w:color w:val="000000"/>
        </w:rPr>
        <w:t xml:space="preserve">-Liang Sun, Li-Chao </w:t>
      </w:r>
      <w:proofErr w:type="spellStart"/>
      <w:r>
        <w:rPr>
          <w:rFonts w:ascii="Book Antiqua" w:eastAsia="Book Antiqua" w:hAnsi="Book Antiqua" w:cs="Book Antiqua"/>
          <w:b/>
          <w:bCs/>
          <w:color w:val="000000"/>
        </w:rPr>
        <w:t>Qiao</w:t>
      </w:r>
      <w:proofErr w:type="spellEnd"/>
      <w:r>
        <w:rPr>
          <w:rFonts w:ascii="Book Antiqua" w:eastAsia="Book Antiqua" w:hAnsi="Book Antiqua" w:cs="Book Antiqua"/>
          <w:b/>
          <w:bCs/>
          <w:color w:val="000000"/>
        </w:rPr>
        <w:t xml:space="preserve">, Jing Gong, Bo-Lin Yang, </w:t>
      </w:r>
      <w:r>
        <w:rPr>
          <w:rFonts w:ascii="Book Antiqua" w:eastAsia="Book Antiqua" w:hAnsi="Book Antiqua" w:cs="Book Antiqua"/>
          <w:color w:val="000000"/>
        </w:rPr>
        <w:t xml:space="preserve">First Clinical Medical College, </w:t>
      </w:r>
      <w:r w:rsidR="004E45C2">
        <w:rPr>
          <w:rFonts w:ascii="Book Antiqua" w:eastAsia="Book Antiqua" w:hAnsi="Book Antiqua" w:cs="Book Antiqua"/>
          <w:color w:val="000000"/>
        </w:rPr>
        <w:t>T</w:t>
      </w:r>
      <w:r>
        <w:rPr>
          <w:rFonts w:ascii="Book Antiqua" w:eastAsia="Book Antiqua" w:hAnsi="Book Antiqua" w:cs="Book Antiqua"/>
          <w:color w:val="000000"/>
        </w:rPr>
        <w:t>he Affiliated Hospital of Nanjing University of Chinese Medicine, Nanjing 210029, Jiangsu Province, China</w:t>
      </w:r>
    </w:p>
    <w:p w14:paraId="253B8792" w14:textId="77777777" w:rsidR="00A77B3E" w:rsidRDefault="00A77B3E" w:rsidP="005518F7">
      <w:pPr>
        <w:snapToGrid w:val="0"/>
        <w:spacing w:line="360" w:lineRule="auto"/>
        <w:jc w:val="both"/>
      </w:pPr>
    </w:p>
    <w:p w14:paraId="77CCBC82" w14:textId="77777777" w:rsidR="00A77B3E" w:rsidRDefault="006C186E" w:rsidP="005518F7">
      <w:pPr>
        <w:snapToGrid w:val="0"/>
        <w:spacing w:line="360" w:lineRule="auto"/>
        <w:jc w:val="both"/>
      </w:pPr>
      <w:proofErr w:type="spellStart"/>
      <w:r>
        <w:rPr>
          <w:rFonts w:ascii="Book Antiqua" w:eastAsia="Book Antiqua" w:hAnsi="Book Antiqua" w:cs="Book Antiqua"/>
          <w:b/>
          <w:bCs/>
          <w:color w:val="000000"/>
        </w:rPr>
        <w:t>Xue</w:t>
      </w:r>
      <w:proofErr w:type="spellEnd"/>
      <w:r>
        <w:rPr>
          <w:rFonts w:ascii="Book Antiqua" w:eastAsia="Book Antiqua" w:hAnsi="Book Antiqua" w:cs="Book Antiqua"/>
          <w:b/>
          <w:bCs/>
          <w:color w:val="000000"/>
        </w:rPr>
        <w:t xml:space="preserve">-Liang Sun, </w:t>
      </w:r>
      <w:proofErr w:type="spellStart"/>
      <w:r>
        <w:rPr>
          <w:rFonts w:ascii="Book Antiqua" w:eastAsia="Book Antiqua" w:hAnsi="Book Antiqua" w:cs="Book Antiqua"/>
          <w:b/>
          <w:bCs/>
          <w:color w:val="000000"/>
        </w:rPr>
        <w:t>Ke</w:t>
      </w:r>
      <w:proofErr w:type="spellEnd"/>
      <w:r>
        <w:rPr>
          <w:rFonts w:ascii="Book Antiqua" w:eastAsia="Book Antiqua" w:hAnsi="Book Antiqua" w:cs="Book Antiqua"/>
          <w:b/>
          <w:bCs/>
          <w:color w:val="000000"/>
        </w:rPr>
        <w:t xml:space="preserve"> Wen, </w:t>
      </w:r>
      <w:proofErr w:type="spellStart"/>
      <w:r>
        <w:rPr>
          <w:rFonts w:ascii="Book Antiqua" w:eastAsia="Book Antiqua" w:hAnsi="Book Antiqua" w:cs="Book Antiqua"/>
          <w:b/>
          <w:bCs/>
          <w:color w:val="000000"/>
        </w:rPr>
        <w:t>Zhi-Zhong</w:t>
      </w:r>
      <w:proofErr w:type="spellEnd"/>
      <w:r>
        <w:rPr>
          <w:rFonts w:ascii="Book Antiqua" w:eastAsia="Book Antiqua" w:hAnsi="Book Antiqua" w:cs="Book Antiqua"/>
          <w:b/>
          <w:bCs/>
          <w:color w:val="000000"/>
        </w:rPr>
        <w:t xml:space="preserve"> Xu, </w:t>
      </w:r>
      <w:r>
        <w:rPr>
          <w:rFonts w:ascii="Book Antiqua" w:eastAsia="Book Antiqua" w:hAnsi="Book Antiqua" w:cs="Book Antiqua"/>
          <w:color w:val="000000"/>
        </w:rPr>
        <w:t>Department of Colorectal Surgery, Suzhou TCM Hospital Affiliated to Nanjing University of Chinese Medicine, Suzhou 215000, Jiangsu Province, China</w:t>
      </w:r>
    </w:p>
    <w:p w14:paraId="0468CA94" w14:textId="77777777" w:rsidR="00A77B3E" w:rsidRDefault="00A77B3E" w:rsidP="005518F7">
      <w:pPr>
        <w:snapToGrid w:val="0"/>
        <w:spacing w:line="360" w:lineRule="auto"/>
        <w:jc w:val="both"/>
      </w:pPr>
    </w:p>
    <w:p w14:paraId="43305347" w14:textId="77777777" w:rsidR="00A77B3E" w:rsidRDefault="006C186E" w:rsidP="005518F7">
      <w:pPr>
        <w:snapToGrid w:val="0"/>
        <w:spacing w:line="360" w:lineRule="auto"/>
        <w:jc w:val="both"/>
      </w:pPr>
      <w:r>
        <w:rPr>
          <w:rFonts w:ascii="Book Antiqua" w:eastAsia="Book Antiqua" w:hAnsi="Book Antiqua" w:cs="Book Antiqua"/>
          <w:b/>
          <w:bCs/>
          <w:color w:val="000000"/>
        </w:rPr>
        <w:t xml:space="preserve">Bo-Lin Yang, </w:t>
      </w:r>
      <w:r>
        <w:rPr>
          <w:rFonts w:ascii="Book Antiqua" w:eastAsia="Book Antiqua" w:hAnsi="Book Antiqua" w:cs="Book Antiqua"/>
          <w:color w:val="000000"/>
        </w:rPr>
        <w:t>Department of Colorectal Surgery, Jiangsu Province Hospital of Chinese Medicine, Nanjing 210029, Jiangsu Province, China</w:t>
      </w:r>
    </w:p>
    <w:p w14:paraId="2FF79785" w14:textId="77777777" w:rsidR="00A77B3E" w:rsidRDefault="00A77B3E" w:rsidP="005518F7">
      <w:pPr>
        <w:snapToGrid w:val="0"/>
        <w:spacing w:line="360" w:lineRule="auto"/>
        <w:jc w:val="both"/>
      </w:pPr>
    </w:p>
    <w:p w14:paraId="487CA328" w14:textId="781FFF1D" w:rsidR="00A77B3E" w:rsidRDefault="006C186E" w:rsidP="005518F7">
      <w:pPr>
        <w:snapToGrid w:val="0"/>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Sun XL and Yang BL contributed to designing the study; Sun XL, </w:t>
      </w:r>
      <w:proofErr w:type="spellStart"/>
      <w:r>
        <w:rPr>
          <w:rFonts w:ascii="Book Antiqua" w:eastAsia="Book Antiqua" w:hAnsi="Book Antiqua" w:cs="Book Antiqua"/>
          <w:color w:val="000000"/>
        </w:rPr>
        <w:t>Qiao</w:t>
      </w:r>
      <w:proofErr w:type="spellEnd"/>
      <w:r>
        <w:rPr>
          <w:rFonts w:ascii="Book Antiqua" w:eastAsia="Book Antiqua" w:hAnsi="Book Antiqua" w:cs="Book Antiqua"/>
          <w:color w:val="000000"/>
        </w:rPr>
        <w:t xml:space="preserve"> LC and Gong J contributed to performing the experiments; Wen K and Xu ZZ contributed to sample collection and statistical analysis; Sun XL and </w:t>
      </w:r>
      <w:proofErr w:type="spellStart"/>
      <w:r>
        <w:rPr>
          <w:rFonts w:ascii="Book Antiqua" w:eastAsia="Book Antiqua" w:hAnsi="Book Antiqua" w:cs="Book Antiqua"/>
          <w:color w:val="000000"/>
        </w:rPr>
        <w:t>Qiao</w:t>
      </w:r>
      <w:proofErr w:type="spellEnd"/>
      <w:r>
        <w:rPr>
          <w:rFonts w:ascii="Book Antiqua" w:eastAsia="Book Antiqua" w:hAnsi="Book Antiqua" w:cs="Book Antiqua"/>
          <w:color w:val="000000"/>
        </w:rPr>
        <w:t xml:space="preserve"> LC contributed to manuscript drafting; all authors made critic</w:t>
      </w:r>
      <w:r>
        <w:rPr>
          <w:rFonts w:ascii="Book Antiqua" w:eastAsia="Book Antiqua" w:hAnsi="Book Antiqua" w:cs="Book Antiqua"/>
          <w:color w:val="000000"/>
        </w:rPr>
        <w:t xml:space="preserve">al revisions </w:t>
      </w:r>
      <w:r w:rsidR="00E354E8">
        <w:rPr>
          <w:rFonts w:ascii="Book Antiqua" w:eastAsia="Book Antiqua" w:hAnsi="Book Antiqua" w:cs="Book Antiqua"/>
          <w:color w:val="000000"/>
        </w:rPr>
        <w:t xml:space="preserve">to the manuscript </w:t>
      </w:r>
      <w:r>
        <w:rPr>
          <w:rFonts w:ascii="Book Antiqua" w:eastAsia="Book Antiqua" w:hAnsi="Book Antiqua" w:cs="Book Antiqua"/>
          <w:color w:val="000000"/>
        </w:rPr>
        <w:t xml:space="preserve">and </w:t>
      </w:r>
      <w:r>
        <w:rPr>
          <w:rFonts w:ascii="Book Antiqua" w:eastAsia="Book Antiqua" w:hAnsi="Book Antiqua" w:cs="Book Antiqua"/>
          <w:color w:val="000000"/>
        </w:rPr>
        <w:t>approved the final version of the article to be published.</w:t>
      </w:r>
    </w:p>
    <w:p w14:paraId="708C0733" w14:textId="77777777" w:rsidR="00A77B3E" w:rsidRDefault="00A77B3E" w:rsidP="005518F7">
      <w:pPr>
        <w:snapToGrid w:val="0"/>
        <w:spacing w:line="360" w:lineRule="auto"/>
        <w:jc w:val="both"/>
      </w:pPr>
    </w:p>
    <w:p w14:paraId="46FD2F48" w14:textId="77777777" w:rsidR="00A77B3E" w:rsidRDefault="006C186E" w:rsidP="005518F7">
      <w:pPr>
        <w:snapToGrid w:val="0"/>
        <w:spacing w:line="360" w:lineRule="auto"/>
        <w:jc w:val="both"/>
      </w:pPr>
      <w:r>
        <w:rPr>
          <w:rFonts w:ascii="Book Antiqua" w:eastAsia="Book Antiqua" w:hAnsi="Book Antiqua" w:cs="Book Antiqua"/>
          <w:b/>
          <w:bCs/>
          <w:color w:val="000000"/>
        </w:rPr>
        <w:lastRenderedPageBreak/>
        <w:t xml:space="preserve">Supported by </w:t>
      </w:r>
      <w:r>
        <w:rPr>
          <w:rFonts w:ascii="Book Antiqua" w:eastAsia="Book Antiqua" w:hAnsi="Book Antiqua" w:cs="Book Antiqua"/>
          <w:color w:val="000000"/>
        </w:rPr>
        <w:t>National Natural Science Foundation of China</w:t>
      </w:r>
      <w:r w:rsidR="00F05303">
        <w:rPr>
          <w:rFonts w:ascii="Book Antiqua" w:hAnsi="Book Antiqua" w:cs="Book Antiqua" w:hint="eastAsia"/>
          <w:color w:val="000000"/>
          <w:lang w:eastAsia="zh-CN"/>
        </w:rPr>
        <w:t>,</w:t>
      </w:r>
      <w:r w:rsidR="00F05303">
        <w:rPr>
          <w:rFonts w:ascii="Book Antiqua" w:hAnsi="Book Antiqua" w:cs="Book Antiqua"/>
          <w:color w:val="000000"/>
          <w:lang w:eastAsia="zh-CN"/>
        </w:rPr>
        <w:t xml:space="preserve"> </w:t>
      </w:r>
      <w:r>
        <w:rPr>
          <w:rFonts w:ascii="Book Antiqua" w:eastAsia="Book Antiqua" w:hAnsi="Book Antiqua" w:cs="Book Antiqua"/>
          <w:color w:val="000000"/>
        </w:rPr>
        <w:t>No. 82074431; The Open Projects of the Discipline of Chinese Medicine of Nanjing University of Chinese Medicine Supported by the Subject of Academic Priority Discipline of Jiangsu Higher Education Institutions</w:t>
      </w:r>
      <w:r w:rsidR="00406C90">
        <w:rPr>
          <w:rFonts w:ascii="Book Antiqua" w:eastAsia="Book Antiqua" w:hAnsi="Book Antiqua" w:cs="Book Antiqua"/>
          <w:color w:val="000000"/>
        </w:rPr>
        <w:t>, No. ZYX03KF034</w:t>
      </w:r>
      <w:r>
        <w:rPr>
          <w:rFonts w:ascii="Book Antiqua" w:eastAsia="Book Antiqua" w:hAnsi="Book Antiqua" w:cs="Book Antiqua"/>
          <w:color w:val="000000"/>
        </w:rPr>
        <w:t xml:space="preserve">; </w:t>
      </w:r>
      <w:r w:rsidR="00406C90">
        <w:rPr>
          <w:rFonts w:ascii="Book Antiqua" w:eastAsia="Book Antiqua" w:hAnsi="Book Antiqua" w:cs="Book Antiqua"/>
          <w:color w:val="000000"/>
        </w:rPr>
        <w:t xml:space="preserve">and </w:t>
      </w:r>
      <w:r>
        <w:rPr>
          <w:rFonts w:ascii="Book Antiqua" w:eastAsia="Book Antiqua" w:hAnsi="Book Antiqua" w:cs="Book Antiqua"/>
          <w:color w:val="000000"/>
        </w:rPr>
        <w:t>Suzhou Municipal Science and Technology Bureau</w:t>
      </w:r>
      <w:r w:rsidR="00406C90">
        <w:rPr>
          <w:rFonts w:ascii="Book Antiqua" w:eastAsia="Book Antiqua" w:hAnsi="Book Antiqua" w:cs="Book Antiqua"/>
          <w:color w:val="000000"/>
        </w:rPr>
        <w:t xml:space="preserve">, </w:t>
      </w:r>
      <w:r>
        <w:rPr>
          <w:rFonts w:ascii="Book Antiqua" w:eastAsia="Book Antiqua" w:hAnsi="Book Antiqua" w:cs="Book Antiqua"/>
          <w:color w:val="000000"/>
        </w:rPr>
        <w:t>No. SYSD2020253</w:t>
      </w:r>
      <w:r w:rsidR="00406C90">
        <w:rPr>
          <w:rFonts w:ascii="Book Antiqua" w:eastAsia="Book Antiqua" w:hAnsi="Book Antiqua" w:cs="Book Antiqua"/>
          <w:color w:val="000000"/>
        </w:rPr>
        <w:t xml:space="preserve"> and No. SS202085</w:t>
      </w:r>
      <w:r>
        <w:rPr>
          <w:rFonts w:ascii="Book Antiqua" w:eastAsia="Book Antiqua" w:hAnsi="Book Antiqua" w:cs="Book Antiqua"/>
          <w:color w:val="000000"/>
        </w:rPr>
        <w:t>.</w:t>
      </w:r>
    </w:p>
    <w:p w14:paraId="7A0BAB74" w14:textId="77777777" w:rsidR="00A77B3E" w:rsidRDefault="00A77B3E" w:rsidP="005518F7">
      <w:pPr>
        <w:snapToGrid w:val="0"/>
        <w:spacing w:line="360" w:lineRule="auto"/>
        <w:jc w:val="both"/>
      </w:pPr>
    </w:p>
    <w:p w14:paraId="2CBD7A3A" w14:textId="71DDCB25" w:rsidR="00A77B3E" w:rsidRDefault="006C186E" w:rsidP="005518F7">
      <w:pPr>
        <w:snapToGrid w:val="0"/>
        <w:spacing w:line="360" w:lineRule="auto"/>
        <w:jc w:val="both"/>
      </w:pPr>
      <w:r>
        <w:rPr>
          <w:rFonts w:ascii="Book Antiqua" w:eastAsia="Book Antiqua" w:hAnsi="Book Antiqua" w:cs="Book Antiqua"/>
          <w:b/>
          <w:bCs/>
          <w:color w:val="000000"/>
        </w:rPr>
        <w:t xml:space="preserve">Corresponding author: Bo-Lin Yang, MD, Chief Doctor, </w:t>
      </w:r>
      <w:r>
        <w:rPr>
          <w:rFonts w:ascii="Book Antiqua" w:eastAsia="Book Antiqua" w:hAnsi="Book Antiqua" w:cs="Book Antiqua"/>
          <w:color w:val="000000"/>
        </w:rPr>
        <w:t xml:space="preserve">First Clinical Medical College, </w:t>
      </w:r>
      <w:r w:rsidR="004E45C2">
        <w:rPr>
          <w:rFonts w:ascii="Book Antiqua" w:eastAsia="Book Antiqua" w:hAnsi="Book Antiqua" w:cs="Book Antiqua"/>
          <w:color w:val="000000"/>
        </w:rPr>
        <w:t>T</w:t>
      </w:r>
      <w:r>
        <w:rPr>
          <w:rFonts w:ascii="Book Antiqua" w:eastAsia="Book Antiqua" w:hAnsi="Book Antiqua" w:cs="Book Antiqua"/>
          <w:color w:val="000000"/>
        </w:rPr>
        <w:t xml:space="preserve">he Affiliated Hospital of Nanjing University of Chinese Medicine, </w:t>
      </w:r>
      <w:r w:rsidR="004B2DAF">
        <w:rPr>
          <w:rFonts w:ascii="Book Antiqua" w:eastAsia="Book Antiqua" w:hAnsi="Book Antiqua" w:cs="Book Antiqua"/>
          <w:color w:val="000000"/>
        </w:rPr>
        <w:t xml:space="preserve">No. 155 </w:t>
      </w:r>
      <w:proofErr w:type="spellStart"/>
      <w:r>
        <w:rPr>
          <w:rFonts w:ascii="Book Antiqua" w:eastAsia="Book Antiqua" w:hAnsi="Book Antiqua" w:cs="Book Antiqua"/>
          <w:color w:val="000000"/>
        </w:rPr>
        <w:t>Hanzhong</w:t>
      </w:r>
      <w:proofErr w:type="spellEnd"/>
      <w:r>
        <w:rPr>
          <w:rFonts w:ascii="Book Antiqua" w:eastAsia="Book Antiqua" w:hAnsi="Book Antiqua" w:cs="Book Antiqua"/>
          <w:color w:val="000000"/>
        </w:rPr>
        <w:t xml:space="preserve"> R</w:t>
      </w:r>
      <w:r w:rsidR="004B2DAF">
        <w:rPr>
          <w:rFonts w:ascii="Book Antiqua" w:eastAsia="Book Antiqua" w:hAnsi="Book Antiqua" w:cs="Book Antiqua"/>
          <w:color w:val="000000"/>
        </w:rPr>
        <w:t>oa</w:t>
      </w:r>
      <w:r>
        <w:rPr>
          <w:rFonts w:ascii="Book Antiqua" w:eastAsia="Book Antiqua" w:hAnsi="Book Antiqua" w:cs="Book Antiqua"/>
          <w:color w:val="000000"/>
        </w:rPr>
        <w:t>d, Nanjing 210029, Jiangsu Province, China. yfy0051@njucm.edu.cn</w:t>
      </w:r>
    </w:p>
    <w:p w14:paraId="7C06CAEC" w14:textId="77777777" w:rsidR="00A77B3E" w:rsidRDefault="00A77B3E" w:rsidP="005518F7">
      <w:pPr>
        <w:snapToGrid w:val="0"/>
        <w:spacing w:line="360" w:lineRule="auto"/>
        <w:jc w:val="both"/>
      </w:pPr>
    </w:p>
    <w:p w14:paraId="2BA3C75B" w14:textId="77777777" w:rsidR="00A77B3E" w:rsidRDefault="006C186E" w:rsidP="005518F7">
      <w:pPr>
        <w:snapToGrid w:val="0"/>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March 5, 2021</w:t>
      </w:r>
    </w:p>
    <w:p w14:paraId="4523BF35" w14:textId="77777777" w:rsidR="00A77B3E" w:rsidRDefault="006C186E" w:rsidP="005518F7">
      <w:pPr>
        <w:snapToGrid w:val="0"/>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April 7, 2021</w:t>
      </w:r>
    </w:p>
    <w:p w14:paraId="076B233B" w14:textId="3D7EEAEB" w:rsidR="00A77B3E" w:rsidRDefault="006C186E" w:rsidP="005518F7">
      <w:pPr>
        <w:snapToGrid w:val="0"/>
        <w:spacing w:line="360" w:lineRule="auto"/>
        <w:jc w:val="both"/>
      </w:pPr>
      <w:r>
        <w:rPr>
          <w:rFonts w:ascii="Book Antiqua" w:eastAsia="Book Antiqua" w:hAnsi="Book Antiqua" w:cs="Book Antiqua"/>
          <w:b/>
          <w:bCs/>
          <w:color w:val="000000"/>
        </w:rPr>
        <w:t xml:space="preserve">Accepted: </w:t>
      </w:r>
      <w:bookmarkStart w:id="0" w:name="OLE_LINK15"/>
      <w:bookmarkStart w:id="1" w:name="OLE_LINK33"/>
      <w:bookmarkStart w:id="2" w:name="OLE_LINK48"/>
      <w:r w:rsidR="004E45C2">
        <w:rPr>
          <w:rFonts w:ascii="Book Antiqua" w:eastAsia="宋体" w:hAnsi="Book Antiqua" w:hint="eastAsia"/>
          <w:color w:val="000000" w:themeColor="text1"/>
        </w:rPr>
        <w:t>Au</w:t>
      </w:r>
      <w:r w:rsidR="004E45C2">
        <w:rPr>
          <w:rFonts w:ascii="Book Antiqua" w:eastAsia="宋体" w:hAnsi="Book Antiqua"/>
          <w:color w:val="000000" w:themeColor="text1"/>
        </w:rPr>
        <w:t>gust</w:t>
      </w:r>
      <w:r w:rsidR="004E45C2" w:rsidRPr="00F06907">
        <w:rPr>
          <w:rFonts w:ascii="Book Antiqua" w:eastAsia="宋体" w:hAnsi="Book Antiqua"/>
          <w:color w:val="000000" w:themeColor="text1"/>
        </w:rPr>
        <w:t xml:space="preserve"> </w:t>
      </w:r>
      <w:r w:rsidR="004E45C2">
        <w:rPr>
          <w:rFonts w:ascii="Book Antiqua" w:eastAsia="宋体" w:hAnsi="Book Antiqua"/>
          <w:color w:val="000000" w:themeColor="text1"/>
        </w:rPr>
        <w:t>10</w:t>
      </w:r>
      <w:r w:rsidR="004E45C2" w:rsidRPr="00F06907">
        <w:rPr>
          <w:rFonts w:ascii="Book Antiqua" w:eastAsia="宋体" w:hAnsi="Book Antiqua"/>
          <w:color w:val="000000" w:themeColor="text1"/>
        </w:rPr>
        <w:t>, 2021</w:t>
      </w:r>
      <w:bookmarkEnd w:id="0"/>
      <w:bookmarkEnd w:id="1"/>
      <w:bookmarkEnd w:id="2"/>
    </w:p>
    <w:p w14:paraId="34335325" w14:textId="77777777" w:rsidR="00A77B3E" w:rsidRDefault="006C186E" w:rsidP="005518F7">
      <w:pPr>
        <w:snapToGrid w:val="0"/>
        <w:spacing w:line="360" w:lineRule="auto"/>
        <w:jc w:val="both"/>
      </w:pPr>
      <w:r>
        <w:rPr>
          <w:rFonts w:ascii="Book Antiqua" w:eastAsia="Book Antiqua" w:hAnsi="Book Antiqua" w:cs="Book Antiqua"/>
          <w:b/>
          <w:bCs/>
          <w:color w:val="000000"/>
        </w:rPr>
        <w:t xml:space="preserve">Published online: </w:t>
      </w:r>
    </w:p>
    <w:p w14:paraId="30097B93" w14:textId="77777777" w:rsidR="00A77B3E" w:rsidRDefault="00A77B3E" w:rsidP="005518F7">
      <w:pPr>
        <w:snapToGrid w:val="0"/>
        <w:spacing w:line="360" w:lineRule="auto"/>
        <w:jc w:val="both"/>
        <w:sectPr w:rsidR="00A77B3E">
          <w:footerReference w:type="default" r:id="rId6"/>
          <w:pgSz w:w="12240" w:h="15840"/>
          <w:pgMar w:top="1440" w:right="1440" w:bottom="1440" w:left="1440" w:header="720" w:footer="720" w:gutter="0"/>
          <w:cols w:space="720"/>
          <w:docGrid w:linePitch="360"/>
        </w:sectPr>
      </w:pPr>
    </w:p>
    <w:p w14:paraId="76D674AA" w14:textId="77777777" w:rsidR="00A77B3E" w:rsidRDefault="006C186E" w:rsidP="005518F7">
      <w:pPr>
        <w:snapToGrid w:val="0"/>
        <w:spacing w:line="360" w:lineRule="auto"/>
        <w:jc w:val="both"/>
      </w:pPr>
      <w:r>
        <w:rPr>
          <w:rFonts w:ascii="Book Antiqua" w:eastAsia="Book Antiqua" w:hAnsi="Book Antiqua" w:cs="Book Antiqua"/>
          <w:b/>
          <w:color w:val="000000"/>
        </w:rPr>
        <w:lastRenderedPageBreak/>
        <w:t>Abstract</w:t>
      </w:r>
    </w:p>
    <w:p w14:paraId="1C469BCA" w14:textId="77777777" w:rsidR="00A77B3E" w:rsidRDefault="006C186E" w:rsidP="005518F7">
      <w:pPr>
        <w:snapToGrid w:val="0"/>
        <w:spacing w:line="360" w:lineRule="auto"/>
        <w:jc w:val="both"/>
      </w:pPr>
      <w:r>
        <w:rPr>
          <w:rFonts w:ascii="Book Antiqua" w:eastAsia="Book Antiqua" w:hAnsi="Book Antiqua" w:cs="Book Antiqua"/>
          <w:color w:val="000000"/>
        </w:rPr>
        <w:t>BACKGROUND</w:t>
      </w:r>
    </w:p>
    <w:p w14:paraId="5BD35BF0" w14:textId="2C7E5ECD" w:rsidR="00A77B3E" w:rsidRDefault="006C186E" w:rsidP="005518F7">
      <w:pPr>
        <w:snapToGrid w:val="0"/>
        <w:spacing w:line="360" w:lineRule="auto"/>
        <w:jc w:val="both"/>
      </w:pPr>
      <w:r>
        <w:rPr>
          <w:rFonts w:ascii="Book Antiqua" w:eastAsia="Book Antiqua" w:hAnsi="Book Antiqua" w:cs="Book Antiqua"/>
          <w:color w:val="000000"/>
        </w:rPr>
        <w:t>Crohn’s disease (CD) is an incurable intestinal disorder with unclear etiology and pathogenesis. Currently, th</w:t>
      </w:r>
      <w:r>
        <w:rPr>
          <w:rFonts w:ascii="Book Antiqua" w:eastAsia="Book Antiqua" w:hAnsi="Book Antiqua" w:cs="Book Antiqua"/>
          <w:color w:val="000000"/>
        </w:rPr>
        <w:t>ere is a</w:t>
      </w:r>
      <w:r w:rsidR="00E354E8">
        <w:rPr>
          <w:rFonts w:ascii="Book Antiqua" w:eastAsia="Book Antiqua" w:hAnsi="Book Antiqua" w:cs="Book Antiqua"/>
          <w:color w:val="000000"/>
        </w:rPr>
        <w:t xml:space="preserve"> lack</w:t>
      </w:r>
      <w:r>
        <w:rPr>
          <w:rFonts w:ascii="Book Antiqua" w:eastAsia="Book Antiqua" w:hAnsi="Book Antiqua" w:cs="Book Antiqua"/>
          <w:color w:val="000000"/>
        </w:rPr>
        <w:t xml:space="preserve"> of specific biomarkers and drug targets for CD in clinical practice. It is essential to identify the precise pathophysiological mechanism of CD and investigate new therapeutic targets.</w:t>
      </w:r>
    </w:p>
    <w:p w14:paraId="567AF1EF" w14:textId="77777777" w:rsidR="00A77B3E" w:rsidRDefault="00A77B3E" w:rsidP="005518F7">
      <w:pPr>
        <w:snapToGrid w:val="0"/>
        <w:spacing w:line="360" w:lineRule="auto"/>
        <w:jc w:val="both"/>
      </w:pPr>
    </w:p>
    <w:p w14:paraId="45A03F4E" w14:textId="77777777" w:rsidR="00A77B3E" w:rsidRDefault="006C186E" w:rsidP="005518F7">
      <w:pPr>
        <w:snapToGrid w:val="0"/>
        <w:spacing w:line="360" w:lineRule="auto"/>
        <w:jc w:val="both"/>
      </w:pPr>
      <w:r>
        <w:rPr>
          <w:rFonts w:ascii="Book Antiqua" w:eastAsia="Book Antiqua" w:hAnsi="Book Antiqua" w:cs="Book Antiqua"/>
          <w:color w:val="000000"/>
        </w:rPr>
        <w:t>AIM</w:t>
      </w:r>
    </w:p>
    <w:p w14:paraId="2FA9793D" w14:textId="4DCF2B64" w:rsidR="00A77B3E" w:rsidRDefault="006C186E" w:rsidP="005518F7">
      <w:pPr>
        <w:snapToGrid w:val="0"/>
        <w:spacing w:line="360" w:lineRule="auto"/>
        <w:jc w:val="both"/>
      </w:pPr>
      <w:r>
        <w:rPr>
          <w:rFonts w:ascii="Book Antiqua" w:eastAsia="Book Antiqua" w:hAnsi="Book Antiqua" w:cs="Book Antiqua"/>
          <w:color w:val="000000"/>
        </w:rPr>
        <w:t xml:space="preserve">To explore a new biomarker and therapeutic target for CD and verify its </w:t>
      </w:r>
      <w:r w:rsidR="00E354E8">
        <w:rPr>
          <w:rFonts w:ascii="Book Antiqua" w:eastAsia="Book Antiqua" w:hAnsi="Book Antiqua" w:cs="Book Antiqua"/>
          <w:color w:val="000000"/>
        </w:rPr>
        <w:t xml:space="preserve">role in </w:t>
      </w:r>
      <w:r>
        <w:rPr>
          <w:rFonts w:ascii="Book Antiqua" w:eastAsia="Book Antiqua" w:hAnsi="Book Antiqua" w:cs="Book Antiqua"/>
          <w:color w:val="000000"/>
        </w:rPr>
        <w:t>the CD pathological mechanism.</w:t>
      </w:r>
    </w:p>
    <w:p w14:paraId="139CF433" w14:textId="77777777" w:rsidR="00A77B3E" w:rsidRDefault="00A77B3E" w:rsidP="005518F7">
      <w:pPr>
        <w:snapToGrid w:val="0"/>
        <w:spacing w:line="360" w:lineRule="auto"/>
        <w:jc w:val="both"/>
      </w:pPr>
    </w:p>
    <w:p w14:paraId="0751169B" w14:textId="77777777" w:rsidR="00A77B3E" w:rsidRDefault="006C186E" w:rsidP="005518F7">
      <w:pPr>
        <w:snapToGrid w:val="0"/>
        <w:spacing w:line="360" w:lineRule="auto"/>
        <w:jc w:val="both"/>
      </w:pPr>
      <w:r>
        <w:rPr>
          <w:rFonts w:ascii="Book Antiqua" w:eastAsia="Book Antiqua" w:hAnsi="Book Antiqua" w:cs="Book Antiqua"/>
          <w:color w:val="000000"/>
        </w:rPr>
        <w:t>METHODS</w:t>
      </w:r>
    </w:p>
    <w:p w14:paraId="4CDCF620" w14:textId="3C2BAEBA" w:rsidR="00A77B3E" w:rsidRDefault="006C186E" w:rsidP="005518F7">
      <w:pPr>
        <w:snapToGrid w:val="0"/>
        <w:spacing w:line="360" w:lineRule="auto"/>
        <w:jc w:val="both"/>
      </w:pPr>
      <w:r>
        <w:rPr>
          <w:rFonts w:ascii="Book Antiqua" w:eastAsia="Book Antiqua" w:hAnsi="Book Antiqua" w:cs="Book Antiqua"/>
          <w:color w:val="000000"/>
        </w:rPr>
        <w:t xml:space="preserve">Proteomics was performed to quantify the protein profile in the plasma of 20 CD patients and 20 matched healthy controls. Hub genes among the selected differentially expressed proteins (DEPs) were detected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MCODE plugin in </w:t>
      </w:r>
      <w:proofErr w:type="spellStart"/>
      <w:r>
        <w:rPr>
          <w:rFonts w:ascii="Book Antiqua" w:eastAsia="Book Antiqua" w:hAnsi="Book Antiqua" w:cs="Book Antiqua"/>
          <w:color w:val="000000"/>
        </w:rPr>
        <w:t>Cytoscape</w:t>
      </w:r>
      <w:proofErr w:type="spellEnd"/>
      <w:r>
        <w:rPr>
          <w:rFonts w:ascii="Book Antiqua" w:eastAsia="Book Antiqua" w:hAnsi="Book Antiqua" w:cs="Book Antiqua"/>
          <w:color w:val="000000"/>
        </w:rPr>
        <w:t xml:space="preserve"> software. The expression level of one hub gene with </w:t>
      </w:r>
      <w:r>
        <w:rPr>
          <w:rFonts w:ascii="Book Antiqua" w:eastAsia="Book Antiqua" w:hAnsi="Book Antiqua" w:cs="Book Antiqua"/>
          <w:color w:val="000000"/>
        </w:rPr>
        <w:t xml:space="preserve">an </w:t>
      </w:r>
      <w:proofErr w:type="spellStart"/>
      <w:r>
        <w:rPr>
          <w:rFonts w:ascii="Book Antiqua" w:eastAsia="Book Antiqua" w:hAnsi="Book Antiqua" w:cs="Book Antiqua"/>
          <w:color w:val="000000"/>
        </w:rPr>
        <w:t>immunoregulatory</w:t>
      </w:r>
      <w:proofErr w:type="spellEnd"/>
      <w:r>
        <w:rPr>
          <w:rFonts w:ascii="Book Antiqua" w:eastAsia="Book Antiqua" w:hAnsi="Book Antiqua" w:cs="Book Antiqua"/>
          <w:color w:val="000000"/>
        </w:rPr>
        <w:t xml:space="preserve"> </w:t>
      </w:r>
      <w:r w:rsidR="00E354E8">
        <w:rPr>
          <w:rFonts w:ascii="Book Antiqua" w:eastAsia="Book Antiqua" w:hAnsi="Book Antiqua" w:cs="Book Antiqua"/>
          <w:color w:val="000000"/>
        </w:rPr>
        <w:t xml:space="preserve">role </w:t>
      </w:r>
      <w:r>
        <w:rPr>
          <w:rFonts w:ascii="Book Antiqua" w:eastAsia="Book Antiqua" w:hAnsi="Book Antiqua" w:cs="Book Antiqua"/>
          <w:color w:val="000000"/>
        </w:rPr>
        <w:t xml:space="preserve">that interested us was verified in the inflamed intestinal tissues of 20 CD patients by immunohistochemical analysis. After that, the effects of the selected hub gene on the intestinal inflammation of CD were identified in a CD cell model </w:t>
      </w:r>
      <w:r w:rsidR="00E354E8">
        <w:rPr>
          <w:rFonts w:ascii="Book Antiqua" w:eastAsia="Book Antiqua" w:hAnsi="Book Antiqua" w:cs="Book Antiqua"/>
          <w:color w:val="000000"/>
        </w:rPr>
        <w:t xml:space="preserve">by </w:t>
      </w:r>
      <w:r>
        <w:rPr>
          <w:rFonts w:ascii="Book Antiqua" w:eastAsia="Book Antiqua" w:hAnsi="Book Antiqua" w:cs="Book Antiqua"/>
          <w:color w:val="000000"/>
        </w:rPr>
        <w:t>examining the levels of proinflammatory cytokines by enzyme-linked immunosorbent assays and the expression of the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pathway by quantitative real-time PCR analysis and </w:t>
      </w:r>
      <w:r w:rsidR="00E354E8">
        <w:rPr>
          <w:rFonts w:ascii="Book Antiqua" w:eastAsia="Book Antiqua" w:hAnsi="Book Antiqua" w:cs="Book Antiqua"/>
          <w:color w:val="000000"/>
        </w:rPr>
        <w:t xml:space="preserve">Western </w:t>
      </w:r>
      <w:r>
        <w:rPr>
          <w:rFonts w:ascii="Book Antiqua" w:eastAsia="Book Antiqua" w:hAnsi="Book Antiqua" w:cs="Book Antiqua"/>
          <w:color w:val="000000"/>
        </w:rPr>
        <w:t>blot assays.</w:t>
      </w:r>
    </w:p>
    <w:p w14:paraId="53DAFDD8" w14:textId="77777777" w:rsidR="00A77B3E" w:rsidRDefault="00A77B3E" w:rsidP="005518F7">
      <w:pPr>
        <w:snapToGrid w:val="0"/>
        <w:spacing w:line="360" w:lineRule="auto"/>
        <w:jc w:val="both"/>
      </w:pPr>
    </w:p>
    <w:p w14:paraId="1349279B" w14:textId="77777777" w:rsidR="00A77B3E" w:rsidRDefault="006C186E" w:rsidP="005518F7">
      <w:pPr>
        <w:snapToGrid w:val="0"/>
        <w:spacing w:line="360" w:lineRule="auto"/>
        <w:jc w:val="both"/>
      </w:pPr>
      <w:r>
        <w:rPr>
          <w:rFonts w:ascii="Book Antiqua" w:eastAsia="Book Antiqua" w:hAnsi="Book Antiqua" w:cs="Book Antiqua"/>
          <w:color w:val="000000"/>
        </w:rPr>
        <w:t>RESULTS</w:t>
      </w:r>
    </w:p>
    <w:p w14:paraId="78811A81" w14:textId="1B2A72D4" w:rsidR="00A77B3E" w:rsidRDefault="006C186E" w:rsidP="005518F7">
      <w:pPr>
        <w:snapToGrid w:val="0"/>
        <w:spacing w:line="360" w:lineRule="auto"/>
        <w:jc w:val="both"/>
      </w:pPr>
      <w:r>
        <w:rPr>
          <w:rFonts w:ascii="Book Antiqua" w:eastAsia="Book Antiqua" w:hAnsi="Book Antiqua" w:cs="Book Antiqua"/>
          <w:color w:val="000000"/>
        </w:rPr>
        <w:t>Thirty-five DEPs were selected from 393 credible proteins identified by proteomic analysis. Among the DEPs, fibrinogen-like protein 1 (</w:t>
      </w:r>
      <w:r w:rsidRPr="003E4742">
        <w:rPr>
          <w:rFonts w:ascii="Book Antiqua" w:eastAsia="Book Antiqua" w:hAnsi="Book Antiqua" w:cs="Book Antiqua"/>
          <w:i/>
          <w:color w:val="000000"/>
        </w:rPr>
        <w:t>FGL1</w:t>
      </w:r>
      <w:r>
        <w:rPr>
          <w:rFonts w:ascii="Book Antiqua" w:eastAsia="Book Antiqua" w:hAnsi="Book Antiqua" w:cs="Book Antiqua"/>
          <w:color w:val="000000"/>
        </w:rPr>
        <w:t xml:space="preserve">), which attracted our attention due to its function in the regulation of the immune response, had 1.722-fold higher expression in the plasma of CD patients and was identified as a hub gene by MCODE. Furthermore, the expression of </w:t>
      </w:r>
      <w:r w:rsidRPr="003E4742">
        <w:rPr>
          <w:rFonts w:ascii="Book Antiqua" w:eastAsia="Book Antiqua" w:hAnsi="Book Antiqua" w:cs="Book Antiqua"/>
          <w:i/>
          <w:color w:val="000000"/>
        </w:rPr>
        <w:t>FGL1</w:t>
      </w:r>
      <w:r>
        <w:rPr>
          <w:rFonts w:ascii="Book Antiqua" w:eastAsia="Book Antiqua" w:hAnsi="Book Antiqua" w:cs="Book Antiqua"/>
          <w:color w:val="000000"/>
        </w:rPr>
        <w:t xml:space="preserve"> in the intestinal mucosal and epithelial tissues of CD patients was also upregulated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the mRNA levels of </w:t>
      </w:r>
      <w:r w:rsidRPr="003E4742">
        <w:rPr>
          <w:rFonts w:ascii="Book Antiqua" w:eastAsia="Book Antiqua" w:hAnsi="Book Antiqua" w:cs="Book Antiqua"/>
          <w:i/>
          <w:color w:val="000000"/>
        </w:rPr>
        <w:t>FGL1</w:t>
      </w:r>
      <w:r>
        <w:rPr>
          <w:rFonts w:ascii="Book Antiqua" w:eastAsia="Book Antiqua" w:hAnsi="Book Antiqua" w:cs="Book Antiqua"/>
          <w:color w:val="000000"/>
        </w:rPr>
        <w:t xml:space="preserve"> and </w:t>
      </w:r>
      <w:r w:rsidRPr="003E4742">
        <w:rPr>
          <w:rFonts w:ascii="Book Antiqua" w:eastAsia="Book Antiqua" w:hAnsi="Book Antiqua" w:cs="Book Antiqua"/>
          <w:i/>
          <w:color w:val="000000"/>
        </w:rPr>
        <w:t>NF-</w:t>
      </w:r>
      <w:proofErr w:type="spellStart"/>
      <w:r w:rsidRPr="003E4742">
        <w:rPr>
          <w:rFonts w:ascii="Book Antiqua" w:eastAsia="Book Antiqua" w:hAnsi="Book Antiqua" w:cs="Book Antiqua"/>
          <w:i/>
          <w:color w:val="000000"/>
        </w:rPr>
        <w:lastRenderedPageBreak/>
        <w:t>κB</w:t>
      </w:r>
      <w:proofErr w:type="spellEnd"/>
      <w:r>
        <w:rPr>
          <w:rFonts w:ascii="Book Antiqua" w:eastAsia="Book Antiqua" w:hAnsi="Book Antiqua" w:cs="Book Antiqua"/>
          <w:color w:val="000000"/>
        </w:rPr>
        <w:t>; the protein expression levels of FGL1, IKKα, IKKβ, p-IKKα/β, p-</w:t>
      </w:r>
      <w:proofErr w:type="spellStart"/>
      <w:r>
        <w:rPr>
          <w:rFonts w:ascii="Book Antiqua" w:eastAsia="Book Antiqua" w:hAnsi="Book Antiqua" w:cs="Book Antiqua"/>
          <w:color w:val="000000"/>
        </w:rPr>
        <w:t>IκB</w:t>
      </w:r>
      <w:proofErr w:type="spellEnd"/>
      <w:r>
        <w:rPr>
          <w:rFonts w:ascii="Book Antiqua" w:eastAsia="Book Antiqua" w:hAnsi="Book Antiqua" w:cs="Book Antiqua"/>
          <w:color w:val="000000"/>
        </w:rPr>
        <w:t>α, and p-p65; and the concentrations of the proinflammatory cytokines IL-1β, IL-6, IL-17</w:t>
      </w:r>
      <w:r w:rsidR="00E354E8">
        <w:rPr>
          <w:rFonts w:ascii="Book Antiqua" w:eastAsia="Book Antiqua" w:hAnsi="Book Antiqua" w:cs="Book Antiqua"/>
          <w:color w:val="000000"/>
        </w:rPr>
        <w:t>,</w:t>
      </w:r>
      <w:r>
        <w:rPr>
          <w:rFonts w:ascii="Book Antiqua" w:eastAsia="Book Antiqua" w:hAnsi="Book Antiqua" w:cs="Book Antiqua"/>
          <w:color w:val="000000"/>
        </w:rPr>
        <w:t xml:space="preserve"> and TNF</w:t>
      </w:r>
      <w:r>
        <w:rPr>
          <w:rFonts w:ascii="Book Antiqua" w:eastAsia="Book Antiqua" w:hAnsi="Book Antiqua" w:cs="Book Antiqua"/>
          <w:color w:val="000000"/>
        </w:rPr>
        <w:t>-α were increased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after stimulation with lipopolysaccharide, which were reversed by knockdown of FGL1 with siRNA transfection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Conversely, FGL1 overexpression enhanced the abovementioned results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w:t>
      </w:r>
    </w:p>
    <w:p w14:paraId="0BE2C5B8" w14:textId="77777777" w:rsidR="00A77B3E" w:rsidRDefault="00A77B3E" w:rsidP="005518F7">
      <w:pPr>
        <w:snapToGrid w:val="0"/>
        <w:spacing w:line="360" w:lineRule="auto"/>
        <w:jc w:val="both"/>
      </w:pPr>
    </w:p>
    <w:p w14:paraId="15C7EB41" w14:textId="77777777" w:rsidR="00A77B3E" w:rsidRDefault="006C186E" w:rsidP="005518F7">
      <w:pPr>
        <w:snapToGrid w:val="0"/>
        <w:spacing w:line="360" w:lineRule="auto"/>
        <w:jc w:val="both"/>
      </w:pPr>
      <w:r>
        <w:rPr>
          <w:rFonts w:ascii="Book Antiqua" w:eastAsia="Book Antiqua" w:hAnsi="Book Antiqua" w:cs="Book Antiqua"/>
          <w:color w:val="000000"/>
        </w:rPr>
        <w:t>CONCLUSION</w:t>
      </w:r>
    </w:p>
    <w:p w14:paraId="3198D410" w14:textId="32559FA2" w:rsidR="00A77B3E" w:rsidRDefault="006C186E" w:rsidP="005518F7">
      <w:pPr>
        <w:snapToGrid w:val="0"/>
        <w:spacing w:line="360" w:lineRule="auto"/>
        <w:jc w:val="both"/>
      </w:pPr>
      <w:r>
        <w:rPr>
          <w:rFonts w:ascii="Book Antiqua" w:eastAsia="Book Antiqua" w:hAnsi="Book Antiqua" w:cs="Book Antiqua"/>
          <w:color w:val="000000"/>
        </w:rPr>
        <w:t>FGL1 can induce intestinal inflammation by activating th</w:t>
      </w:r>
      <w:r>
        <w:rPr>
          <w:rFonts w:ascii="Book Antiqua" w:eastAsia="Book Antiqua" w:hAnsi="Book Antiqua" w:cs="Book Antiqua"/>
          <w:color w:val="000000"/>
        </w:rPr>
        <w:t>e canonical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signal</w:t>
      </w:r>
      <w:r w:rsidR="003E4742">
        <w:rPr>
          <w:rFonts w:ascii="Book Antiqua" w:eastAsia="Book Antiqua" w:hAnsi="Book Antiqua" w:cs="Book Antiqua"/>
          <w:color w:val="000000"/>
        </w:rPr>
        <w:t>l</w:t>
      </w:r>
      <w:r>
        <w:rPr>
          <w:rFonts w:ascii="Book Antiqua" w:eastAsia="Book Antiqua" w:hAnsi="Book Antiqua" w:cs="Book Antiqua"/>
          <w:color w:val="000000"/>
        </w:rPr>
        <w:t>ing</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t>pathway, and it may be considered a potential biomarker and therapeutic target for CD.</w:t>
      </w:r>
    </w:p>
    <w:p w14:paraId="4F0C2D2C" w14:textId="77777777" w:rsidR="00A77B3E" w:rsidRDefault="00A77B3E" w:rsidP="005518F7">
      <w:pPr>
        <w:snapToGrid w:val="0"/>
        <w:spacing w:line="360" w:lineRule="auto"/>
        <w:jc w:val="both"/>
      </w:pPr>
    </w:p>
    <w:p w14:paraId="212DD624" w14:textId="77777777" w:rsidR="00A77B3E" w:rsidRDefault="006C186E" w:rsidP="005518F7">
      <w:pPr>
        <w:snapToGrid w:val="0"/>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Crohn’s disease; Fibrinogen-like protein 1; Proteomics;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pathway</w:t>
      </w:r>
    </w:p>
    <w:p w14:paraId="767CDECB" w14:textId="77777777" w:rsidR="00A77B3E" w:rsidRDefault="00A77B3E" w:rsidP="005518F7">
      <w:pPr>
        <w:snapToGrid w:val="0"/>
        <w:spacing w:line="360" w:lineRule="auto"/>
        <w:jc w:val="both"/>
      </w:pPr>
    </w:p>
    <w:p w14:paraId="2F7C0909" w14:textId="77777777" w:rsidR="00A77B3E" w:rsidRDefault="006C186E" w:rsidP="005518F7">
      <w:pPr>
        <w:snapToGrid w:val="0"/>
        <w:spacing w:line="360" w:lineRule="auto"/>
        <w:jc w:val="both"/>
      </w:pPr>
      <w:r>
        <w:rPr>
          <w:rFonts w:ascii="Book Antiqua" w:eastAsia="Book Antiqua" w:hAnsi="Book Antiqua" w:cs="Book Antiqua"/>
          <w:color w:val="000000"/>
        </w:rPr>
        <w:t xml:space="preserve">Sun XL, </w:t>
      </w:r>
      <w:proofErr w:type="spellStart"/>
      <w:r>
        <w:rPr>
          <w:rFonts w:ascii="Book Antiqua" w:eastAsia="Book Antiqua" w:hAnsi="Book Antiqua" w:cs="Book Antiqua"/>
          <w:color w:val="000000"/>
        </w:rPr>
        <w:t>Qiao</w:t>
      </w:r>
      <w:proofErr w:type="spellEnd"/>
      <w:r>
        <w:rPr>
          <w:rFonts w:ascii="Book Antiqua" w:eastAsia="Book Antiqua" w:hAnsi="Book Antiqua" w:cs="Book Antiqua"/>
          <w:color w:val="000000"/>
        </w:rPr>
        <w:t xml:space="preserve"> LC, Gong J, Wen K, Xu ZZ, Yang BL. Proteomics identifies a novel role of fibrinogen-like protein 1 in Crohn’s disease.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2021; In press</w:t>
      </w:r>
    </w:p>
    <w:p w14:paraId="44735857" w14:textId="77777777" w:rsidR="00A77B3E" w:rsidRDefault="00A77B3E" w:rsidP="005518F7">
      <w:pPr>
        <w:snapToGrid w:val="0"/>
        <w:spacing w:line="360" w:lineRule="auto"/>
        <w:jc w:val="both"/>
      </w:pPr>
    </w:p>
    <w:p w14:paraId="1810D2AE" w14:textId="51ABEAE5" w:rsidR="00A77B3E" w:rsidRDefault="006C186E" w:rsidP="005518F7">
      <w:pPr>
        <w:snapToGrid w:val="0"/>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In this study, fibrinogen-like protein 1 (FGL1) was identified to be significantly upregulated in the plasma and intestinal mucosa of Crohn’s disease (CD) patients. </w:t>
      </w:r>
      <w:r>
        <w:rPr>
          <w:rFonts w:ascii="Book Antiqua" w:eastAsia="Book Antiqua" w:hAnsi="Book Antiqua" w:cs="Book Antiqua"/>
          <w:i/>
          <w:iCs/>
          <w:color w:val="000000"/>
        </w:rPr>
        <w:t>In vitro</w:t>
      </w:r>
      <w:r>
        <w:rPr>
          <w:rFonts w:ascii="Book Antiqua" w:eastAsia="Book Antiqua" w:hAnsi="Book Antiqua" w:cs="Book Antiqua"/>
          <w:color w:val="000000"/>
        </w:rPr>
        <w:t>, silencing FGL1 downregulated the levels</w:t>
      </w:r>
      <w:r>
        <w:rPr>
          <w:rFonts w:ascii="Book Antiqua" w:eastAsia="Book Antiqua" w:hAnsi="Book Antiqua" w:cs="Book Antiqua"/>
          <w:color w:val="000000"/>
        </w:rPr>
        <w:t xml:space="preserve"> of the proinflammatory cytokines IL-1β, IL-6, IL-17</w:t>
      </w:r>
      <w:r w:rsidR="00E354E8">
        <w:rPr>
          <w:rFonts w:ascii="Book Antiqua" w:eastAsia="Book Antiqua" w:hAnsi="Book Antiqua" w:cs="Book Antiqua"/>
          <w:color w:val="000000"/>
        </w:rPr>
        <w:t>,</w:t>
      </w:r>
      <w:r>
        <w:rPr>
          <w:rFonts w:ascii="Book Antiqua" w:eastAsia="Book Antiqua" w:hAnsi="Book Antiqua" w:cs="Book Antiqua"/>
          <w:color w:val="000000"/>
        </w:rPr>
        <w:t xml:space="preserve"> and TNF-α. Furthermore, FGL1 knockdown suppressed the mRNA expression of </w:t>
      </w:r>
      <w:r w:rsidRPr="003E4742">
        <w:rPr>
          <w:rFonts w:ascii="Book Antiqua" w:eastAsia="Book Antiqua" w:hAnsi="Book Antiqua" w:cs="Book Antiqua"/>
          <w:i/>
          <w:color w:val="000000"/>
        </w:rPr>
        <w:t>NF-</w:t>
      </w:r>
      <w:proofErr w:type="spellStart"/>
      <w:r w:rsidRPr="003E4742">
        <w:rPr>
          <w:rFonts w:ascii="Book Antiqua" w:eastAsia="Book Antiqua" w:hAnsi="Book Antiqua" w:cs="Book Antiqua"/>
          <w:i/>
          <w:color w:val="000000"/>
        </w:rPr>
        <w:t>κB</w:t>
      </w:r>
      <w:proofErr w:type="spellEnd"/>
      <w:r>
        <w:rPr>
          <w:rFonts w:ascii="Book Antiqua" w:eastAsia="Book Antiqua" w:hAnsi="Book Antiqua" w:cs="Book Antiqua"/>
          <w:color w:val="000000"/>
        </w:rPr>
        <w:t xml:space="preserve"> and the protein levels of IKKα, IKKβ, p-IKKα/β, p-</w:t>
      </w:r>
      <w:proofErr w:type="spellStart"/>
      <w:r>
        <w:rPr>
          <w:rFonts w:ascii="Book Antiqua" w:eastAsia="Book Antiqua" w:hAnsi="Book Antiqua" w:cs="Book Antiqua"/>
          <w:color w:val="000000"/>
        </w:rPr>
        <w:t>IκB</w:t>
      </w:r>
      <w:proofErr w:type="spellEnd"/>
      <w:r>
        <w:rPr>
          <w:rFonts w:ascii="Book Antiqua" w:eastAsia="Book Antiqua" w:hAnsi="Book Antiqua" w:cs="Book Antiqua"/>
          <w:color w:val="000000"/>
        </w:rPr>
        <w:t>α, a</w:t>
      </w:r>
      <w:r>
        <w:rPr>
          <w:rFonts w:ascii="Book Antiqua" w:eastAsia="Book Antiqua" w:hAnsi="Book Antiqua" w:cs="Book Antiqua"/>
          <w:color w:val="000000"/>
        </w:rPr>
        <w:t>nd p-p65. These results could be reversed by the overexpression of FGL1. Taken together, these data suggest that FGL1 may induce intestinal inflammation by activating the canonical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pathway and has the potential to be a therapeutic target for CD.</w:t>
      </w:r>
    </w:p>
    <w:p w14:paraId="586F2537" w14:textId="77777777" w:rsidR="00A77B3E" w:rsidRDefault="00A77B3E" w:rsidP="005518F7">
      <w:pPr>
        <w:snapToGrid w:val="0"/>
        <w:spacing w:line="360" w:lineRule="auto"/>
        <w:jc w:val="both"/>
      </w:pPr>
    </w:p>
    <w:p w14:paraId="3AF39E2D" w14:textId="77777777" w:rsidR="00A77B3E" w:rsidRDefault="006C186E" w:rsidP="005518F7">
      <w:pPr>
        <w:snapToGrid w:val="0"/>
        <w:spacing w:line="360" w:lineRule="auto"/>
        <w:jc w:val="both"/>
      </w:pPr>
      <w:r>
        <w:rPr>
          <w:rFonts w:ascii="Book Antiqua" w:eastAsia="Book Antiqua" w:hAnsi="Book Antiqua" w:cs="Book Antiqua"/>
          <w:b/>
          <w:caps/>
          <w:color w:val="000000"/>
          <w:u w:val="single"/>
        </w:rPr>
        <w:t>INTRODUCTION</w:t>
      </w:r>
    </w:p>
    <w:p w14:paraId="2F07ED1B" w14:textId="77777777" w:rsidR="00A77B3E" w:rsidRDefault="006C186E" w:rsidP="005518F7">
      <w:pPr>
        <w:snapToGrid w:val="0"/>
        <w:spacing w:line="360" w:lineRule="auto"/>
        <w:jc w:val="both"/>
      </w:pPr>
      <w:r>
        <w:rPr>
          <w:rFonts w:ascii="Book Antiqua" w:eastAsia="Book Antiqua" w:hAnsi="Book Antiqua" w:cs="Book Antiqua"/>
          <w:color w:val="000000"/>
        </w:rPr>
        <w:t xml:space="preserve">Crohn’s disease (CD) is a chronic, idiopathic intestinal inflammatory disease affecting any segment of the gastrointestinal tract. Although CD is believed to be a result of an imbalanced interaction among genetic susceptibility, environmental factors, the intestinal microflora, and the immune system, the precise pathogenesis is still not entirely </w:t>
      </w:r>
      <w:proofErr w:type="gramStart"/>
      <w:r>
        <w:rPr>
          <w:rFonts w:ascii="Book Antiqua" w:eastAsia="Book Antiqua" w:hAnsi="Book Antiqua" w:cs="Book Antiqua"/>
          <w:color w:val="000000"/>
        </w:rPr>
        <w:t>clear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Consequently, CD remains incurable even though great advancement has been achieved in medical therapy. Symptoms evolving in a relapsing and remitting manner indicate that CD has a progressive disease course that may induce complications, such as abscess, fistula, and stricture development. Eventually, up to 70% of CD patients require at least one intestinal surgery over their </w:t>
      </w:r>
      <w:proofErr w:type="gramStart"/>
      <w:r>
        <w:rPr>
          <w:rFonts w:ascii="Book Antiqua" w:eastAsia="Book Antiqua" w:hAnsi="Book Antiqua" w:cs="Book Antiqua"/>
          <w:color w:val="000000"/>
        </w:rPr>
        <w:t>lifetime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Targeted therapy is anticipated to change the natural course of CD, and even to cure it.</w:t>
      </w:r>
    </w:p>
    <w:p w14:paraId="5E1FE698" w14:textId="77777777" w:rsidR="00A77B3E" w:rsidRDefault="006C186E" w:rsidP="005518F7">
      <w:pPr>
        <w:snapToGrid w:val="0"/>
        <w:spacing w:line="360" w:lineRule="auto"/>
        <w:ind w:firstLine="240"/>
        <w:jc w:val="both"/>
      </w:pPr>
      <w:r>
        <w:rPr>
          <w:rFonts w:ascii="Book Antiqua" w:eastAsia="Book Antiqua" w:hAnsi="Book Antiqua" w:cs="Book Antiqua"/>
          <w:color w:val="000000"/>
        </w:rPr>
        <w:t xml:space="preserve">Currently, anti-tumor necrosis factor (TNF) agents (infliximab, adalimumab, and certolizumab pegol) are the most potent drugs for inducing and maintaining remission of CD. Unfortunately, anti-TNF treatment failure is common. Primary non-response occurs in 21.9% of infliximab-treated CD patients and 26.8% of adalimumab-treated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More than 60% of patients treated with infliximab or adalimumab do not achieve deep </w:t>
      </w:r>
      <w:proofErr w:type="gramStart"/>
      <w:r>
        <w:rPr>
          <w:rFonts w:ascii="Book Antiqua" w:eastAsia="Book Antiqua" w:hAnsi="Book Antiqua" w:cs="Book Antiqua"/>
          <w:color w:val="000000"/>
        </w:rPr>
        <w:t>remission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These data indicate that increased TNF-α levels may be the result of an immunoinflammatory response instead of the cause. Vedolizumab blocking the α4β7 integrin can induce endoscopic remission in approximately one-third of CD patients at week 52</w:t>
      </w:r>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The decreased long-term efficacy of biologic medications makes it urgent to investigate new therapeutic targets for CD. </w:t>
      </w:r>
    </w:p>
    <w:p w14:paraId="08DE417E" w14:textId="19D9CEDD" w:rsidR="00A77B3E" w:rsidRDefault="006C186E" w:rsidP="005518F7">
      <w:pPr>
        <w:snapToGrid w:val="0"/>
        <w:spacing w:line="360" w:lineRule="auto"/>
        <w:ind w:firstLine="240"/>
        <w:jc w:val="both"/>
      </w:pPr>
      <w:r>
        <w:rPr>
          <w:rFonts w:ascii="Book Antiqua" w:eastAsia="Book Antiqua" w:hAnsi="Book Antiqua" w:cs="Book Antiqua"/>
          <w:color w:val="000000"/>
        </w:rPr>
        <w:t>Omics techniques, including genomics, m</w:t>
      </w:r>
      <w:r>
        <w:rPr>
          <w:rFonts w:ascii="Book Antiqua" w:eastAsia="Book Antiqua" w:hAnsi="Book Antiqua" w:cs="Book Antiqua"/>
          <w:color w:val="000000"/>
        </w:rPr>
        <w:t>etabolomics</w:t>
      </w:r>
      <w:r w:rsidR="00E354E8">
        <w:rPr>
          <w:rFonts w:ascii="Book Antiqua" w:eastAsia="Book Antiqua" w:hAnsi="Book Antiqua" w:cs="Book Antiqua"/>
          <w:color w:val="000000"/>
        </w:rPr>
        <w:t>,</w:t>
      </w:r>
      <w:r>
        <w:rPr>
          <w:rFonts w:ascii="Book Antiqua" w:eastAsia="Book Antiqua" w:hAnsi="Book Antiqua" w:cs="Book Antiqua"/>
          <w:color w:val="000000"/>
        </w:rPr>
        <w:t xml:space="preserve"> and proteomics, have been applied to explore potential biomarkers and targets for CD in recent years. It is widely known that cellular function and biological </w:t>
      </w:r>
      <w:proofErr w:type="spellStart"/>
      <w:r>
        <w:rPr>
          <w:rFonts w:ascii="Book Antiqua" w:eastAsia="Book Antiqua" w:hAnsi="Book Antiqua" w:cs="Book Antiqua"/>
          <w:color w:val="000000"/>
        </w:rPr>
        <w:t>behaviour</w:t>
      </w:r>
      <w:proofErr w:type="spellEnd"/>
      <w:r>
        <w:rPr>
          <w:rFonts w:ascii="Book Antiqua" w:eastAsia="Book Antiqua" w:hAnsi="Book Antiqua" w:cs="Book Antiqua"/>
          <w:color w:val="000000"/>
        </w:rPr>
        <w:t xml:space="preserve"> are primarily regulated by proteins. The protein domain is likely the most ubiquitously affected in disease development, treatment response</w:t>
      </w:r>
      <w:r w:rsidR="00E354E8">
        <w:rPr>
          <w:rFonts w:ascii="Book Antiqua" w:eastAsia="Book Antiqua" w:hAnsi="Book Antiqua" w:cs="Book Antiqua"/>
          <w:color w:val="000000"/>
        </w:rPr>
        <w:t>,</w:t>
      </w:r>
      <w:r>
        <w:rPr>
          <w:rFonts w:ascii="Book Antiqua" w:eastAsia="Book Antiqua" w:hAnsi="Book Antiqua" w:cs="Book Antiqua"/>
          <w:color w:val="000000"/>
        </w:rPr>
        <w:t xml:space="preserve"> and physical recovery. Hence, it is promising to reveal the crucial changes in CD pathogenesis and discover novel drug targets by proteomics directly profiling protein expression. Proteomic techniques are classified into three major stages: </w:t>
      </w:r>
      <w:r w:rsidR="00E354E8">
        <w:rPr>
          <w:rFonts w:ascii="Book Antiqua" w:eastAsia="Book Antiqua" w:hAnsi="Book Antiqua" w:cs="Book Antiqua"/>
          <w:color w:val="000000"/>
        </w:rPr>
        <w:t>Discovery</w:t>
      </w:r>
      <w:r>
        <w:rPr>
          <w:rFonts w:ascii="Book Antiqua" w:eastAsia="Book Antiqua" w:hAnsi="Book Antiqua" w:cs="Book Antiqua"/>
          <w:color w:val="000000"/>
        </w:rPr>
        <w:t>, verification</w:t>
      </w:r>
      <w:r w:rsidR="00E354E8">
        <w:rPr>
          <w:rFonts w:ascii="Book Antiqua" w:eastAsia="Book Antiqua" w:hAnsi="Book Antiqua" w:cs="Book Antiqua"/>
          <w:color w:val="000000"/>
        </w:rPr>
        <w:t>,</w:t>
      </w:r>
      <w:r>
        <w:rPr>
          <w:rFonts w:ascii="Book Antiqua" w:eastAsia="Book Antiqua" w:hAnsi="Book Antiqua" w:cs="Book Antiqua"/>
          <w:color w:val="000000"/>
        </w:rPr>
        <w:t xml:space="preserve"> and validation. Curr</w:t>
      </w:r>
      <w:r>
        <w:rPr>
          <w:rFonts w:ascii="Book Antiqua" w:eastAsia="Book Antiqua" w:hAnsi="Book Antiqua" w:cs="Book Antiqua"/>
          <w:color w:val="000000"/>
        </w:rPr>
        <w:t xml:space="preserve">ently, the application of proteomics in CD remains in the initial discovery </w:t>
      </w:r>
      <w:proofErr w:type="gramStart"/>
      <w:r>
        <w:rPr>
          <w:rFonts w:ascii="Book Antiqua" w:eastAsia="Book Antiqua" w:hAnsi="Book Antiqua" w:cs="Book Antiqua"/>
          <w:color w:val="000000"/>
        </w:rPr>
        <w:t>phase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w:t>
      </w:r>
    </w:p>
    <w:p w14:paraId="5183444E" w14:textId="53E1B2ED" w:rsidR="00A77B3E" w:rsidRDefault="006C186E" w:rsidP="005518F7">
      <w:pPr>
        <w:snapToGrid w:val="0"/>
        <w:spacing w:line="360" w:lineRule="auto"/>
        <w:ind w:firstLine="240"/>
        <w:jc w:val="both"/>
      </w:pPr>
      <w:r>
        <w:rPr>
          <w:rFonts w:ascii="Book Antiqua" w:eastAsia="Book Antiqua" w:hAnsi="Book Antiqua" w:cs="Book Antiqua"/>
          <w:color w:val="000000"/>
        </w:rPr>
        <w:t xml:space="preserve">In the present study, we applied proteomics to identify differentially expressed proteins (DEPs) in the plasma of CD patients in an attempt to discover a potential biomarker and therapeutic target for CD. Our data showed that fibrinogen-like protein 1 (FGL1) was significantly upregulated in the plasma of CD patients. FGL1, also known as </w:t>
      </w:r>
      <w:proofErr w:type="spellStart"/>
      <w:r>
        <w:rPr>
          <w:rFonts w:ascii="Book Antiqua" w:eastAsia="Book Antiqua" w:hAnsi="Book Antiqua" w:cs="Book Antiqua"/>
          <w:color w:val="000000"/>
        </w:rPr>
        <w:lastRenderedPageBreak/>
        <w:t>hepassocin</w:t>
      </w:r>
      <w:proofErr w:type="spellEnd"/>
      <w:r>
        <w:rPr>
          <w:rFonts w:ascii="Book Antiqua" w:eastAsia="Book Antiqua" w:hAnsi="Book Antiqua" w:cs="Book Antiqua"/>
          <w:color w:val="000000"/>
        </w:rPr>
        <w:t xml:space="preserve"> or hepatocyte-derived fibrinogen-related protein 1 (HFREP1), is a hepatocyte-secreted protein that belongs to the fibrinogen </w:t>
      </w:r>
      <w:proofErr w:type="gramStart"/>
      <w:r>
        <w:rPr>
          <w:rFonts w:ascii="Book Antiqua" w:eastAsia="Book Antiqua" w:hAnsi="Book Antiqua" w:cs="Book Antiqua"/>
          <w:color w:val="000000"/>
        </w:rPr>
        <w:t>fam</w:t>
      </w:r>
      <w:r>
        <w:rPr>
          <w:rFonts w:ascii="Book Antiqua" w:eastAsia="Book Antiqua" w:hAnsi="Book Antiqua" w:cs="Book Antiqua"/>
          <w:color w:val="000000"/>
        </w:rPr>
        <w:t>ily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However, FGL1 </w:t>
      </w:r>
      <w:r w:rsidR="00E354E8">
        <w:rPr>
          <w:rFonts w:ascii="Book Antiqua" w:eastAsia="Book Antiqua" w:hAnsi="Book Antiqua" w:cs="Book Antiqua"/>
          <w:color w:val="000000"/>
        </w:rPr>
        <w:t xml:space="preserve">lacks </w:t>
      </w:r>
      <w:r>
        <w:rPr>
          <w:rFonts w:ascii="Book Antiqua" w:eastAsia="Book Antiqua" w:hAnsi="Book Antiqua" w:cs="Book Antiqua"/>
          <w:color w:val="000000"/>
        </w:rPr>
        <w:t xml:space="preserve">a </w:t>
      </w:r>
      <w:r>
        <w:rPr>
          <w:rFonts w:ascii="Book Antiqua" w:eastAsia="Book Antiqua" w:hAnsi="Book Antiqua" w:cs="Book Antiqua"/>
          <w:color w:val="000000"/>
        </w:rPr>
        <w:t>platelet-binding site, a cross-linking regi</w:t>
      </w:r>
      <w:r>
        <w:rPr>
          <w:rFonts w:ascii="Book Antiqua" w:eastAsia="Book Antiqua" w:hAnsi="Book Antiqua" w:cs="Book Antiqua"/>
          <w:color w:val="000000"/>
        </w:rPr>
        <w:t>on</w:t>
      </w:r>
      <w:r w:rsidR="00E354E8">
        <w:rPr>
          <w:rFonts w:ascii="Book Antiqua" w:eastAsia="Book Antiqua" w:hAnsi="Book Antiqua" w:cs="Book Antiqua"/>
          <w:color w:val="000000"/>
        </w:rPr>
        <w:t>,</w:t>
      </w:r>
      <w:r>
        <w:rPr>
          <w:rFonts w:ascii="Book Antiqua" w:eastAsia="Book Antiqua" w:hAnsi="Book Antiqua" w:cs="Book Antiqua"/>
          <w:color w:val="000000"/>
        </w:rPr>
        <w:t xml:space="preserve"> and a th</w:t>
      </w:r>
      <w:r>
        <w:rPr>
          <w:rFonts w:ascii="Book Antiqua" w:eastAsia="Book Antiqua" w:hAnsi="Book Antiqua" w:cs="Book Antiqua"/>
          <w:color w:val="000000"/>
        </w:rPr>
        <w:t xml:space="preserve">rombin-sensitive site, which are crucial for fibrin clot formation. Several studies have demonstrated that FGL1 can regulate immune systems to induce inflammatory response and tumor immune </w:t>
      </w:r>
      <w:proofErr w:type="gramStart"/>
      <w:r>
        <w:rPr>
          <w:rFonts w:ascii="Book Antiqua" w:eastAsia="Book Antiqua" w:hAnsi="Book Antiqua" w:cs="Book Antiqua"/>
          <w:color w:val="000000"/>
        </w:rPr>
        <w:t>evasion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sidR="00E636B4">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To date, whether FGL1 is correlated with the development of CD remains unclear. Therefore, we further verified the expression of FGL1 in intestinal tissues of CD patients and validated its crucial role in the pathogenesis of CD </w:t>
      </w:r>
      <w:r>
        <w:rPr>
          <w:rFonts w:ascii="Book Antiqua" w:eastAsia="Book Antiqua" w:hAnsi="Book Antiqua" w:cs="Book Antiqua"/>
          <w:i/>
          <w:iCs/>
          <w:color w:val="000000"/>
        </w:rPr>
        <w:t>in vitro</w:t>
      </w:r>
      <w:r>
        <w:rPr>
          <w:rFonts w:ascii="Book Antiqua" w:eastAsia="Book Antiqua" w:hAnsi="Book Antiqua" w:cs="Book Antiqua"/>
          <w:color w:val="000000"/>
        </w:rPr>
        <w:t>.</w:t>
      </w:r>
    </w:p>
    <w:p w14:paraId="33E053C1" w14:textId="77777777" w:rsidR="00A77B3E" w:rsidRDefault="00A77B3E" w:rsidP="005518F7">
      <w:pPr>
        <w:snapToGrid w:val="0"/>
        <w:spacing w:line="360" w:lineRule="auto"/>
        <w:ind w:firstLine="240"/>
        <w:jc w:val="both"/>
      </w:pPr>
    </w:p>
    <w:p w14:paraId="3FF9F0C6" w14:textId="77777777" w:rsidR="00A77B3E" w:rsidRDefault="006C186E" w:rsidP="005518F7">
      <w:pPr>
        <w:snapToGrid w:val="0"/>
        <w:spacing w:line="360" w:lineRule="auto"/>
        <w:jc w:val="both"/>
      </w:pPr>
      <w:r>
        <w:rPr>
          <w:rFonts w:ascii="Book Antiqua" w:eastAsia="Book Antiqua" w:hAnsi="Book Antiqua" w:cs="Book Antiqua"/>
          <w:b/>
          <w:caps/>
          <w:color w:val="000000"/>
          <w:u w:val="single"/>
        </w:rPr>
        <w:t>MATERIALS AND METHODS</w:t>
      </w:r>
    </w:p>
    <w:p w14:paraId="7296B7B7" w14:textId="77777777" w:rsidR="00A77B3E" w:rsidRDefault="006C186E" w:rsidP="005518F7">
      <w:pPr>
        <w:snapToGrid w:val="0"/>
        <w:spacing w:line="360" w:lineRule="auto"/>
        <w:jc w:val="both"/>
      </w:pPr>
      <w:r>
        <w:rPr>
          <w:rFonts w:ascii="Book Antiqua" w:eastAsia="Book Antiqua" w:hAnsi="Book Antiqua" w:cs="Book Antiqua"/>
          <w:b/>
          <w:bCs/>
          <w:i/>
          <w:iCs/>
          <w:color w:val="000000"/>
        </w:rPr>
        <w:t>Clinical samples</w:t>
      </w:r>
    </w:p>
    <w:p w14:paraId="1B12D4E1" w14:textId="149A023F" w:rsidR="00A77B3E" w:rsidRDefault="006C186E" w:rsidP="005518F7">
      <w:pPr>
        <w:snapToGrid w:val="0"/>
        <w:spacing w:line="360" w:lineRule="auto"/>
        <w:jc w:val="both"/>
      </w:pPr>
      <w:r>
        <w:rPr>
          <w:rFonts w:ascii="Book Antiqua" w:eastAsia="Book Antiqua" w:hAnsi="Book Antiqua" w:cs="Book Antiqua"/>
          <w:color w:val="000000"/>
        </w:rPr>
        <w:t xml:space="preserve">Plasma samples were collected from 20 treatment-naive patients with CD and 20 age- and sex-matched healthy individuals between July 2017 and August 2018. The protein profiles in the plasma were </w:t>
      </w:r>
      <w:proofErr w:type="spellStart"/>
      <w:r>
        <w:rPr>
          <w:rFonts w:ascii="Book Antiqua" w:eastAsia="Book Antiqua" w:hAnsi="Book Antiqua" w:cs="Book Antiqua"/>
          <w:color w:val="000000"/>
        </w:rPr>
        <w:t>analysed</w:t>
      </w:r>
      <w:proofErr w:type="spellEnd"/>
      <w:r>
        <w:rPr>
          <w:rFonts w:ascii="Book Antiqua" w:eastAsia="Book Antiqua" w:hAnsi="Book Antiqua" w:cs="Book Antiqua"/>
          <w:color w:val="000000"/>
        </w:rPr>
        <w:t xml:space="preserve"> by tandem mass tag (TMT)-based quantitative proteomics. Paraffin-embedded mucosal biopsy specimens from an additional 20 treatment-naive patients with active CD and 20 matched healthy individuals undergoing colonoscopy screening were obtained for immunohistochemical examination. The protocols of this study were approved by the ethics committee of the Affiliated Hospital of Nanjing University of Chinese Medicine </w:t>
      </w:r>
      <w:r>
        <w:rPr>
          <w:rFonts w:ascii="Book Antiqua" w:eastAsia="Book Antiqua" w:hAnsi="Book Antiqua" w:cs="Book Antiqua"/>
          <w:color w:val="000000"/>
        </w:rPr>
        <w:t xml:space="preserve">(2018NL-171-02). All patients </w:t>
      </w:r>
      <w:r w:rsidR="00E354E8">
        <w:rPr>
          <w:rFonts w:ascii="Book Antiqua" w:eastAsia="Book Antiqua" w:hAnsi="Book Antiqua" w:cs="Book Antiqua"/>
          <w:color w:val="000000"/>
        </w:rPr>
        <w:t xml:space="preserve">provided </w:t>
      </w:r>
      <w:r>
        <w:rPr>
          <w:rFonts w:ascii="Book Antiqua" w:eastAsia="Book Antiqua" w:hAnsi="Book Antiqua" w:cs="Book Antiqua"/>
          <w:color w:val="000000"/>
        </w:rPr>
        <w:t>informed consent.</w:t>
      </w:r>
    </w:p>
    <w:p w14:paraId="3C7D76B5" w14:textId="77777777" w:rsidR="00A77B3E" w:rsidRDefault="00A77B3E" w:rsidP="005518F7">
      <w:pPr>
        <w:snapToGrid w:val="0"/>
        <w:spacing w:line="360" w:lineRule="auto"/>
        <w:jc w:val="both"/>
      </w:pPr>
    </w:p>
    <w:p w14:paraId="343FD5B9" w14:textId="77777777" w:rsidR="00A77B3E" w:rsidRDefault="006C186E" w:rsidP="005518F7">
      <w:pPr>
        <w:snapToGrid w:val="0"/>
        <w:spacing w:line="360" w:lineRule="auto"/>
        <w:jc w:val="both"/>
      </w:pPr>
      <w:r>
        <w:rPr>
          <w:rFonts w:ascii="Book Antiqua" w:eastAsia="Book Antiqua" w:hAnsi="Book Antiqua" w:cs="Book Antiqua"/>
          <w:b/>
          <w:bCs/>
          <w:i/>
          <w:iCs/>
          <w:color w:val="000000"/>
        </w:rPr>
        <w:t xml:space="preserve">TMT-based quantitative proteomics </w:t>
      </w:r>
    </w:p>
    <w:p w14:paraId="0FF6D721" w14:textId="7354DDAF" w:rsidR="00A77B3E" w:rsidRDefault="006C186E" w:rsidP="005518F7">
      <w:pPr>
        <w:snapToGrid w:val="0"/>
        <w:spacing w:line="360" w:lineRule="auto"/>
        <w:jc w:val="both"/>
      </w:pPr>
      <w:r>
        <w:rPr>
          <w:rFonts w:ascii="Book Antiqua" w:eastAsia="Book Antiqua" w:hAnsi="Book Antiqua" w:cs="Book Antiqua"/>
          <w:color w:val="000000"/>
        </w:rPr>
        <w:t>Plasma samples were homogenized in sodium dodecyl sulfate (SDS) lysis buffer. Centrifugation was performed to c</w:t>
      </w:r>
      <w:r>
        <w:rPr>
          <w:rFonts w:ascii="Book Antiqua" w:eastAsia="Book Antiqua" w:hAnsi="Book Antiqua" w:cs="Book Antiqua"/>
          <w:color w:val="000000"/>
        </w:rPr>
        <w:t xml:space="preserve">ollect </w:t>
      </w:r>
      <w:r w:rsidR="00FB3423">
        <w:rPr>
          <w:rFonts w:ascii="Book Antiqua" w:eastAsia="Book Antiqua" w:hAnsi="Book Antiqua" w:cs="Book Antiqua"/>
          <w:color w:val="000000"/>
        </w:rPr>
        <w:t xml:space="preserve">the </w:t>
      </w:r>
      <w:r>
        <w:rPr>
          <w:rFonts w:ascii="Book Antiqua" w:eastAsia="Book Antiqua" w:hAnsi="Book Antiqua" w:cs="Book Antiqua"/>
          <w:color w:val="000000"/>
        </w:rPr>
        <w:t xml:space="preserve">supernatant. Total protein concentrations were quantified using a bicinchoninic acid (BCA) assay (Thermo Scientific, United States). Protein extracts were reduced with reducing buffer (10 </w:t>
      </w:r>
      <w:proofErr w:type="spellStart"/>
      <w:r>
        <w:rPr>
          <w:rFonts w:ascii="Book Antiqua" w:eastAsia="Book Antiqua" w:hAnsi="Book Antiqua" w:cs="Book Antiqua"/>
          <w:color w:val="000000"/>
        </w:rPr>
        <w:t>mmol</w:t>
      </w:r>
      <w:proofErr w:type="spellEnd"/>
      <w:r>
        <w:rPr>
          <w:rFonts w:ascii="Book Antiqua" w:eastAsia="Book Antiqua" w:hAnsi="Book Antiqua" w:cs="Book Antiqua"/>
          <w:color w:val="000000"/>
        </w:rPr>
        <w:t xml:space="preserve">/L </w:t>
      </w:r>
      <w:proofErr w:type="spellStart"/>
      <w:r>
        <w:rPr>
          <w:rFonts w:ascii="Book Antiqua" w:eastAsia="Book Antiqua" w:hAnsi="Book Antiqua" w:cs="Book Antiqua"/>
          <w:color w:val="000000"/>
        </w:rPr>
        <w:t>dithiothreitol</w:t>
      </w:r>
      <w:proofErr w:type="spellEnd"/>
      <w:r>
        <w:rPr>
          <w:rFonts w:ascii="Book Antiqua" w:eastAsia="Book Antiqua" w:hAnsi="Book Antiqua" w:cs="Book Antiqua"/>
          <w:color w:val="000000"/>
        </w:rPr>
        <w:t xml:space="preserve">, 8 </w:t>
      </w:r>
      <w:proofErr w:type="spellStart"/>
      <w:r>
        <w:rPr>
          <w:rFonts w:ascii="Book Antiqua" w:eastAsia="Book Antiqua" w:hAnsi="Book Antiqua" w:cs="Book Antiqua"/>
          <w:color w:val="000000"/>
        </w:rPr>
        <w:t>mol</w:t>
      </w:r>
      <w:proofErr w:type="spellEnd"/>
      <w:r>
        <w:rPr>
          <w:rFonts w:ascii="Book Antiqua" w:eastAsia="Book Antiqua" w:hAnsi="Book Antiqua" w:cs="Book Antiqua"/>
          <w:color w:val="000000"/>
        </w:rPr>
        <w:t xml:space="preserve">/L urea, </w:t>
      </w:r>
      <w:r w:rsidR="00FB3423">
        <w:rPr>
          <w:rFonts w:ascii="Book Antiqua" w:eastAsia="Book Antiqua" w:hAnsi="Book Antiqua" w:cs="Book Antiqua"/>
          <w:color w:val="000000"/>
        </w:rPr>
        <w:t xml:space="preserve">and </w:t>
      </w:r>
      <w:r>
        <w:rPr>
          <w:rFonts w:ascii="Book Antiqua" w:eastAsia="Book Antiqua" w:hAnsi="Book Antiqua" w:cs="Book Antiqua"/>
          <w:color w:val="000000"/>
        </w:rPr>
        <w:t xml:space="preserve">100 </w:t>
      </w:r>
      <w:proofErr w:type="spellStart"/>
      <w:r>
        <w:rPr>
          <w:rFonts w:ascii="Book Antiqua" w:eastAsia="Book Antiqua" w:hAnsi="Book Antiqua" w:cs="Book Antiqua"/>
          <w:color w:val="000000"/>
        </w:rPr>
        <w:t>mmol</w:t>
      </w:r>
      <w:proofErr w:type="spellEnd"/>
      <w:r>
        <w:rPr>
          <w:rFonts w:ascii="Book Antiqua" w:eastAsia="Book Antiqua" w:hAnsi="Book Antiqua" w:cs="Book Antiqua"/>
          <w:color w:val="000000"/>
        </w:rPr>
        <w:t xml:space="preserve">/L </w:t>
      </w:r>
      <w:proofErr w:type="spellStart"/>
      <w:r>
        <w:rPr>
          <w:rFonts w:ascii="Book Antiqua" w:eastAsia="Book Antiqua" w:hAnsi="Book Antiqua" w:cs="Book Antiqua"/>
          <w:color w:val="000000"/>
        </w:rPr>
        <w:t>tetraethylammonium</w:t>
      </w:r>
      <w:proofErr w:type="spellEnd"/>
      <w:r>
        <w:rPr>
          <w:rFonts w:ascii="Book Antiqua" w:eastAsia="Book Antiqua" w:hAnsi="Book Antiqua" w:cs="Book Antiqua"/>
          <w:color w:val="000000"/>
        </w:rPr>
        <w:t xml:space="preserve"> bromide (TEAB), p</w:t>
      </w:r>
      <w:r>
        <w:rPr>
          <w:rFonts w:ascii="Book Antiqua" w:eastAsia="Book Antiqua" w:hAnsi="Book Antiqua" w:cs="Book Antiqua"/>
          <w:color w:val="000000"/>
        </w:rPr>
        <w:t xml:space="preserve">H 8.0) at 60 °C for 1 h. All samples were alkylated with iodoacetamide for 40 min at room temperature in the </w:t>
      </w:r>
      <w:r>
        <w:rPr>
          <w:rFonts w:ascii="Book Antiqua" w:eastAsia="Book Antiqua" w:hAnsi="Book Antiqua" w:cs="Book Antiqua"/>
          <w:color w:val="000000"/>
        </w:rPr>
        <w:lastRenderedPageBreak/>
        <w:t xml:space="preserve">dark. After centrifugation, the protein pellets were digested with TEAB (100 mmol/L) and sequencing-grade trypsin (1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at 37 °C for 12 h. </w:t>
      </w:r>
    </w:p>
    <w:p w14:paraId="0BA7B3F4" w14:textId="77777777" w:rsidR="00A77B3E" w:rsidRDefault="006C186E" w:rsidP="005518F7">
      <w:pPr>
        <w:snapToGrid w:val="0"/>
        <w:spacing w:line="360" w:lineRule="auto"/>
        <w:ind w:firstLine="240"/>
        <w:jc w:val="both"/>
      </w:pPr>
      <w:r>
        <w:rPr>
          <w:rFonts w:ascii="Book Antiqua" w:eastAsia="Book Antiqua" w:hAnsi="Book Antiqua" w:cs="Book Antiqua"/>
          <w:color w:val="000000"/>
        </w:rPr>
        <w:t xml:space="preserve">For TMT labelling, 100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of protein sample was incubated with a mixed solution of 41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of TMT labelling reagent (Thermo Fisher Scientific, United States) and 41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of anhydrous acetonitrile for 1 h at room temperature. The reaction was terminated with 8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of 5% hydroxylamine. The samples from the CD patients were labelled with TMT-130 and TMT-131, while those from the healthy controls were labelled with TMT-126 and TMT-127.</w:t>
      </w:r>
    </w:p>
    <w:p w14:paraId="3BAF5C80" w14:textId="19C988A0" w:rsidR="00A77B3E" w:rsidRDefault="006C186E" w:rsidP="005518F7">
      <w:pPr>
        <w:snapToGrid w:val="0"/>
        <w:spacing w:line="360" w:lineRule="auto"/>
        <w:ind w:firstLine="240"/>
        <w:jc w:val="both"/>
      </w:pPr>
      <w:r>
        <w:rPr>
          <w:rFonts w:ascii="Book Antiqua" w:eastAsia="Book Antiqua" w:hAnsi="Book Antiqua" w:cs="Book Antiqua"/>
          <w:color w:val="000000"/>
        </w:rPr>
        <w:t xml:space="preserve">The TMT-labelled peptides were eluted by using an Agilent </w:t>
      </w:r>
      <w:proofErr w:type="spellStart"/>
      <w:r>
        <w:rPr>
          <w:rFonts w:ascii="Book Antiqua" w:eastAsia="Book Antiqua" w:hAnsi="Book Antiqua" w:cs="Book Antiqua"/>
          <w:color w:val="000000"/>
        </w:rPr>
        <w:t>Zorbax</w:t>
      </w:r>
      <w:proofErr w:type="spellEnd"/>
      <w:r>
        <w:rPr>
          <w:rFonts w:ascii="Book Antiqua" w:eastAsia="Book Antiqua" w:hAnsi="Book Antiqua" w:cs="Book Antiqua"/>
          <w:color w:val="000000"/>
        </w:rPr>
        <w:t xml:space="preserve"> Extend-C18 column (2.1 mm × 150 mm, 5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and fr</w:t>
      </w:r>
      <w:r>
        <w:rPr>
          <w:rFonts w:ascii="Book Antiqua" w:eastAsia="Book Antiqua" w:hAnsi="Book Antiqua" w:cs="Book Antiqua"/>
          <w:color w:val="000000"/>
        </w:rPr>
        <w:t xml:space="preserve">actionated </w:t>
      </w:r>
      <w:r w:rsidR="00FB3423">
        <w:rPr>
          <w:rFonts w:ascii="Book Antiqua" w:eastAsia="Book Antiqua" w:hAnsi="Book Antiqua" w:cs="Book Antiqua"/>
          <w:color w:val="000000"/>
        </w:rPr>
        <w:t xml:space="preserve">with </w:t>
      </w:r>
      <w:r>
        <w:rPr>
          <w:rFonts w:ascii="Book Antiqua" w:eastAsia="Book Antiqua" w:hAnsi="Book Antiqua" w:cs="Book Antiqua"/>
          <w:color w:val="000000"/>
        </w:rPr>
        <w:t xml:space="preserve">a high-performance liquid chromatography (HPLC) system at a flow rate of 300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/min. The elution gradient was set to 98%, 95%, 75%, 60%</w:t>
      </w:r>
      <w:r w:rsidR="00FB3423">
        <w:rPr>
          <w:rFonts w:ascii="Book Antiqua" w:eastAsia="Book Antiqua" w:hAnsi="Book Antiqua" w:cs="Book Antiqua"/>
          <w:color w:val="000000"/>
        </w:rPr>
        <w:t>,</w:t>
      </w:r>
      <w:r>
        <w:rPr>
          <w:rFonts w:ascii="Book Antiqua" w:eastAsia="Book Antiqua" w:hAnsi="Book Antiqua" w:cs="Book Antiqua"/>
          <w:color w:val="000000"/>
        </w:rPr>
        <w:t xml:space="preserve"> and 10%. The collected peptides were loaded on a reverse-phase trap column (C18, 100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xml:space="preserve"> × 20 mm, Thermo Fisher Scientific, United States) and enriched on an analysis column (C18, 75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xml:space="preserve"> × 150 mm, Thermo Fisher Scientific, United States) following redissolution in nano-HPLC buffer (HPLC water containing 0.1% formic acid). The flow rate was 300 </w:t>
      </w:r>
      <w:proofErr w:type="spellStart"/>
      <w:r>
        <w:rPr>
          <w:rFonts w:ascii="Book Antiqua" w:eastAsia="Book Antiqua" w:hAnsi="Book Antiqua" w:cs="Book Antiqua"/>
          <w:color w:val="000000"/>
        </w:rPr>
        <w:t>nL</w:t>
      </w:r>
      <w:proofErr w:type="spellEnd"/>
      <w:r>
        <w:rPr>
          <w:rFonts w:ascii="Book Antiqua" w:eastAsia="Book Antiqua" w:hAnsi="Book Antiqua" w:cs="Book Antiqua"/>
          <w:color w:val="000000"/>
        </w:rPr>
        <w:t>/min, and the linear elution gradient was set as 5%, 30%, 50%</w:t>
      </w:r>
      <w:r w:rsidR="00FB3423">
        <w:rPr>
          <w:rFonts w:ascii="Book Antiqua" w:eastAsia="Book Antiqua" w:hAnsi="Book Antiqua" w:cs="Book Antiqua"/>
          <w:color w:val="000000"/>
        </w:rPr>
        <w:t>,</w:t>
      </w:r>
      <w:r>
        <w:rPr>
          <w:rFonts w:ascii="Book Antiqua" w:eastAsia="Book Antiqua" w:hAnsi="Book Antiqua" w:cs="Book Antiqua"/>
          <w:color w:val="000000"/>
        </w:rPr>
        <w:t xml:space="preserve"> and 100%. </w:t>
      </w:r>
    </w:p>
    <w:p w14:paraId="517C7191" w14:textId="77777777" w:rsidR="00A77B3E" w:rsidRDefault="006C186E" w:rsidP="005518F7">
      <w:pPr>
        <w:snapToGrid w:val="0"/>
        <w:spacing w:line="360" w:lineRule="auto"/>
        <w:ind w:firstLine="240"/>
        <w:jc w:val="both"/>
      </w:pPr>
      <w:r>
        <w:rPr>
          <w:rFonts w:ascii="Book Antiqua" w:eastAsia="Book Antiqua" w:hAnsi="Book Antiqua" w:cs="Book Antiqua"/>
          <w:color w:val="000000"/>
        </w:rPr>
        <w:t>For mass spectrometry (MS) survey scans, the ion spray voltage, interface heating temperature, MS resolution, and ion population were set to 1,800 V, 250 °C, 70000, and 1 × 10</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respectively. The precursor ion was acquired at 300</w:t>
      </w:r>
      <w:r w:rsidR="00B631C0" w:rsidRPr="00B631C0">
        <w:rPr>
          <w:rFonts w:ascii="Book Antiqua" w:hAnsi="Book Antiqua" w:cs="Book Antiqua"/>
          <w:color w:val="000000"/>
          <w:lang w:eastAsia="zh-CN"/>
        </w:rPr>
        <w:t>-</w:t>
      </w:r>
      <w:r w:rsidR="00B631C0">
        <w:rPr>
          <w:rFonts w:ascii="Book Antiqua" w:eastAsia="Book Antiqua" w:hAnsi="Book Antiqua" w:cs="Book Antiqua"/>
          <w:color w:val="000000"/>
        </w:rPr>
        <w:t>1</w:t>
      </w:r>
      <w:r>
        <w:rPr>
          <w:rFonts w:ascii="Book Antiqua" w:eastAsia="Book Antiqua" w:hAnsi="Book Antiqua" w:cs="Book Antiqua"/>
          <w:color w:val="000000"/>
        </w:rPr>
        <w:t>600 m/z. A maximum of 10 precursors were selected for higher-energy collisional dissociation with analysis in an LTQ Orbitrap Velos Pro (Thermo Fisher Scientific, United States), and the normal chemical energy was 32%. For MS/MS detection, the tandem MS resolution, ion population, ion maximum injection time, and dynamic exclusion time were set to 17500, 2 × 10</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80 </w:t>
      </w:r>
      <w:proofErr w:type="spellStart"/>
      <w:r>
        <w:rPr>
          <w:rFonts w:ascii="Book Antiqua" w:eastAsia="Book Antiqua" w:hAnsi="Book Antiqua" w:cs="Book Antiqua"/>
          <w:color w:val="000000"/>
        </w:rPr>
        <w:t>ms</w:t>
      </w:r>
      <w:proofErr w:type="spellEnd"/>
      <w:r>
        <w:rPr>
          <w:rFonts w:ascii="Book Antiqua" w:eastAsia="Book Antiqua" w:hAnsi="Book Antiqua" w:cs="Book Antiqua"/>
          <w:color w:val="000000"/>
        </w:rPr>
        <w:t>, and 30 s, respectively.</w:t>
      </w:r>
    </w:p>
    <w:p w14:paraId="2E1DA410" w14:textId="77777777" w:rsidR="00A77B3E" w:rsidRDefault="00A77B3E" w:rsidP="005518F7">
      <w:pPr>
        <w:snapToGrid w:val="0"/>
        <w:spacing w:line="360" w:lineRule="auto"/>
        <w:ind w:firstLine="240"/>
        <w:jc w:val="both"/>
      </w:pPr>
    </w:p>
    <w:p w14:paraId="422BD23A" w14:textId="77777777" w:rsidR="00A77B3E" w:rsidRDefault="006C186E" w:rsidP="005518F7">
      <w:pPr>
        <w:snapToGrid w:val="0"/>
        <w:spacing w:line="360" w:lineRule="auto"/>
        <w:jc w:val="both"/>
      </w:pPr>
      <w:r>
        <w:rPr>
          <w:rFonts w:ascii="Book Antiqua" w:eastAsia="Book Antiqua" w:hAnsi="Book Antiqua" w:cs="Book Antiqua"/>
          <w:b/>
          <w:bCs/>
          <w:i/>
          <w:iCs/>
          <w:color w:val="000000"/>
        </w:rPr>
        <w:t>Quantitative proteomic analysis</w:t>
      </w:r>
    </w:p>
    <w:p w14:paraId="262CE1CD" w14:textId="69894976" w:rsidR="00A77B3E" w:rsidRDefault="006C186E" w:rsidP="005518F7">
      <w:pPr>
        <w:snapToGrid w:val="0"/>
        <w:spacing w:line="360" w:lineRule="auto"/>
        <w:jc w:val="both"/>
      </w:pPr>
      <w:r>
        <w:rPr>
          <w:rFonts w:ascii="Book Antiqua" w:eastAsia="Book Antiqua" w:hAnsi="Book Antiqua" w:cs="Book Antiqua"/>
          <w:color w:val="000000"/>
        </w:rPr>
        <w:t xml:space="preserve">The raw proteomic data were </w:t>
      </w:r>
      <w:proofErr w:type="spellStart"/>
      <w:r>
        <w:rPr>
          <w:rFonts w:ascii="Book Antiqua" w:eastAsia="Book Antiqua" w:hAnsi="Book Antiqua" w:cs="Book Antiqua"/>
          <w:color w:val="000000"/>
        </w:rPr>
        <w:t>analysed</w:t>
      </w:r>
      <w:proofErr w:type="spellEnd"/>
      <w:r>
        <w:rPr>
          <w:rFonts w:ascii="Book Antiqua" w:eastAsia="Book Antiqua" w:hAnsi="Book Antiqua" w:cs="Book Antiqua"/>
          <w:color w:val="000000"/>
        </w:rPr>
        <w:t xml:space="preserve"> using Proteome Discoverer software (version 2.2, Thermo Fisher Scientific, United States) and searched against the </w:t>
      </w:r>
      <w:proofErr w:type="spellStart"/>
      <w:r>
        <w:rPr>
          <w:rFonts w:ascii="Book Antiqua" w:eastAsia="Book Antiqua" w:hAnsi="Book Antiqua" w:cs="Book Antiqua"/>
          <w:color w:val="000000"/>
        </w:rPr>
        <w:t>UniProtKB</w:t>
      </w:r>
      <w:proofErr w:type="spellEnd"/>
      <w:r>
        <w:rPr>
          <w:rFonts w:ascii="Book Antiqua" w:eastAsia="Book Antiqua" w:hAnsi="Book Antiqua" w:cs="Book Antiqua"/>
          <w:color w:val="000000"/>
        </w:rPr>
        <w:t xml:space="preserve"> database </w:t>
      </w:r>
      <w:r>
        <w:rPr>
          <w:rFonts w:ascii="Book Antiqua" w:eastAsia="Book Antiqua" w:hAnsi="Book Antiqua" w:cs="Book Antiqua"/>
          <w:color w:val="000000"/>
        </w:rPr>
        <w:lastRenderedPageBreak/>
        <w:t>(</w:t>
      </w:r>
      <w:proofErr w:type="spellStart"/>
      <w:r>
        <w:rPr>
          <w:rFonts w:ascii="Book Antiqua" w:eastAsia="Book Antiqua" w:hAnsi="Book Antiqua" w:cs="Book Antiqua"/>
          <w:color w:val="000000"/>
        </w:rPr>
        <w:t>Hunam</w:t>
      </w:r>
      <w:proofErr w:type="spellEnd"/>
      <w:r>
        <w:rPr>
          <w:rFonts w:ascii="Book Antiqua" w:eastAsia="Book Antiqua" w:hAnsi="Book Antiqua" w:cs="Book Antiqua"/>
          <w:color w:val="000000"/>
        </w:rPr>
        <w:t xml:space="preserve">, 2015-09, 88473 sequences). Andromeda was used as the search engine with the following parameters: (1) </w:t>
      </w:r>
      <w:r>
        <w:rPr>
          <w:rFonts w:ascii="Book Antiqua" w:eastAsia="Book Antiqua" w:hAnsi="Book Antiqua" w:cs="Book Antiqua"/>
          <w:i/>
          <w:iCs/>
          <w:color w:val="000000"/>
        </w:rPr>
        <w:t>Homo sapiens</w:t>
      </w:r>
      <w:r>
        <w:rPr>
          <w:rFonts w:ascii="Book Antiqua" w:eastAsia="Book Antiqua" w:hAnsi="Book Antiqua" w:cs="Book Antiqua"/>
          <w:color w:val="000000"/>
        </w:rPr>
        <w:t xml:space="preserve"> taxonomy; (2) Q </w:t>
      </w:r>
      <w:proofErr w:type="spellStart"/>
      <w:r>
        <w:rPr>
          <w:rFonts w:ascii="Book Antiqua" w:eastAsia="Book Antiqua" w:hAnsi="Book Antiqua" w:cs="Book Antiqua"/>
          <w:color w:val="000000"/>
        </w:rPr>
        <w:t>Exactive</w:t>
      </w:r>
      <w:proofErr w:type="spellEnd"/>
      <w:r>
        <w:rPr>
          <w:rFonts w:ascii="Book Antiqua" w:eastAsia="Book Antiqua" w:hAnsi="Book Antiqua" w:cs="Book Antiqua"/>
          <w:color w:val="000000"/>
        </w:rPr>
        <w:t xml:space="preserve"> plus as instrument type; (3) trypsin as the proteolytic enz</w:t>
      </w:r>
      <w:r>
        <w:rPr>
          <w:rFonts w:ascii="Book Antiqua" w:eastAsia="Book Antiqua" w:hAnsi="Book Antiqua" w:cs="Book Antiqua"/>
          <w:color w:val="000000"/>
        </w:rPr>
        <w:t xml:space="preserve">yme, with </w:t>
      </w:r>
      <w:r w:rsidR="00FB3423">
        <w:rPr>
          <w:rFonts w:ascii="Book Antiqua" w:eastAsia="Book Antiqua" w:hAnsi="Book Antiqua" w:cs="Book Antiqua"/>
          <w:color w:val="000000"/>
        </w:rPr>
        <w:t xml:space="preserve">two </w:t>
      </w:r>
      <w:r>
        <w:rPr>
          <w:rFonts w:ascii="Book Antiqua" w:eastAsia="Book Antiqua" w:hAnsi="Book Antiqua" w:cs="Book Antiqua"/>
          <w:color w:val="000000"/>
        </w:rPr>
        <w:t xml:space="preserve">missed cleavages allowed; (4) TMT 6 </w:t>
      </w:r>
      <w:proofErr w:type="spellStart"/>
      <w:r>
        <w:rPr>
          <w:rFonts w:ascii="Book Antiqua" w:eastAsia="Book Antiqua" w:hAnsi="Book Antiqua" w:cs="Book Antiqua"/>
          <w:color w:val="000000"/>
        </w:rPr>
        <w:t>plex</w:t>
      </w:r>
      <w:proofErr w:type="spellEnd"/>
      <w:r>
        <w:rPr>
          <w:rFonts w:ascii="Book Antiqua" w:eastAsia="Book Antiqua" w:hAnsi="Book Antiqua" w:cs="Book Antiqua"/>
          <w:color w:val="000000"/>
        </w:rPr>
        <w:t xml:space="preserve"> and cysteine </w:t>
      </w:r>
      <w:proofErr w:type="spellStart"/>
      <w:r>
        <w:rPr>
          <w:rFonts w:ascii="Book Antiqua" w:eastAsia="Book Antiqua" w:hAnsi="Book Antiqua" w:cs="Book Antiqua"/>
          <w:color w:val="000000"/>
        </w:rPr>
        <w:t>carbamidomethylations</w:t>
      </w:r>
      <w:proofErr w:type="spellEnd"/>
      <w:r>
        <w:rPr>
          <w:rFonts w:ascii="Book Antiqua" w:eastAsia="Book Antiqua" w:hAnsi="Book Antiqua" w:cs="Book Antiqua"/>
          <w:color w:val="000000"/>
        </w:rPr>
        <w:t xml:space="preserve"> as fixed modifications; (5) oxidation of methionine as a variable modification; (6) 20 ppm as the MS tolerance; and (7) </w:t>
      </w:r>
      <w:r w:rsidR="00FB3423">
        <w:rPr>
          <w:rFonts w:ascii="Book Antiqua" w:eastAsia="Book Antiqua" w:hAnsi="Book Antiqua" w:cs="Book Antiqua"/>
          <w:color w:val="000000"/>
        </w:rPr>
        <w:t xml:space="preserve">seven </w:t>
      </w:r>
      <w:r>
        <w:rPr>
          <w:rFonts w:ascii="Book Antiqua" w:eastAsia="Book Antiqua" w:hAnsi="Book Antiqua" w:cs="Book Antiqua"/>
          <w:color w:val="000000"/>
        </w:rPr>
        <w:t>amino acids as minimum cut-off for peptide length. A false discovery rate (FDR) of less than 1% was set to refine the results.</w:t>
      </w:r>
    </w:p>
    <w:p w14:paraId="22DF2A13" w14:textId="77777777" w:rsidR="00A77B3E" w:rsidRDefault="006C186E" w:rsidP="005518F7">
      <w:pPr>
        <w:snapToGrid w:val="0"/>
        <w:spacing w:line="360" w:lineRule="auto"/>
        <w:ind w:firstLine="240"/>
        <w:jc w:val="both"/>
      </w:pPr>
      <w:r>
        <w:rPr>
          <w:rFonts w:ascii="Book Antiqua" w:eastAsia="Book Antiqua" w:hAnsi="Book Antiqua" w:cs="Book Antiqua"/>
          <w:color w:val="000000"/>
        </w:rPr>
        <w:t xml:space="preserve">For quantitative analysis, the TMT reporter ion intensity of each protein was </w:t>
      </w:r>
      <w:proofErr w:type="spellStart"/>
      <w:r>
        <w:rPr>
          <w:rFonts w:ascii="Book Antiqua" w:eastAsia="Book Antiqua" w:hAnsi="Book Antiqua" w:cs="Book Antiqua"/>
          <w:color w:val="000000"/>
        </w:rPr>
        <w:t>analysed</w:t>
      </w:r>
      <w:proofErr w:type="spellEnd"/>
      <w:r>
        <w:rPr>
          <w:rFonts w:ascii="Book Antiqua" w:eastAsia="Book Antiqua" w:hAnsi="Book Antiqua" w:cs="Book Antiqua"/>
          <w:color w:val="000000"/>
        </w:rPr>
        <w:t xml:space="preserve"> using Proteome Discoverer software. Proteins with empty values were discarded. Student’s </w:t>
      </w:r>
      <w:r w:rsidRPr="003E4742">
        <w:rPr>
          <w:rFonts w:ascii="Book Antiqua" w:eastAsia="Book Antiqua" w:hAnsi="Book Antiqua" w:cs="Book Antiqua"/>
          <w:i/>
          <w:color w:val="000000"/>
        </w:rPr>
        <w:t>t</w:t>
      </w:r>
      <w:r>
        <w:rPr>
          <w:rFonts w:ascii="Book Antiqua" w:eastAsia="Book Antiqua" w:hAnsi="Book Antiqua" w:cs="Book Antiqua"/>
          <w:color w:val="000000"/>
        </w:rPr>
        <w:t xml:space="preserve"> test was performed to examine the difference in each protein betw</w:t>
      </w:r>
      <w:r>
        <w:rPr>
          <w:rFonts w:ascii="Book Antiqua" w:eastAsia="Book Antiqua" w:hAnsi="Book Antiqua" w:cs="Book Antiqua"/>
          <w:color w:val="000000"/>
        </w:rPr>
        <w:t xml:space="preserve">een the two groups with Perseus software. Proteins with a fold change &gt; 1.5 or &lt; 0.67 and a </w:t>
      </w:r>
      <w:r w:rsidRPr="00F757E4">
        <w:rPr>
          <w:rFonts w:ascii="Book Antiqua" w:eastAsia="Book Antiqua" w:hAnsi="Book Antiqua" w:cs="Book Antiqua"/>
          <w:i/>
          <w:color w:val="000000"/>
        </w:rPr>
        <w:t>P</w:t>
      </w:r>
      <w:r>
        <w:rPr>
          <w:rFonts w:ascii="Book Antiqua" w:eastAsia="Book Antiqua" w:hAnsi="Book Antiqua" w:cs="Book Antiqua"/>
          <w:color w:val="000000"/>
        </w:rPr>
        <w:t xml:space="preserve"> value &lt; 0.05 were considered to be DEPs.</w:t>
      </w:r>
    </w:p>
    <w:p w14:paraId="665DE202" w14:textId="77777777" w:rsidR="00A77B3E" w:rsidRDefault="00A77B3E" w:rsidP="005518F7">
      <w:pPr>
        <w:snapToGrid w:val="0"/>
        <w:spacing w:line="360" w:lineRule="auto"/>
        <w:ind w:firstLine="240"/>
        <w:jc w:val="both"/>
      </w:pPr>
    </w:p>
    <w:p w14:paraId="3AB44F07" w14:textId="77777777" w:rsidR="00A77B3E" w:rsidRDefault="006C186E" w:rsidP="005518F7">
      <w:pPr>
        <w:snapToGrid w:val="0"/>
        <w:spacing w:line="360" w:lineRule="auto"/>
        <w:jc w:val="both"/>
      </w:pPr>
      <w:r>
        <w:rPr>
          <w:rFonts w:ascii="Book Antiqua" w:eastAsia="Book Antiqua" w:hAnsi="Book Antiqua" w:cs="Book Antiqua"/>
          <w:b/>
          <w:bCs/>
          <w:i/>
          <w:iCs/>
          <w:color w:val="000000"/>
        </w:rPr>
        <w:t>Bioinformatics analysis</w:t>
      </w:r>
    </w:p>
    <w:p w14:paraId="32489364" w14:textId="45330392" w:rsidR="00A77B3E" w:rsidRDefault="006C186E" w:rsidP="005518F7">
      <w:pPr>
        <w:snapToGrid w:val="0"/>
        <w:spacing w:line="360" w:lineRule="auto"/>
        <w:jc w:val="both"/>
      </w:pPr>
      <w:r>
        <w:rPr>
          <w:rFonts w:ascii="Book Antiqua" w:eastAsia="Book Antiqua" w:hAnsi="Book Antiqua" w:cs="Book Antiqua"/>
          <w:color w:val="000000"/>
        </w:rPr>
        <w:t xml:space="preserve">Genes of DEPs were visualized in </w:t>
      </w:r>
      <w:proofErr w:type="spellStart"/>
      <w:r>
        <w:rPr>
          <w:rFonts w:ascii="Book Antiqua" w:eastAsia="Book Antiqua" w:hAnsi="Book Antiqua" w:cs="Book Antiqua"/>
          <w:color w:val="000000"/>
        </w:rPr>
        <w:t>Cytoscape</w:t>
      </w:r>
      <w:proofErr w:type="spellEnd"/>
      <w:r>
        <w:rPr>
          <w:rFonts w:ascii="Book Antiqua" w:eastAsia="Book Antiqua" w:hAnsi="Book Antiqua" w:cs="Book Antiqua"/>
          <w:color w:val="000000"/>
        </w:rPr>
        <w:t xml:space="preserve"> software (version 3.7.2), in which the MCODE plugin was used to select significant modules for identification of hub genes. Subsequently, the hub genes were input into the Search Tool for the Retrieval of Interacting Genes/Proteins (STRING) database</w:t>
      </w:r>
      <w:r w:rsidRPr="004E45C2">
        <w:rPr>
          <w:rFonts w:ascii="Book Antiqua" w:eastAsia="Book Antiqua" w:hAnsi="Book Antiqua" w:cs="Book Antiqua"/>
          <w:color w:val="000000"/>
        </w:rPr>
        <w:t xml:space="preserve"> (https://string-db.org/) to construct a protein-protein interaction (PPI) network. The Database for Annotation, Visualization and Integrated Discovery (DAVID) database (https://david.ncifcrf.gov/) was applied for gene ontology (GO) enrichment analysis. </w:t>
      </w:r>
      <w:proofErr w:type="spellStart"/>
      <w:r w:rsidRPr="004E45C2">
        <w:rPr>
          <w:rFonts w:ascii="Book Antiqua" w:eastAsia="Book Antiqua" w:hAnsi="Book Antiqua" w:cs="Book Antiqua"/>
          <w:color w:val="000000"/>
        </w:rPr>
        <w:t>Reactome</w:t>
      </w:r>
      <w:proofErr w:type="spellEnd"/>
      <w:r w:rsidRPr="004E45C2">
        <w:rPr>
          <w:rFonts w:ascii="Book Antiqua" w:eastAsia="Book Antiqua" w:hAnsi="Book Antiqua" w:cs="Book Antiqua"/>
          <w:color w:val="000000"/>
        </w:rPr>
        <w:t xml:space="preserve"> pathway analysis (https://www.reactome.org/) was performed for pathway </w:t>
      </w:r>
      <w:r>
        <w:rPr>
          <w:rFonts w:ascii="Book Antiqua" w:eastAsia="Book Antiqua" w:hAnsi="Book Antiqua" w:cs="Book Antiqua"/>
          <w:color w:val="000000"/>
        </w:rPr>
        <w:t>enrichment analysis.</w:t>
      </w:r>
    </w:p>
    <w:p w14:paraId="254B209F" w14:textId="77777777" w:rsidR="00A77B3E" w:rsidRDefault="00A77B3E" w:rsidP="005518F7">
      <w:pPr>
        <w:snapToGrid w:val="0"/>
        <w:spacing w:line="360" w:lineRule="auto"/>
        <w:jc w:val="both"/>
      </w:pPr>
    </w:p>
    <w:p w14:paraId="4E2F3D91" w14:textId="77777777" w:rsidR="00A77B3E" w:rsidRDefault="006C186E" w:rsidP="005518F7">
      <w:pPr>
        <w:snapToGrid w:val="0"/>
        <w:spacing w:line="360" w:lineRule="auto"/>
        <w:jc w:val="both"/>
      </w:pPr>
      <w:r>
        <w:rPr>
          <w:rFonts w:ascii="Book Antiqua" w:eastAsia="Book Antiqua" w:hAnsi="Book Antiqua" w:cs="Book Antiqua"/>
          <w:b/>
          <w:bCs/>
          <w:i/>
          <w:iCs/>
          <w:color w:val="000000"/>
        </w:rPr>
        <w:t>Immunohistochemical staining</w:t>
      </w:r>
    </w:p>
    <w:p w14:paraId="0559BA4C" w14:textId="0BBB9EB5" w:rsidR="00A77B3E" w:rsidRDefault="006C186E" w:rsidP="005518F7">
      <w:pPr>
        <w:snapToGrid w:val="0"/>
        <w:spacing w:line="360" w:lineRule="auto"/>
        <w:jc w:val="both"/>
      </w:pPr>
      <w:r>
        <w:rPr>
          <w:rFonts w:ascii="Book Antiqua" w:eastAsia="Book Antiqua" w:hAnsi="Book Antiqua" w:cs="Book Antiqua"/>
          <w:color w:val="000000"/>
        </w:rPr>
        <w:t xml:space="preserve">Immunohistochemical staining was implemented to detect the expression of FGL1 in inflamed intestinal tissues of CD patients and normal intestinal biopsies. Mucosal biopsy specimens were fixed in 10% neutral formalin for 24 h. Afterwards, they were embedded in paraffin and cut into 5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xml:space="preserve"> sections. The sections were deparaffinized and rehydrated and then incubated in citrate buffer (pH 6.0) for antigen retrieval. After endogenous </w:t>
      </w:r>
      <w:r>
        <w:rPr>
          <w:rFonts w:ascii="Book Antiqua" w:eastAsia="Book Antiqua" w:hAnsi="Book Antiqua" w:cs="Book Antiqua"/>
          <w:color w:val="000000"/>
        </w:rPr>
        <w:lastRenderedPageBreak/>
        <w:t xml:space="preserve">peroxidase activity was quenched with 3% hydrogen peroxide, the samples were incubated in 1% bovine serum albumin (BSA) to block non-specific immunoglobulin binding. Subsequently, the slides were incubated with an anti-FGL1 antibody (1:200 dilution, 16000-1-AP, </w:t>
      </w:r>
      <w:proofErr w:type="spellStart"/>
      <w:r>
        <w:rPr>
          <w:rFonts w:ascii="Book Antiqua" w:eastAsia="Book Antiqua" w:hAnsi="Book Antiqua" w:cs="Book Antiqua"/>
          <w:color w:val="000000"/>
        </w:rPr>
        <w:t>Proteintech</w:t>
      </w:r>
      <w:proofErr w:type="spellEnd"/>
      <w:r>
        <w:rPr>
          <w:rFonts w:ascii="Book Antiqua" w:eastAsia="Book Antiqua" w:hAnsi="Book Antiqua" w:cs="Book Antiqua"/>
          <w:color w:val="000000"/>
        </w:rPr>
        <w:t xml:space="preserve">, United States) at 4 °C overnight. Following washing with phosphate buffered saline (PBS), the slides were incubated with a secondary IgG antibody (1:1000 dilution, ab6721, Abcam, United Kingdom) at room temperature for 1 h, counterstained with </w:t>
      </w:r>
      <w:proofErr w:type="spellStart"/>
      <w:r>
        <w:rPr>
          <w:rFonts w:ascii="Book Antiqua" w:eastAsia="Book Antiqua" w:hAnsi="Book Antiqua" w:cs="Book Antiqua"/>
          <w:color w:val="000000"/>
        </w:rPr>
        <w:t>h</w:t>
      </w:r>
      <w:r>
        <w:rPr>
          <w:rFonts w:ascii="Book Antiqua" w:eastAsia="Book Antiqua" w:hAnsi="Book Antiqua" w:cs="Book Antiqua"/>
          <w:color w:val="000000"/>
        </w:rPr>
        <w:t>aematoxylin</w:t>
      </w:r>
      <w:proofErr w:type="spellEnd"/>
      <w:r w:rsidR="00FB3423">
        <w:rPr>
          <w:rFonts w:ascii="Book Antiqua" w:eastAsia="Book Antiqua" w:hAnsi="Book Antiqua" w:cs="Book Antiqua"/>
          <w:color w:val="000000"/>
        </w:rPr>
        <w:t>,</w:t>
      </w:r>
      <w:r>
        <w:rPr>
          <w:rFonts w:ascii="Book Antiqua" w:eastAsia="Book Antiqua" w:hAnsi="Book Antiqua" w:cs="Book Antiqua"/>
          <w:color w:val="000000"/>
        </w:rPr>
        <w:t xml:space="preserve"> and staine</w:t>
      </w:r>
      <w:r>
        <w:rPr>
          <w:rFonts w:ascii="Book Antiqua" w:eastAsia="Book Antiqua" w:hAnsi="Book Antiqua" w:cs="Book Antiqua"/>
          <w:color w:val="000000"/>
        </w:rPr>
        <w:t xml:space="preserve">d with a </w:t>
      </w:r>
      <w:proofErr w:type="spellStart"/>
      <w:r>
        <w:rPr>
          <w:rFonts w:ascii="Book Antiqua" w:eastAsia="Book Antiqua" w:hAnsi="Book Antiqua" w:cs="Book Antiqua"/>
          <w:color w:val="000000"/>
        </w:rPr>
        <w:t>diaminobenzidine</w:t>
      </w:r>
      <w:proofErr w:type="spellEnd"/>
      <w:r>
        <w:rPr>
          <w:rFonts w:ascii="Book Antiqua" w:eastAsia="Book Antiqua" w:hAnsi="Book Antiqua" w:cs="Book Antiqua"/>
          <w:color w:val="000000"/>
        </w:rPr>
        <w:t xml:space="preserve"> kit (DAB, </w:t>
      </w:r>
      <w:proofErr w:type="spellStart"/>
      <w:r>
        <w:rPr>
          <w:rFonts w:ascii="Book Antiqua" w:eastAsia="Book Antiqua" w:hAnsi="Book Antiqua" w:cs="Book Antiqua"/>
          <w:color w:val="000000"/>
        </w:rPr>
        <w:t>Beyotime</w:t>
      </w:r>
      <w:proofErr w:type="spellEnd"/>
      <w:r>
        <w:rPr>
          <w:rFonts w:ascii="Book Antiqua" w:eastAsia="Book Antiqua" w:hAnsi="Book Antiqua" w:cs="Book Antiqua"/>
          <w:color w:val="000000"/>
        </w:rPr>
        <w:t>, China). All the sections were visualized under a light microscope (Nikon 80i, Japan). ImageJ software (version 1.52) was used to calculate the integrated optical density (IOD) values.</w:t>
      </w:r>
    </w:p>
    <w:p w14:paraId="5E4CA82F" w14:textId="77777777" w:rsidR="00A77B3E" w:rsidRDefault="00A77B3E" w:rsidP="005518F7">
      <w:pPr>
        <w:snapToGrid w:val="0"/>
        <w:spacing w:line="360" w:lineRule="auto"/>
        <w:jc w:val="both"/>
      </w:pPr>
    </w:p>
    <w:p w14:paraId="3DDD0437" w14:textId="77777777" w:rsidR="00A77B3E" w:rsidRDefault="006C186E" w:rsidP="005518F7">
      <w:pPr>
        <w:snapToGrid w:val="0"/>
        <w:spacing w:line="360" w:lineRule="auto"/>
        <w:jc w:val="both"/>
      </w:pPr>
      <w:r>
        <w:rPr>
          <w:rFonts w:ascii="Book Antiqua" w:eastAsia="Book Antiqua" w:hAnsi="Book Antiqua" w:cs="Book Antiqua"/>
          <w:b/>
          <w:bCs/>
          <w:i/>
          <w:iCs/>
          <w:color w:val="000000"/>
        </w:rPr>
        <w:t>Cell culture and treatment</w:t>
      </w:r>
    </w:p>
    <w:p w14:paraId="62F79675" w14:textId="77777777" w:rsidR="00A77B3E" w:rsidRDefault="006C186E" w:rsidP="005518F7">
      <w:pPr>
        <w:snapToGrid w:val="0"/>
        <w:spacing w:line="360" w:lineRule="auto"/>
        <w:jc w:val="both"/>
      </w:pPr>
      <w:r>
        <w:rPr>
          <w:rFonts w:ascii="Book Antiqua" w:eastAsia="Book Antiqua" w:hAnsi="Book Antiqua" w:cs="Book Antiqua"/>
          <w:color w:val="000000"/>
        </w:rPr>
        <w:t xml:space="preserve">The human colonic adenoma cell line HT-29 (ATCC, United States) was cultured with Dulbecco’s modified Eagle’s medium, supplemented with 10% fetal bovine serum, 100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/mL penicillin, and 100 U/mL streptomycin at 37 °C with 5% CO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The HT-29 cells were stimulated with 100 ng/mL lipopolysaccharide (LPS, Sigma, United States) to establish a cell model of intestinal</w:t>
      </w:r>
      <w:r>
        <w:rPr>
          <w:rFonts w:ascii="Book Antiqua" w:eastAsia="Book Antiqua" w:hAnsi="Book Antiqua" w:cs="Book Antiqua"/>
          <w:color w:val="000000"/>
        </w:rPr>
        <w:t xml:space="preserve"> inflammation. To uncover the impact of FGL1 on intestinal inflammation, the HT-29 cells were transfected with </w:t>
      </w:r>
      <w:r w:rsidRPr="003E4742">
        <w:rPr>
          <w:rFonts w:ascii="Book Antiqua" w:eastAsia="Book Antiqua" w:hAnsi="Book Antiqua" w:cs="Book Antiqua"/>
          <w:i/>
          <w:color w:val="000000"/>
        </w:rPr>
        <w:t>FGL1</w:t>
      </w:r>
      <w:r>
        <w:rPr>
          <w:rFonts w:ascii="Book Antiqua" w:eastAsia="Book Antiqua" w:hAnsi="Book Antiqua" w:cs="Book Antiqua"/>
          <w:color w:val="000000"/>
        </w:rPr>
        <w:t xml:space="preserve"> siRNA and plasmid DNA (Nanjing </w:t>
      </w:r>
      <w:proofErr w:type="spellStart"/>
      <w:r>
        <w:rPr>
          <w:rFonts w:ascii="Book Antiqua" w:eastAsia="Book Antiqua" w:hAnsi="Book Antiqua" w:cs="Book Antiqua"/>
          <w:color w:val="000000"/>
        </w:rPr>
        <w:t>KeyGen</w:t>
      </w:r>
      <w:proofErr w:type="spellEnd"/>
      <w:r>
        <w:rPr>
          <w:rFonts w:ascii="Book Antiqua" w:eastAsia="Book Antiqua" w:hAnsi="Book Antiqua" w:cs="Book Antiqua"/>
          <w:color w:val="000000"/>
        </w:rPr>
        <w:t xml:space="preserve"> Biotech Co., Ltd., China) before stimulation with LPS. The transfection efficiency was determined by examining the mRNA expression of </w:t>
      </w:r>
      <w:r w:rsidRPr="003E4742">
        <w:rPr>
          <w:rFonts w:ascii="Book Antiqua" w:eastAsia="Book Antiqua" w:hAnsi="Book Antiqua" w:cs="Book Antiqua"/>
          <w:i/>
          <w:color w:val="000000"/>
        </w:rPr>
        <w:t>FGL1</w:t>
      </w:r>
      <w:r>
        <w:rPr>
          <w:rFonts w:ascii="Book Antiqua" w:eastAsia="Book Antiqua" w:hAnsi="Book Antiqua" w:cs="Book Antiqua"/>
          <w:color w:val="000000"/>
        </w:rPr>
        <w:t>.</w:t>
      </w:r>
    </w:p>
    <w:p w14:paraId="4F53F699" w14:textId="77777777" w:rsidR="00A77B3E" w:rsidRDefault="00A77B3E" w:rsidP="005518F7">
      <w:pPr>
        <w:snapToGrid w:val="0"/>
        <w:spacing w:line="360" w:lineRule="auto"/>
        <w:jc w:val="both"/>
      </w:pPr>
    </w:p>
    <w:p w14:paraId="63281B3B" w14:textId="77777777" w:rsidR="00A77B3E" w:rsidRDefault="006C186E" w:rsidP="005518F7">
      <w:pPr>
        <w:snapToGrid w:val="0"/>
        <w:spacing w:line="360" w:lineRule="auto"/>
        <w:jc w:val="both"/>
      </w:pPr>
      <w:r>
        <w:rPr>
          <w:rFonts w:ascii="Book Antiqua" w:eastAsia="Book Antiqua" w:hAnsi="Book Antiqua" w:cs="Book Antiqua"/>
          <w:b/>
          <w:bCs/>
          <w:i/>
          <w:iCs/>
          <w:color w:val="000000"/>
        </w:rPr>
        <w:t>Quantitative real-time PCR</w:t>
      </w:r>
      <w:r w:rsidR="004972D0">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analysis</w:t>
      </w:r>
    </w:p>
    <w:p w14:paraId="14A9837F" w14:textId="52D41B31" w:rsidR="00A77B3E" w:rsidRDefault="006C186E" w:rsidP="005518F7">
      <w:pPr>
        <w:snapToGrid w:val="0"/>
        <w:spacing w:line="360" w:lineRule="auto"/>
        <w:jc w:val="both"/>
      </w:pPr>
      <w:r>
        <w:rPr>
          <w:rFonts w:ascii="Book Antiqua" w:eastAsia="Book Antiqua" w:hAnsi="Book Antiqua" w:cs="Book Antiqua"/>
          <w:color w:val="000000"/>
        </w:rPr>
        <w:t xml:space="preserve">Total RNA in HT-29 cells was extracted using a </w:t>
      </w:r>
      <w:proofErr w:type="spellStart"/>
      <w:r>
        <w:rPr>
          <w:rFonts w:ascii="Book Antiqua" w:eastAsia="Book Antiqua" w:hAnsi="Book Antiqua" w:cs="Book Antiqua"/>
          <w:color w:val="000000"/>
        </w:rPr>
        <w:t>TRIzol</w:t>
      </w:r>
      <w:proofErr w:type="spellEnd"/>
      <w:r>
        <w:rPr>
          <w:rFonts w:ascii="Book Antiqua" w:eastAsia="Book Antiqua" w:hAnsi="Book Antiqua" w:cs="Book Antiqua"/>
          <w:color w:val="000000"/>
        </w:rPr>
        <w:t xml:space="preserve"> reagent kit (Takara, Japan) according to the manufacturer’s instructions. A </w:t>
      </w:r>
      <w:proofErr w:type="spellStart"/>
      <w:r>
        <w:rPr>
          <w:rFonts w:ascii="Book Antiqua" w:eastAsia="Book Antiqua" w:hAnsi="Book Antiqua" w:cs="Book Antiqua"/>
          <w:color w:val="000000"/>
        </w:rPr>
        <w:t>PrimeScript</w:t>
      </w:r>
      <w:proofErr w:type="spellEnd"/>
      <w:r>
        <w:rPr>
          <w:rFonts w:ascii="Book Antiqua" w:eastAsia="Book Antiqua" w:hAnsi="Book Antiqua" w:cs="Book Antiqua"/>
          <w:color w:val="000000"/>
        </w:rPr>
        <w:t xml:space="preserve"> RT reagent kit (Takara, Japan) was used for reverse transcription of the extracted RNA into cDNA. </w:t>
      </w:r>
      <w:r w:rsidR="004972D0" w:rsidRPr="004972D0">
        <w:rPr>
          <w:rFonts w:ascii="Book Antiqua" w:eastAsia="Book Antiqua" w:hAnsi="Book Antiqua" w:cs="Book Antiqua"/>
          <w:color w:val="000000"/>
        </w:rPr>
        <w:t>Quantitative real-time PCR (</w:t>
      </w:r>
      <w:proofErr w:type="spellStart"/>
      <w:r w:rsidR="004972D0" w:rsidRPr="004972D0">
        <w:rPr>
          <w:rFonts w:ascii="Book Antiqua" w:eastAsia="Book Antiqua" w:hAnsi="Book Antiqua" w:cs="Book Antiqua"/>
          <w:color w:val="000000"/>
        </w:rPr>
        <w:t>qRT</w:t>
      </w:r>
      <w:proofErr w:type="spellEnd"/>
      <w:r w:rsidR="004972D0" w:rsidRPr="004972D0">
        <w:rPr>
          <w:rFonts w:ascii="Book Antiqua" w:eastAsia="Book Antiqua" w:hAnsi="Book Antiqua" w:cs="Book Antiqua"/>
          <w:color w:val="000000"/>
        </w:rPr>
        <w:t>-PCR)</w:t>
      </w:r>
      <w:r w:rsidR="004972D0">
        <w:rPr>
          <w:rFonts w:ascii="Book Antiqua" w:eastAsia="Book Antiqua" w:hAnsi="Book Antiqua" w:cs="Book Antiqua"/>
          <w:color w:val="000000"/>
        </w:rPr>
        <w:t xml:space="preserve"> </w:t>
      </w:r>
      <w:r>
        <w:rPr>
          <w:rFonts w:ascii="Book Antiqua" w:eastAsia="Book Antiqua" w:hAnsi="Book Antiqua" w:cs="Book Antiqua"/>
          <w:color w:val="000000"/>
        </w:rPr>
        <w:t xml:space="preserve">was conducted to detect the mRNA expression of </w:t>
      </w:r>
      <w:r w:rsidRPr="003E4742">
        <w:rPr>
          <w:rFonts w:ascii="Book Antiqua" w:eastAsia="Book Antiqua" w:hAnsi="Book Antiqua" w:cs="Book Antiqua"/>
          <w:i/>
          <w:color w:val="000000"/>
        </w:rPr>
        <w:t>FGL1</w:t>
      </w:r>
      <w:r>
        <w:rPr>
          <w:rFonts w:ascii="Book Antiqua" w:eastAsia="Book Antiqua" w:hAnsi="Book Antiqua" w:cs="Book Antiqua"/>
          <w:color w:val="000000"/>
        </w:rPr>
        <w:t xml:space="preserve"> and </w:t>
      </w:r>
      <w:r w:rsidRPr="003E4742">
        <w:rPr>
          <w:rFonts w:ascii="Book Antiqua" w:eastAsia="Book Antiqua" w:hAnsi="Book Antiqua" w:cs="Book Antiqua"/>
          <w:i/>
          <w:color w:val="000000"/>
        </w:rPr>
        <w:t>NF-</w:t>
      </w:r>
      <w:proofErr w:type="spellStart"/>
      <w:r w:rsidRPr="003E4742">
        <w:rPr>
          <w:rFonts w:ascii="Book Antiqua" w:eastAsia="Book Antiqua" w:hAnsi="Book Antiqua" w:cs="Book Antiqua"/>
          <w:i/>
          <w:color w:val="000000"/>
        </w:rPr>
        <w:t>κB</w:t>
      </w:r>
      <w:proofErr w:type="spellEnd"/>
      <w:r>
        <w:rPr>
          <w:rFonts w:ascii="Book Antiqua" w:eastAsia="Book Antiqua" w:hAnsi="Book Antiqua" w:cs="Book Antiqua"/>
          <w:color w:val="000000"/>
        </w:rPr>
        <w:t xml:space="preserve"> by using a SYBR green kit (Takara, Japan). The housekeeping gene β-actin was used for normalization to an endogenous reference. The relative gene expression was evaluated by using the 2</w:t>
      </w:r>
      <w:r>
        <w:rPr>
          <w:rFonts w:ascii="Book Antiqua" w:eastAsia="Book Antiqua" w:hAnsi="Book Antiqua" w:cs="Book Antiqua"/>
          <w:color w:val="000000"/>
          <w:szCs w:val="30"/>
          <w:vertAlign w:val="superscript"/>
        </w:rPr>
        <w:t>−ΔΔCt</w:t>
      </w:r>
      <w:r>
        <w:rPr>
          <w:rFonts w:ascii="Book Antiqua" w:eastAsia="Book Antiqua" w:hAnsi="Book Antiqua" w:cs="Book Antiqua"/>
          <w:color w:val="000000"/>
        </w:rPr>
        <w:t xml:space="preserve"> method. The sequences of the PCR primers </w:t>
      </w:r>
      <w:r w:rsidR="00FB3423">
        <w:rPr>
          <w:rFonts w:ascii="Book Antiqua" w:eastAsia="Book Antiqua" w:hAnsi="Book Antiqua" w:cs="Book Antiqua"/>
          <w:color w:val="000000"/>
        </w:rPr>
        <w:t xml:space="preserve">are </w:t>
      </w:r>
      <w:r>
        <w:rPr>
          <w:rFonts w:ascii="Book Antiqua" w:eastAsia="Book Antiqua" w:hAnsi="Book Antiqua" w:cs="Book Antiqua"/>
          <w:color w:val="000000"/>
        </w:rPr>
        <w:t xml:space="preserve">as follows: </w:t>
      </w:r>
      <w:r w:rsidRPr="003E4742">
        <w:rPr>
          <w:rFonts w:ascii="Book Antiqua" w:eastAsia="Book Antiqua" w:hAnsi="Book Antiqua" w:cs="Book Antiqua"/>
          <w:i/>
          <w:color w:val="000000"/>
        </w:rPr>
        <w:t>FGL1</w:t>
      </w:r>
      <w:r>
        <w:rPr>
          <w:rFonts w:ascii="Book Antiqua" w:eastAsia="Book Antiqua" w:hAnsi="Book Antiqua" w:cs="Book Antiqua"/>
          <w:color w:val="000000"/>
        </w:rPr>
        <w:t>-</w:t>
      </w:r>
      <w:r>
        <w:rPr>
          <w:rFonts w:ascii="Book Antiqua" w:eastAsia="Book Antiqua" w:hAnsi="Book Antiqua" w:cs="Book Antiqua"/>
          <w:color w:val="000000"/>
        </w:rPr>
        <w:lastRenderedPageBreak/>
        <w:t xml:space="preserve">forward: 5’-ATGGCAAAGGTGTTCAGTTTCA-3’, reverse: 5’-ACAATCTGCATACTGCCTCTTG-3’; </w:t>
      </w:r>
      <w:r w:rsidRPr="003E4742">
        <w:rPr>
          <w:rFonts w:ascii="Book Antiqua" w:eastAsia="Book Antiqua" w:hAnsi="Book Antiqua" w:cs="Book Antiqua"/>
          <w:i/>
          <w:color w:val="000000"/>
        </w:rPr>
        <w:t>NF-</w:t>
      </w:r>
      <w:proofErr w:type="spellStart"/>
      <w:r w:rsidRPr="003E4742">
        <w:rPr>
          <w:rFonts w:ascii="Book Antiqua" w:eastAsia="Book Antiqua" w:hAnsi="Book Antiqua" w:cs="Book Antiqua"/>
          <w:i/>
          <w:color w:val="000000"/>
        </w:rPr>
        <w:t>κB</w:t>
      </w:r>
      <w:proofErr w:type="spellEnd"/>
      <w:r>
        <w:rPr>
          <w:rFonts w:ascii="Book Antiqua" w:eastAsia="Book Antiqua" w:hAnsi="Book Antiqua" w:cs="Book Antiqua"/>
          <w:color w:val="000000"/>
        </w:rPr>
        <w:t>-forward: 5’-GAAGCACGAATGACAGAGGC-3’, reverse: 5’-GCTTGGCGGATTAGCTCTTTT-3’; and β-actin-forward: 5’-CATGTACGTTGCTATCCAGGC-3’, reverse: 5’-CTCCTTAATGTCACGCACGAT-3’.</w:t>
      </w:r>
    </w:p>
    <w:p w14:paraId="4626698A" w14:textId="77777777" w:rsidR="00A77B3E" w:rsidRDefault="00A77B3E" w:rsidP="005518F7">
      <w:pPr>
        <w:snapToGrid w:val="0"/>
        <w:spacing w:line="360" w:lineRule="auto"/>
        <w:jc w:val="both"/>
      </w:pPr>
    </w:p>
    <w:p w14:paraId="4AABBB22" w14:textId="77777777" w:rsidR="00A77B3E" w:rsidRDefault="006C186E" w:rsidP="005518F7">
      <w:pPr>
        <w:snapToGrid w:val="0"/>
        <w:spacing w:line="360" w:lineRule="auto"/>
        <w:jc w:val="both"/>
      </w:pPr>
      <w:r>
        <w:rPr>
          <w:rFonts w:ascii="Book Antiqua" w:eastAsia="Book Antiqua" w:hAnsi="Book Antiqua" w:cs="Book Antiqua"/>
          <w:b/>
          <w:bCs/>
          <w:i/>
          <w:iCs/>
          <w:color w:val="000000"/>
        </w:rPr>
        <w:t>Enzyme</w:t>
      </w:r>
      <w:r>
        <w:rPr>
          <w:rFonts w:ascii="Book Antiqua" w:eastAsia="Book Antiqua" w:hAnsi="Book Antiqua" w:cs="Book Antiqua"/>
          <w:b/>
          <w:bCs/>
          <w:i/>
          <w:iCs/>
          <w:color w:val="000000"/>
        </w:rPr>
        <w:noBreakHyphen/>
        <w:t>linked immunosorbent assay</w:t>
      </w:r>
    </w:p>
    <w:p w14:paraId="3936E5B0" w14:textId="5A2A27CF" w:rsidR="00A77B3E" w:rsidRDefault="006C186E" w:rsidP="005518F7">
      <w:pPr>
        <w:snapToGrid w:val="0"/>
        <w:spacing w:line="360" w:lineRule="auto"/>
        <w:jc w:val="both"/>
      </w:pPr>
      <w:r>
        <w:rPr>
          <w:rFonts w:ascii="Book Antiqua" w:eastAsia="Book Antiqua" w:hAnsi="Book Antiqua" w:cs="Book Antiqua"/>
          <w:color w:val="000000"/>
        </w:rPr>
        <w:t>The levels of the proinflammatory cytokines IL-1β, IL-6, IL-17</w:t>
      </w:r>
      <w:r w:rsidR="00FB3423">
        <w:rPr>
          <w:rFonts w:ascii="Book Antiqua" w:eastAsia="Book Antiqua" w:hAnsi="Book Antiqua" w:cs="Book Antiqua"/>
          <w:color w:val="000000"/>
        </w:rPr>
        <w:t>,</w:t>
      </w:r>
      <w:r>
        <w:rPr>
          <w:rFonts w:ascii="Book Antiqua" w:eastAsia="Book Antiqua" w:hAnsi="Book Antiqua" w:cs="Book Antiqua"/>
          <w:color w:val="000000"/>
        </w:rPr>
        <w:t xml:space="preserve"> and TNF-α (Sigma, United States) in the culture medium collected after 48 h were examined by </w:t>
      </w:r>
      <w:r w:rsidR="00784BED" w:rsidRPr="00784BED">
        <w:rPr>
          <w:rFonts w:ascii="Book Antiqua" w:eastAsia="Book Antiqua" w:hAnsi="Book Antiqua" w:cs="Book Antiqua"/>
          <w:color w:val="000000"/>
        </w:rPr>
        <w:t>enzyme linked immunosorbent assay (ELISA)</w:t>
      </w:r>
      <w:r>
        <w:rPr>
          <w:rFonts w:ascii="Book Antiqua" w:eastAsia="Book Antiqua" w:hAnsi="Book Antiqua" w:cs="Book Antiqua"/>
          <w:color w:val="000000"/>
        </w:rPr>
        <w:t xml:space="preserve"> according to the manufacturer’s protocol.</w:t>
      </w:r>
    </w:p>
    <w:p w14:paraId="0A165EB7" w14:textId="77777777" w:rsidR="00A77B3E" w:rsidRDefault="00A77B3E" w:rsidP="005518F7">
      <w:pPr>
        <w:snapToGrid w:val="0"/>
        <w:spacing w:line="360" w:lineRule="auto"/>
        <w:jc w:val="both"/>
      </w:pPr>
    </w:p>
    <w:p w14:paraId="173C5ACA" w14:textId="77777777" w:rsidR="00A77B3E" w:rsidRDefault="006C186E" w:rsidP="005518F7">
      <w:pPr>
        <w:snapToGrid w:val="0"/>
        <w:spacing w:line="360" w:lineRule="auto"/>
        <w:jc w:val="both"/>
      </w:pPr>
      <w:r>
        <w:rPr>
          <w:rFonts w:ascii="Book Antiqua" w:eastAsia="Book Antiqua" w:hAnsi="Book Antiqua" w:cs="Book Antiqua"/>
          <w:b/>
          <w:bCs/>
          <w:i/>
          <w:iCs/>
          <w:color w:val="000000"/>
        </w:rPr>
        <w:t>Western blot assay</w:t>
      </w:r>
    </w:p>
    <w:p w14:paraId="0173B5BA" w14:textId="498726B2" w:rsidR="00A77B3E" w:rsidRDefault="006C186E" w:rsidP="005518F7">
      <w:pPr>
        <w:snapToGrid w:val="0"/>
        <w:spacing w:line="360" w:lineRule="auto"/>
        <w:jc w:val="both"/>
      </w:pPr>
      <w:r>
        <w:rPr>
          <w:rFonts w:ascii="Book Antiqua" w:eastAsia="Book Antiqua" w:hAnsi="Book Antiqua" w:cs="Book Antiqua"/>
          <w:color w:val="000000"/>
        </w:rPr>
        <w:t>Cells lysed with radioimmunoprecipitation assay (RIPA) lysis buffer were centrifuged at 12000</w:t>
      </w:r>
      <w:r w:rsidR="00FB3423">
        <w:rPr>
          <w:rFonts w:ascii="Book Antiqua" w:eastAsia="Book Antiqua" w:hAnsi="Book Antiqua" w:cs="Book Antiqua"/>
          <w:color w:val="000000"/>
        </w:rPr>
        <w:t xml:space="preserve"> </w:t>
      </w:r>
      <w:r>
        <w:rPr>
          <w:rFonts w:ascii="Book Antiqua" w:eastAsia="Book Antiqua" w:hAnsi="Book Antiqua" w:cs="Book Antiqua"/>
          <w:i/>
          <w:iCs/>
          <w:color w:val="000000"/>
        </w:rPr>
        <w:t>g</w:t>
      </w:r>
      <w:r>
        <w:rPr>
          <w:rFonts w:ascii="Book Antiqua" w:eastAsia="Book Antiqua" w:hAnsi="Book Antiqua" w:cs="Book Antiqua"/>
          <w:color w:val="000000"/>
        </w:rPr>
        <w:t xml:space="preserve"> for 20 min at 4 °C. Protein concentrations in the collected supernatant were quantified with a BCA assay kit. After equal amounts of protein (20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 xml:space="preserve">/well) were loaded and separated by sodium dodecyl sulfate-polyacrylamide gel electrophoresis (SDS-PAGE), they were transferred onto polyvinylidene difluoride (PVDF) membranes and incubated in 5% BSA for 1 h at room temperature. The membranes were washed with Tris-borate saline containing 0.1% Tween-20 (TBST) and were incubated with primary </w:t>
      </w:r>
      <w:r>
        <w:rPr>
          <w:rFonts w:ascii="Book Antiqua" w:eastAsia="Book Antiqua" w:hAnsi="Book Antiqua" w:cs="Book Antiqua"/>
          <w:color w:val="000000"/>
        </w:rPr>
        <w:t xml:space="preserve">antibodies against FGL1 (1:1000 dilution, 16000-1-AP, </w:t>
      </w:r>
      <w:proofErr w:type="spellStart"/>
      <w:r>
        <w:rPr>
          <w:rFonts w:ascii="Book Antiqua" w:eastAsia="Book Antiqua" w:hAnsi="Book Antiqua" w:cs="Book Antiqua"/>
          <w:color w:val="000000"/>
        </w:rPr>
        <w:t>Proteintech</w:t>
      </w:r>
      <w:proofErr w:type="spellEnd"/>
      <w:r>
        <w:rPr>
          <w:rFonts w:ascii="Book Antiqua" w:eastAsia="Book Antiqua" w:hAnsi="Book Antiqua" w:cs="Book Antiqua"/>
          <w:color w:val="000000"/>
        </w:rPr>
        <w:t xml:space="preserve">, United States), IKKα (1:1000 dilution, ab32041, Abcam, United Kingdom), IKKβ (1:1000 dilution, ab32135, </w:t>
      </w:r>
      <w:proofErr w:type="spellStart"/>
      <w:r>
        <w:rPr>
          <w:rFonts w:ascii="Book Antiqua" w:eastAsia="Book Antiqua" w:hAnsi="Book Antiqua" w:cs="Book Antiqua"/>
          <w:color w:val="000000"/>
        </w:rPr>
        <w:t>Abcam</w:t>
      </w:r>
      <w:proofErr w:type="spellEnd"/>
      <w:r>
        <w:rPr>
          <w:rFonts w:ascii="Book Antiqua" w:eastAsia="Book Antiqua" w:hAnsi="Book Antiqua" w:cs="Book Antiqua"/>
          <w:color w:val="000000"/>
        </w:rPr>
        <w:t xml:space="preserve">), p-IKKα/β (1:1000 dilution, ab194528, </w:t>
      </w:r>
      <w:proofErr w:type="spellStart"/>
      <w:r>
        <w:rPr>
          <w:rFonts w:ascii="Book Antiqua" w:eastAsia="Book Antiqua" w:hAnsi="Book Antiqua" w:cs="Book Antiqua"/>
          <w:color w:val="000000"/>
        </w:rPr>
        <w:t>Abcam</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IκB</w:t>
      </w:r>
      <w:proofErr w:type="spellEnd"/>
      <w:r>
        <w:rPr>
          <w:rFonts w:ascii="Book Antiqua" w:eastAsia="Book Antiqua" w:hAnsi="Book Antiqua" w:cs="Book Antiqua"/>
          <w:color w:val="000000"/>
        </w:rPr>
        <w:t xml:space="preserve">α (1:1000 dilution, ab32518, </w:t>
      </w:r>
      <w:proofErr w:type="spellStart"/>
      <w:r>
        <w:rPr>
          <w:rFonts w:ascii="Book Antiqua" w:eastAsia="Book Antiqua" w:hAnsi="Book Antiqua" w:cs="Book Antiqua"/>
          <w:color w:val="000000"/>
        </w:rPr>
        <w:t>Abcam</w:t>
      </w:r>
      <w:proofErr w:type="spellEnd"/>
      <w:r>
        <w:rPr>
          <w:rFonts w:ascii="Book Antiqua" w:eastAsia="Book Antiqua" w:hAnsi="Book Antiqua" w:cs="Book Antiqua"/>
          <w:color w:val="000000"/>
        </w:rPr>
        <w:t>), p-</w:t>
      </w:r>
      <w:proofErr w:type="spellStart"/>
      <w:r>
        <w:rPr>
          <w:rFonts w:ascii="Book Antiqua" w:eastAsia="Book Antiqua" w:hAnsi="Book Antiqua" w:cs="Book Antiqua"/>
          <w:color w:val="000000"/>
        </w:rPr>
        <w:t>IκB</w:t>
      </w:r>
      <w:proofErr w:type="spellEnd"/>
      <w:r>
        <w:rPr>
          <w:rFonts w:ascii="Book Antiqua" w:eastAsia="Book Antiqua" w:hAnsi="Book Antiqua" w:cs="Book Antiqua"/>
          <w:color w:val="000000"/>
        </w:rPr>
        <w:t xml:space="preserve">α (1:1000 dilution, ab133462, </w:t>
      </w:r>
      <w:proofErr w:type="spellStart"/>
      <w:r>
        <w:rPr>
          <w:rFonts w:ascii="Book Antiqua" w:eastAsia="Book Antiqua" w:hAnsi="Book Antiqua" w:cs="Book Antiqua"/>
          <w:color w:val="000000"/>
        </w:rPr>
        <w:t>Abcam</w:t>
      </w:r>
      <w:proofErr w:type="spellEnd"/>
      <w:r>
        <w:rPr>
          <w:rFonts w:ascii="Book Antiqua" w:eastAsia="Book Antiqua" w:hAnsi="Book Antiqua" w:cs="Book Antiqua"/>
          <w:color w:val="000000"/>
        </w:rPr>
        <w:t>),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(p65, 1:1000 dilution, ab32536, </w:t>
      </w:r>
      <w:proofErr w:type="spellStart"/>
      <w:r>
        <w:rPr>
          <w:rFonts w:ascii="Book Antiqua" w:eastAsia="Book Antiqua" w:hAnsi="Book Antiqua" w:cs="Book Antiqua"/>
          <w:color w:val="000000"/>
        </w:rPr>
        <w:t>Abcam</w:t>
      </w:r>
      <w:proofErr w:type="spellEnd"/>
      <w:r>
        <w:rPr>
          <w:rFonts w:ascii="Book Antiqua" w:eastAsia="Book Antiqua" w:hAnsi="Book Antiqua" w:cs="Book Antiqua"/>
          <w:color w:val="000000"/>
        </w:rPr>
        <w:t xml:space="preserve">), p-p65 (1:1000 dilution, ab76302, </w:t>
      </w:r>
      <w:proofErr w:type="spellStart"/>
      <w:r>
        <w:rPr>
          <w:rFonts w:ascii="Book Antiqua" w:eastAsia="Book Antiqua" w:hAnsi="Book Antiqua" w:cs="Book Antiqua"/>
          <w:color w:val="000000"/>
        </w:rPr>
        <w:t>Abcam</w:t>
      </w:r>
      <w:proofErr w:type="spellEnd"/>
      <w:r>
        <w:rPr>
          <w:rFonts w:ascii="Book Antiqua" w:eastAsia="Book Antiqua" w:hAnsi="Book Antiqua" w:cs="Book Antiqua"/>
          <w:color w:val="000000"/>
        </w:rPr>
        <w:t xml:space="preserve">) and β-actin (1:1000 dilution, 20536-1-AP, </w:t>
      </w:r>
      <w:proofErr w:type="spellStart"/>
      <w:r>
        <w:rPr>
          <w:rFonts w:ascii="Book Antiqua" w:eastAsia="Book Antiqua" w:hAnsi="Book Antiqua" w:cs="Book Antiqua"/>
          <w:color w:val="000000"/>
        </w:rPr>
        <w:t>Proteintech</w:t>
      </w:r>
      <w:proofErr w:type="spellEnd"/>
      <w:r>
        <w:rPr>
          <w:rFonts w:ascii="Book Antiqua" w:eastAsia="Book Antiqua" w:hAnsi="Book Antiqua" w:cs="Book Antiqua"/>
          <w:color w:val="000000"/>
        </w:rPr>
        <w:t>) at 4 °C overnight. The membranes were washed with TBST again and incubated with a horseradish peroxidase (HRP)-conjugated secondary antibody for 1 h at room temperature. The blots were imaged using enhanced chemiluminescence (ECL). ImageJ software was used to calculate the protein signal grey values.</w:t>
      </w:r>
    </w:p>
    <w:p w14:paraId="4F0F58D7" w14:textId="77777777" w:rsidR="00A77B3E" w:rsidRDefault="00A77B3E" w:rsidP="005518F7">
      <w:pPr>
        <w:snapToGrid w:val="0"/>
        <w:spacing w:line="360" w:lineRule="auto"/>
        <w:jc w:val="both"/>
      </w:pPr>
    </w:p>
    <w:p w14:paraId="1AD019C2" w14:textId="77777777" w:rsidR="00A77B3E" w:rsidRDefault="006C186E" w:rsidP="005518F7">
      <w:pPr>
        <w:snapToGrid w:val="0"/>
        <w:spacing w:line="360" w:lineRule="auto"/>
        <w:jc w:val="both"/>
      </w:pPr>
      <w:r>
        <w:rPr>
          <w:rFonts w:ascii="Book Antiqua" w:eastAsia="Book Antiqua" w:hAnsi="Book Antiqua" w:cs="Book Antiqua"/>
          <w:b/>
          <w:bCs/>
          <w:i/>
          <w:iCs/>
          <w:color w:val="000000"/>
        </w:rPr>
        <w:lastRenderedPageBreak/>
        <w:t>Statistical analysis</w:t>
      </w:r>
    </w:p>
    <w:p w14:paraId="3C78EAC3" w14:textId="316577BA" w:rsidR="00A77B3E" w:rsidRDefault="006C186E" w:rsidP="005518F7">
      <w:pPr>
        <w:snapToGrid w:val="0"/>
        <w:spacing w:line="360" w:lineRule="auto"/>
        <w:jc w:val="both"/>
      </w:pPr>
      <w:r>
        <w:rPr>
          <w:rFonts w:ascii="Book Antiqua" w:eastAsia="Book Antiqua" w:hAnsi="Book Antiqua" w:cs="Book Antiqua"/>
          <w:color w:val="000000"/>
        </w:rPr>
        <w:t>All data were statis</w:t>
      </w:r>
      <w:r>
        <w:rPr>
          <w:rFonts w:ascii="Book Antiqua" w:eastAsia="Book Antiqua" w:hAnsi="Book Antiqua" w:cs="Book Antiqua"/>
          <w:color w:val="000000"/>
        </w:rPr>
        <w:t xml:space="preserve">tically </w:t>
      </w:r>
      <w:proofErr w:type="spellStart"/>
      <w:r>
        <w:rPr>
          <w:rFonts w:ascii="Book Antiqua" w:eastAsia="Book Antiqua" w:hAnsi="Book Antiqua" w:cs="Book Antiqua"/>
          <w:color w:val="000000"/>
        </w:rPr>
        <w:t>analysed</w:t>
      </w:r>
      <w:proofErr w:type="spellEnd"/>
      <w:r>
        <w:rPr>
          <w:rFonts w:ascii="Book Antiqua" w:eastAsia="Book Antiqua" w:hAnsi="Book Antiqua" w:cs="Book Antiqua"/>
          <w:color w:val="000000"/>
        </w:rPr>
        <w:t xml:space="preserve"> with SPSS 22.0 (SPSS Inc., United States). Continuous variables with </w:t>
      </w:r>
      <w:r w:rsidR="00FB3423">
        <w:rPr>
          <w:rFonts w:ascii="Book Antiqua" w:eastAsia="Book Antiqua" w:hAnsi="Book Antiqua" w:cs="Book Antiqua"/>
          <w:color w:val="000000"/>
        </w:rPr>
        <w:t xml:space="preserve">a </w:t>
      </w:r>
      <w:r>
        <w:rPr>
          <w:rFonts w:ascii="Book Antiqua" w:eastAsia="Book Antiqua" w:hAnsi="Book Antiqua" w:cs="Book Antiqua"/>
          <w:color w:val="000000"/>
        </w:rPr>
        <w:t xml:space="preserve">normal distribution </w:t>
      </w:r>
      <w:r w:rsidR="00FB3423">
        <w:rPr>
          <w:rFonts w:ascii="Book Antiqua" w:eastAsia="Book Antiqua" w:hAnsi="Book Antiqua" w:cs="Book Antiqua"/>
          <w:color w:val="000000"/>
        </w:rPr>
        <w:t xml:space="preserve">are </w:t>
      </w:r>
      <w:r>
        <w:rPr>
          <w:rFonts w:ascii="Book Antiqua" w:eastAsia="Book Antiqua" w:hAnsi="Book Antiqua" w:cs="Book Antiqua"/>
          <w:color w:val="000000"/>
        </w:rPr>
        <w:t xml:space="preserve">summarized using the mean </w:t>
      </w:r>
      <w:r w:rsidR="004E45C2" w:rsidRPr="004E45C2">
        <w:rPr>
          <w:rFonts w:ascii="Book Antiqua" w:eastAsia="Book Antiqua" w:hAnsi="Book Antiqua"/>
          <w:color w:val="000000"/>
        </w:rPr>
        <w:t>±</w:t>
      </w:r>
      <w:r w:rsidR="004E45C2">
        <w:rPr>
          <w:rFonts w:ascii="Book Antiqua" w:eastAsia="Book Antiqua" w:hAnsi="Book Antiqua" w:cs="Book Antiqua"/>
          <w:color w:val="000000"/>
        </w:rPr>
        <w:t xml:space="preserve"> </w:t>
      </w:r>
      <w:r>
        <w:rPr>
          <w:rFonts w:ascii="Book Antiqua" w:eastAsia="Book Antiqua" w:hAnsi="Book Antiqua" w:cs="Book Antiqua"/>
          <w:color w:val="000000"/>
        </w:rPr>
        <w:t xml:space="preserve">SD, which in a skewness distribution </w:t>
      </w:r>
      <w:r w:rsidR="00FB3423">
        <w:rPr>
          <w:rFonts w:ascii="Book Antiqua" w:eastAsia="Book Antiqua" w:hAnsi="Book Antiqua" w:cs="Book Antiqua"/>
          <w:color w:val="000000"/>
        </w:rPr>
        <w:t xml:space="preserve">are </w:t>
      </w:r>
      <w:r>
        <w:rPr>
          <w:rFonts w:ascii="Book Antiqua" w:eastAsia="Book Antiqua" w:hAnsi="Book Antiqua" w:cs="Book Antiqua"/>
          <w:color w:val="000000"/>
        </w:rPr>
        <w:t xml:space="preserve">expressed as the median with range. The Mann-Whitney </w:t>
      </w:r>
      <w:r w:rsidRPr="004E45C2">
        <w:rPr>
          <w:rFonts w:ascii="Book Antiqua" w:eastAsia="Book Antiqua" w:hAnsi="Book Antiqua" w:cs="Book Antiqua"/>
          <w:i/>
          <w:iCs/>
          <w:color w:val="000000"/>
        </w:rPr>
        <w:t>U</w:t>
      </w:r>
      <w:r>
        <w:rPr>
          <w:rFonts w:ascii="Book Antiqua" w:eastAsia="Book Antiqua" w:hAnsi="Book Antiqua" w:cs="Book Antiqua"/>
          <w:color w:val="000000"/>
        </w:rPr>
        <w:t xml:space="preserve"> test, Student’s </w:t>
      </w:r>
      <w:r w:rsidRPr="004E45C2">
        <w:rPr>
          <w:rFonts w:ascii="Book Antiqua" w:eastAsia="Book Antiqua" w:hAnsi="Book Antiqua" w:cs="Book Antiqua"/>
          <w:i/>
          <w:iCs/>
          <w:color w:val="000000"/>
        </w:rPr>
        <w:t>t</w:t>
      </w:r>
      <w:r>
        <w:rPr>
          <w:rFonts w:ascii="Book Antiqua" w:eastAsia="Book Antiqua" w:hAnsi="Book Antiqua" w:cs="Book Antiqua"/>
          <w:color w:val="000000"/>
        </w:rPr>
        <w:t xml:space="preserve"> tests</w:t>
      </w:r>
      <w:r w:rsidR="00FB3423">
        <w:rPr>
          <w:rFonts w:ascii="Book Antiqua" w:eastAsia="Book Antiqua" w:hAnsi="Book Antiqua" w:cs="Book Antiqua"/>
          <w:color w:val="000000"/>
        </w:rPr>
        <w:t>,</w:t>
      </w:r>
      <w:r>
        <w:rPr>
          <w:rFonts w:ascii="Book Antiqua" w:eastAsia="Book Antiqua" w:hAnsi="Book Antiqua" w:cs="Book Antiqua"/>
          <w:color w:val="000000"/>
        </w:rPr>
        <w:t xml:space="preserve"> and chi-s</w:t>
      </w:r>
      <w:r>
        <w:rPr>
          <w:rFonts w:ascii="Book Antiqua" w:eastAsia="Book Antiqua" w:hAnsi="Book Antiqua" w:cs="Book Antiqua"/>
          <w:color w:val="000000"/>
        </w:rPr>
        <w:t xml:space="preserve">quare test were performed to compare numerical variables and categorical variables as appropriate. One-way analysis of variance was used for multi-group comparisons. A two-sided </w:t>
      </w:r>
      <w:r w:rsidRPr="001D1443">
        <w:rPr>
          <w:rFonts w:ascii="Book Antiqua" w:eastAsia="Book Antiqua" w:hAnsi="Book Antiqua" w:cs="Book Antiqua"/>
          <w:i/>
          <w:color w:val="000000"/>
        </w:rPr>
        <w:t>P</w:t>
      </w:r>
      <w:r>
        <w:rPr>
          <w:rFonts w:ascii="Book Antiqua" w:eastAsia="Book Antiqua" w:hAnsi="Book Antiqua" w:cs="Book Antiqua"/>
          <w:color w:val="000000"/>
        </w:rPr>
        <w:t xml:space="preserve">-value &lt; 0.05 was considered statistically significant. </w:t>
      </w:r>
    </w:p>
    <w:p w14:paraId="05D31907" w14:textId="77777777" w:rsidR="00A77B3E" w:rsidRDefault="00A77B3E" w:rsidP="005518F7">
      <w:pPr>
        <w:snapToGrid w:val="0"/>
        <w:spacing w:line="360" w:lineRule="auto"/>
        <w:jc w:val="both"/>
      </w:pPr>
    </w:p>
    <w:p w14:paraId="0E73E163" w14:textId="77777777" w:rsidR="00A77B3E" w:rsidRDefault="006C186E" w:rsidP="005518F7">
      <w:pPr>
        <w:snapToGrid w:val="0"/>
        <w:spacing w:line="360" w:lineRule="auto"/>
        <w:jc w:val="both"/>
      </w:pPr>
      <w:r>
        <w:rPr>
          <w:rFonts w:ascii="Book Antiqua" w:eastAsia="Book Antiqua" w:hAnsi="Book Antiqua" w:cs="Book Antiqua"/>
          <w:b/>
          <w:caps/>
          <w:color w:val="000000"/>
          <w:u w:val="single"/>
        </w:rPr>
        <w:t>RESULTS</w:t>
      </w:r>
    </w:p>
    <w:p w14:paraId="0E9A3D27" w14:textId="77777777" w:rsidR="00A77B3E" w:rsidRDefault="006C186E" w:rsidP="005518F7">
      <w:pPr>
        <w:snapToGrid w:val="0"/>
        <w:spacing w:line="360" w:lineRule="auto"/>
        <w:jc w:val="both"/>
      </w:pPr>
      <w:r>
        <w:rPr>
          <w:rFonts w:ascii="Book Antiqua" w:eastAsia="Book Antiqua" w:hAnsi="Book Antiqua" w:cs="Book Antiqua"/>
          <w:b/>
          <w:bCs/>
          <w:i/>
          <w:iCs/>
          <w:color w:val="000000"/>
        </w:rPr>
        <w:t>Patients’ characteristics</w:t>
      </w:r>
    </w:p>
    <w:p w14:paraId="4E28BEC2" w14:textId="4F8B68F5" w:rsidR="00A77B3E" w:rsidRDefault="006C186E" w:rsidP="005518F7">
      <w:pPr>
        <w:snapToGrid w:val="0"/>
        <w:spacing w:line="360" w:lineRule="auto"/>
        <w:jc w:val="both"/>
      </w:pPr>
      <w:r>
        <w:rPr>
          <w:rFonts w:ascii="Book Antiqua" w:eastAsia="Book Antiqua" w:hAnsi="Book Antiqua" w:cs="Book Antiqua"/>
          <w:color w:val="000000"/>
        </w:rPr>
        <w:t>Twenty treatment-naive CD patients and 20 healthy controls were recruited for plasma proteomic analysis. The diagnos</w:t>
      </w:r>
      <w:r>
        <w:rPr>
          <w:rFonts w:ascii="Book Antiqua" w:eastAsia="Book Antiqua" w:hAnsi="Book Antiqua" w:cs="Book Antiqua"/>
          <w:color w:val="000000"/>
        </w:rPr>
        <w:t xml:space="preserve">tic criteria </w:t>
      </w:r>
      <w:r w:rsidR="00FB3423">
        <w:rPr>
          <w:rFonts w:ascii="Book Antiqua" w:eastAsia="Book Antiqua" w:hAnsi="Book Antiqua" w:cs="Book Antiqua"/>
          <w:color w:val="000000"/>
        </w:rPr>
        <w:t xml:space="preserve">for </w:t>
      </w:r>
      <w:r>
        <w:rPr>
          <w:rFonts w:ascii="Book Antiqua" w:eastAsia="Book Antiqua" w:hAnsi="Book Antiqua" w:cs="Book Antiqua"/>
          <w:color w:val="000000"/>
        </w:rPr>
        <w:t>CD referred to the clinical guidelines of the American College of Gastroenterology (ACG</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Thirteen males and </w:t>
      </w:r>
      <w:r w:rsidR="00FB3423">
        <w:rPr>
          <w:rFonts w:ascii="Book Antiqua" w:eastAsia="Book Antiqua" w:hAnsi="Book Antiqua" w:cs="Book Antiqua"/>
          <w:color w:val="000000"/>
        </w:rPr>
        <w:t xml:space="preserve">seven </w:t>
      </w:r>
      <w:r>
        <w:rPr>
          <w:rFonts w:ascii="Book Antiqua" w:eastAsia="Book Antiqua" w:hAnsi="Book Antiqua" w:cs="Book Antiqua"/>
          <w:color w:val="000000"/>
        </w:rPr>
        <w:t xml:space="preserve">females with a median age of 20.5 (14-43) years were included in the CD group, and </w:t>
      </w:r>
      <w:r w:rsidR="00FB3423">
        <w:rPr>
          <w:rFonts w:ascii="Book Antiqua" w:eastAsia="Book Antiqua" w:hAnsi="Book Antiqua" w:cs="Book Antiqua"/>
          <w:color w:val="000000"/>
        </w:rPr>
        <w:t xml:space="preserve">eleven </w:t>
      </w:r>
      <w:r>
        <w:rPr>
          <w:rFonts w:ascii="Book Antiqua" w:eastAsia="Book Antiqua" w:hAnsi="Book Antiqua" w:cs="Book Antiqua"/>
          <w:color w:val="000000"/>
        </w:rPr>
        <w:t xml:space="preserve">males and </w:t>
      </w:r>
      <w:r w:rsidR="00FB3423">
        <w:rPr>
          <w:rFonts w:ascii="Book Antiqua" w:eastAsia="Book Antiqua" w:hAnsi="Book Antiqua" w:cs="Book Antiqua"/>
          <w:color w:val="000000"/>
        </w:rPr>
        <w:t xml:space="preserve">nine </w:t>
      </w:r>
      <w:r>
        <w:rPr>
          <w:rFonts w:ascii="Book Antiqua" w:eastAsia="Book Antiqua" w:hAnsi="Book Antiqua" w:cs="Book Antiqua"/>
          <w:color w:val="000000"/>
        </w:rPr>
        <w:t xml:space="preserve">females with a median age of 24.5 (18-46) years were included in the normal control group. Baseline demographic characteristics were comparable between the </w:t>
      </w:r>
      <w:r w:rsidR="00C406BE">
        <w:rPr>
          <w:rFonts w:ascii="Book Antiqua" w:eastAsia="Book Antiqua" w:hAnsi="Book Antiqua" w:cs="Book Antiqua"/>
          <w:color w:val="000000"/>
        </w:rPr>
        <w:t xml:space="preserve">two </w:t>
      </w:r>
      <w:r>
        <w:rPr>
          <w:rFonts w:ascii="Book Antiqua" w:eastAsia="Book Antiqua" w:hAnsi="Book Antiqua" w:cs="Book Antiqua"/>
          <w:color w:val="000000"/>
        </w:rPr>
        <w:t>groups (</w:t>
      </w:r>
      <w:r>
        <w:rPr>
          <w:rFonts w:ascii="Book Antiqua" w:eastAsia="Book Antiqua" w:hAnsi="Book Antiqua" w:cs="Book Antiqua"/>
          <w:i/>
          <w:iCs/>
          <w:color w:val="000000"/>
        </w:rPr>
        <w:t>P</w:t>
      </w:r>
      <w:r>
        <w:rPr>
          <w:rFonts w:ascii="Book Antiqua" w:eastAsia="Book Antiqua" w:hAnsi="Book Antiqua" w:cs="Book Antiqua"/>
          <w:color w:val="000000"/>
        </w:rPr>
        <w:t xml:space="preserve"> &gt; 0.05).</w:t>
      </w:r>
    </w:p>
    <w:p w14:paraId="0C2AFE28" w14:textId="1F06E2C0" w:rsidR="00A77B3E" w:rsidRDefault="006C186E" w:rsidP="005518F7">
      <w:pPr>
        <w:snapToGrid w:val="0"/>
        <w:spacing w:line="360" w:lineRule="auto"/>
        <w:ind w:firstLine="240"/>
        <w:jc w:val="both"/>
      </w:pPr>
      <w:proofErr w:type="spellStart"/>
      <w:r>
        <w:rPr>
          <w:rFonts w:ascii="Book Antiqua" w:eastAsia="Book Antiqua" w:hAnsi="Book Antiqua" w:cs="Book Antiqua"/>
          <w:color w:val="000000"/>
        </w:rPr>
        <w:t>Colonoscopic</w:t>
      </w:r>
      <w:proofErr w:type="spellEnd"/>
      <w:r>
        <w:rPr>
          <w:rFonts w:ascii="Book Antiqua" w:eastAsia="Book Antiqua" w:hAnsi="Book Antiqua" w:cs="Book Antiqua"/>
          <w:color w:val="000000"/>
        </w:rPr>
        <w:t xml:space="preserve"> biopsy specimens from an additional 20 treatment-naive patients with active CD and 20 healthy controls were used for immunohistochemical staining. There was no significant difference in sex distribution, age, or biopsy site between the two groups (</w:t>
      </w:r>
      <w:r>
        <w:rPr>
          <w:rFonts w:ascii="Book Antiqua" w:eastAsia="Book Antiqua" w:hAnsi="Book Antiqua" w:cs="Book Antiqua"/>
          <w:i/>
          <w:iCs/>
          <w:color w:val="000000"/>
        </w:rPr>
        <w:t>P</w:t>
      </w:r>
      <w:r>
        <w:rPr>
          <w:rFonts w:ascii="Book Antiqua" w:eastAsia="Book Antiqua" w:hAnsi="Book Antiqua" w:cs="Book Antiqua"/>
          <w:color w:val="000000"/>
        </w:rPr>
        <w:t xml:space="preserve"> &gt; 0.05). The baseline clinical characteristics of patients for plasma proteomic detection and immunohistochemical analysis are presented in Table</w:t>
      </w:r>
      <w:r w:rsidR="004E45C2">
        <w:rPr>
          <w:rFonts w:ascii="Book Antiqua" w:eastAsia="Book Antiqua" w:hAnsi="Book Antiqua" w:cs="Book Antiqua"/>
          <w:color w:val="000000"/>
        </w:rPr>
        <w:t>s</w:t>
      </w:r>
      <w:r>
        <w:rPr>
          <w:rFonts w:ascii="Book Antiqua" w:eastAsia="Book Antiqua" w:hAnsi="Book Antiqua" w:cs="Book Antiqua"/>
          <w:color w:val="000000"/>
        </w:rPr>
        <w:t xml:space="preserve"> 1 and 2, respectively.</w:t>
      </w:r>
    </w:p>
    <w:p w14:paraId="68650AA9" w14:textId="77777777" w:rsidR="00A77B3E" w:rsidRDefault="00A77B3E" w:rsidP="005518F7">
      <w:pPr>
        <w:snapToGrid w:val="0"/>
        <w:spacing w:line="360" w:lineRule="auto"/>
        <w:ind w:firstLine="240"/>
        <w:jc w:val="both"/>
      </w:pPr>
    </w:p>
    <w:p w14:paraId="0756F633" w14:textId="32466EB9" w:rsidR="00A77B3E" w:rsidRDefault="006C186E" w:rsidP="005518F7">
      <w:pPr>
        <w:snapToGrid w:val="0"/>
        <w:spacing w:line="360" w:lineRule="auto"/>
        <w:jc w:val="both"/>
      </w:pPr>
      <w:r>
        <w:rPr>
          <w:rFonts w:ascii="Book Antiqua" w:eastAsia="Book Antiqua" w:hAnsi="Book Antiqua" w:cs="Book Antiqua"/>
          <w:b/>
          <w:bCs/>
          <w:i/>
          <w:iCs/>
          <w:color w:val="000000"/>
        </w:rPr>
        <w:t>FGL</w:t>
      </w:r>
      <w:r>
        <w:rPr>
          <w:rFonts w:ascii="Book Antiqua" w:eastAsia="Book Antiqua" w:hAnsi="Book Antiqua" w:cs="Book Antiqua"/>
          <w:b/>
          <w:bCs/>
          <w:i/>
          <w:iCs/>
          <w:color w:val="000000"/>
        </w:rPr>
        <w:t xml:space="preserve">1 </w:t>
      </w:r>
      <w:r w:rsidR="00C406BE">
        <w:rPr>
          <w:rFonts w:ascii="Book Antiqua" w:eastAsia="Book Antiqua" w:hAnsi="Book Antiqua" w:cs="Book Antiqua"/>
          <w:b/>
          <w:bCs/>
          <w:i/>
          <w:iCs/>
          <w:color w:val="000000"/>
        </w:rPr>
        <w:t xml:space="preserve">is </w:t>
      </w:r>
      <w:r>
        <w:rPr>
          <w:rFonts w:ascii="Book Antiqua" w:eastAsia="Book Antiqua" w:hAnsi="Book Antiqua" w:cs="Book Antiqua"/>
          <w:b/>
          <w:bCs/>
          <w:i/>
          <w:iCs/>
          <w:color w:val="000000"/>
        </w:rPr>
        <w:t>significantly upregulated in plasma proteomic analysis</w:t>
      </w:r>
    </w:p>
    <w:p w14:paraId="2E2FBF38" w14:textId="53128260" w:rsidR="00A77B3E" w:rsidRDefault="006C186E" w:rsidP="005518F7">
      <w:pPr>
        <w:snapToGrid w:val="0"/>
        <w:spacing w:line="360" w:lineRule="auto"/>
        <w:jc w:val="both"/>
      </w:pPr>
      <w:r>
        <w:rPr>
          <w:rFonts w:ascii="Book Antiqua" w:eastAsia="Book Antiqua" w:hAnsi="Book Antiqua" w:cs="Book Antiqua"/>
          <w:color w:val="000000"/>
        </w:rPr>
        <w:t>Plasma samples in each group were randomly divided into four subclusters. A total of 393 credible proteins were identified by proteomic analysis, among which 35</w:t>
      </w:r>
      <w:r w:rsidR="00C406BE">
        <w:rPr>
          <w:rFonts w:ascii="Book Antiqua" w:eastAsia="Book Antiqua" w:hAnsi="Book Antiqua" w:cs="Book Antiqua"/>
          <w:color w:val="000000"/>
        </w:rPr>
        <w:t xml:space="preserve"> </w:t>
      </w:r>
      <w:r>
        <w:rPr>
          <w:rFonts w:ascii="Book Antiqua" w:eastAsia="Book Antiqua" w:hAnsi="Book Antiqua" w:cs="Book Antiqua"/>
          <w:color w:val="000000"/>
        </w:rPr>
        <w:t xml:space="preserve">had differential expression between the two groups (Figure 1A). Among the DEPs, FGL1 attracted our attention because of its function in the regulation of the immune response. </w:t>
      </w:r>
      <w:r>
        <w:rPr>
          <w:rFonts w:ascii="Book Antiqua" w:eastAsia="Book Antiqua" w:hAnsi="Book Antiqua" w:cs="Book Antiqua"/>
          <w:color w:val="000000"/>
        </w:rPr>
        <w:lastRenderedPageBreak/>
        <w:t xml:space="preserve">The expression level of FGL1 in the plasma of CD patients was 1.722-fold greater than that in healthy people (Figure 1B). Three MCODE modules were established to screen hub genes </w:t>
      </w:r>
      <w:r>
        <w:rPr>
          <w:rFonts w:ascii="Book Antiqua" w:eastAsia="Book Antiqua" w:hAnsi="Book Antiqua" w:cs="Book Antiqua"/>
          <w:i/>
          <w:iCs/>
          <w:color w:val="000000"/>
        </w:rPr>
        <w:t>via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Cytoscape</w:t>
      </w:r>
      <w:proofErr w:type="spellEnd"/>
      <w:r>
        <w:rPr>
          <w:rFonts w:ascii="Book Antiqua" w:eastAsia="Book Antiqua" w:hAnsi="Book Antiqua" w:cs="Book Antiqua"/>
          <w:color w:val="000000"/>
        </w:rPr>
        <w:t xml:space="preserve"> software. As </w:t>
      </w:r>
      <w:r w:rsidRPr="003E4742">
        <w:rPr>
          <w:rFonts w:ascii="Book Antiqua" w:eastAsia="Book Antiqua" w:hAnsi="Book Antiqua" w:cs="Book Antiqua"/>
          <w:i/>
          <w:color w:val="000000"/>
        </w:rPr>
        <w:t>FGL1</w:t>
      </w:r>
      <w:r>
        <w:rPr>
          <w:rFonts w:ascii="Book Antiqua" w:eastAsia="Book Antiqua" w:hAnsi="Book Antiqua" w:cs="Book Antiqua"/>
          <w:color w:val="000000"/>
        </w:rPr>
        <w:t xml:space="preserve"> was contained in the 3rd module, the genes in this module were used for further bioinformatics analysis. Figure 1C shows the PPI network of the genes. GO enrichment analysis showed that the genes were involved in the biological processes of platelet degranulation, acute phase response, platelet activation, and negative regulation of endopeptidase activity, and the molecular functions of heparin binding and serine-type endopeptidase inhibitor activity. </w:t>
      </w:r>
      <w:proofErr w:type="spellStart"/>
      <w:r>
        <w:rPr>
          <w:rFonts w:ascii="Book Antiqua" w:eastAsia="Book Antiqua" w:hAnsi="Book Antiqua" w:cs="Book Antiqua"/>
          <w:color w:val="000000"/>
        </w:rPr>
        <w:t>Reactome</w:t>
      </w:r>
      <w:proofErr w:type="spellEnd"/>
      <w:r>
        <w:rPr>
          <w:rFonts w:ascii="Book Antiqua" w:eastAsia="Book Antiqua" w:hAnsi="Book Antiqua" w:cs="Book Antiqua"/>
          <w:color w:val="000000"/>
        </w:rPr>
        <w:t xml:space="preserve"> pathway analysis demonstrated that the genes were related to the common pathway of fibrin clot formation and the pathways of platelet degranulation, peptide ligand-binding receptors, </w:t>
      </w:r>
      <w:proofErr w:type="spellStart"/>
      <w:r>
        <w:rPr>
          <w:rFonts w:ascii="Book Antiqua" w:eastAsia="Book Antiqua" w:hAnsi="Book Antiqua" w:cs="Book Antiqua"/>
          <w:color w:val="000000"/>
        </w:rPr>
        <w:t>haemostasis</w:t>
      </w:r>
      <w:proofErr w:type="spellEnd"/>
      <w:r>
        <w:rPr>
          <w:rFonts w:ascii="Book Antiqua" w:eastAsia="Book Antiqua" w:hAnsi="Book Antiqua" w:cs="Book Antiqua"/>
          <w:color w:val="000000"/>
        </w:rPr>
        <w:t>, G alpha (</w:t>
      </w:r>
      <w:proofErr w:type="spellStart"/>
      <w:r>
        <w:rPr>
          <w:rFonts w:ascii="Book Antiqua" w:eastAsia="Book Antiqua" w:hAnsi="Book Antiqua" w:cs="Book Antiqua"/>
          <w:color w:val="000000"/>
        </w:rPr>
        <w:t>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events, and innate immune system.</w:t>
      </w:r>
    </w:p>
    <w:p w14:paraId="78C7A620" w14:textId="77777777" w:rsidR="00A77B3E" w:rsidRDefault="00A77B3E" w:rsidP="005518F7">
      <w:pPr>
        <w:snapToGrid w:val="0"/>
        <w:spacing w:line="360" w:lineRule="auto"/>
        <w:jc w:val="both"/>
      </w:pPr>
    </w:p>
    <w:p w14:paraId="1E3D1137" w14:textId="08208E8C" w:rsidR="00A77B3E" w:rsidRDefault="006C186E" w:rsidP="005518F7">
      <w:pPr>
        <w:snapToGrid w:val="0"/>
        <w:spacing w:line="360" w:lineRule="auto"/>
        <w:jc w:val="both"/>
      </w:pPr>
      <w:r>
        <w:rPr>
          <w:rFonts w:ascii="Book Antiqua" w:eastAsia="Book Antiqua" w:hAnsi="Book Antiqua" w:cs="Book Antiqua"/>
          <w:b/>
          <w:bCs/>
          <w:i/>
          <w:iCs/>
          <w:color w:val="000000"/>
        </w:rPr>
        <w:t>FGL1 e</w:t>
      </w:r>
      <w:r>
        <w:rPr>
          <w:rFonts w:ascii="Book Antiqua" w:eastAsia="Book Antiqua" w:hAnsi="Book Antiqua" w:cs="Book Antiqua"/>
          <w:b/>
          <w:bCs/>
          <w:i/>
          <w:iCs/>
          <w:color w:val="000000"/>
        </w:rPr>
        <w:t xml:space="preserve">xpression </w:t>
      </w:r>
      <w:r w:rsidR="00C406BE">
        <w:rPr>
          <w:rFonts w:ascii="Book Antiqua" w:eastAsia="Book Antiqua" w:hAnsi="Book Antiqua" w:cs="Book Antiqua"/>
          <w:b/>
          <w:bCs/>
          <w:i/>
          <w:iCs/>
          <w:color w:val="000000"/>
        </w:rPr>
        <w:t xml:space="preserve">is </w:t>
      </w:r>
      <w:r>
        <w:rPr>
          <w:rFonts w:ascii="Book Antiqua" w:eastAsia="Book Antiqua" w:hAnsi="Book Antiqua" w:cs="Book Antiqua"/>
          <w:b/>
          <w:bCs/>
          <w:i/>
          <w:iCs/>
          <w:color w:val="000000"/>
        </w:rPr>
        <w:t>increased in intestinal tissues of CD patients</w:t>
      </w:r>
    </w:p>
    <w:p w14:paraId="27CA1A90" w14:textId="64093306" w:rsidR="00A77B3E" w:rsidRDefault="006C186E" w:rsidP="005518F7">
      <w:pPr>
        <w:snapToGrid w:val="0"/>
        <w:spacing w:line="360" w:lineRule="auto"/>
        <w:jc w:val="both"/>
      </w:pPr>
      <w:r>
        <w:rPr>
          <w:rFonts w:ascii="Book Antiqua" w:eastAsia="Book Antiqua" w:hAnsi="Book Antiqua" w:cs="Book Antiqua"/>
          <w:color w:val="000000"/>
        </w:rPr>
        <w:t xml:space="preserve">Immunohistochemical analysis was performed to verify the expression of FGL1 in the intestinal tissues of CD patients. The results demonstrated that the FGL1 </w:t>
      </w:r>
      <w:r w:rsidR="00C406BE">
        <w:rPr>
          <w:rFonts w:ascii="Book Antiqua" w:eastAsia="Book Antiqua" w:hAnsi="Book Antiqua" w:cs="Book Antiqua"/>
          <w:color w:val="000000"/>
        </w:rPr>
        <w:t xml:space="preserve">levels </w:t>
      </w:r>
      <w:r>
        <w:rPr>
          <w:rFonts w:ascii="Book Antiqua" w:eastAsia="Book Antiqua" w:hAnsi="Book Antiqua" w:cs="Book Antiqua"/>
          <w:color w:val="000000"/>
        </w:rPr>
        <w:t>in the intestinal mucosal and epithelial tissues were h</w:t>
      </w:r>
      <w:r>
        <w:rPr>
          <w:rFonts w:ascii="Book Antiqua" w:eastAsia="Book Antiqua" w:hAnsi="Book Antiqua" w:cs="Book Antiqua"/>
          <w:color w:val="000000"/>
        </w:rPr>
        <w:t>igher than those in the normal intestinal tissues (</w:t>
      </w:r>
      <w:r>
        <w:rPr>
          <w:rFonts w:ascii="Book Antiqua" w:eastAsia="Book Antiqua" w:hAnsi="Book Antiqua" w:cs="Book Antiqua"/>
          <w:i/>
          <w:iCs/>
          <w:color w:val="000000"/>
        </w:rPr>
        <w:t>P</w:t>
      </w:r>
      <w:r>
        <w:rPr>
          <w:rFonts w:ascii="Book Antiqua" w:eastAsia="Book Antiqua" w:hAnsi="Book Antiqua" w:cs="Book Antiqua"/>
          <w:color w:val="000000"/>
        </w:rPr>
        <w:t xml:space="preserve"> &lt; 0.01, Figure 2).</w:t>
      </w:r>
    </w:p>
    <w:p w14:paraId="0F69C6E7" w14:textId="77777777" w:rsidR="00A77B3E" w:rsidRDefault="00A77B3E" w:rsidP="005518F7">
      <w:pPr>
        <w:snapToGrid w:val="0"/>
        <w:spacing w:line="360" w:lineRule="auto"/>
        <w:jc w:val="both"/>
      </w:pPr>
    </w:p>
    <w:p w14:paraId="6800556C" w14:textId="4FF766CA" w:rsidR="00A77B3E" w:rsidRDefault="006C186E" w:rsidP="005518F7">
      <w:pPr>
        <w:snapToGrid w:val="0"/>
        <w:spacing w:line="360" w:lineRule="auto"/>
        <w:jc w:val="both"/>
      </w:pPr>
      <w:r>
        <w:rPr>
          <w:rFonts w:ascii="Book Antiqua" w:eastAsia="Book Antiqua" w:hAnsi="Book Antiqua" w:cs="Book Antiqua"/>
          <w:b/>
          <w:bCs/>
          <w:i/>
          <w:iCs/>
          <w:color w:val="000000"/>
        </w:rPr>
        <w:t>FGL</w:t>
      </w:r>
      <w:r>
        <w:rPr>
          <w:rFonts w:ascii="Book Antiqua" w:eastAsia="Book Antiqua" w:hAnsi="Book Antiqua" w:cs="Book Antiqua"/>
          <w:b/>
          <w:bCs/>
          <w:i/>
          <w:iCs/>
          <w:color w:val="000000"/>
        </w:rPr>
        <w:t xml:space="preserve">1 </w:t>
      </w:r>
      <w:r w:rsidR="00C406BE">
        <w:rPr>
          <w:rFonts w:ascii="Book Antiqua" w:eastAsia="Book Antiqua" w:hAnsi="Book Antiqua" w:cs="Book Antiqua"/>
          <w:b/>
          <w:bCs/>
          <w:i/>
          <w:iCs/>
          <w:color w:val="000000"/>
        </w:rPr>
        <w:t xml:space="preserve">mediates </w:t>
      </w:r>
      <w:r>
        <w:rPr>
          <w:rFonts w:ascii="Book Antiqua" w:eastAsia="Book Antiqua" w:hAnsi="Book Antiqua" w:cs="Book Antiqua"/>
          <w:b/>
          <w:bCs/>
          <w:i/>
          <w:iCs/>
          <w:color w:val="000000"/>
        </w:rPr>
        <w:t>the expression of proinflammatory cytokines in intestinal epithelial cells</w:t>
      </w:r>
    </w:p>
    <w:p w14:paraId="6FD9F157" w14:textId="4D1B66B8" w:rsidR="00A77B3E" w:rsidRDefault="006C186E" w:rsidP="005518F7">
      <w:pPr>
        <w:snapToGrid w:val="0"/>
        <w:spacing w:line="360" w:lineRule="auto"/>
        <w:jc w:val="both"/>
      </w:pPr>
      <w:r>
        <w:rPr>
          <w:rFonts w:ascii="Book Antiqua" w:eastAsia="Book Antiqua" w:hAnsi="Book Antiqua" w:cs="Book Antiqua"/>
          <w:color w:val="000000"/>
        </w:rPr>
        <w:t xml:space="preserve">To investigate the regulation of intestinal inflammation by FGL1, proinflammatory cytokines were detected by ELISA after </w:t>
      </w:r>
      <w:r w:rsidRPr="003E4742">
        <w:rPr>
          <w:rFonts w:ascii="Book Antiqua" w:eastAsia="Book Antiqua" w:hAnsi="Book Antiqua" w:cs="Book Antiqua"/>
          <w:i/>
          <w:color w:val="000000"/>
        </w:rPr>
        <w:t>FGL1</w:t>
      </w:r>
      <w:r>
        <w:rPr>
          <w:rFonts w:ascii="Book Antiqua" w:eastAsia="Book Antiqua" w:hAnsi="Book Antiqua" w:cs="Book Antiqua"/>
          <w:color w:val="000000"/>
        </w:rPr>
        <w:t xml:space="preserve"> siRNA and plasmids were transfected into HT-29 cells. After LPS stimulation, the IL-1β, IL-6, IL-17</w:t>
      </w:r>
      <w:r w:rsidR="00C406BE">
        <w:rPr>
          <w:rFonts w:ascii="Book Antiqua" w:eastAsia="Book Antiqua" w:hAnsi="Book Antiqua" w:cs="Book Antiqua"/>
          <w:color w:val="000000"/>
        </w:rPr>
        <w:t>,</w:t>
      </w:r>
      <w:r>
        <w:rPr>
          <w:rFonts w:ascii="Book Antiqua" w:eastAsia="Book Antiqua" w:hAnsi="Book Antiqua" w:cs="Book Antiqua"/>
          <w:color w:val="000000"/>
        </w:rPr>
        <w:t xml:space="preserve"> and TNF-α levels were significantly upregulated. FGL1 knockdown reversed the expression of IL-1β, IL-6, IL-17</w:t>
      </w:r>
      <w:r w:rsidR="00C406BE">
        <w:rPr>
          <w:rFonts w:ascii="Book Antiqua" w:eastAsia="Book Antiqua" w:hAnsi="Book Antiqua" w:cs="Book Antiqua"/>
          <w:color w:val="000000"/>
        </w:rPr>
        <w:t>,</w:t>
      </w:r>
      <w:r>
        <w:rPr>
          <w:rFonts w:ascii="Book Antiqua" w:eastAsia="Book Antiqua" w:hAnsi="Book Antiqua" w:cs="Book Antiqua"/>
          <w:color w:val="000000"/>
        </w:rPr>
        <w:t xml:space="preserve"> and TNF-α, while overexpression of FGL1 elevated the levels of the four proinflammatory cytokines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Figure 3). </w:t>
      </w:r>
    </w:p>
    <w:p w14:paraId="170C8008" w14:textId="77777777" w:rsidR="00A77B3E" w:rsidRDefault="00A77B3E" w:rsidP="005518F7">
      <w:pPr>
        <w:snapToGrid w:val="0"/>
        <w:spacing w:line="360" w:lineRule="auto"/>
        <w:jc w:val="both"/>
      </w:pPr>
    </w:p>
    <w:p w14:paraId="55987C43" w14:textId="612F25A7" w:rsidR="00A77B3E" w:rsidRDefault="006C186E" w:rsidP="005518F7">
      <w:pPr>
        <w:snapToGrid w:val="0"/>
        <w:spacing w:line="360" w:lineRule="auto"/>
        <w:jc w:val="both"/>
      </w:pPr>
      <w:r>
        <w:rPr>
          <w:rFonts w:ascii="Book Antiqua" w:eastAsia="Book Antiqua" w:hAnsi="Book Antiqua" w:cs="Book Antiqua"/>
          <w:b/>
          <w:bCs/>
          <w:i/>
          <w:iCs/>
          <w:color w:val="000000"/>
        </w:rPr>
        <w:t xml:space="preserve">FGL1 </w:t>
      </w:r>
      <w:r w:rsidR="00C406BE">
        <w:rPr>
          <w:rFonts w:ascii="Book Antiqua" w:eastAsia="Book Antiqua" w:hAnsi="Book Antiqua" w:cs="Book Antiqua"/>
          <w:b/>
          <w:bCs/>
          <w:i/>
          <w:iCs/>
          <w:color w:val="000000"/>
        </w:rPr>
        <w:t xml:space="preserve">activates </w:t>
      </w:r>
      <w:r>
        <w:rPr>
          <w:rFonts w:ascii="Book Antiqua" w:eastAsia="Book Antiqua" w:hAnsi="Book Antiqua" w:cs="Book Antiqua"/>
          <w:b/>
          <w:bCs/>
          <w:i/>
          <w:iCs/>
          <w:color w:val="000000"/>
        </w:rPr>
        <w:t>the NF-</w:t>
      </w:r>
      <w:proofErr w:type="spellStart"/>
      <w:r>
        <w:rPr>
          <w:rFonts w:ascii="Book Antiqua" w:eastAsia="Book Antiqua" w:hAnsi="Book Antiqua" w:cs="Book Antiqua"/>
          <w:b/>
          <w:bCs/>
          <w:i/>
          <w:iCs/>
          <w:color w:val="000000"/>
        </w:rPr>
        <w:t>κB</w:t>
      </w:r>
      <w:proofErr w:type="spellEnd"/>
      <w:r>
        <w:rPr>
          <w:rFonts w:ascii="Book Antiqua" w:eastAsia="Book Antiqua" w:hAnsi="Book Antiqua" w:cs="Book Antiqua"/>
          <w:b/>
          <w:bCs/>
          <w:i/>
          <w:iCs/>
          <w:color w:val="000000"/>
        </w:rPr>
        <w:t xml:space="preserve"> </w:t>
      </w:r>
      <w:proofErr w:type="spellStart"/>
      <w:r>
        <w:rPr>
          <w:rFonts w:ascii="Book Antiqua" w:eastAsia="Book Antiqua" w:hAnsi="Book Antiqua" w:cs="Book Antiqua"/>
          <w:b/>
          <w:bCs/>
          <w:i/>
          <w:iCs/>
          <w:color w:val="000000"/>
        </w:rPr>
        <w:t>signallin</w:t>
      </w:r>
      <w:r>
        <w:rPr>
          <w:rFonts w:ascii="Book Antiqua" w:eastAsia="Book Antiqua" w:hAnsi="Book Antiqua" w:cs="Book Antiqua"/>
          <w:b/>
          <w:bCs/>
          <w:i/>
          <w:iCs/>
          <w:color w:val="000000"/>
        </w:rPr>
        <w:t>g</w:t>
      </w:r>
      <w:proofErr w:type="spellEnd"/>
      <w:r>
        <w:rPr>
          <w:rFonts w:ascii="Book Antiqua" w:eastAsia="Book Antiqua" w:hAnsi="Book Antiqua" w:cs="Book Antiqua"/>
          <w:b/>
          <w:bCs/>
          <w:i/>
          <w:iCs/>
          <w:color w:val="000000"/>
        </w:rPr>
        <w:t xml:space="preserve"> pathway</w:t>
      </w:r>
    </w:p>
    <w:p w14:paraId="55E3E982" w14:textId="77777777" w:rsidR="00A77B3E" w:rsidRDefault="006C186E" w:rsidP="005518F7">
      <w:pPr>
        <w:snapToGrid w:val="0"/>
        <w:spacing w:line="360" w:lineRule="auto"/>
        <w:jc w:val="both"/>
      </w:pPr>
      <w:r>
        <w:rPr>
          <w:rFonts w:ascii="Book Antiqua" w:eastAsia="Book Antiqua" w:hAnsi="Book Antiqua" w:cs="Book Antiqua"/>
          <w:color w:val="000000"/>
        </w:rPr>
        <w:t>Given that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plays a fundamental role in the intestinal inflammation of CD, the modulation of the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pathway by FGL1 was investigated. The mRNA </w:t>
      </w:r>
      <w:r>
        <w:rPr>
          <w:rFonts w:ascii="Book Antiqua" w:eastAsia="Book Antiqua" w:hAnsi="Book Antiqua" w:cs="Book Antiqua"/>
          <w:color w:val="000000"/>
        </w:rPr>
        <w:lastRenderedPageBreak/>
        <w:t>expression level</w:t>
      </w:r>
      <w:r>
        <w:rPr>
          <w:rFonts w:ascii="Book Antiqua" w:eastAsia="Book Antiqua" w:hAnsi="Book Antiqua" w:cs="Book Antiqua"/>
          <w:color w:val="000000"/>
        </w:rPr>
        <w:t xml:space="preserve">s of </w:t>
      </w:r>
      <w:r w:rsidRPr="003E4742">
        <w:rPr>
          <w:rFonts w:ascii="Book Antiqua" w:eastAsia="Book Antiqua" w:hAnsi="Book Antiqua" w:cs="Book Antiqua"/>
          <w:i/>
          <w:color w:val="000000"/>
        </w:rPr>
        <w:t>FGL1</w:t>
      </w:r>
      <w:r>
        <w:rPr>
          <w:rFonts w:ascii="Book Antiqua" w:eastAsia="Book Antiqua" w:hAnsi="Book Antiqua" w:cs="Book Antiqua"/>
          <w:color w:val="000000"/>
        </w:rPr>
        <w:t xml:space="preserve"> and </w:t>
      </w:r>
      <w:r w:rsidRPr="003E4742">
        <w:rPr>
          <w:rFonts w:ascii="Book Antiqua" w:eastAsia="Book Antiqua" w:hAnsi="Book Antiqua" w:cs="Book Antiqua"/>
          <w:i/>
          <w:color w:val="000000"/>
        </w:rPr>
        <w:t>NF-</w:t>
      </w:r>
      <w:proofErr w:type="spellStart"/>
      <w:r w:rsidRPr="003E4742">
        <w:rPr>
          <w:rFonts w:ascii="Book Antiqua" w:eastAsia="Book Antiqua" w:hAnsi="Book Antiqua" w:cs="Book Antiqua"/>
          <w:i/>
          <w:color w:val="000000"/>
        </w:rPr>
        <w:t>κB</w:t>
      </w:r>
      <w:proofErr w:type="spellEnd"/>
      <w:r>
        <w:rPr>
          <w:rFonts w:ascii="Book Antiqua" w:eastAsia="Book Antiqua" w:hAnsi="Book Antiqua" w:cs="Book Antiqua"/>
          <w:color w:val="000000"/>
        </w:rPr>
        <w:t xml:space="preserve"> were increased by LPS stimulation. After intervention with </w:t>
      </w:r>
      <w:r w:rsidRPr="003E4742">
        <w:rPr>
          <w:rFonts w:ascii="Book Antiqua" w:eastAsia="Book Antiqua" w:hAnsi="Book Antiqua" w:cs="Book Antiqua"/>
          <w:i/>
          <w:color w:val="000000"/>
        </w:rPr>
        <w:t>FGL1</w:t>
      </w:r>
      <w:r>
        <w:rPr>
          <w:rFonts w:ascii="Book Antiqua" w:eastAsia="Book Antiqua" w:hAnsi="Book Antiqua" w:cs="Book Antiqua"/>
          <w:color w:val="000000"/>
        </w:rPr>
        <w:t xml:space="preserve"> siRNA, the mRNA expression levels of </w:t>
      </w:r>
      <w:r w:rsidRPr="003E4742">
        <w:rPr>
          <w:rFonts w:ascii="Book Antiqua" w:eastAsia="Book Antiqua" w:hAnsi="Book Antiqua" w:cs="Book Antiqua"/>
          <w:i/>
          <w:color w:val="000000"/>
        </w:rPr>
        <w:t>FGL1</w:t>
      </w:r>
      <w:r>
        <w:rPr>
          <w:rFonts w:ascii="Book Antiqua" w:eastAsia="Book Antiqua" w:hAnsi="Book Antiqua" w:cs="Book Antiqua"/>
          <w:color w:val="000000"/>
        </w:rPr>
        <w:t xml:space="preserve"> and </w:t>
      </w:r>
      <w:r w:rsidRPr="003E4742">
        <w:rPr>
          <w:rFonts w:ascii="Book Antiqua" w:eastAsia="Book Antiqua" w:hAnsi="Book Antiqua" w:cs="Book Antiqua"/>
          <w:i/>
          <w:color w:val="000000"/>
        </w:rPr>
        <w:t>NF-</w:t>
      </w:r>
      <w:proofErr w:type="spellStart"/>
      <w:r w:rsidRPr="003E4742">
        <w:rPr>
          <w:rFonts w:ascii="Book Antiqua" w:eastAsia="Book Antiqua" w:hAnsi="Book Antiqua" w:cs="Book Antiqua"/>
          <w:i/>
          <w:color w:val="000000"/>
        </w:rPr>
        <w:t>κB</w:t>
      </w:r>
      <w:proofErr w:type="spellEnd"/>
      <w:r>
        <w:rPr>
          <w:rFonts w:ascii="Book Antiqua" w:eastAsia="Book Antiqua" w:hAnsi="Book Antiqua" w:cs="Book Antiqua"/>
          <w:color w:val="000000"/>
        </w:rPr>
        <w:t xml:space="preserve"> were both downregulated, while the mRNA levels were enhanced following FGL1 overexpression with plasmid transfection (</w:t>
      </w:r>
      <w:r>
        <w:rPr>
          <w:rFonts w:ascii="Book Antiqua" w:eastAsia="Book Antiqua" w:hAnsi="Book Antiqua" w:cs="Book Antiqua"/>
          <w:i/>
          <w:iCs/>
          <w:color w:val="000000"/>
        </w:rPr>
        <w:t>P</w:t>
      </w:r>
      <w:r>
        <w:rPr>
          <w:rFonts w:ascii="Book Antiqua" w:eastAsia="Book Antiqua" w:hAnsi="Book Antiqua" w:cs="Book Antiqua"/>
          <w:color w:val="000000"/>
        </w:rPr>
        <w:t xml:space="preserve"> &lt; 0.01, Figure 4A and B).</w:t>
      </w:r>
    </w:p>
    <w:p w14:paraId="238211E5" w14:textId="51015CAC" w:rsidR="00A77B3E" w:rsidRDefault="006C186E" w:rsidP="005518F7">
      <w:pPr>
        <w:snapToGrid w:val="0"/>
        <w:spacing w:line="360" w:lineRule="auto"/>
        <w:ind w:firstLineChars="100" w:firstLine="240"/>
        <w:jc w:val="both"/>
      </w:pPr>
      <w:r>
        <w:rPr>
          <w:rFonts w:ascii="Book Antiqua" w:eastAsia="Book Antiqua" w:hAnsi="Book Antiqua" w:cs="Book Antiqua"/>
          <w:color w:val="000000"/>
        </w:rPr>
        <w:t>The exact mechanism by which FGL1 regulates the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pathway was revealed by </w:t>
      </w:r>
      <w:r w:rsidR="00C406BE">
        <w:rPr>
          <w:rFonts w:ascii="Book Antiqua" w:eastAsia="Book Antiqua" w:hAnsi="Book Antiqua" w:cs="Book Antiqua"/>
          <w:color w:val="000000"/>
        </w:rPr>
        <w:t xml:space="preserve">Western </w:t>
      </w:r>
      <w:r>
        <w:rPr>
          <w:rFonts w:ascii="Book Antiqua" w:eastAsia="Book Antiqua" w:hAnsi="Book Antiqua" w:cs="Book Antiqua"/>
          <w:color w:val="000000"/>
        </w:rPr>
        <w:t>blot assay. The protein levels of FGL1, IKKα, IKKβ, p-IKKα/β, p-</w:t>
      </w:r>
      <w:proofErr w:type="spellStart"/>
      <w:r>
        <w:rPr>
          <w:rFonts w:ascii="Book Antiqua" w:eastAsia="Book Antiqua" w:hAnsi="Book Antiqua" w:cs="Book Antiqua"/>
          <w:color w:val="000000"/>
        </w:rPr>
        <w:t>IκB</w:t>
      </w:r>
      <w:proofErr w:type="spellEnd"/>
      <w:r>
        <w:rPr>
          <w:rFonts w:ascii="Book Antiqua" w:eastAsia="Book Antiqua" w:hAnsi="Book Antiqua" w:cs="Book Antiqua"/>
          <w:color w:val="000000"/>
        </w:rPr>
        <w:t xml:space="preserve">α, and p-p65 were upregulated in HT-29 cells stimulated </w:t>
      </w:r>
      <w:r w:rsidR="00C406BE">
        <w:rPr>
          <w:rFonts w:ascii="Book Antiqua" w:eastAsia="Book Antiqua" w:hAnsi="Book Antiqua" w:cs="Book Antiqua"/>
          <w:color w:val="000000"/>
        </w:rPr>
        <w:t xml:space="preserve">with </w:t>
      </w:r>
      <w:r>
        <w:rPr>
          <w:rFonts w:ascii="Book Antiqua" w:eastAsia="Book Antiqua" w:hAnsi="Book Antiqua" w:cs="Book Antiqua"/>
          <w:color w:val="000000"/>
        </w:rPr>
        <w:t>LPS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t>
      </w:r>
      <w:r w:rsidRPr="003E4742">
        <w:rPr>
          <w:rFonts w:ascii="Book Antiqua" w:eastAsia="Book Antiqua" w:hAnsi="Book Antiqua" w:cs="Book Antiqua"/>
          <w:i/>
          <w:color w:val="000000"/>
        </w:rPr>
        <w:t>FGL1</w:t>
      </w:r>
      <w:r>
        <w:rPr>
          <w:rFonts w:ascii="Book Antiqua" w:eastAsia="Book Antiqua" w:hAnsi="Book Antiqua" w:cs="Book Antiqua"/>
          <w:color w:val="000000"/>
        </w:rPr>
        <w:t xml:space="preserve"> gene knockdown inhibited the protein e</w:t>
      </w:r>
      <w:r>
        <w:rPr>
          <w:rFonts w:ascii="Book Antiqua" w:eastAsia="Book Antiqua" w:hAnsi="Book Antiqua" w:cs="Book Antiqua"/>
          <w:color w:val="000000"/>
        </w:rPr>
        <w:t>xpression of FGL1 and downregulated the protein expression of IKKα, IKKβ, p-IKKα/β, p-</w:t>
      </w:r>
      <w:proofErr w:type="spellStart"/>
      <w:r>
        <w:rPr>
          <w:rFonts w:ascii="Book Antiqua" w:eastAsia="Book Antiqua" w:hAnsi="Book Antiqua" w:cs="Book Antiqua"/>
          <w:color w:val="000000"/>
        </w:rPr>
        <w:t>IκB</w:t>
      </w:r>
      <w:proofErr w:type="spellEnd"/>
      <w:r>
        <w:rPr>
          <w:rFonts w:ascii="Book Antiqua" w:eastAsia="Book Antiqua" w:hAnsi="Book Antiqua" w:cs="Book Antiqua"/>
          <w:color w:val="000000"/>
        </w:rPr>
        <w:t>α, and p-p65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Conversely, the overexpression of the </w:t>
      </w:r>
      <w:r w:rsidRPr="003E4742">
        <w:rPr>
          <w:rFonts w:ascii="Book Antiqua" w:eastAsia="Book Antiqua" w:hAnsi="Book Antiqua" w:cs="Book Antiqua"/>
          <w:i/>
          <w:color w:val="000000"/>
        </w:rPr>
        <w:t>FGL1</w:t>
      </w:r>
      <w:r>
        <w:rPr>
          <w:rFonts w:ascii="Book Antiqua" w:eastAsia="Book Antiqua" w:hAnsi="Book Antiqua" w:cs="Book Antiqua"/>
          <w:color w:val="000000"/>
        </w:rPr>
        <w:t xml:space="preserve"> gene enhanced the protein expression of FGL1, IKKα, IKKβ, p-IKKα/β, p-</w:t>
      </w:r>
      <w:proofErr w:type="spellStart"/>
      <w:r>
        <w:rPr>
          <w:rFonts w:ascii="Book Antiqua" w:eastAsia="Book Antiqua" w:hAnsi="Book Antiqua" w:cs="Book Antiqua"/>
          <w:color w:val="000000"/>
        </w:rPr>
        <w:t>IκB</w:t>
      </w:r>
      <w:proofErr w:type="spellEnd"/>
      <w:r>
        <w:rPr>
          <w:rFonts w:ascii="Book Antiqua" w:eastAsia="Book Antiqua" w:hAnsi="Book Antiqua" w:cs="Book Antiqua"/>
          <w:color w:val="000000"/>
        </w:rPr>
        <w:t>α, and p-p65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Figure 4C).</w:t>
      </w:r>
    </w:p>
    <w:p w14:paraId="4FF546B9" w14:textId="77777777" w:rsidR="00A77B3E" w:rsidRDefault="00A77B3E" w:rsidP="005518F7">
      <w:pPr>
        <w:snapToGrid w:val="0"/>
        <w:spacing w:line="360" w:lineRule="auto"/>
        <w:jc w:val="both"/>
      </w:pPr>
    </w:p>
    <w:p w14:paraId="0FA6FA75" w14:textId="77777777" w:rsidR="00A77B3E" w:rsidRDefault="006C186E" w:rsidP="005518F7">
      <w:pPr>
        <w:snapToGrid w:val="0"/>
        <w:spacing w:line="360" w:lineRule="auto"/>
        <w:jc w:val="both"/>
      </w:pPr>
      <w:r>
        <w:rPr>
          <w:rFonts w:ascii="Book Antiqua" w:eastAsia="Book Antiqua" w:hAnsi="Book Antiqua" w:cs="Book Antiqua"/>
          <w:b/>
          <w:caps/>
          <w:color w:val="000000"/>
          <w:u w:val="single"/>
        </w:rPr>
        <w:t>DISCUSSION</w:t>
      </w:r>
    </w:p>
    <w:p w14:paraId="13E3066A" w14:textId="77777777" w:rsidR="00A77B3E" w:rsidRDefault="006C186E" w:rsidP="005518F7">
      <w:pPr>
        <w:snapToGrid w:val="0"/>
        <w:spacing w:line="360" w:lineRule="auto"/>
        <w:jc w:val="both"/>
      </w:pPr>
      <w:r>
        <w:rPr>
          <w:rFonts w:ascii="Book Antiqua" w:eastAsia="Book Antiqua" w:hAnsi="Book Antiqua" w:cs="Book Antiqua"/>
          <w:color w:val="000000"/>
        </w:rPr>
        <w:t xml:space="preserve">In the present study, we took advantage of proteomics for a large-scale screen of DEPs between the plasma of CD patients and healthy people. The expression of </w:t>
      </w:r>
      <w:r w:rsidRPr="003E4742">
        <w:rPr>
          <w:rFonts w:ascii="Book Antiqua" w:eastAsia="Book Antiqua" w:hAnsi="Book Antiqua" w:cs="Book Antiqua"/>
          <w:i/>
          <w:color w:val="000000"/>
        </w:rPr>
        <w:t>FGL1</w:t>
      </w:r>
      <w:r>
        <w:rPr>
          <w:rFonts w:ascii="Book Antiqua" w:eastAsia="Book Antiqua" w:hAnsi="Book Antiqua" w:cs="Book Antiqua"/>
          <w:color w:val="000000"/>
        </w:rPr>
        <w:t>, a hub gene among the DEPs, was increased in the plasma of CD patients, which was verified in intestinal mucosal and epithelial tissues. Furthermore, FGL1 was validated to exacerbate the inflammatory response in intestinal epithelial cells by activating the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pathway.</w:t>
      </w:r>
    </w:p>
    <w:p w14:paraId="0779D4EC" w14:textId="3C4D013C" w:rsidR="00A77B3E" w:rsidRDefault="006C186E" w:rsidP="005518F7">
      <w:pPr>
        <w:snapToGrid w:val="0"/>
        <w:spacing w:line="360" w:lineRule="auto"/>
        <w:ind w:firstLine="240"/>
        <w:jc w:val="both"/>
      </w:pPr>
      <w:r>
        <w:rPr>
          <w:rFonts w:ascii="Book Antiqua" w:eastAsia="Book Antiqua" w:hAnsi="Book Antiqua" w:cs="Book Antiqua"/>
          <w:color w:val="000000"/>
        </w:rPr>
        <w:t>At present, knowledge about the etiology and pathogenesis of CD is limited, which makes it incurable. Hence, it is essential to detect potential drug targets for CD. As proteins are directly involved in nearly all pathophysiological processes, proteomics has become a hotspot tool for the discove</w:t>
      </w:r>
      <w:r>
        <w:rPr>
          <w:rFonts w:ascii="Book Antiqua" w:eastAsia="Book Antiqua" w:hAnsi="Book Antiqua" w:cs="Book Antiqua"/>
          <w:color w:val="000000"/>
        </w:rPr>
        <w:t xml:space="preserve">ry of novel biomarkers or therapeutic targets </w:t>
      </w:r>
      <w:r w:rsidR="00613CED">
        <w:rPr>
          <w:rFonts w:ascii="Book Antiqua" w:eastAsia="Book Antiqua" w:hAnsi="Book Antiqua" w:cs="Book Antiqua"/>
          <w:color w:val="000000"/>
        </w:rPr>
        <w:t xml:space="preserve">for </w:t>
      </w:r>
      <w:r>
        <w:rPr>
          <w:rFonts w:ascii="Book Antiqua" w:eastAsia="Book Antiqua" w:hAnsi="Book Antiqua" w:cs="Book Antiqua"/>
          <w:color w:val="000000"/>
        </w:rPr>
        <w:t xml:space="preserve">CD, differential diagnosis between CD and ulcerative colitis, and disease stratification by examining and quantifying thousands of proteins encoded by the genome in a holistic </w:t>
      </w:r>
      <w:proofErr w:type="gramStart"/>
      <w:r>
        <w:rPr>
          <w:rFonts w:ascii="Book Antiqua" w:eastAsia="Book Antiqua" w:hAnsi="Book Antiqua" w:cs="Book Antiqua"/>
          <w:color w:val="000000"/>
        </w:rPr>
        <w:t>manner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10-13]</w:t>
      </w:r>
      <w:r>
        <w:rPr>
          <w:rFonts w:ascii="Book Antiqua" w:eastAsia="Book Antiqua" w:hAnsi="Book Antiqua" w:cs="Book Antiqua"/>
          <w:color w:val="000000"/>
        </w:rPr>
        <w:t>. To our knowledge, the present study revealed for the first time by proteomics that FGL1 may be a key contributor to CD onset and progression.</w:t>
      </w:r>
    </w:p>
    <w:p w14:paraId="67EA0EFD" w14:textId="77777777" w:rsidR="00A77B3E" w:rsidRDefault="006C186E" w:rsidP="005518F7">
      <w:pPr>
        <w:snapToGrid w:val="0"/>
        <w:spacing w:line="360" w:lineRule="auto"/>
        <w:ind w:firstLine="240"/>
        <w:jc w:val="both"/>
      </w:pPr>
      <w:r>
        <w:rPr>
          <w:rFonts w:ascii="Book Antiqua" w:eastAsia="Book Antiqua" w:hAnsi="Book Antiqua" w:cs="Book Antiqua"/>
          <w:color w:val="000000"/>
        </w:rPr>
        <w:t xml:space="preserve">Accumulating evidence has demonstrated that FGL1 plays a prominent role in the pathogenesis of various diseases, including hepatocellular carcinoma, gastric cancer, </w:t>
      </w:r>
      <w:r>
        <w:rPr>
          <w:rFonts w:ascii="Book Antiqua" w:eastAsia="Book Antiqua" w:hAnsi="Book Antiqua" w:cs="Book Antiqua"/>
          <w:color w:val="000000"/>
        </w:rPr>
        <w:lastRenderedPageBreak/>
        <w:t>lung cancer, diabetes mellitus, and obesity</w:t>
      </w:r>
      <w:r>
        <w:rPr>
          <w:rFonts w:ascii="Book Antiqua" w:eastAsia="Book Antiqua" w:hAnsi="Book Antiqua" w:cs="Book Antiqua"/>
          <w:color w:val="000000"/>
          <w:szCs w:val="30"/>
          <w:vertAlign w:val="superscript"/>
        </w:rPr>
        <w:t>[14-19]</w:t>
      </w:r>
      <w:r>
        <w:rPr>
          <w:rFonts w:ascii="Book Antiqua" w:eastAsia="Book Antiqua" w:hAnsi="Book Antiqua" w:cs="Book Antiqua"/>
          <w:color w:val="000000"/>
        </w:rPr>
        <w:t xml:space="preserve">. Additionally, FGL1 is also considered a potential biomarker and drug target in certain inflammatory conditions. FGL1 may promote liver injury-induced inflammation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IL-6/STAT3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pathway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xml:space="preserve">. Proteomics revealed that FGL1 is a specific biomarker for predicting the progression of rheumatoid </w:t>
      </w:r>
      <w:proofErr w:type="gramStart"/>
      <w:r>
        <w:rPr>
          <w:rFonts w:ascii="Book Antiqua" w:eastAsia="Book Antiqua" w:hAnsi="Book Antiqua" w:cs="Book Antiqua"/>
          <w:color w:val="000000"/>
        </w:rPr>
        <w:t>arthritis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This finding displays a fundamental role of FGL1 in regulating immune-mediated inflammation.</w:t>
      </w:r>
    </w:p>
    <w:p w14:paraId="194DF507" w14:textId="77777777" w:rsidR="00A77B3E" w:rsidRDefault="006C186E" w:rsidP="005518F7">
      <w:pPr>
        <w:snapToGrid w:val="0"/>
        <w:spacing w:line="360" w:lineRule="auto"/>
        <w:ind w:firstLine="240"/>
        <w:jc w:val="both"/>
      </w:pPr>
      <w:r>
        <w:rPr>
          <w:rFonts w:ascii="Book Antiqua" w:eastAsia="Book Antiqua" w:hAnsi="Book Antiqua" w:cs="Book Antiqua"/>
          <w:color w:val="000000"/>
        </w:rPr>
        <w:t xml:space="preserve">Pierre and colleagues have demonstrated that CD relapse is correlated with the innate immune response of the </w:t>
      </w:r>
      <w:proofErr w:type="gramStart"/>
      <w:r>
        <w:rPr>
          <w:rFonts w:ascii="Book Antiqua" w:eastAsia="Book Antiqua" w:hAnsi="Book Antiqua" w:cs="Book Antiqua"/>
          <w:color w:val="000000"/>
        </w:rPr>
        <w:t>liver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xml:space="preserve">. Given that FGL1 is a liver-derived protein and is involved in the innate immune system pathway, we hypothesize that FGL1 may influence the pathophysiology of CD based on the evidence of increased expression of FGL1 in the plasma and intestinal tissues of CD patients. Although FGL1 has been demonstrated to be a potent target for cancer immunotherapy, its precise role in CD therapy is </w:t>
      </w:r>
      <w:proofErr w:type="gramStart"/>
      <w:r>
        <w:rPr>
          <w:rFonts w:ascii="Book Antiqua" w:eastAsia="Book Antiqua" w:hAnsi="Book Antiqua" w:cs="Book Antiqua"/>
          <w:color w:val="000000"/>
        </w:rPr>
        <w:t>unknown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To unravel the mystery, a cell experiment was designed in the current study that focused on the FGL1-mediated regulation of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by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an important proinflammatory transcription factor for inflammatory disorders.</w:t>
      </w:r>
    </w:p>
    <w:p w14:paraId="5EBDBD58" w14:textId="20A4493A" w:rsidR="00A77B3E" w:rsidRDefault="006C186E" w:rsidP="005518F7">
      <w:pPr>
        <w:snapToGrid w:val="0"/>
        <w:spacing w:line="360" w:lineRule="auto"/>
        <w:ind w:firstLineChars="100" w:firstLine="240"/>
        <w:jc w:val="both"/>
      </w:pPr>
      <w:r>
        <w:rPr>
          <w:rFonts w:ascii="Book Antiqua" w:eastAsia="Book Antiqua" w:hAnsi="Book Antiqua" w:cs="Book Antiqua"/>
          <w:color w:val="000000"/>
        </w:rPr>
        <w:t>Activation of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plays a central role in the induction and exacerbation of the intestinal inflammatory response of CD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w:t>
      </w:r>
      <w:r>
        <w:rPr>
          <w:rFonts w:ascii="Book Antiqua" w:eastAsia="Book Antiqua" w:hAnsi="Book Antiqua" w:cs="Book Antiqua"/>
          <w:color w:val="000000"/>
        </w:rPr>
        <w:t>. The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family consists of p65 (RELA), RELB, c-REL, p50</w:t>
      </w:r>
      <w:r>
        <w:rPr>
          <w:rFonts w:ascii="Book Antiqua" w:eastAsia="Book Antiqua" w:hAnsi="Book Antiqua" w:cs="Book Antiqua"/>
          <w:color w:val="000000"/>
        </w:rPr>
        <w:t>/p105 (NF-κB1)</w:t>
      </w:r>
      <w:r w:rsidR="005C00FA">
        <w:rPr>
          <w:rFonts w:ascii="Book Antiqua" w:eastAsia="Book Antiqua" w:hAnsi="Book Antiqua" w:cs="Book Antiqua"/>
          <w:color w:val="000000"/>
        </w:rPr>
        <w:t>,</w:t>
      </w:r>
      <w:r>
        <w:rPr>
          <w:rFonts w:ascii="Book Antiqua" w:eastAsia="Book Antiqua" w:hAnsi="Book Antiqua" w:cs="Book Antiqua"/>
          <w:color w:val="000000"/>
        </w:rPr>
        <w:t xml:space="preserve"> and p52/p100 (NF-κB2). Activated p65 can translocate into the nucleus to upregulate the transcriptional expression of proinflammatory cytokines. In the present study, the mRNA and protein levels of FGL1 and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and the concentrations of IL-1β, IL-6, IL-17</w:t>
      </w:r>
      <w:r w:rsidR="005C00FA">
        <w:rPr>
          <w:rFonts w:ascii="Book Antiqua" w:eastAsia="Book Antiqua" w:hAnsi="Book Antiqua" w:cs="Book Antiqua"/>
          <w:color w:val="000000"/>
        </w:rPr>
        <w:t>,</w:t>
      </w:r>
      <w:r>
        <w:rPr>
          <w:rFonts w:ascii="Book Antiqua" w:eastAsia="Book Antiqua" w:hAnsi="Book Antiqua" w:cs="Book Antiqua"/>
          <w:color w:val="000000"/>
        </w:rPr>
        <w:t xml:space="preserve"> and TNF-α were markedly upregulated in HT-29 cells stimulated</w:t>
      </w:r>
      <w:r w:rsidR="005C00FA">
        <w:rPr>
          <w:rFonts w:ascii="Book Antiqua" w:eastAsia="Book Antiqua" w:hAnsi="Book Antiqua" w:cs="Book Antiqua"/>
          <w:color w:val="000000"/>
        </w:rPr>
        <w:t xml:space="preserve"> with </w:t>
      </w:r>
      <w:r>
        <w:rPr>
          <w:rFonts w:ascii="Book Antiqua" w:eastAsia="Book Antiqua" w:hAnsi="Book Antiqua" w:cs="Book Antiqua"/>
          <w:color w:val="000000"/>
        </w:rPr>
        <w:t xml:space="preserve">LPS, and these effects were reversed </w:t>
      </w:r>
      <w:r w:rsidR="005C00FA">
        <w:rPr>
          <w:rFonts w:ascii="Book Antiqua" w:eastAsia="Book Antiqua" w:hAnsi="Book Antiqua" w:cs="Book Antiqua"/>
          <w:color w:val="000000"/>
        </w:rPr>
        <w:t xml:space="preserve">by </w:t>
      </w:r>
      <w:r>
        <w:rPr>
          <w:rFonts w:ascii="Book Antiqua" w:eastAsia="Book Antiqua" w:hAnsi="Book Antiqua" w:cs="Book Antiqua"/>
          <w:color w:val="000000"/>
        </w:rPr>
        <w:t>depleting FGL1 with specific siRNA. Correspondingly, the expression of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and the four proinflammatory cytokines was enhanced followi</w:t>
      </w:r>
      <w:r>
        <w:rPr>
          <w:rFonts w:ascii="Book Antiqua" w:eastAsia="Book Antiqua" w:hAnsi="Book Antiqua" w:cs="Book Antiqua"/>
          <w:color w:val="000000"/>
        </w:rPr>
        <w:t>ng overexpression of FGL1. These results indicate that FGL1 may promote the intestinal inflammatory response by activating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The canonical pathway of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activation involves the IKK complex, consisting of NEMO, IKK</w:t>
      </w:r>
      <w:r>
        <w:rPr>
          <w:rFonts w:ascii="Book Antiqua" w:eastAsia="Book Antiqua" w:hAnsi="Book Antiqua" w:cs="Book Antiqua"/>
          <w:color w:val="000000"/>
        </w:rPr>
        <w:t>α</w:t>
      </w:r>
      <w:r w:rsidR="005C00FA">
        <w:rPr>
          <w:rFonts w:ascii="Book Antiqua" w:eastAsia="Book Antiqua" w:hAnsi="Book Antiqua" w:cs="Book Antiqua"/>
          <w:color w:val="000000"/>
        </w:rPr>
        <w:t>,</w:t>
      </w:r>
      <w:r>
        <w:rPr>
          <w:rFonts w:ascii="Book Antiqua" w:eastAsia="Book Antiqua" w:hAnsi="Book Antiqua" w:cs="Book Antiqua"/>
          <w:color w:val="000000"/>
        </w:rPr>
        <w:t xml:space="preserve"> and IKKβ, and the </w:t>
      </w:r>
      <w:proofErr w:type="spellStart"/>
      <w:r>
        <w:rPr>
          <w:rFonts w:ascii="Book Antiqua" w:eastAsia="Book Antiqua" w:hAnsi="Book Antiqua" w:cs="Book Antiqua"/>
          <w:color w:val="000000"/>
        </w:rPr>
        <w:t>IκB</w:t>
      </w:r>
      <w:proofErr w:type="spellEnd"/>
      <w:r>
        <w:rPr>
          <w:rFonts w:ascii="Book Antiqua" w:eastAsia="Book Antiqua" w:hAnsi="Book Antiqua" w:cs="Book Antiqua"/>
          <w:color w:val="000000"/>
        </w:rPr>
        <w:t xml:space="preserve"> protein family, including </w:t>
      </w:r>
      <w:proofErr w:type="spellStart"/>
      <w:r>
        <w:rPr>
          <w:rFonts w:ascii="Book Antiqua" w:eastAsia="Book Antiqua" w:hAnsi="Book Antiqua" w:cs="Book Antiqua"/>
          <w:color w:val="000000"/>
        </w:rPr>
        <w:t>IκB</w:t>
      </w:r>
      <w:proofErr w:type="spellEnd"/>
      <w:r>
        <w:rPr>
          <w:rFonts w:ascii="Book Antiqua" w:eastAsia="Book Antiqua" w:hAnsi="Book Antiqua" w:cs="Book Antiqua"/>
          <w:color w:val="000000"/>
        </w:rPr>
        <w:t xml:space="preserve">α, </w:t>
      </w:r>
      <w:proofErr w:type="spellStart"/>
      <w:r>
        <w:rPr>
          <w:rFonts w:ascii="Book Antiqua" w:eastAsia="Book Antiqua" w:hAnsi="Book Antiqua" w:cs="Book Antiqua"/>
          <w:color w:val="000000"/>
        </w:rPr>
        <w:t>IκB</w:t>
      </w:r>
      <w:proofErr w:type="spellEnd"/>
      <w:r>
        <w:rPr>
          <w:rFonts w:ascii="Book Antiqua" w:eastAsia="Book Antiqua" w:hAnsi="Book Antiqua" w:cs="Book Antiqua"/>
          <w:color w:val="000000"/>
        </w:rPr>
        <w:t>β</w:t>
      </w:r>
      <w:r w:rsidR="005C00FA">
        <w:rPr>
          <w:rFonts w:ascii="Book Antiqua" w:eastAsia="Book Antiqua" w:hAnsi="Book Antiqua" w:cs="Book Antiqua"/>
          <w:color w:val="000000"/>
        </w:rPr>
        <w:t>,</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IκBe</w:t>
      </w:r>
      <w:proofErr w:type="spellEnd"/>
      <w:r>
        <w:rPr>
          <w:rFonts w:ascii="Book Antiqua" w:eastAsia="Book Antiqua" w:hAnsi="Book Antiqua" w:cs="Book Antiqua"/>
          <w:color w:val="000000"/>
        </w:rPr>
        <w:t xml:space="preserve">. After stimulation, IKKα and IKKβ activation promotes phosphorylation of </w:t>
      </w:r>
      <w:proofErr w:type="spellStart"/>
      <w:r>
        <w:rPr>
          <w:rFonts w:ascii="Book Antiqua" w:eastAsia="Book Antiqua" w:hAnsi="Book Antiqua" w:cs="Book Antiqua"/>
          <w:color w:val="000000"/>
        </w:rPr>
        <w:t>IκB</w:t>
      </w:r>
      <w:proofErr w:type="spellEnd"/>
      <w:r>
        <w:rPr>
          <w:rFonts w:ascii="Book Antiqua" w:eastAsia="Book Antiqua" w:hAnsi="Book Antiqua" w:cs="Book Antiqua"/>
          <w:color w:val="000000"/>
        </w:rPr>
        <w:t xml:space="preserve">α. Degradation of phosphorylated </w:t>
      </w:r>
      <w:proofErr w:type="spellStart"/>
      <w:r>
        <w:rPr>
          <w:rFonts w:ascii="Book Antiqua" w:eastAsia="Book Antiqua" w:hAnsi="Book Antiqua" w:cs="Book Antiqua"/>
          <w:color w:val="000000"/>
        </w:rPr>
        <w:t>IκB</w:t>
      </w:r>
      <w:proofErr w:type="spellEnd"/>
      <w:r>
        <w:rPr>
          <w:rFonts w:ascii="Book Antiqua" w:eastAsia="Book Antiqua" w:hAnsi="Book Antiqua" w:cs="Book Antiqua"/>
          <w:color w:val="000000"/>
        </w:rPr>
        <w:t>α releases the p</w:t>
      </w:r>
      <w:r>
        <w:rPr>
          <w:rFonts w:ascii="Book Antiqua" w:eastAsia="Book Antiqua" w:hAnsi="Book Antiqua" w:cs="Book Antiqua"/>
          <w:color w:val="000000"/>
        </w:rPr>
        <w:t xml:space="preserve">65-p50 </w:t>
      </w:r>
      <w:r>
        <w:rPr>
          <w:rFonts w:ascii="Book Antiqua" w:eastAsia="Book Antiqua" w:hAnsi="Book Antiqua" w:cs="Book Antiqua"/>
          <w:color w:val="000000"/>
        </w:rPr>
        <w:lastRenderedPageBreak/>
        <w:t xml:space="preserve">dimer for nuclear </w:t>
      </w:r>
      <w:proofErr w:type="gramStart"/>
      <w:r>
        <w:rPr>
          <w:rFonts w:ascii="Book Antiqua" w:eastAsia="Book Antiqua" w:hAnsi="Book Antiqua" w:cs="Book Antiqua"/>
          <w:color w:val="000000"/>
        </w:rPr>
        <w:t>translocation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In this study, the protein expression levels of IKKα, IKKβ, p-IKKα/β, p-</w:t>
      </w:r>
      <w:proofErr w:type="spellStart"/>
      <w:r>
        <w:rPr>
          <w:rFonts w:ascii="Book Antiqua" w:eastAsia="Book Antiqua" w:hAnsi="Book Antiqua" w:cs="Book Antiqua"/>
          <w:color w:val="000000"/>
        </w:rPr>
        <w:t>Iκ</w:t>
      </w:r>
      <w:r>
        <w:rPr>
          <w:rFonts w:ascii="Book Antiqua" w:eastAsia="Book Antiqua" w:hAnsi="Book Antiqua" w:cs="Book Antiqua"/>
          <w:color w:val="000000"/>
        </w:rPr>
        <w:t>B</w:t>
      </w:r>
      <w:proofErr w:type="spellEnd"/>
      <w:r>
        <w:rPr>
          <w:rFonts w:ascii="Book Antiqua" w:eastAsia="Book Antiqua" w:hAnsi="Book Antiqua" w:cs="Book Antiqua"/>
          <w:color w:val="000000"/>
        </w:rPr>
        <w:t>α</w:t>
      </w:r>
      <w:r w:rsidR="005C00FA">
        <w:rPr>
          <w:rFonts w:ascii="Book Antiqua" w:eastAsia="Book Antiqua" w:hAnsi="Book Antiqua" w:cs="Book Antiqua"/>
          <w:color w:val="000000"/>
        </w:rPr>
        <w:t>,</w:t>
      </w:r>
      <w:r>
        <w:rPr>
          <w:rFonts w:ascii="Book Antiqua" w:eastAsia="Book Antiqua" w:hAnsi="Book Antiqua" w:cs="Book Antiqua"/>
          <w:color w:val="000000"/>
        </w:rPr>
        <w:t xml:space="preserve"> and p-p65 were decreased after knockdown of FGL1 compared to those in the cell model, and the inverse effect was verified by overexpression of FGL1. Therefore, FGL1 may induce intestinal inflammation by activating the canonical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pathway.</w:t>
      </w:r>
    </w:p>
    <w:p w14:paraId="3015D4D4" w14:textId="77777777" w:rsidR="00A77B3E" w:rsidRDefault="00A77B3E" w:rsidP="005518F7">
      <w:pPr>
        <w:snapToGrid w:val="0"/>
        <w:spacing w:line="360" w:lineRule="auto"/>
        <w:jc w:val="both"/>
      </w:pPr>
    </w:p>
    <w:p w14:paraId="50928628" w14:textId="77777777" w:rsidR="00A77B3E" w:rsidRDefault="006C186E" w:rsidP="005518F7">
      <w:pPr>
        <w:snapToGrid w:val="0"/>
        <w:spacing w:line="360" w:lineRule="auto"/>
        <w:jc w:val="both"/>
      </w:pPr>
      <w:r>
        <w:rPr>
          <w:rFonts w:ascii="Book Antiqua" w:eastAsia="Book Antiqua" w:hAnsi="Book Antiqua" w:cs="Book Antiqua"/>
          <w:b/>
          <w:caps/>
          <w:color w:val="000000"/>
          <w:u w:val="single"/>
        </w:rPr>
        <w:t>CONCLUSION</w:t>
      </w:r>
    </w:p>
    <w:p w14:paraId="20318EC4" w14:textId="0FC8E5B3" w:rsidR="00A77B3E" w:rsidRDefault="006C186E" w:rsidP="005518F7">
      <w:pPr>
        <w:snapToGrid w:val="0"/>
        <w:spacing w:line="360" w:lineRule="auto"/>
        <w:jc w:val="both"/>
      </w:pPr>
      <w:r>
        <w:rPr>
          <w:rFonts w:ascii="Book Antiqua" w:eastAsia="Book Antiqua" w:hAnsi="Book Antiqua" w:cs="Book Antiqua"/>
          <w:color w:val="000000"/>
        </w:rPr>
        <w:t xml:space="preserve">In summary, we found for the first time that the expression of FGL1 </w:t>
      </w:r>
      <w:r w:rsidR="003E4742">
        <w:rPr>
          <w:rFonts w:ascii="Book Antiqua" w:eastAsia="Book Antiqua" w:hAnsi="Book Antiqua" w:cs="Book Antiqua"/>
          <w:color w:val="000000"/>
        </w:rPr>
        <w:t>i</w:t>
      </w:r>
      <w:r w:rsidR="005C00FA">
        <w:rPr>
          <w:rFonts w:ascii="Book Antiqua" w:eastAsia="Book Antiqua" w:hAnsi="Book Antiqua" w:cs="Book Antiqua"/>
          <w:color w:val="000000"/>
        </w:rPr>
        <w:t xml:space="preserve">s </w:t>
      </w:r>
      <w:r>
        <w:rPr>
          <w:rFonts w:ascii="Book Antiqua" w:eastAsia="Book Antiqua" w:hAnsi="Book Antiqua" w:cs="Book Antiqua"/>
          <w:color w:val="000000"/>
        </w:rPr>
        <w:t>considerably upregulated in the plasma and intestinal mucosal and epithelial tissues of CD patients. FGL1 might induce intestinal inflammation by activating the canonical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pathway to stimulate the secretion of proinflammatory cytokines, such as IL-1β, IL-6, IL-17</w:t>
      </w:r>
      <w:r w:rsidR="005C00FA">
        <w:rPr>
          <w:rFonts w:ascii="Book Antiqua" w:eastAsia="Book Antiqua" w:hAnsi="Book Antiqua" w:cs="Book Antiqua"/>
          <w:color w:val="000000"/>
        </w:rPr>
        <w:t>,</w:t>
      </w:r>
      <w:r>
        <w:rPr>
          <w:rFonts w:ascii="Book Antiqua" w:eastAsia="Book Antiqua" w:hAnsi="Book Antiqua" w:cs="Book Antiqua"/>
          <w:color w:val="000000"/>
        </w:rPr>
        <w:t xml:space="preserve"> and TNF-α. Hence, FGL1 may be considered a potential biomarker and therapeutic target for CD. However, given the exploratory design of our study, the precise role of FGL1 in the pathogenesis of CD needs to be deeply investigated and further validated.</w:t>
      </w:r>
    </w:p>
    <w:p w14:paraId="283EADB3" w14:textId="77777777" w:rsidR="00A77B3E" w:rsidRDefault="00A77B3E" w:rsidP="005518F7">
      <w:pPr>
        <w:snapToGrid w:val="0"/>
        <w:spacing w:line="360" w:lineRule="auto"/>
        <w:jc w:val="both"/>
      </w:pPr>
    </w:p>
    <w:p w14:paraId="079A8439" w14:textId="77777777" w:rsidR="00A77B3E" w:rsidRDefault="006C186E" w:rsidP="005518F7">
      <w:pPr>
        <w:snapToGrid w:val="0"/>
        <w:spacing w:line="360" w:lineRule="auto"/>
        <w:jc w:val="both"/>
      </w:pPr>
      <w:r>
        <w:rPr>
          <w:rFonts w:ascii="Book Antiqua" w:eastAsia="Book Antiqua" w:hAnsi="Book Antiqua" w:cs="Book Antiqua"/>
          <w:b/>
          <w:caps/>
          <w:color w:val="000000"/>
          <w:u w:val="single"/>
        </w:rPr>
        <w:t>ARTICLE HIGHLIGHTS</w:t>
      </w:r>
    </w:p>
    <w:p w14:paraId="4DCF2A2A" w14:textId="77777777" w:rsidR="00A77B3E" w:rsidRDefault="006C186E" w:rsidP="005518F7">
      <w:pPr>
        <w:snapToGrid w:val="0"/>
        <w:spacing w:line="360" w:lineRule="auto"/>
        <w:jc w:val="both"/>
      </w:pPr>
      <w:r>
        <w:rPr>
          <w:rFonts w:ascii="Book Antiqua" w:eastAsia="Book Antiqua" w:hAnsi="Book Antiqua" w:cs="Book Antiqua"/>
          <w:b/>
          <w:i/>
          <w:color w:val="000000"/>
        </w:rPr>
        <w:t>Research background</w:t>
      </w:r>
    </w:p>
    <w:p w14:paraId="1F917496" w14:textId="2920C2F8" w:rsidR="00A77B3E" w:rsidRDefault="006C186E" w:rsidP="005518F7">
      <w:pPr>
        <w:snapToGrid w:val="0"/>
        <w:spacing w:line="360" w:lineRule="auto"/>
        <w:jc w:val="both"/>
      </w:pPr>
      <w:r>
        <w:rPr>
          <w:rFonts w:ascii="Book Antiqua" w:eastAsia="Book Antiqua" w:hAnsi="Book Antiqua" w:cs="Book Antiqua"/>
          <w:color w:val="000000"/>
        </w:rPr>
        <w:t>Currently, the etiology and pathogenesis of Cro</w:t>
      </w:r>
      <w:r>
        <w:rPr>
          <w:rFonts w:ascii="Book Antiqua" w:eastAsia="Book Antiqua" w:hAnsi="Book Antiqua" w:cs="Book Antiqua"/>
          <w:color w:val="000000"/>
        </w:rPr>
        <w:t xml:space="preserve">hn’s disease (CD) </w:t>
      </w:r>
      <w:r w:rsidR="005C00FA">
        <w:rPr>
          <w:rFonts w:ascii="Book Antiqua" w:eastAsia="Book Antiqua" w:hAnsi="Book Antiqua" w:cs="Book Antiqua"/>
          <w:color w:val="000000"/>
        </w:rPr>
        <w:t xml:space="preserve">are </w:t>
      </w:r>
      <w:r>
        <w:rPr>
          <w:rFonts w:ascii="Book Antiqua" w:eastAsia="Book Antiqua" w:hAnsi="Book Antiqua" w:cs="Book Antiqua"/>
          <w:color w:val="000000"/>
        </w:rPr>
        <w:t>not complet</w:t>
      </w:r>
      <w:r>
        <w:rPr>
          <w:rFonts w:ascii="Book Antiqua" w:eastAsia="Book Antiqua" w:hAnsi="Book Antiqua" w:cs="Book Antiqua"/>
          <w:color w:val="000000"/>
        </w:rPr>
        <w:t>ely known, which makes it incurable. It is urgent to reveal the pathophysiological mechanism of CD and investigate new therapeutic targets.</w:t>
      </w:r>
    </w:p>
    <w:p w14:paraId="2A32647A" w14:textId="77777777" w:rsidR="00A77B3E" w:rsidRDefault="00A77B3E" w:rsidP="005518F7">
      <w:pPr>
        <w:snapToGrid w:val="0"/>
        <w:spacing w:line="360" w:lineRule="auto"/>
        <w:jc w:val="both"/>
      </w:pPr>
    </w:p>
    <w:p w14:paraId="6A4568D2" w14:textId="77777777" w:rsidR="00A77B3E" w:rsidRDefault="006C186E" w:rsidP="005518F7">
      <w:pPr>
        <w:snapToGrid w:val="0"/>
        <w:spacing w:line="360" w:lineRule="auto"/>
        <w:jc w:val="both"/>
      </w:pPr>
      <w:r>
        <w:rPr>
          <w:rFonts w:ascii="Book Antiqua" w:eastAsia="Book Antiqua" w:hAnsi="Book Antiqua" w:cs="Book Antiqua"/>
          <w:b/>
          <w:i/>
          <w:color w:val="000000"/>
        </w:rPr>
        <w:t>Research motivation</w:t>
      </w:r>
    </w:p>
    <w:p w14:paraId="03D32B97" w14:textId="77777777" w:rsidR="00A77B3E" w:rsidRDefault="006C186E" w:rsidP="005518F7">
      <w:pPr>
        <w:snapToGrid w:val="0"/>
        <w:spacing w:line="360" w:lineRule="auto"/>
        <w:jc w:val="both"/>
      </w:pPr>
      <w:r>
        <w:rPr>
          <w:rFonts w:ascii="Book Antiqua" w:eastAsia="Book Antiqua" w:hAnsi="Book Antiqua" w:cs="Book Antiqua"/>
          <w:color w:val="000000"/>
        </w:rPr>
        <w:t>To explore a potential therapeutic target for CD and verify its role in the CD pathological mechanism.</w:t>
      </w:r>
    </w:p>
    <w:p w14:paraId="573BF787" w14:textId="77777777" w:rsidR="00A77B3E" w:rsidRDefault="00A77B3E" w:rsidP="005518F7">
      <w:pPr>
        <w:snapToGrid w:val="0"/>
        <w:spacing w:line="360" w:lineRule="auto"/>
        <w:jc w:val="both"/>
      </w:pPr>
    </w:p>
    <w:p w14:paraId="3293CE4F" w14:textId="77777777" w:rsidR="00A77B3E" w:rsidRDefault="006C186E" w:rsidP="005518F7">
      <w:pPr>
        <w:snapToGrid w:val="0"/>
        <w:spacing w:line="360" w:lineRule="auto"/>
        <w:jc w:val="both"/>
      </w:pPr>
      <w:r>
        <w:rPr>
          <w:rFonts w:ascii="Book Antiqua" w:eastAsia="Book Antiqua" w:hAnsi="Book Antiqua" w:cs="Book Antiqua"/>
          <w:b/>
          <w:i/>
          <w:color w:val="000000"/>
        </w:rPr>
        <w:t>Research objectives</w:t>
      </w:r>
    </w:p>
    <w:p w14:paraId="6B5E857D" w14:textId="68E46DBF" w:rsidR="00A77B3E" w:rsidRDefault="006C186E" w:rsidP="005518F7">
      <w:pPr>
        <w:snapToGrid w:val="0"/>
        <w:spacing w:line="360" w:lineRule="auto"/>
        <w:jc w:val="both"/>
      </w:pPr>
      <w:r>
        <w:rPr>
          <w:rFonts w:ascii="Book Antiqua" w:eastAsia="Book Antiqua" w:hAnsi="Book Antiqua" w:cs="Book Antiqua"/>
          <w:color w:val="000000"/>
        </w:rPr>
        <w:t>In this study, we attempted to find a potential therapeutic ta</w:t>
      </w:r>
      <w:r>
        <w:rPr>
          <w:rFonts w:ascii="Book Antiqua" w:eastAsia="Book Antiqua" w:hAnsi="Book Antiqua" w:cs="Book Antiqua"/>
          <w:color w:val="000000"/>
        </w:rPr>
        <w:t xml:space="preserve">rget </w:t>
      </w:r>
      <w:r w:rsidR="005C00FA">
        <w:rPr>
          <w:rFonts w:ascii="Book Antiqua" w:eastAsia="Book Antiqua" w:hAnsi="Book Antiqua" w:cs="Book Antiqua"/>
          <w:color w:val="000000"/>
        </w:rPr>
        <w:t xml:space="preserve">for </w:t>
      </w:r>
      <w:r>
        <w:rPr>
          <w:rFonts w:ascii="Book Antiqua" w:eastAsia="Book Antiqua" w:hAnsi="Book Antiqua" w:cs="Book Antiqua"/>
          <w:color w:val="000000"/>
        </w:rPr>
        <w:t xml:space="preserve">CD and </w:t>
      </w:r>
      <w:r>
        <w:rPr>
          <w:rFonts w:ascii="Book Antiqua" w:eastAsia="Book Antiqua" w:hAnsi="Book Antiqua" w:cs="Book Antiqua"/>
          <w:color w:val="000000"/>
        </w:rPr>
        <w:t>verify its role in the CD pathological mechanism</w:t>
      </w:r>
      <w:r>
        <w:rPr>
          <w:rFonts w:ascii="Book Antiqua" w:eastAsia="Book Antiqua" w:hAnsi="Book Antiqua" w:cs="Book Antiqua"/>
          <w:i/>
          <w:iCs/>
          <w:color w:val="000000"/>
        </w:rPr>
        <w:t xml:space="preserve"> in vitro.</w:t>
      </w:r>
    </w:p>
    <w:p w14:paraId="2433EF9E" w14:textId="77777777" w:rsidR="00A77B3E" w:rsidRDefault="00A77B3E" w:rsidP="005518F7">
      <w:pPr>
        <w:snapToGrid w:val="0"/>
        <w:spacing w:line="360" w:lineRule="auto"/>
        <w:jc w:val="both"/>
      </w:pPr>
    </w:p>
    <w:p w14:paraId="777C46C1" w14:textId="77777777" w:rsidR="00A77B3E" w:rsidRDefault="006C186E" w:rsidP="005518F7">
      <w:pPr>
        <w:snapToGrid w:val="0"/>
        <w:spacing w:line="360" w:lineRule="auto"/>
        <w:jc w:val="both"/>
      </w:pPr>
      <w:r>
        <w:rPr>
          <w:rFonts w:ascii="Book Antiqua" w:eastAsia="Book Antiqua" w:hAnsi="Book Antiqua" w:cs="Book Antiqua"/>
          <w:b/>
          <w:i/>
          <w:color w:val="000000"/>
        </w:rPr>
        <w:lastRenderedPageBreak/>
        <w:t>Research methods</w:t>
      </w:r>
    </w:p>
    <w:p w14:paraId="75B34974" w14:textId="771C8824" w:rsidR="00A77B3E" w:rsidRDefault="006C186E" w:rsidP="005518F7">
      <w:pPr>
        <w:snapToGrid w:val="0"/>
        <w:spacing w:line="360" w:lineRule="auto"/>
        <w:jc w:val="both"/>
      </w:pPr>
      <w:r>
        <w:rPr>
          <w:rFonts w:ascii="Book Antiqua" w:eastAsia="Book Antiqua" w:hAnsi="Book Antiqua" w:cs="Book Antiqua"/>
          <w:color w:val="000000"/>
        </w:rPr>
        <w:t>Proteomics was implemented to quantify the protein profile in the plasma of CD patients. Among the differentially expressed proteins, a hub gene that could regulate the immune response was selected for further study. The expression of the selected hub gene in the inflamed intestinal mucosa was verified b</w:t>
      </w:r>
      <w:r>
        <w:rPr>
          <w:rFonts w:ascii="Book Antiqua" w:eastAsia="Book Antiqua" w:hAnsi="Book Antiqua" w:cs="Book Antiqua"/>
          <w:color w:val="000000"/>
        </w:rPr>
        <w:t xml:space="preserve">y immunohistochemical staining. </w:t>
      </w:r>
      <w:r>
        <w:rPr>
          <w:rFonts w:ascii="Book Antiqua" w:eastAsia="Book Antiqua" w:hAnsi="Book Antiqua" w:cs="Book Antiqua"/>
          <w:i/>
          <w:iCs/>
          <w:color w:val="000000"/>
        </w:rPr>
        <w:t>In vitro</w:t>
      </w:r>
      <w:r>
        <w:rPr>
          <w:rFonts w:ascii="Book Antiqua" w:eastAsia="Book Antiqua" w:hAnsi="Book Antiqua" w:cs="Book Antiqua"/>
          <w:color w:val="000000"/>
        </w:rPr>
        <w:t>, the effects of the hub gene on the expression of proinflammatory cytokines and the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pathway were evaluated by ELISA, </w:t>
      </w:r>
      <w:proofErr w:type="spellStart"/>
      <w:r>
        <w:rPr>
          <w:rFonts w:ascii="Book Antiqua" w:eastAsia="Book Antiqua" w:hAnsi="Book Antiqua" w:cs="Book Antiqua"/>
          <w:color w:val="000000"/>
        </w:rPr>
        <w:t>qRT</w:t>
      </w:r>
      <w:proofErr w:type="spellEnd"/>
      <w:r>
        <w:rPr>
          <w:rFonts w:ascii="Book Antiqua" w:eastAsia="Book Antiqua" w:hAnsi="Book Antiqua" w:cs="Book Antiqua"/>
          <w:color w:val="000000"/>
        </w:rPr>
        <w:t>-PCR</w:t>
      </w:r>
      <w:r w:rsidR="005C00FA">
        <w:rPr>
          <w:rFonts w:ascii="Book Antiqua" w:eastAsia="Book Antiqua" w:hAnsi="Book Antiqua" w:cs="Book Antiqua"/>
          <w:color w:val="000000"/>
        </w:rPr>
        <w:t>,</w:t>
      </w:r>
      <w:r>
        <w:rPr>
          <w:rFonts w:ascii="Book Antiqua" w:eastAsia="Book Antiqua" w:hAnsi="Book Antiqua" w:cs="Book Antiqua"/>
          <w:color w:val="000000"/>
        </w:rPr>
        <w:t xml:space="preserve"> and </w:t>
      </w:r>
      <w:r w:rsidR="005C00FA">
        <w:rPr>
          <w:rFonts w:ascii="Book Antiqua" w:eastAsia="Book Antiqua" w:hAnsi="Book Antiqua" w:cs="Book Antiqua"/>
          <w:color w:val="000000"/>
        </w:rPr>
        <w:t xml:space="preserve">Western </w:t>
      </w:r>
      <w:r>
        <w:rPr>
          <w:rFonts w:ascii="Book Antiqua" w:eastAsia="Book Antiqua" w:hAnsi="Book Antiqua" w:cs="Book Antiqua"/>
          <w:color w:val="000000"/>
        </w:rPr>
        <w:t xml:space="preserve">blot </w:t>
      </w:r>
      <w:r w:rsidR="005C00FA">
        <w:rPr>
          <w:rFonts w:ascii="Book Antiqua" w:eastAsia="Book Antiqua" w:hAnsi="Book Antiqua" w:cs="Book Antiqua"/>
          <w:color w:val="000000"/>
        </w:rPr>
        <w:t>analysis</w:t>
      </w:r>
      <w:r>
        <w:rPr>
          <w:rFonts w:ascii="Book Antiqua" w:eastAsia="Book Antiqua" w:hAnsi="Book Antiqua" w:cs="Book Antiqua"/>
          <w:color w:val="000000"/>
        </w:rPr>
        <w:t>.</w:t>
      </w:r>
    </w:p>
    <w:p w14:paraId="7A15E458" w14:textId="77777777" w:rsidR="00A77B3E" w:rsidRDefault="00A77B3E" w:rsidP="005518F7">
      <w:pPr>
        <w:snapToGrid w:val="0"/>
        <w:spacing w:line="360" w:lineRule="auto"/>
        <w:jc w:val="both"/>
      </w:pPr>
    </w:p>
    <w:p w14:paraId="34E5F1E4" w14:textId="77777777" w:rsidR="00A77B3E" w:rsidRDefault="006C186E" w:rsidP="005518F7">
      <w:pPr>
        <w:snapToGrid w:val="0"/>
        <w:spacing w:line="360" w:lineRule="auto"/>
        <w:jc w:val="both"/>
      </w:pPr>
      <w:r>
        <w:rPr>
          <w:rFonts w:ascii="Book Antiqua" w:eastAsia="Book Antiqua" w:hAnsi="Book Antiqua" w:cs="Book Antiqua"/>
          <w:b/>
          <w:i/>
          <w:color w:val="000000"/>
        </w:rPr>
        <w:t>Research results</w:t>
      </w:r>
    </w:p>
    <w:p w14:paraId="747D7D49" w14:textId="4AD9EACB" w:rsidR="00A77B3E" w:rsidRDefault="006C186E" w:rsidP="005518F7">
      <w:pPr>
        <w:snapToGrid w:val="0"/>
        <w:spacing w:line="360" w:lineRule="auto"/>
        <w:jc w:val="both"/>
      </w:pPr>
      <w:r>
        <w:rPr>
          <w:rFonts w:ascii="Book Antiqua" w:eastAsia="Book Antiqua" w:hAnsi="Book Antiqua" w:cs="Book Antiqua"/>
          <w:color w:val="000000"/>
        </w:rPr>
        <w:t>Fibrinogen-like protein 1 (</w:t>
      </w:r>
      <w:r w:rsidRPr="003E4742">
        <w:rPr>
          <w:rFonts w:ascii="Book Antiqua" w:eastAsia="Book Antiqua" w:hAnsi="Book Antiqua" w:cs="Book Antiqua"/>
          <w:i/>
          <w:color w:val="000000"/>
        </w:rPr>
        <w:t>FGL1</w:t>
      </w:r>
      <w:r>
        <w:rPr>
          <w:rFonts w:ascii="Book Antiqua" w:eastAsia="Book Antiqua" w:hAnsi="Book Antiqua" w:cs="Book Antiqua"/>
          <w:color w:val="000000"/>
        </w:rPr>
        <w:t>), as a hub gene of the differentially express</w:t>
      </w:r>
      <w:r>
        <w:rPr>
          <w:rFonts w:ascii="Book Antiqua" w:eastAsia="Book Antiqua" w:hAnsi="Book Antiqua" w:cs="Book Antiqua"/>
          <w:color w:val="000000"/>
        </w:rPr>
        <w:t>ed proteins, was confirmed to be markedly upregulate</w:t>
      </w:r>
      <w:r>
        <w:rPr>
          <w:rFonts w:ascii="Book Antiqua" w:eastAsia="Book Antiqua" w:hAnsi="Book Antiqua" w:cs="Book Antiqua"/>
          <w:color w:val="000000"/>
        </w:rPr>
        <w:t>d in the plasma and intestinal mucosa of CD patients. Silencing FGL1 downregulated the levels of the proinflammatory cytokines IL-1β, IL-6, IL-17</w:t>
      </w:r>
      <w:r w:rsidR="005C00FA">
        <w:rPr>
          <w:rFonts w:ascii="Book Antiqua" w:eastAsia="Book Antiqua" w:hAnsi="Book Antiqua" w:cs="Book Antiqua"/>
          <w:color w:val="000000"/>
        </w:rPr>
        <w:t>,</w:t>
      </w:r>
      <w:r>
        <w:rPr>
          <w:rFonts w:ascii="Book Antiqua" w:eastAsia="Book Antiqua" w:hAnsi="Book Antiqua" w:cs="Book Antiqua"/>
          <w:color w:val="000000"/>
        </w:rPr>
        <w:t xml:space="preserve"> and TNF-α. Furthermore, FGL1 knockdown repressed the mRNA expression of </w:t>
      </w:r>
      <w:r w:rsidRPr="003E4742">
        <w:rPr>
          <w:rFonts w:ascii="Book Antiqua" w:eastAsia="Book Antiqua" w:hAnsi="Book Antiqua" w:cs="Book Antiqua"/>
          <w:i/>
          <w:color w:val="000000"/>
        </w:rPr>
        <w:t>NF-</w:t>
      </w:r>
      <w:proofErr w:type="spellStart"/>
      <w:r w:rsidRPr="003E4742">
        <w:rPr>
          <w:rFonts w:ascii="Book Antiqua" w:eastAsia="Book Antiqua" w:hAnsi="Book Antiqua" w:cs="Book Antiqua"/>
          <w:i/>
          <w:color w:val="000000"/>
        </w:rPr>
        <w:t>κB</w:t>
      </w:r>
      <w:proofErr w:type="spellEnd"/>
      <w:r>
        <w:rPr>
          <w:rFonts w:ascii="Book Antiqua" w:eastAsia="Book Antiqua" w:hAnsi="Book Antiqua" w:cs="Book Antiqua"/>
          <w:color w:val="000000"/>
        </w:rPr>
        <w:t xml:space="preserve"> and the protein levels of IKKα, IKKβ, p-IKKα/β, p-</w:t>
      </w:r>
      <w:proofErr w:type="spellStart"/>
      <w:r>
        <w:rPr>
          <w:rFonts w:ascii="Book Antiqua" w:eastAsia="Book Antiqua" w:hAnsi="Book Antiqua" w:cs="Book Antiqua"/>
          <w:color w:val="000000"/>
        </w:rPr>
        <w:t>IκB</w:t>
      </w:r>
      <w:proofErr w:type="spellEnd"/>
      <w:r>
        <w:rPr>
          <w:rFonts w:ascii="Book Antiqua" w:eastAsia="Book Antiqua" w:hAnsi="Book Antiqua" w:cs="Book Antiqua"/>
          <w:color w:val="000000"/>
        </w:rPr>
        <w:t>α, and p-p65. Overexpression of FGL1 enhanced these results.</w:t>
      </w:r>
    </w:p>
    <w:p w14:paraId="0D3C41F9" w14:textId="77777777" w:rsidR="00A77B3E" w:rsidRDefault="00A77B3E" w:rsidP="005518F7">
      <w:pPr>
        <w:snapToGrid w:val="0"/>
        <w:spacing w:line="360" w:lineRule="auto"/>
        <w:jc w:val="both"/>
      </w:pPr>
    </w:p>
    <w:p w14:paraId="5BBBA906" w14:textId="77777777" w:rsidR="00A77B3E" w:rsidRDefault="006C186E" w:rsidP="005518F7">
      <w:pPr>
        <w:snapToGrid w:val="0"/>
        <w:spacing w:line="360" w:lineRule="auto"/>
        <w:jc w:val="both"/>
      </w:pPr>
      <w:r>
        <w:rPr>
          <w:rFonts w:ascii="Book Antiqua" w:eastAsia="Book Antiqua" w:hAnsi="Book Antiqua" w:cs="Book Antiqua"/>
          <w:b/>
          <w:i/>
          <w:color w:val="000000"/>
        </w:rPr>
        <w:t>Research conclusions</w:t>
      </w:r>
    </w:p>
    <w:p w14:paraId="49503487" w14:textId="77777777" w:rsidR="00A77B3E" w:rsidRDefault="006C186E" w:rsidP="005518F7">
      <w:pPr>
        <w:snapToGrid w:val="0"/>
        <w:spacing w:line="360" w:lineRule="auto"/>
        <w:jc w:val="both"/>
      </w:pPr>
      <w:r>
        <w:rPr>
          <w:rFonts w:ascii="Book Antiqua" w:eastAsia="Book Antiqua" w:hAnsi="Book Antiqua" w:cs="Book Antiqua"/>
          <w:color w:val="000000"/>
        </w:rPr>
        <w:t>FGL1 may promote intestinal inflammation modulated by the canonical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pathway and has the potential to be a therapeutic target for CD.</w:t>
      </w:r>
    </w:p>
    <w:p w14:paraId="24FC07B8" w14:textId="77777777" w:rsidR="00A77B3E" w:rsidRDefault="00A77B3E" w:rsidP="005518F7">
      <w:pPr>
        <w:snapToGrid w:val="0"/>
        <w:spacing w:line="360" w:lineRule="auto"/>
        <w:jc w:val="both"/>
      </w:pPr>
    </w:p>
    <w:p w14:paraId="73C0EE2A" w14:textId="77777777" w:rsidR="00A77B3E" w:rsidRDefault="006C186E" w:rsidP="005518F7">
      <w:pPr>
        <w:snapToGrid w:val="0"/>
        <w:spacing w:line="360" w:lineRule="auto"/>
        <w:jc w:val="both"/>
      </w:pPr>
      <w:r>
        <w:rPr>
          <w:rFonts w:ascii="Book Antiqua" w:eastAsia="Book Antiqua" w:hAnsi="Book Antiqua" w:cs="Book Antiqua"/>
          <w:b/>
          <w:i/>
          <w:color w:val="000000"/>
        </w:rPr>
        <w:t>Research perspectives</w:t>
      </w:r>
    </w:p>
    <w:p w14:paraId="4B7DB6AC" w14:textId="1C9FBD79" w:rsidR="00A77B3E" w:rsidRDefault="006C186E" w:rsidP="005518F7">
      <w:pPr>
        <w:snapToGrid w:val="0"/>
        <w:spacing w:line="360" w:lineRule="auto"/>
        <w:jc w:val="both"/>
      </w:pPr>
      <w:r>
        <w:rPr>
          <w:rFonts w:ascii="Book Antiqua" w:eastAsia="Book Antiqua" w:hAnsi="Book Antiqua" w:cs="Book Antiqua"/>
          <w:color w:val="000000"/>
        </w:rPr>
        <w:t>Our findings indicate a critical role of FGL1 in the onset and progression of CD, which may serve as a potential prognostic biomarker and therapeu</w:t>
      </w:r>
      <w:r>
        <w:rPr>
          <w:rFonts w:ascii="Book Antiqua" w:eastAsia="Book Antiqua" w:hAnsi="Book Antiqua" w:cs="Book Antiqua"/>
          <w:color w:val="000000"/>
        </w:rPr>
        <w:t xml:space="preserve">tic target </w:t>
      </w:r>
      <w:r w:rsidR="005C00FA">
        <w:rPr>
          <w:rFonts w:ascii="Book Antiqua" w:eastAsia="Book Antiqua" w:hAnsi="Book Antiqua" w:cs="Book Antiqua"/>
          <w:color w:val="000000"/>
        </w:rPr>
        <w:t xml:space="preserve">for </w:t>
      </w:r>
      <w:r>
        <w:rPr>
          <w:rFonts w:ascii="Book Antiqua" w:eastAsia="Book Antiqua" w:hAnsi="Book Antiqua" w:cs="Book Antiqua"/>
          <w:color w:val="000000"/>
        </w:rPr>
        <w:t>CD.</w:t>
      </w:r>
    </w:p>
    <w:p w14:paraId="30D5B03D" w14:textId="77777777" w:rsidR="00A77B3E" w:rsidRDefault="00A77B3E" w:rsidP="005518F7">
      <w:pPr>
        <w:snapToGrid w:val="0"/>
        <w:spacing w:line="360" w:lineRule="auto"/>
        <w:jc w:val="both"/>
      </w:pPr>
    </w:p>
    <w:p w14:paraId="10D6E024" w14:textId="77777777" w:rsidR="00A77B3E" w:rsidRDefault="006C186E" w:rsidP="005518F7">
      <w:pPr>
        <w:snapToGrid w:val="0"/>
        <w:spacing w:line="360" w:lineRule="auto"/>
        <w:jc w:val="both"/>
      </w:pPr>
      <w:r>
        <w:rPr>
          <w:rFonts w:ascii="Book Antiqua" w:eastAsia="Book Antiqua" w:hAnsi="Book Antiqua" w:cs="Book Antiqua"/>
          <w:b/>
          <w:color w:val="000000"/>
        </w:rPr>
        <w:t>REFERENCES</w:t>
      </w:r>
    </w:p>
    <w:p w14:paraId="1E617F99" w14:textId="77777777" w:rsidR="00A77B3E" w:rsidRDefault="006C186E" w:rsidP="005518F7">
      <w:pPr>
        <w:snapToGrid w:val="0"/>
        <w:spacing w:line="360" w:lineRule="auto"/>
        <w:jc w:val="both"/>
      </w:pPr>
      <w:bookmarkStart w:id="3" w:name="OLE_LINK24"/>
      <w:r>
        <w:rPr>
          <w:rFonts w:ascii="Book Antiqua" w:eastAsia="Book Antiqua" w:hAnsi="Book Antiqua" w:cs="Book Antiqua"/>
          <w:color w:val="000000"/>
        </w:rPr>
        <w:t xml:space="preserve">1 </w:t>
      </w:r>
      <w:r>
        <w:rPr>
          <w:rFonts w:ascii="Book Antiqua" w:eastAsia="Book Antiqua" w:hAnsi="Book Antiqua" w:cs="Book Antiqua"/>
          <w:b/>
          <w:bCs/>
          <w:color w:val="000000"/>
        </w:rPr>
        <w:t>Torres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Mehandru</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Colombel</w:t>
      </w:r>
      <w:proofErr w:type="spellEnd"/>
      <w:r>
        <w:rPr>
          <w:rFonts w:ascii="Book Antiqua" w:eastAsia="Book Antiqua" w:hAnsi="Book Antiqua" w:cs="Book Antiqua"/>
          <w:color w:val="000000"/>
        </w:rPr>
        <w:t xml:space="preserve"> JF, </w:t>
      </w:r>
      <w:proofErr w:type="spellStart"/>
      <w:r>
        <w:rPr>
          <w:rFonts w:ascii="Book Antiqua" w:eastAsia="Book Antiqua" w:hAnsi="Book Antiqua" w:cs="Book Antiqua"/>
          <w:color w:val="000000"/>
        </w:rPr>
        <w:t>Peyrin-Biroulet</w:t>
      </w:r>
      <w:proofErr w:type="spellEnd"/>
      <w:r>
        <w:rPr>
          <w:rFonts w:ascii="Book Antiqua" w:eastAsia="Book Antiqua" w:hAnsi="Book Antiqua" w:cs="Book Antiqua"/>
          <w:color w:val="000000"/>
        </w:rPr>
        <w:t xml:space="preserve"> L. Crohn's disease.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2017; </w:t>
      </w:r>
      <w:r>
        <w:rPr>
          <w:rFonts w:ascii="Book Antiqua" w:eastAsia="Book Antiqua" w:hAnsi="Book Antiqua" w:cs="Book Antiqua"/>
          <w:b/>
          <w:bCs/>
          <w:color w:val="000000"/>
        </w:rPr>
        <w:t>389</w:t>
      </w:r>
      <w:r>
        <w:rPr>
          <w:rFonts w:ascii="Book Antiqua" w:eastAsia="Book Antiqua" w:hAnsi="Book Antiqua" w:cs="Book Antiqua"/>
          <w:color w:val="000000"/>
        </w:rPr>
        <w:t>: 1741-1755 [PMID: 27914655 DOI: 10.1016/S0140-6736(16)31711-1]</w:t>
      </w:r>
    </w:p>
    <w:p w14:paraId="1D68E51B" w14:textId="77777777" w:rsidR="00A77B3E" w:rsidRDefault="006C186E" w:rsidP="005518F7">
      <w:pPr>
        <w:snapToGrid w:val="0"/>
        <w:spacing w:line="360" w:lineRule="auto"/>
        <w:jc w:val="both"/>
      </w:pPr>
      <w:r>
        <w:rPr>
          <w:rFonts w:ascii="Book Antiqua" w:eastAsia="Book Antiqua" w:hAnsi="Book Antiqua" w:cs="Book Antiqua"/>
          <w:color w:val="000000"/>
        </w:rPr>
        <w:lastRenderedPageBreak/>
        <w:t xml:space="preserve">2 </w:t>
      </w:r>
      <w:r>
        <w:rPr>
          <w:rFonts w:ascii="Book Antiqua" w:eastAsia="Book Antiqua" w:hAnsi="Book Antiqua" w:cs="Book Antiqua"/>
          <w:b/>
          <w:bCs/>
          <w:color w:val="000000"/>
        </w:rPr>
        <w:t>Patel KV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Darakhshan</w:t>
      </w:r>
      <w:proofErr w:type="spellEnd"/>
      <w:r>
        <w:rPr>
          <w:rFonts w:ascii="Book Antiqua" w:eastAsia="Book Antiqua" w:hAnsi="Book Antiqua" w:cs="Book Antiqua"/>
          <w:color w:val="000000"/>
        </w:rPr>
        <w:t xml:space="preserve"> AA, Griffin N, Williams AB, Sanderson JD, Irving PM. Patient optimization for surgery relating to Crohn's disease. </w:t>
      </w:r>
      <w:r>
        <w:rPr>
          <w:rFonts w:ascii="Book Antiqua" w:eastAsia="Book Antiqua" w:hAnsi="Book Antiqua" w:cs="Book Antiqua"/>
          <w:i/>
          <w:iCs/>
          <w:color w:val="000000"/>
        </w:rPr>
        <w:t>Nat Rev Gastroenterol Hepatol</w:t>
      </w:r>
      <w:r>
        <w:rPr>
          <w:rFonts w:ascii="Book Antiqua" w:eastAsia="Book Antiqua" w:hAnsi="Book Antiqua" w:cs="Book Antiqua"/>
          <w:color w:val="000000"/>
        </w:rPr>
        <w:t xml:space="preserve"> 2016; </w:t>
      </w:r>
      <w:r>
        <w:rPr>
          <w:rFonts w:ascii="Book Antiqua" w:eastAsia="Book Antiqua" w:hAnsi="Book Antiqua" w:cs="Book Antiqua"/>
          <w:b/>
          <w:bCs/>
          <w:color w:val="000000"/>
        </w:rPr>
        <w:t>13</w:t>
      </w:r>
      <w:r>
        <w:rPr>
          <w:rFonts w:ascii="Book Antiqua" w:eastAsia="Book Antiqua" w:hAnsi="Book Antiqua" w:cs="Book Antiqua"/>
          <w:color w:val="000000"/>
        </w:rPr>
        <w:t>: 707-719 [PMID: 27780971 DOI: 10.1038/nrgastro.2016.158]</w:t>
      </w:r>
    </w:p>
    <w:p w14:paraId="5C29EC16" w14:textId="77777777" w:rsidR="00A77B3E" w:rsidRDefault="006C186E" w:rsidP="005518F7">
      <w:pPr>
        <w:snapToGrid w:val="0"/>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Kennedy NA</w:t>
      </w:r>
      <w:r>
        <w:rPr>
          <w:rFonts w:ascii="Book Antiqua" w:eastAsia="Book Antiqua" w:hAnsi="Book Antiqua" w:cs="Book Antiqua"/>
          <w:color w:val="000000"/>
        </w:rPr>
        <w:t xml:space="preserve">, Heap GA, Green HD, Hamilton B, </w:t>
      </w:r>
      <w:proofErr w:type="spellStart"/>
      <w:r>
        <w:rPr>
          <w:rFonts w:ascii="Book Antiqua" w:eastAsia="Book Antiqua" w:hAnsi="Book Antiqua" w:cs="Book Antiqua"/>
          <w:color w:val="000000"/>
        </w:rPr>
        <w:t>Bewshea</w:t>
      </w:r>
      <w:proofErr w:type="spellEnd"/>
      <w:r>
        <w:rPr>
          <w:rFonts w:ascii="Book Antiqua" w:eastAsia="Book Antiqua" w:hAnsi="Book Antiqua" w:cs="Book Antiqua"/>
          <w:color w:val="000000"/>
        </w:rPr>
        <w:t xml:space="preserve"> C, Walker GJ, Thomas A, Nice R, Perry MH, </w:t>
      </w:r>
      <w:proofErr w:type="spellStart"/>
      <w:r>
        <w:rPr>
          <w:rFonts w:ascii="Book Antiqua" w:eastAsia="Book Antiqua" w:hAnsi="Book Antiqua" w:cs="Book Antiqua"/>
          <w:color w:val="000000"/>
        </w:rPr>
        <w:t>Bouri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Chanchlani</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Heerasing</w:t>
      </w:r>
      <w:proofErr w:type="spellEnd"/>
      <w:r>
        <w:rPr>
          <w:rFonts w:ascii="Book Antiqua" w:eastAsia="Book Antiqua" w:hAnsi="Book Antiqua" w:cs="Book Antiqua"/>
          <w:color w:val="000000"/>
        </w:rPr>
        <w:t xml:space="preserve"> NM, Hendy P, Lin S, Gaya DR, Cummings JRF, Selinger CP, Lees CW, Hart AL, Parkes M, Sebastian S, Mansfield JC, Irving PM, Lindsay J, Russell RK, McDonald TJ, McGovern D, </w:t>
      </w:r>
      <w:proofErr w:type="spellStart"/>
      <w:r>
        <w:rPr>
          <w:rFonts w:ascii="Book Antiqua" w:eastAsia="Book Antiqua" w:hAnsi="Book Antiqua" w:cs="Book Antiqua"/>
          <w:color w:val="000000"/>
        </w:rPr>
        <w:t>Goodhand</w:t>
      </w:r>
      <w:proofErr w:type="spellEnd"/>
      <w:r>
        <w:rPr>
          <w:rFonts w:ascii="Book Antiqua" w:eastAsia="Book Antiqua" w:hAnsi="Book Antiqua" w:cs="Book Antiqua"/>
          <w:color w:val="000000"/>
        </w:rPr>
        <w:t xml:space="preserve"> JR, Ahmad T; UK Inflammatory Bowel Disease Pharmacogenetics Study Group. Predictors of anti-TNF treatment failure in anti-TNF-naive patients with active luminal Crohn's disease: a prospective, </w:t>
      </w:r>
      <w:proofErr w:type="spellStart"/>
      <w:r>
        <w:rPr>
          <w:rFonts w:ascii="Book Antiqua" w:eastAsia="Book Antiqua" w:hAnsi="Book Antiqua" w:cs="Book Antiqua"/>
          <w:color w:val="000000"/>
        </w:rPr>
        <w:t>multicentre</w:t>
      </w:r>
      <w:proofErr w:type="spellEnd"/>
      <w:r>
        <w:rPr>
          <w:rFonts w:ascii="Book Antiqua" w:eastAsia="Book Antiqua" w:hAnsi="Book Antiqua" w:cs="Book Antiqua"/>
          <w:color w:val="000000"/>
        </w:rPr>
        <w:t xml:space="preserve">, cohort study. </w:t>
      </w:r>
      <w:r>
        <w:rPr>
          <w:rFonts w:ascii="Book Antiqua" w:eastAsia="Book Antiqua" w:hAnsi="Book Antiqua" w:cs="Book Antiqua"/>
          <w:i/>
          <w:iCs/>
          <w:color w:val="000000"/>
        </w:rPr>
        <w:t>Lancet Gastroenterol Hepatol</w:t>
      </w:r>
      <w:r>
        <w:rPr>
          <w:rFonts w:ascii="Book Antiqua" w:eastAsia="Book Antiqua" w:hAnsi="Book Antiqua" w:cs="Book Antiqua"/>
          <w:color w:val="000000"/>
        </w:rPr>
        <w:t xml:space="preserve"> 2019; </w:t>
      </w:r>
      <w:r>
        <w:rPr>
          <w:rFonts w:ascii="Book Antiqua" w:eastAsia="Book Antiqua" w:hAnsi="Book Antiqua" w:cs="Book Antiqua"/>
          <w:b/>
          <w:bCs/>
          <w:color w:val="000000"/>
        </w:rPr>
        <w:t>4</w:t>
      </w:r>
      <w:r>
        <w:rPr>
          <w:rFonts w:ascii="Book Antiqua" w:eastAsia="Book Antiqua" w:hAnsi="Book Antiqua" w:cs="Book Antiqua"/>
          <w:color w:val="000000"/>
        </w:rPr>
        <w:t>: 341-353 [PMID: 30824404 DOI: 10.1016/S2468-1253(19)30012-3]</w:t>
      </w:r>
    </w:p>
    <w:p w14:paraId="4F52F96F" w14:textId="77777777" w:rsidR="00A77B3E" w:rsidRDefault="006C186E" w:rsidP="005518F7">
      <w:pPr>
        <w:snapToGrid w:val="0"/>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Löwenberg</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Vermeire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Mostafavi</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Hoentjen</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Franchimont</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Bossuyt</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Hindryckx</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Rispens</w:t>
      </w:r>
      <w:proofErr w:type="spellEnd"/>
      <w:r>
        <w:rPr>
          <w:rFonts w:ascii="Book Antiqua" w:eastAsia="Book Antiqua" w:hAnsi="Book Antiqua" w:cs="Book Antiqua"/>
          <w:color w:val="000000"/>
        </w:rPr>
        <w:t xml:space="preserve"> T, de Vries A, van der </w:t>
      </w:r>
      <w:proofErr w:type="spellStart"/>
      <w:r>
        <w:rPr>
          <w:rFonts w:ascii="Book Antiqua" w:eastAsia="Book Antiqua" w:hAnsi="Book Antiqua" w:cs="Book Antiqua"/>
          <w:color w:val="000000"/>
        </w:rPr>
        <w:t>Woude</w:t>
      </w:r>
      <w:proofErr w:type="spellEnd"/>
      <w:r>
        <w:rPr>
          <w:rFonts w:ascii="Book Antiqua" w:eastAsia="Book Antiqua" w:hAnsi="Book Antiqua" w:cs="Book Antiqua"/>
          <w:color w:val="000000"/>
        </w:rPr>
        <w:t xml:space="preserve"> CJ, </w:t>
      </w:r>
      <w:proofErr w:type="spellStart"/>
      <w:r>
        <w:rPr>
          <w:rFonts w:ascii="Book Antiqua" w:eastAsia="Book Antiqua" w:hAnsi="Book Antiqua" w:cs="Book Antiqua"/>
          <w:color w:val="000000"/>
        </w:rPr>
        <w:t>Berends</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Ambarus</w:t>
      </w:r>
      <w:proofErr w:type="spellEnd"/>
      <w:r>
        <w:rPr>
          <w:rFonts w:ascii="Book Antiqua" w:eastAsia="Book Antiqua" w:hAnsi="Book Antiqua" w:cs="Book Antiqua"/>
          <w:color w:val="000000"/>
        </w:rPr>
        <w:t xml:space="preserve"> CA, </w:t>
      </w:r>
      <w:proofErr w:type="spellStart"/>
      <w:r>
        <w:rPr>
          <w:rFonts w:ascii="Book Antiqua" w:eastAsia="Book Antiqua" w:hAnsi="Book Antiqua" w:cs="Book Antiqua"/>
          <w:color w:val="000000"/>
        </w:rPr>
        <w:t>Mathot</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Clasquin</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Baert</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D'Haens</w:t>
      </w:r>
      <w:proofErr w:type="spellEnd"/>
      <w:r>
        <w:rPr>
          <w:rFonts w:ascii="Book Antiqua" w:eastAsia="Book Antiqua" w:hAnsi="Book Antiqua" w:cs="Book Antiqua"/>
          <w:color w:val="000000"/>
        </w:rPr>
        <w:t xml:space="preserve"> G. Vedolizumab Induces Endoscopic and Histologic Remission in Patients With Crohn's Disease.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2019; </w:t>
      </w:r>
      <w:r>
        <w:rPr>
          <w:rFonts w:ascii="Book Antiqua" w:eastAsia="Book Antiqua" w:hAnsi="Book Antiqua" w:cs="Book Antiqua"/>
          <w:b/>
          <w:bCs/>
          <w:color w:val="000000"/>
        </w:rPr>
        <w:t>157</w:t>
      </w:r>
      <w:r>
        <w:rPr>
          <w:rFonts w:ascii="Book Antiqua" w:eastAsia="Book Antiqua" w:hAnsi="Book Antiqua" w:cs="Book Antiqua"/>
          <w:color w:val="000000"/>
        </w:rPr>
        <w:t>: 997-1006.e6 [PMID: 31175865 DOI: 10.1053/j.gastro.2019.05.067]</w:t>
      </w:r>
    </w:p>
    <w:p w14:paraId="3D37F150" w14:textId="77777777" w:rsidR="00A77B3E" w:rsidRDefault="006C186E" w:rsidP="005518F7">
      <w:pPr>
        <w:snapToGrid w:val="0"/>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Gisbert</w:t>
      </w:r>
      <w:proofErr w:type="spellEnd"/>
      <w:r>
        <w:rPr>
          <w:rFonts w:ascii="Book Antiqua" w:eastAsia="Book Antiqua" w:hAnsi="Book Antiqua" w:cs="Book Antiqua"/>
          <w:b/>
          <w:bCs/>
          <w:color w:val="000000"/>
        </w:rPr>
        <w:t xml:space="preserve"> JP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Chaparro</w:t>
      </w:r>
      <w:proofErr w:type="spellEnd"/>
      <w:r>
        <w:rPr>
          <w:rFonts w:ascii="Book Antiqua" w:eastAsia="Book Antiqua" w:hAnsi="Book Antiqua" w:cs="Book Antiqua"/>
          <w:color w:val="000000"/>
        </w:rPr>
        <w:t xml:space="preserve"> M. Clinical Usefulness of Proteomics in Inflammatory Bowel Disease: A Comprehensive Review.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Crohns</w:t>
      </w:r>
      <w:proofErr w:type="spellEnd"/>
      <w:r>
        <w:rPr>
          <w:rFonts w:ascii="Book Antiqua" w:eastAsia="Book Antiqua" w:hAnsi="Book Antiqua" w:cs="Book Antiqua"/>
          <w:i/>
          <w:iCs/>
          <w:color w:val="000000"/>
        </w:rPr>
        <w:t xml:space="preserve"> Colitis</w:t>
      </w:r>
      <w:r>
        <w:rPr>
          <w:rFonts w:ascii="Book Antiqua" w:eastAsia="Book Antiqua" w:hAnsi="Book Antiqua" w:cs="Book Antiqua"/>
          <w:color w:val="000000"/>
        </w:rPr>
        <w:t xml:space="preserve"> 2019; </w:t>
      </w:r>
      <w:r>
        <w:rPr>
          <w:rFonts w:ascii="Book Antiqua" w:eastAsia="Book Antiqua" w:hAnsi="Book Antiqua" w:cs="Book Antiqua"/>
          <w:b/>
          <w:bCs/>
          <w:color w:val="000000"/>
        </w:rPr>
        <w:t>13</w:t>
      </w:r>
      <w:r>
        <w:rPr>
          <w:rFonts w:ascii="Book Antiqua" w:eastAsia="Book Antiqua" w:hAnsi="Book Antiqua" w:cs="Book Antiqua"/>
          <w:color w:val="000000"/>
        </w:rPr>
        <w:t>: 374-384 [PMID: 30307487 DOI: 10.1093/</w:t>
      </w:r>
      <w:proofErr w:type="spellStart"/>
      <w:r>
        <w:rPr>
          <w:rFonts w:ascii="Book Antiqua" w:eastAsia="Book Antiqua" w:hAnsi="Book Antiqua" w:cs="Book Antiqua"/>
          <w:color w:val="000000"/>
        </w:rPr>
        <w:t>ecco-jcc</w:t>
      </w:r>
      <w:proofErr w:type="spellEnd"/>
      <w:r>
        <w:rPr>
          <w:rFonts w:ascii="Book Antiqua" w:eastAsia="Book Antiqua" w:hAnsi="Book Antiqua" w:cs="Book Antiqua"/>
          <w:color w:val="000000"/>
        </w:rPr>
        <w:t>/jjy158]</w:t>
      </w:r>
    </w:p>
    <w:p w14:paraId="263169AC" w14:textId="77777777" w:rsidR="00A77B3E" w:rsidRDefault="006C186E" w:rsidP="005518F7">
      <w:pPr>
        <w:snapToGrid w:val="0"/>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Yamamoto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Gotoh</w:t>
      </w:r>
      <w:proofErr w:type="spellEnd"/>
      <w:r>
        <w:rPr>
          <w:rFonts w:ascii="Book Antiqua" w:eastAsia="Book Antiqua" w:hAnsi="Book Antiqua" w:cs="Book Antiqua"/>
          <w:color w:val="000000"/>
        </w:rPr>
        <w:t xml:space="preserve"> M, Sasaki H, Terada M, </w:t>
      </w:r>
      <w:proofErr w:type="spellStart"/>
      <w:r>
        <w:rPr>
          <w:rFonts w:ascii="Book Antiqua" w:eastAsia="Book Antiqua" w:hAnsi="Book Antiqua" w:cs="Book Antiqua"/>
          <w:color w:val="000000"/>
        </w:rPr>
        <w:t>Kitajima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Hirohashi</w:t>
      </w:r>
      <w:proofErr w:type="spellEnd"/>
      <w:r>
        <w:rPr>
          <w:rFonts w:ascii="Book Antiqua" w:eastAsia="Book Antiqua" w:hAnsi="Book Antiqua" w:cs="Book Antiqua"/>
          <w:color w:val="000000"/>
        </w:rPr>
        <w:t xml:space="preserve"> S. Molecular cloning and initial characterization of a novel fibrinogen-related gene, HFREP-1.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Biophys</w:t>
      </w:r>
      <w:proofErr w:type="spellEnd"/>
      <w:r>
        <w:rPr>
          <w:rFonts w:ascii="Book Antiqua" w:eastAsia="Book Antiqua" w:hAnsi="Book Antiqua" w:cs="Book Antiqua"/>
          <w:i/>
          <w:iCs/>
          <w:color w:val="000000"/>
        </w:rPr>
        <w:t xml:space="preserve"> Res </w:t>
      </w:r>
      <w:proofErr w:type="spellStart"/>
      <w:r>
        <w:rPr>
          <w:rFonts w:ascii="Book Antiqua" w:eastAsia="Book Antiqua" w:hAnsi="Book Antiqua" w:cs="Book Antiqua"/>
          <w:i/>
          <w:iCs/>
          <w:color w:val="000000"/>
        </w:rPr>
        <w:t>Commun</w:t>
      </w:r>
      <w:proofErr w:type="spellEnd"/>
      <w:r>
        <w:rPr>
          <w:rFonts w:ascii="Book Antiqua" w:eastAsia="Book Antiqua" w:hAnsi="Book Antiqua" w:cs="Book Antiqua"/>
          <w:color w:val="000000"/>
        </w:rPr>
        <w:t xml:space="preserve"> 1993; </w:t>
      </w:r>
      <w:r>
        <w:rPr>
          <w:rFonts w:ascii="Book Antiqua" w:eastAsia="Book Antiqua" w:hAnsi="Book Antiqua" w:cs="Book Antiqua"/>
          <w:b/>
          <w:bCs/>
          <w:color w:val="000000"/>
        </w:rPr>
        <w:t>193</w:t>
      </w:r>
      <w:r>
        <w:rPr>
          <w:rFonts w:ascii="Book Antiqua" w:eastAsia="Book Antiqua" w:hAnsi="Book Antiqua" w:cs="Book Antiqua"/>
          <w:color w:val="000000"/>
        </w:rPr>
        <w:t>: 681-687 [PMID: 8390249 DOI: 10.1006/bbrc.1993.1678]</w:t>
      </w:r>
    </w:p>
    <w:p w14:paraId="50AFBCA2" w14:textId="77777777" w:rsidR="00A77B3E" w:rsidRDefault="006C186E" w:rsidP="005518F7">
      <w:pPr>
        <w:snapToGrid w:val="0"/>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Liu S</w:t>
      </w:r>
      <w:r>
        <w:rPr>
          <w:rFonts w:ascii="Book Antiqua" w:eastAsia="Book Antiqua" w:hAnsi="Book Antiqua" w:cs="Book Antiqua"/>
          <w:color w:val="000000"/>
        </w:rPr>
        <w:t xml:space="preserve">, Guo Y, Lu L, Lu J, </w:t>
      </w:r>
      <w:proofErr w:type="spellStart"/>
      <w:r>
        <w:rPr>
          <w:rFonts w:ascii="Book Antiqua" w:eastAsia="Book Antiqua" w:hAnsi="Book Antiqua" w:cs="Book Antiqua"/>
          <w:color w:val="000000"/>
        </w:rPr>
        <w:t>Ke</w:t>
      </w:r>
      <w:proofErr w:type="spellEnd"/>
      <w:r>
        <w:rPr>
          <w:rFonts w:ascii="Book Antiqua" w:eastAsia="Book Antiqua" w:hAnsi="Book Antiqua" w:cs="Book Antiqua"/>
          <w:color w:val="000000"/>
        </w:rPr>
        <w:t xml:space="preserve"> M, Xu T, Lu Y, Chen W, Wang J, Kong D, Shen Q, Zhu Y, Tan W, Ji W, Zhou W. Fibrinogen-Like Protein 1 Is a Novel Biomarker for Predicting Disease Activity and Prognosis of Rheumatoid Arthritis. </w:t>
      </w:r>
      <w:r>
        <w:rPr>
          <w:rFonts w:ascii="Book Antiqua" w:eastAsia="Book Antiqua" w:hAnsi="Book Antiqua" w:cs="Book Antiqua"/>
          <w:i/>
          <w:iCs/>
          <w:color w:val="000000"/>
        </w:rPr>
        <w:t>Front Immunol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579228 [PMID: 33123164 DOI: 10.3389/fimmu.2020.579228]</w:t>
      </w:r>
    </w:p>
    <w:p w14:paraId="00E461D5" w14:textId="77777777" w:rsidR="00A77B3E" w:rsidRDefault="006C186E" w:rsidP="005518F7">
      <w:pPr>
        <w:snapToGrid w:val="0"/>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Wang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Sanmamed</w:t>
      </w:r>
      <w:proofErr w:type="spellEnd"/>
      <w:r>
        <w:rPr>
          <w:rFonts w:ascii="Book Antiqua" w:eastAsia="Book Antiqua" w:hAnsi="Book Antiqua" w:cs="Book Antiqua"/>
          <w:color w:val="000000"/>
        </w:rPr>
        <w:t xml:space="preserve"> MF, </w:t>
      </w:r>
      <w:proofErr w:type="spellStart"/>
      <w:r>
        <w:rPr>
          <w:rFonts w:ascii="Book Antiqua" w:eastAsia="Book Antiqua" w:hAnsi="Book Antiqua" w:cs="Book Antiqua"/>
          <w:color w:val="000000"/>
        </w:rPr>
        <w:t>Datar</w:t>
      </w:r>
      <w:proofErr w:type="spellEnd"/>
      <w:r>
        <w:rPr>
          <w:rFonts w:ascii="Book Antiqua" w:eastAsia="Book Antiqua" w:hAnsi="Book Antiqua" w:cs="Book Antiqua"/>
          <w:color w:val="000000"/>
        </w:rPr>
        <w:t xml:space="preserve"> I, Su TT, Ji L, Sun J, Chen L, Chen Y, Zhu G, Yin W, Zheng L, Zhou T, Badri T, Yao S, Zhu S, </w:t>
      </w:r>
      <w:proofErr w:type="spellStart"/>
      <w:r>
        <w:rPr>
          <w:rFonts w:ascii="Book Antiqua" w:eastAsia="Book Antiqua" w:hAnsi="Book Antiqua" w:cs="Book Antiqua"/>
          <w:color w:val="000000"/>
        </w:rPr>
        <w:t>Boto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Sznol</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Melero</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Vignali</w:t>
      </w:r>
      <w:proofErr w:type="spellEnd"/>
      <w:r>
        <w:rPr>
          <w:rFonts w:ascii="Book Antiqua" w:eastAsia="Book Antiqua" w:hAnsi="Book Antiqua" w:cs="Book Antiqua"/>
          <w:color w:val="000000"/>
        </w:rPr>
        <w:t xml:space="preserve"> DAA, </w:t>
      </w:r>
      <w:proofErr w:type="spellStart"/>
      <w:r>
        <w:rPr>
          <w:rFonts w:ascii="Book Antiqua" w:eastAsia="Book Antiqua" w:hAnsi="Book Antiqua" w:cs="Book Antiqua"/>
          <w:color w:val="000000"/>
        </w:rPr>
        <w:t>Schalper</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K, Chen L. Fibrinogen-like Protein 1 Is a Major Immune Inhibitory Ligand of LAG-3. </w:t>
      </w:r>
      <w:r>
        <w:rPr>
          <w:rFonts w:ascii="Book Antiqua" w:eastAsia="Book Antiqua" w:hAnsi="Book Antiqua" w:cs="Book Antiqua"/>
          <w:i/>
          <w:iCs/>
          <w:color w:val="000000"/>
        </w:rPr>
        <w:t>Cell</w:t>
      </w:r>
      <w:r>
        <w:rPr>
          <w:rFonts w:ascii="Book Antiqua" w:eastAsia="Book Antiqua" w:hAnsi="Book Antiqua" w:cs="Book Antiqua"/>
          <w:color w:val="000000"/>
        </w:rPr>
        <w:t xml:space="preserve"> 2019; </w:t>
      </w:r>
      <w:r>
        <w:rPr>
          <w:rFonts w:ascii="Book Antiqua" w:eastAsia="Book Antiqua" w:hAnsi="Book Antiqua" w:cs="Book Antiqua"/>
          <w:b/>
          <w:bCs/>
          <w:color w:val="000000"/>
        </w:rPr>
        <w:t>176</w:t>
      </w:r>
      <w:r>
        <w:rPr>
          <w:rFonts w:ascii="Book Antiqua" w:eastAsia="Book Antiqua" w:hAnsi="Book Antiqua" w:cs="Book Antiqua"/>
          <w:color w:val="000000"/>
        </w:rPr>
        <w:t>: 334-347.e12 [PMID: 30580966 DOI: 10.1016/j.cell.2018.11.010]</w:t>
      </w:r>
    </w:p>
    <w:p w14:paraId="5489C6B9" w14:textId="77777777" w:rsidR="00A77B3E" w:rsidRDefault="006C186E" w:rsidP="005518F7">
      <w:pPr>
        <w:snapToGrid w:val="0"/>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Lichtenstein GR</w:t>
      </w:r>
      <w:r>
        <w:rPr>
          <w:rFonts w:ascii="Book Antiqua" w:eastAsia="Book Antiqua" w:hAnsi="Book Antiqua" w:cs="Book Antiqua"/>
          <w:color w:val="000000"/>
        </w:rPr>
        <w:t xml:space="preserve">, Loftus EV, Isaacs KL, </w:t>
      </w:r>
      <w:proofErr w:type="spellStart"/>
      <w:r>
        <w:rPr>
          <w:rFonts w:ascii="Book Antiqua" w:eastAsia="Book Antiqua" w:hAnsi="Book Antiqua" w:cs="Book Antiqua"/>
          <w:color w:val="000000"/>
        </w:rPr>
        <w:t>Regueiro</w:t>
      </w:r>
      <w:proofErr w:type="spellEnd"/>
      <w:r>
        <w:rPr>
          <w:rFonts w:ascii="Book Antiqua" w:eastAsia="Book Antiqua" w:hAnsi="Book Antiqua" w:cs="Book Antiqua"/>
          <w:color w:val="000000"/>
        </w:rPr>
        <w:t xml:space="preserve"> MD, Gerson LB, Sands BE. ACG Clinical Guideline: Management of Crohn's Disease in Adults.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113</w:t>
      </w:r>
      <w:r>
        <w:rPr>
          <w:rFonts w:ascii="Book Antiqua" w:eastAsia="Book Antiqua" w:hAnsi="Book Antiqua" w:cs="Book Antiqua"/>
          <w:color w:val="000000"/>
        </w:rPr>
        <w:t>: 481-517 [PMID: 29610508 DOI: 10.1038/ajg.2018.27]</w:t>
      </w:r>
    </w:p>
    <w:p w14:paraId="449996B4" w14:textId="77777777" w:rsidR="00A77B3E" w:rsidRDefault="006C186E" w:rsidP="005518F7">
      <w:pPr>
        <w:snapToGrid w:val="0"/>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Tyers M</w:t>
      </w:r>
      <w:r>
        <w:rPr>
          <w:rFonts w:ascii="Book Antiqua" w:eastAsia="Book Antiqua" w:hAnsi="Book Antiqua" w:cs="Book Antiqua"/>
          <w:color w:val="000000"/>
        </w:rPr>
        <w:t xml:space="preserve">, Mann M. From genomics to proteomics.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2003; </w:t>
      </w:r>
      <w:r>
        <w:rPr>
          <w:rFonts w:ascii="Book Antiqua" w:eastAsia="Book Antiqua" w:hAnsi="Book Antiqua" w:cs="Book Antiqua"/>
          <w:b/>
          <w:bCs/>
          <w:color w:val="000000"/>
        </w:rPr>
        <w:t>422</w:t>
      </w:r>
      <w:r>
        <w:rPr>
          <w:rFonts w:ascii="Book Antiqua" w:eastAsia="Book Antiqua" w:hAnsi="Book Antiqua" w:cs="Book Antiqua"/>
          <w:color w:val="000000"/>
        </w:rPr>
        <w:t>: 193-197 [PMID: 12634792 DOI: 10.1038/nature01510]</w:t>
      </w:r>
    </w:p>
    <w:p w14:paraId="5337411F" w14:textId="77777777" w:rsidR="00A77B3E" w:rsidRDefault="006C186E" w:rsidP="005518F7">
      <w:pPr>
        <w:snapToGrid w:val="0"/>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Titz</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Gadaleta</w:t>
      </w:r>
      <w:proofErr w:type="spellEnd"/>
      <w:r>
        <w:rPr>
          <w:rFonts w:ascii="Book Antiqua" w:eastAsia="Book Antiqua" w:hAnsi="Book Antiqua" w:cs="Book Antiqua"/>
          <w:color w:val="000000"/>
        </w:rPr>
        <w:t xml:space="preserve"> RM, Lo </w:t>
      </w:r>
      <w:proofErr w:type="spellStart"/>
      <w:r>
        <w:rPr>
          <w:rFonts w:ascii="Book Antiqua" w:eastAsia="Book Antiqua" w:hAnsi="Book Antiqua" w:cs="Book Antiqua"/>
          <w:color w:val="000000"/>
        </w:rPr>
        <w:t>Sasso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Elamin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Ekroos</w:t>
      </w:r>
      <w:proofErr w:type="spellEnd"/>
      <w:r>
        <w:rPr>
          <w:rFonts w:ascii="Book Antiqua" w:eastAsia="Book Antiqua" w:hAnsi="Book Antiqua" w:cs="Book Antiqua"/>
          <w:color w:val="000000"/>
        </w:rPr>
        <w:t xml:space="preserve"> K, Ivanov NV, </w:t>
      </w:r>
      <w:proofErr w:type="spellStart"/>
      <w:r>
        <w:rPr>
          <w:rFonts w:ascii="Book Antiqua" w:eastAsia="Book Antiqua" w:hAnsi="Book Antiqua" w:cs="Book Antiqua"/>
          <w:color w:val="000000"/>
        </w:rPr>
        <w:t>Peitsch</w:t>
      </w:r>
      <w:proofErr w:type="spellEnd"/>
      <w:r>
        <w:rPr>
          <w:rFonts w:ascii="Book Antiqua" w:eastAsia="Book Antiqua" w:hAnsi="Book Antiqua" w:cs="Book Antiqua"/>
          <w:color w:val="000000"/>
        </w:rPr>
        <w:t xml:space="preserve"> MC, </w:t>
      </w:r>
      <w:proofErr w:type="spellStart"/>
      <w:r>
        <w:rPr>
          <w:rFonts w:ascii="Book Antiqua" w:eastAsia="Book Antiqua" w:hAnsi="Book Antiqua" w:cs="Book Antiqua"/>
          <w:color w:val="000000"/>
        </w:rPr>
        <w:t>Hoeng</w:t>
      </w:r>
      <w:proofErr w:type="spellEnd"/>
      <w:r>
        <w:rPr>
          <w:rFonts w:ascii="Book Antiqua" w:eastAsia="Book Antiqua" w:hAnsi="Book Antiqua" w:cs="Book Antiqua"/>
          <w:color w:val="000000"/>
        </w:rPr>
        <w:t xml:space="preserve"> J. Proteomics and </w:t>
      </w:r>
      <w:proofErr w:type="spellStart"/>
      <w:r>
        <w:rPr>
          <w:rFonts w:ascii="Book Antiqua" w:eastAsia="Book Antiqua" w:hAnsi="Book Antiqua" w:cs="Book Antiqua"/>
          <w:color w:val="000000"/>
        </w:rPr>
        <w:t>Lipidomics</w:t>
      </w:r>
      <w:proofErr w:type="spellEnd"/>
      <w:r>
        <w:rPr>
          <w:rFonts w:ascii="Book Antiqua" w:eastAsia="Book Antiqua" w:hAnsi="Book Antiqua" w:cs="Book Antiqua"/>
          <w:color w:val="000000"/>
        </w:rPr>
        <w:t xml:space="preserve"> in Inflammatory Bowel Disease Research: From Mechanistic Insights to Biomarker Identification. </w:t>
      </w:r>
      <w:r>
        <w:rPr>
          <w:rFonts w:ascii="Book Antiqua" w:eastAsia="Book Antiqua" w:hAnsi="Book Antiqua" w:cs="Book Antiqua"/>
          <w:i/>
          <w:iCs/>
          <w:color w:val="000000"/>
        </w:rPr>
        <w:t>Int J Mol Sci</w:t>
      </w:r>
      <w:r>
        <w:rPr>
          <w:rFonts w:ascii="Book Antiqua" w:eastAsia="Book Antiqua" w:hAnsi="Book Antiqua" w:cs="Book Antiqua"/>
          <w:color w:val="000000"/>
        </w:rPr>
        <w:t xml:space="preserve"> 2018; </w:t>
      </w:r>
      <w:r>
        <w:rPr>
          <w:rFonts w:ascii="Book Antiqua" w:eastAsia="Book Antiqua" w:hAnsi="Book Antiqua" w:cs="Book Antiqua"/>
          <w:b/>
          <w:bCs/>
          <w:color w:val="000000"/>
        </w:rPr>
        <w:t>19</w:t>
      </w:r>
      <w:r>
        <w:rPr>
          <w:rFonts w:ascii="Book Antiqua" w:eastAsia="Book Antiqua" w:hAnsi="Book Antiqua" w:cs="Book Antiqua"/>
          <w:color w:val="000000"/>
        </w:rPr>
        <w:t xml:space="preserve"> [PMID: 30223557 DOI: 10.3390/ijms19092775]</w:t>
      </w:r>
    </w:p>
    <w:p w14:paraId="09CA11EA" w14:textId="77777777" w:rsidR="00A77B3E" w:rsidRDefault="006C186E" w:rsidP="005518F7">
      <w:pPr>
        <w:snapToGrid w:val="0"/>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Starr AE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Deeke</w:t>
      </w:r>
      <w:proofErr w:type="spellEnd"/>
      <w:r>
        <w:rPr>
          <w:rFonts w:ascii="Book Antiqua" w:eastAsia="Book Antiqua" w:hAnsi="Book Antiqua" w:cs="Book Antiqua"/>
          <w:color w:val="000000"/>
        </w:rPr>
        <w:t xml:space="preserve"> SA, Ning Z, Chiang CK, Zhang X, </w:t>
      </w:r>
      <w:proofErr w:type="spellStart"/>
      <w:r>
        <w:rPr>
          <w:rFonts w:ascii="Book Antiqua" w:eastAsia="Book Antiqua" w:hAnsi="Book Antiqua" w:cs="Book Antiqua"/>
          <w:color w:val="000000"/>
        </w:rPr>
        <w:t>Mottawea</w:t>
      </w:r>
      <w:proofErr w:type="spellEnd"/>
      <w:r>
        <w:rPr>
          <w:rFonts w:ascii="Book Antiqua" w:eastAsia="Book Antiqua" w:hAnsi="Book Antiqua" w:cs="Book Antiqua"/>
          <w:color w:val="000000"/>
        </w:rPr>
        <w:t xml:space="preserve"> W, Singleton R, </w:t>
      </w:r>
      <w:proofErr w:type="spellStart"/>
      <w:r>
        <w:rPr>
          <w:rFonts w:ascii="Book Antiqua" w:eastAsia="Book Antiqua" w:hAnsi="Book Antiqua" w:cs="Book Antiqua"/>
          <w:color w:val="000000"/>
        </w:rPr>
        <w:t>Benchimol</w:t>
      </w:r>
      <w:proofErr w:type="spellEnd"/>
      <w:r>
        <w:rPr>
          <w:rFonts w:ascii="Book Antiqua" w:eastAsia="Book Antiqua" w:hAnsi="Book Antiqua" w:cs="Book Antiqua"/>
          <w:color w:val="000000"/>
        </w:rPr>
        <w:t xml:space="preserve"> EI, Wen M, Mack DR, </w:t>
      </w:r>
      <w:proofErr w:type="spellStart"/>
      <w:r>
        <w:rPr>
          <w:rFonts w:ascii="Book Antiqua" w:eastAsia="Book Antiqua" w:hAnsi="Book Antiqua" w:cs="Book Antiqua"/>
          <w:color w:val="000000"/>
        </w:rPr>
        <w:t>Stintzi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Figeys</w:t>
      </w:r>
      <w:proofErr w:type="spellEnd"/>
      <w:r>
        <w:rPr>
          <w:rFonts w:ascii="Book Antiqua" w:eastAsia="Book Antiqua" w:hAnsi="Book Antiqua" w:cs="Book Antiqua"/>
          <w:color w:val="000000"/>
        </w:rPr>
        <w:t xml:space="preserve"> D. Proteomic analysis of ascending colon biopsies from a </w:t>
      </w:r>
      <w:proofErr w:type="spellStart"/>
      <w:r>
        <w:rPr>
          <w:rFonts w:ascii="Book Antiqua" w:eastAsia="Book Antiqua" w:hAnsi="Book Antiqua" w:cs="Book Antiqua"/>
          <w:color w:val="000000"/>
        </w:rPr>
        <w:t>paediatric</w:t>
      </w:r>
      <w:proofErr w:type="spellEnd"/>
      <w:r>
        <w:rPr>
          <w:rFonts w:ascii="Book Antiqua" w:eastAsia="Book Antiqua" w:hAnsi="Book Antiqua" w:cs="Book Antiqua"/>
          <w:color w:val="000000"/>
        </w:rPr>
        <w:t xml:space="preserve"> inflammatory bowel disease inception cohort identifies protein biomarkers that differentiate Crohn's disease from UC. </w:t>
      </w:r>
      <w:r>
        <w:rPr>
          <w:rFonts w:ascii="Book Antiqua" w:eastAsia="Book Antiqua" w:hAnsi="Book Antiqua" w:cs="Book Antiqua"/>
          <w:i/>
          <w:iCs/>
          <w:color w:val="000000"/>
        </w:rPr>
        <w:t>Gut</w:t>
      </w:r>
      <w:r>
        <w:rPr>
          <w:rFonts w:ascii="Book Antiqua" w:eastAsia="Book Antiqua" w:hAnsi="Book Antiqua" w:cs="Book Antiqua"/>
          <w:color w:val="000000"/>
        </w:rPr>
        <w:t xml:space="preserve"> 2017; </w:t>
      </w:r>
      <w:r>
        <w:rPr>
          <w:rFonts w:ascii="Book Antiqua" w:eastAsia="Book Antiqua" w:hAnsi="Book Antiqua" w:cs="Book Antiqua"/>
          <w:b/>
          <w:bCs/>
          <w:color w:val="000000"/>
        </w:rPr>
        <w:t>66</w:t>
      </w:r>
      <w:r>
        <w:rPr>
          <w:rFonts w:ascii="Book Antiqua" w:eastAsia="Book Antiqua" w:hAnsi="Book Antiqua" w:cs="Book Antiqua"/>
          <w:color w:val="000000"/>
        </w:rPr>
        <w:t>: 1573-1583 [PMID: 27216938 DOI: 10.1136/gutjnl-2015-310705]</w:t>
      </w:r>
    </w:p>
    <w:p w14:paraId="281DF4B5" w14:textId="77777777" w:rsidR="00A77B3E" w:rsidRDefault="006C186E" w:rsidP="005518F7">
      <w:pPr>
        <w:snapToGrid w:val="0"/>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Townsend P</w:t>
      </w:r>
      <w:r>
        <w:rPr>
          <w:rFonts w:ascii="Book Antiqua" w:eastAsia="Book Antiqua" w:hAnsi="Book Antiqua" w:cs="Book Antiqua"/>
          <w:color w:val="000000"/>
        </w:rPr>
        <w:t xml:space="preserve">, Zhang Q, Shapiro J, Webb-Robertson BJ, </w:t>
      </w:r>
      <w:proofErr w:type="spellStart"/>
      <w:r>
        <w:rPr>
          <w:rFonts w:ascii="Book Antiqua" w:eastAsia="Book Antiqua" w:hAnsi="Book Antiqua" w:cs="Book Antiqua"/>
          <w:color w:val="000000"/>
        </w:rPr>
        <w:t>Bramer</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Schepmoes</w:t>
      </w:r>
      <w:proofErr w:type="spellEnd"/>
      <w:r>
        <w:rPr>
          <w:rFonts w:ascii="Book Antiqua" w:eastAsia="Book Antiqua" w:hAnsi="Book Antiqua" w:cs="Book Antiqua"/>
          <w:color w:val="000000"/>
        </w:rPr>
        <w:t xml:space="preserve"> AA, Weitz KK, Mallette M, Moniz H, Bright R, Merrick M, Shah SA, Sands BE, </w:t>
      </w:r>
      <w:proofErr w:type="spellStart"/>
      <w:r>
        <w:rPr>
          <w:rFonts w:ascii="Book Antiqua" w:eastAsia="Book Antiqua" w:hAnsi="Book Antiqua" w:cs="Book Antiqua"/>
          <w:color w:val="000000"/>
        </w:rPr>
        <w:t>Leleiko</w:t>
      </w:r>
      <w:proofErr w:type="spellEnd"/>
      <w:r>
        <w:rPr>
          <w:rFonts w:ascii="Book Antiqua" w:eastAsia="Book Antiqua" w:hAnsi="Book Antiqua" w:cs="Book Antiqua"/>
          <w:color w:val="000000"/>
        </w:rPr>
        <w:t xml:space="preserve"> N. Serum Proteome Profiles in </w:t>
      </w:r>
      <w:proofErr w:type="spellStart"/>
      <w:r>
        <w:rPr>
          <w:rFonts w:ascii="Book Antiqua" w:eastAsia="Book Antiqua" w:hAnsi="Book Antiqua" w:cs="Book Antiqua"/>
          <w:color w:val="000000"/>
        </w:rPr>
        <w:t>Stricturing</w:t>
      </w:r>
      <w:proofErr w:type="spellEnd"/>
      <w:r>
        <w:rPr>
          <w:rFonts w:ascii="Book Antiqua" w:eastAsia="Book Antiqua" w:hAnsi="Book Antiqua" w:cs="Book Antiqua"/>
          <w:color w:val="000000"/>
        </w:rPr>
        <w:t xml:space="preserve"> Crohn's Disease: A Pilot Study. </w:t>
      </w:r>
      <w:proofErr w:type="spellStart"/>
      <w:r>
        <w:rPr>
          <w:rFonts w:ascii="Book Antiqua" w:eastAsia="Book Antiqua" w:hAnsi="Book Antiqua" w:cs="Book Antiqua"/>
          <w:i/>
          <w:iCs/>
          <w:color w:val="000000"/>
        </w:rPr>
        <w:t>Inflamm</w:t>
      </w:r>
      <w:proofErr w:type="spellEnd"/>
      <w:r>
        <w:rPr>
          <w:rFonts w:ascii="Book Antiqua" w:eastAsia="Book Antiqua" w:hAnsi="Book Antiqua" w:cs="Book Antiqua"/>
          <w:i/>
          <w:iCs/>
          <w:color w:val="000000"/>
        </w:rPr>
        <w:t xml:space="preserve"> Bowel Dis</w:t>
      </w:r>
      <w:r>
        <w:rPr>
          <w:rFonts w:ascii="Book Antiqua" w:eastAsia="Book Antiqua" w:hAnsi="Book Antiqua" w:cs="Book Antiqua"/>
          <w:color w:val="000000"/>
        </w:rPr>
        <w:t xml:space="preserve"> 2015; </w:t>
      </w:r>
      <w:r>
        <w:rPr>
          <w:rFonts w:ascii="Book Antiqua" w:eastAsia="Book Antiqua" w:hAnsi="Book Antiqua" w:cs="Book Antiqua"/>
          <w:b/>
          <w:bCs/>
          <w:color w:val="000000"/>
        </w:rPr>
        <w:t>21</w:t>
      </w:r>
      <w:r>
        <w:rPr>
          <w:rFonts w:ascii="Book Antiqua" w:eastAsia="Book Antiqua" w:hAnsi="Book Antiqua" w:cs="Book Antiqua"/>
          <w:color w:val="000000"/>
        </w:rPr>
        <w:t>: 1935-1941 [PMID: 26199992 DOI: 10.1097/MIB.0000000000000445]</w:t>
      </w:r>
    </w:p>
    <w:p w14:paraId="20418E29" w14:textId="77777777" w:rsidR="00A77B3E" w:rsidRDefault="006C186E" w:rsidP="005518F7">
      <w:pPr>
        <w:snapToGrid w:val="0"/>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Wang J</w:t>
      </w:r>
      <w:r>
        <w:rPr>
          <w:rFonts w:ascii="Book Antiqua" w:eastAsia="Book Antiqua" w:hAnsi="Book Antiqua" w:cs="Book Antiqua"/>
          <w:color w:val="000000"/>
        </w:rPr>
        <w:t xml:space="preserve">, Wei W, Tang Q, Lu L, Luo Z, Li W, Lu Y, Pu J. </w:t>
      </w:r>
      <w:proofErr w:type="spellStart"/>
      <w:r>
        <w:rPr>
          <w:rFonts w:ascii="Book Antiqua" w:eastAsia="Book Antiqua" w:hAnsi="Book Antiqua" w:cs="Book Antiqua"/>
          <w:color w:val="000000"/>
        </w:rPr>
        <w:t>Oxysophocarpine</w:t>
      </w:r>
      <w:proofErr w:type="spellEnd"/>
      <w:r>
        <w:rPr>
          <w:rFonts w:ascii="Book Antiqua" w:eastAsia="Book Antiqua" w:hAnsi="Book Antiqua" w:cs="Book Antiqua"/>
          <w:color w:val="000000"/>
        </w:rPr>
        <w:t xml:space="preserve"> suppresses hepatocellular carcinoma growth and sensitizes the therapeutic blockade of anti-Lag-3 </w:t>
      </w:r>
      <w:r>
        <w:rPr>
          <w:rFonts w:ascii="Book Antiqua" w:eastAsia="Book Antiqua" w:hAnsi="Book Antiqua" w:cs="Book Antiqua"/>
          <w:i/>
          <w:iCs/>
          <w:color w:val="000000"/>
        </w:rPr>
        <w:t>via</w:t>
      </w:r>
      <w:r>
        <w:rPr>
          <w:rFonts w:ascii="Book Antiqua" w:eastAsia="Book Antiqua" w:hAnsi="Book Antiqua" w:cs="Book Antiqua"/>
          <w:color w:val="000000"/>
        </w:rPr>
        <w:t xml:space="preserve"> reducing FGL1 expression. </w:t>
      </w:r>
      <w:r>
        <w:rPr>
          <w:rFonts w:ascii="Book Antiqua" w:eastAsia="Book Antiqua" w:hAnsi="Book Antiqua" w:cs="Book Antiqua"/>
          <w:i/>
          <w:iCs/>
          <w:color w:val="000000"/>
        </w:rPr>
        <w:t>Cancer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9</w:t>
      </w:r>
      <w:r>
        <w:rPr>
          <w:rFonts w:ascii="Book Antiqua" w:eastAsia="Book Antiqua" w:hAnsi="Book Antiqua" w:cs="Book Antiqua"/>
          <w:color w:val="000000"/>
        </w:rPr>
        <w:t>: 7125-7136 [PMID: 32810392 DOI: 10.1002/cam4.3151]</w:t>
      </w:r>
    </w:p>
    <w:p w14:paraId="0DF77C89" w14:textId="77777777" w:rsidR="00A77B3E" w:rsidRDefault="006C186E" w:rsidP="005518F7">
      <w:pPr>
        <w:snapToGrid w:val="0"/>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Sun C</w:t>
      </w:r>
      <w:r>
        <w:rPr>
          <w:rFonts w:ascii="Book Antiqua" w:eastAsia="Book Antiqua" w:hAnsi="Book Antiqua" w:cs="Book Antiqua"/>
          <w:color w:val="000000"/>
        </w:rPr>
        <w:t xml:space="preserve">, Gao W, Liu J, Cheng H, Hao J. FGL1 regulates acquired resistance to Gefitinib by inhibiting apoptosis in non-small cell lung cancer. </w:t>
      </w:r>
      <w:r>
        <w:rPr>
          <w:rFonts w:ascii="Book Antiqua" w:eastAsia="Book Antiqua" w:hAnsi="Book Antiqua" w:cs="Book Antiqua"/>
          <w:i/>
          <w:iCs/>
          <w:color w:val="000000"/>
        </w:rPr>
        <w:t>Respir Res</w:t>
      </w:r>
      <w:r>
        <w:rPr>
          <w:rFonts w:ascii="Book Antiqua" w:eastAsia="Book Antiqua" w:hAnsi="Book Antiqua" w:cs="Book Antiqua"/>
          <w:color w:val="000000"/>
        </w:rPr>
        <w:t xml:space="preserve"> 2020; </w:t>
      </w:r>
      <w:r>
        <w:rPr>
          <w:rFonts w:ascii="Book Antiqua" w:eastAsia="Book Antiqua" w:hAnsi="Book Antiqua" w:cs="Book Antiqua"/>
          <w:b/>
          <w:bCs/>
          <w:color w:val="000000"/>
        </w:rPr>
        <w:t>21</w:t>
      </w:r>
      <w:r>
        <w:rPr>
          <w:rFonts w:ascii="Book Antiqua" w:eastAsia="Book Antiqua" w:hAnsi="Book Antiqua" w:cs="Book Antiqua"/>
          <w:color w:val="000000"/>
        </w:rPr>
        <w:t>: 210 [PMID: 32778129 DOI: 10.1186/s12931-020-01477-y]</w:t>
      </w:r>
    </w:p>
    <w:p w14:paraId="6A714BBD" w14:textId="77777777" w:rsidR="00A77B3E" w:rsidRDefault="006C186E" w:rsidP="005518F7">
      <w:pPr>
        <w:snapToGrid w:val="0"/>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Bie</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Wang G, Qu X, Wang Y, Huang C, Wang Y, Du J. Loss of FGL1 induces epithelial</w:t>
      </w:r>
      <w:r>
        <w:rPr>
          <w:rFonts w:ascii="Book Antiqua" w:eastAsia="Book Antiqua" w:hAnsi="Book Antiqua" w:cs="Book Antiqua"/>
          <w:color w:val="000000"/>
        </w:rPr>
        <w:noBreakHyphen/>
        <w:t xml:space="preserve">mesenchymal transition and angiogenesis in LKB1 mutant lung </w:t>
      </w:r>
      <w:r>
        <w:rPr>
          <w:rFonts w:ascii="Book Antiqua" w:eastAsia="Book Antiqua" w:hAnsi="Book Antiqua" w:cs="Book Antiqua"/>
          <w:color w:val="000000"/>
        </w:rPr>
        <w:lastRenderedPageBreak/>
        <w:t xml:space="preserve">adenocarcinoma. </w:t>
      </w:r>
      <w:r>
        <w:rPr>
          <w:rFonts w:ascii="Book Antiqua" w:eastAsia="Book Antiqua" w:hAnsi="Book Antiqua" w:cs="Book Antiqua"/>
          <w:i/>
          <w:iCs/>
          <w:color w:val="000000"/>
        </w:rPr>
        <w:t>Int J Oncol</w:t>
      </w:r>
      <w:r>
        <w:rPr>
          <w:rFonts w:ascii="Book Antiqua" w:eastAsia="Book Antiqua" w:hAnsi="Book Antiqua" w:cs="Book Antiqua"/>
          <w:color w:val="000000"/>
        </w:rPr>
        <w:t xml:space="preserve"> 2019; </w:t>
      </w:r>
      <w:r>
        <w:rPr>
          <w:rFonts w:ascii="Book Antiqua" w:eastAsia="Book Antiqua" w:hAnsi="Book Antiqua" w:cs="Book Antiqua"/>
          <w:b/>
          <w:bCs/>
          <w:color w:val="000000"/>
        </w:rPr>
        <w:t>55</w:t>
      </w:r>
      <w:r>
        <w:rPr>
          <w:rFonts w:ascii="Book Antiqua" w:eastAsia="Book Antiqua" w:hAnsi="Book Antiqua" w:cs="Book Antiqua"/>
          <w:color w:val="000000"/>
        </w:rPr>
        <w:t>: 697-707 [PMID: 31322182 DOI: 10.3892/ijo.2019.4838]</w:t>
      </w:r>
    </w:p>
    <w:p w14:paraId="177385CD" w14:textId="77777777" w:rsidR="00A77B3E" w:rsidRDefault="006C186E" w:rsidP="005518F7">
      <w:pPr>
        <w:snapToGrid w:val="0"/>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Wu HT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Ou</w:t>
      </w:r>
      <w:proofErr w:type="spellEnd"/>
      <w:r>
        <w:rPr>
          <w:rFonts w:ascii="Book Antiqua" w:eastAsia="Book Antiqua" w:hAnsi="Book Antiqua" w:cs="Book Antiqua"/>
          <w:color w:val="000000"/>
        </w:rPr>
        <w:t xml:space="preserve"> HY, Hung HC, Su YC, Lu FH, Wu JS, Yang YC, Wu CL, Chang CJ. A novel </w:t>
      </w:r>
      <w:proofErr w:type="spellStart"/>
      <w:r>
        <w:rPr>
          <w:rFonts w:ascii="Book Antiqua" w:eastAsia="Book Antiqua" w:hAnsi="Book Antiqua" w:cs="Book Antiqua"/>
          <w:color w:val="000000"/>
        </w:rPr>
        <w:t>hepatokine</w:t>
      </w:r>
      <w:proofErr w:type="spellEnd"/>
      <w:r>
        <w:rPr>
          <w:rFonts w:ascii="Book Antiqua" w:eastAsia="Book Antiqua" w:hAnsi="Book Antiqua" w:cs="Book Antiqua"/>
          <w:color w:val="000000"/>
        </w:rPr>
        <w:t xml:space="preserve">, HFREP1, plays a crucial role in the development of insulin resistance and type 2 diabetes. </w:t>
      </w:r>
      <w:proofErr w:type="spellStart"/>
      <w:r>
        <w:rPr>
          <w:rFonts w:ascii="Book Antiqua" w:eastAsia="Book Antiqua" w:hAnsi="Book Antiqua" w:cs="Book Antiqua"/>
          <w:i/>
          <w:iCs/>
          <w:color w:val="000000"/>
        </w:rPr>
        <w:t>Diabetologia</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59</w:t>
      </w:r>
      <w:r>
        <w:rPr>
          <w:rFonts w:ascii="Book Antiqua" w:eastAsia="Book Antiqua" w:hAnsi="Book Antiqua" w:cs="Book Antiqua"/>
          <w:color w:val="000000"/>
        </w:rPr>
        <w:t>: 1732-1742 [PMID: 27221093 DOI: 10.1007/s00125-016-3991-7]</w:t>
      </w:r>
    </w:p>
    <w:p w14:paraId="45E0D1C7" w14:textId="77777777" w:rsidR="00A77B3E" w:rsidRDefault="006C186E" w:rsidP="005518F7">
      <w:pPr>
        <w:snapToGrid w:val="0"/>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Kang L</w:t>
      </w:r>
      <w:r>
        <w:rPr>
          <w:rFonts w:ascii="Book Antiqua" w:eastAsia="Book Antiqua" w:hAnsi="Book Antiqua" w:cs="Book Antiqua"/>
          <w:color w:val="000000"/>
        </w:rPr>
        <w:t xml:space="preserve">, Li HY, </w:t>
      </w:r>
      <w:proofErr w:type="spellStart"/>
      <w:r>
        <w:rPr>
          <w:rFonts w:ascii="Book Antiqua" w:eastAsia="Book Antiqua" w:hAnsi="Book Antiqua" w:cs="Book Antiqua"/>
          <w:color w:val="000000"/>
        </w:rPr>
        <w:t>Ou</w:t>
      </w:r>
      <w:proofErr w:type="spellEnd"/>
      <w:r>
        <w:rPr>
          <w:rFonts w:ascii="Book Antiqua" w:eastAsia="Book Antiqua" w:hAnsi="Book Antiqua" w:cs="Book Antiqua"/>
          <w:color w:val="000000"/>
        </w:rPr>
        <w:t xml:space="preserve"> HY, Wu P, Wang SH, Chang CJ, Lin SY, Wu CL, Wu HT. Role of placental fibrinogen-like protein 1 in gestational diabetes.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2020; </w:t>
      </w:r>
      <w:r>
        <w:rPr>
          <w:rFonts w:ascii="Book Antiqua" w:eastAsia="Book Antiqua" w:hAnsi="Book Antiqua" w:cs="Book Antiqua"/>
          <w:b/>
          <w:bCs/>
          <w:color w:val="000000"/>
        </w:rPr>
        <w:t>218</w:t>
      </w:r>
      <w:r>
        <w:rPr>
          <w:rFonts w:ascii="Book Antiqua" w:eastAsia="Book Antiqua" w:hAnsi="Book Antiqua" w:cs="Book Antiqua"/>
          <w:color w:val="000000"/>
        </w:rPr>
        <w:t>: 73-80 [PMID: 32006524 DOI: 10.1016/j.trsl.2020.01.001]</w:t>
      </w:r>
    </w:p>
    <w:p w14:paraId="5CDCA3FF" w14:textId="77777777" w:rsidR="00A77B3E" w:rsidRDefault="006C186E" w:rsidP="005518F7">
      <w:pPr>
        <w:snapToGrid w:val="0"/>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Wu HT</w:t>
      </w:r>
      <w:r>
        <w:rPr>
          <w:rFonts w:ascii="Book Antiqua" w:eastAsia="Book Antiqua" w:hAnsi="Book Antiqua" w:cs="Book Antiqua"/>
          <w:color w:val="000000"/>
        </w:rPr>
        <w:t xml:space="preserve">, Chen SC, Fan KC, </w:t>
      </w:r>
      <w:proofErr w:type="spellStart"/>
      <w:r>
        <w:rPr>
          <w:rFonts w:ascii="Book Antiqua" w:eastAsia="Book Antiqua" w:hAnsi="Book Antiqua" w:cs="Book Antiqua"/>
          <w:color w:val="000000"/>
        </w:rPr>
        <w:t>Kuo</w:t>
      </w:r>
      <w:proofErr w:type="spellEnd"/>
      <w:r>
        <w:rPr>
          <w:rFonts w:ascii="Book Antiqua" w:eastAsia="Book Antiqua" w:hAnsi="Book Antiqua" w:cs="Book Antiqua"/>
          <w:color w:val="000000"/>
        </w:rPr>
        <w:t xml:space="preserve"> CH, Lin SY, Wang SH, Chang CJ, Li HY. Targeting fibrinogen-like protein 1 is a novel therapeutic strategy to combat obesity. </w:t>
      </w:r>
      <w:r>
        <w:rPr>
          <w:rFonts w:ascii="Book Antiqua" w:eastAsia="Book Antiqua" w:hAnsi="Book Antiqua" w:cs="Book Antiqua"/>
          <w:i/>
          <w:iCs/>
          <w:color w:val="000000"/>
        </w:rPr>
        <w:t>FASEB J</w:t>
      </w:r>
      <w:r>
        <w:rPr>
          <w:rFonts w:ascii="Book Antiqua" w:eastAsia="Book Antiqua" w:hAnsi="Book Antiqua" w:cs="Book Antiqua"/>
          <w:color w:val="000000"/>
        </w:rPr>
        <w:t xml:space="preserve"> 2020; </w:t>
      </w:r>
      <w:r>
        <w:rPr>
          <w:rFonts w:ascii="Book Antiqua" w:eastAsia="Book Antiqua" w:hAnsi="Book Antiqua" w:cs="Book Antiqua"/>
          <w:b/>
          <w:bCs/>
          <w:color w:val="000000"/>
        </w:rPr>
        <w:t>34</w:t>
      </w:r>
      <w:r>
        <w:rPr>
          <w:rFonts w:ascii="Book Antiqua" w:eastAsia="Book Antiqua" w:hAnsi="Book Antiqua" w:cs="Book Antiqua"/>
          <w:color w:val="000000"/>
        </w:rPr>
        <w:t>: 2958-2967 [PMID: 31908014 DOI: 10.1096/fj.201901925R]</w:t>
      </w:r>
    </w:p>
    <w:p w14:paraId="178C4C46" w14:textId="77777777" w:rsidR="00A77B3E" w:rsidRDefault="006C186E" w:rsidP="005518F7">
      <w:pPr>
        <w:snapToGrid w:val="0"/>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Liu Z</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Ukomadu</w:t>
      </w:r>
      <w:proofErr w:type="spellEnd"/>
      <w:r>
        <w:rPr>
          <w:rFonts w:ascii="Book Antiqua" w:eastAsia="Book Antiqua" w:hAnsi="Book Antiqua" w:cs="Book Antiqua"/>
          <w:color w:val="000000"/>
        </w:rPr>
        <w:t xml:space="preserve"> C. Fibrinogen-like protein 1, a hepatocyte derived protein is an acute phase reactant.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Biophys</w:t>
      </w:r>
      <w:proofErr w:type="spellEnd"/>
      <w:r>
        <w:rPr>
          <w:rFonts w:ascii="Book Antiqua" w:eastAsia="Book Antiqua" w:hAnsi="Book Antiqua" w:cs="Book Antiqua"/>
          <w:i/>
          <w:iCs/>
          <w:color w:val="000000"/>
        </w:rPr>
        <w:t xml:space="preserve"> Res </w:t>
      </w:r>
      <w:proofErr w:type="spellStart"/>
      <w:r>
        <w:rPr>
          <w:rFonts w:ascii="Book Antiqua" w:eastAsia="Book Antiqua" w:hAnsi="Book Antiqua" w:cs="Book Antiqua"/>
          <w:i/>
          <w:iCs/>
          <w:color w:val="000000"/>
        </w:rPr>
        <w:t>Commun</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365</w:t>
      </w:r>
      <w:r>
        <w:rPr>
          <w:rFonts w:ascii="Book Antiqua" w:eastAsia="Book Antiqua" w:hAnsi="Book Antiqua" w:cs="Book Antiqua"/>
          <w:color w:val="000000"/>
        </w:rPr>
        <w:t>: 729-734 [PMID: 18039467 DOI: 10.1016/j.bbrc.2007.11.069]</w:t>
      </w:r>
    </w:p>
    <w:p w14:paraId="7C56DCB6" w14:textId="77777777" w:rsidR="00A77B3E" w:rsidRDefault="006C186E" w:rsidP="005518F7">
      <w:pPr>
        <w:snapToGrid w:val="0"/>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Pierre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Baiwir</w:t>
      </w:r>
      <w:proofErr w:type="spellEnd"/>
      <w:r>
        <w:rPr>
          <w:rFonts w:ascii="Book Antiqua" w:eastAsia="Book Antiqua" w:hAnsi="Book Antiqua" w:cs="Book Antiqua"/>
          <w:color w:val="000000"/>
        </w:rPr>
        <w:t xml:space="preserve"> D, Huynh-Thu VA, </w:t>
      </w:r>
      <w:proofErr w:type="spellStart"/>
      <w:r>
        <w:rPr>
          <w:rFonts w:ascii="Book Antiqua" w:eastAsia="Book Antiqua" w:hAnsi="Book Antiqua" w:cs="Book Antiqua"/>
          <w:color w:val="000000"/>
        </w:rPr>
        <w:t>Mazzucchelli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Smargiasso</w:t>
      </w:r>
      <w:proofErr w:type="spellEnd"/>
      <w:r>
        <w:rPr>
          <w:rFonts w:ascii="Book Antiqua" w:eastAsia="Book Antiqua" w:hAnsi="Book Antiqua" w:cs="Book Antiqua"/>
          <w:color w:val="000000"/>
        </w:rPr>
        <w:t xml:space="preserve"> N, De </w:t>
      </w:r>
      <w:proofErr w:type="spellStart"/>
      <w:r>
        <w:rPr>
          <w:rFonts w:ascii="Book Antiqua" w:eastAsia="Book Antiqua" w:hAnsi="Book Antiqua" w:cs="Book Antiqua"/>
          <w:color w:val="000000"/>
        </w:rPr>
        <w:t>Pauw</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Bouhnik</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Laharie</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Colombel</w:t>
      </w:r>
      <w:proofErr w:type="spellEnd"/>
      <w:r>
        <w:rPr>
          <w:rFonts w:ascii="Book Antiqua" w:eastAsia="Book Antiqua" w:hAnsi="Book Antiqua" w:cs="Book Antiqua"/>
          <w:color w:val="000000"/>
        </w:rPr>
        <w:t xml:space="preserve"> JF, </w:t>
      </w:r>
      <w:proofErr w:type="spellStart"/>
      <w:r>
        <w:rPr>
          <w:rFonts w:ascii="Book Antiqua" w:eastAsia="Book Antiqua" w:hAnsi="Book Antiqua" w:cs="Book Antiqua"/>
          <w:color w:val="000000"/>
        </w:rPr>
        <w:t>Meuwis</w:t>
      </w:r>
      <w:proofErr w:type="spellEnd"/>
      <w:r>
        <w:rPr>
          <w:rFonts w:ascii="Book Antiqua" w:eastAsia="Book Antiqua" w:hAnsi="Book Antiqua" w:cs="Book Antiqua"/>
          <w:color w:val="000000"/>
        </w:rPr>
        <w:t xml:space="preserve"> MA, Louis E; GETAID (</w:t>
      </w:r>
      <w:proofErr w:type="spellStart"/>
      <w:r>
        <w:rPr>
          <w:rFonts w:ascii="Book Antiqua" w:eastAsia="Book Antiqua" w:hAnsi="Book Antiqua" w:cs="Book Antiqua"/>
          <w:color w:val="000000"/>
        </w:rPr>
        <w:t>Groupe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d'Etude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Thérapeutique</w:t>
      </w:r>
      <w:proofErr w:type="spellEnd"/>
      <w:r>
        <w:rPr>
          <w:rFonts w:ascii="Book Antiqua" w:eastAsia="Book Antiqua" w:hAnsi="Book Antiqua" w:cs="Book Antiqua"/>
          <w:color w:val="000000"/>
        </w:rPr>
        <w:t xml:space="preserve"> des Affections </w:t>
      </w:r>
      <w:proofErr w:type="spellStart"/>
      <w:r>
        <w:rPr>
          <w:rFonts w:ascii="Book Antiqua" w:eastAsia="Book Antiqua" w:hAnsi="Book Antiqua" w:cs="Book Antiqua"/>
          <w:color w:val="000000"/>
        </w:rPr>
        <w:t>Inflammatoires</w:t>
      </w:r>
      <w:proofErr w:type="spellEnd"/>
      <w:r>
        <w:rPr>
          <w:rFonts w:ascii="Book Antiqua" w:eastAsia="Book Antiqua" w:hAnsi="Book Antiqua" w:cs="Book Antiqua"/>
          <w:color w:val="000000"/>
        </w:rPr>
        <w:t xml:space="preserve"> du tube </w:t>
      </w:r>
      <w:proofErr w:type="spellStart"/>
      <w:r>
        <w:rPr>
          <w:rFonts w:ascii="Book Antiqua" w:eastAsia="Book Antiqua" w:hAnsi="Book Antiqua" w:cs="Book Antiqua"/>
          <w:color w:val="000000"/>
        </w:rPr>
        <w:t>Digestif</w:t>
      </w:r>
      <w:proofErr w:type="spellEnd"/>
      <w:r>
        <w:rPr>
          <w:rFonts w:ascii="Book Antiqua" w:eastAsia="Book Antiqua" w:hAnsi="Book Antiqua" w:cs="Book Antiqua"/>
          <w:color w:val="000000"/>
        </w:rPr>
        <w:t>). Discovery of biomarker candidates associated with the risk of short-term and mid/</w:t>
      </w:r>
      <w:r w:rsidR="006B3111">
        <w:rPr>
          <w:rFonts w:ascii="Book Antiqua" w:eastAsia="Book Antiqua" w:hAnsi="Book Antiqua" w:cs="Book Antiqua"/>
          <w:color w:val="000000"/>
        </w:rPr>
        <w:t>l</w:t>
      </w:r>
      <w:r>
        <w:rPr>
          <w:rFonts w:ascii="Book Antiqua" w:eastAsia="Book Antiqua" w:hAnsi="Book Antiqua" w:cs="Book Antiqua"/>
          <w:color w:val="000000"/>
        </w:rPr>
        <w:t xml:space="preserve">ong-term relapse after infliximab withdrawal in Crohn's patients: a proteomics-based study. </w:t>
      </w:r>
      <w:r>
        <w:rPr>
          <w:rFonts w:ascii="Book Antiqua" w:eastAsia="Book Antiqua" w:hAnsi="Book Antiqua" w:cs="Book Antiqua"/>
          <w:i/>
          <w:iCs/>
          <w:color w:val="000000"/>
        </w:rPr>
        <w:t>Gut</w:t>
      </w:r>
      <w:r>
        <w:rPr>
          <w:rFonts w:ascii="Book Antiqua" w:eastAsia="Book Antiqua" w:hAnsi="Book Antiqua" w:cs="Book Antiqua"/>
          <w:color w:val="000000"/>
        </w:rPr>
        <w:t xml:space="preserve"> 2020 [PMID: 33106355 DOI: 10.1136/gutjnl-2020-322100]</w:t>
      </w:r>
    </w:p>
    <w:p w14:paraId="2B5E36AB" w14:textId="77777777" w:rsidR="00A77B3E" w:rsidRDefault="006C186E" w:rsidP="005518F7">
      <w:pPr>
        <w:snapToGrid w:val="0"/>
        <w:spacing w:line="360" w:lineRule="auto"/>
        <w:jc w:val="both"/>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Atreya</w:t>
      </w:r>
      <w:proofErr w:type="spellEnd"/>
      <w:r>
        <w:rPr>
          <w:rFonts w:ascii="Book Antiqua" w:eastAsia="Book Antiqua" w:hAnsi="Book Antiqua" w:cs="Book Antiqua"/>
          <w:b/>
          <w:bCs/>
          <w:color w:val="000000"/>
        </w:rPr>
        <w:t xml:space="preserve"> 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Atreya</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Neurath</w:t>
      </w:r>
      <w:proofErr w:type="spellEnd"/>
      <w:r>
        <w:rPr>
          <w:rFonts w:ascii="Book Antiqua" w:eastAsia="Book Antiqua" w:hAnsi="Book Antiqua" w:cs="Book Antiqua"/>
          <w:color w:val="000000"/>
        </w:rPr>
        <w:t xml:space="preserve"> MF. NF-</w:t>
      </w:r>
      <w:proofErr w:type="spellStart"/>
      <w:r>
        <w:rPr>
          <w:rFonts w:ascii="Book Antiqua" w:eastAsia="Book Antiqua" w:hAnsi="Book Antiqua" w:cs="Book Antiqua"/>
          <w:color w:val="000000"/>
        </w:rPr>
        <w:t>kappaB</w:t>
      </w:r>
      <w:proofErr w:type="spellEnd"/>
      <w:r>
        <w:rPr>
          <w:rFonts w:ascii="Book Antiqua" w:eastAsia="Book Antiqua" w:hAnsi="Book Antiqua" w:cs="Book Antiqua"/>
          <w:color w:val="000000"/>
        </w:rPr>
        <w:t xml:space="preserve"> in inflammatory bowel disease. </w:t>
      </w:r>
      <w:r>
        <w:rPr>
          <w:rFonts w:ascii="Book Antiqua" w:eastAsia="Book Antiqua" w:hAnsi="Book Antiqua" w:cs="Book Antiqua"/>
          <w:i/>
          <w:iCs/>
          <w:color w:val="000000"/>
        </w:rPr>
        <w:t>J Intern Med</w:t>
      </w:r>
      <w:r>
        <w:rPr>
          <w:rFonts w:ascii="Book Antiqua" w:eastAsia="Book Antiqua" w:hAnsi="Book Antiqua" w:cs="Book Antiqua"/>
          <w:color w:val="000000"/>
        </w:rPr>
        <w:t xml:space="preserve"> 2008; </w:t>
      </w:r>
      <w:r>
        <w:rPr>
          <w:rFonts w:ascii="Book Antiqua" w:eastAsia="Book Antiqua" w:hAnsi="Book Antiqua" w:cs="Book Antiqua"/>
          <w:b/>
          <w:bCs/>
          <w:color w:val="000000"/>
        </w:rPr>
        <w:t>263</w:t>
      </w:r>
      <w:r>
        <w:rPr>
          <w:rFonts w:ascii="Book Antiqua" w:eastAsia="Book Antiqua" w:hAnsi="Book Antiqua" w:cs="Book Antiqua"/>
          <w:color w:val="000000"/>
        </w:rPr>
        <w:t>: 591-596 [PMID: 18479258 DOI: 10.1111/j.1365-2796.2008.01953.x]</w:t>
      </w:r>
    </w:p>
    <w:p w14:paraId="5863FE09" w14:textId="77777777" w:rsidR="00A77B3E" w:rsidRDefault="006C186E" w:rsidP="005518F7">
      <w:pPr>
        <w:snapToGrid w:val="0"/>
        <w:spacing w:line="360" w:lineRule="auto"/>
        <w:jc w:val="both"/>
      </w:pPr>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Rius</w:t>
      </w:r>
      <w:proofErr w:type="spellEnd"/>
      <w:r>
        <w:rPr>
          <w:rFonts w:ascii="Book Antiqua" w:eastAsia="Book Antiqua" w:hAnsi="Book Antiqua" w:cs="Book Antiqua"/>
          <w:b/>
          <w:bCs/>
          <w:color w:val="000000"/>
        </w:rPr>
        <w:t>-Pérez S</w:t>
      </w:r>
      <w:r>
        <w:rPr>
          <w:rFonts w:ascii="Book Antiqua" w:eastAsia="Book Antiqua" w:hAnsi="Book Antiqua" w:cs="Book Antiqua"/>
          <w:color w:val="000000"/>
        </w:rPr>
        <w:t xml:space="preserve">, Pérez S, </w:t>
      </w:r>
      <w:proofErr w:type="spellStart"/>
      <w:r>
        <w:rPr>
          <w:rFonts w:ascii="Book Antiqua" w:eastAsia="Book Antiqua" w:hAnsi="Book Antiqua" w:cs="Book Antiqua"/>
          <w:color w:val="000000"/>
        </w:rPr>
        <w:t>Martí</w:t>
      </w:r>
      <w:proofErr w:type="spellEnd"/>
      <w:r>
        <w:rPr>
          <w:rFonts w:ascii="Book Antiqua" w:eastAsia="Book Antiqua" w:hAnsi="Book Antiqua" w:cs="Book Antiqua"/>
          <w:color w:val="000000"/>
        </w:rPr>
        <w:t xml:space="preserve">-Andrés P, </w:t>
      </w:r>
      <w:proofErr w:type="spellStart"/>
      <w:r>
        <w:rPr>
          <w:rFonts w:ascii="Book Antiqua" w:eastAsia="Book Antiqua" w:hAnsi="Book Antiqua" w:cs="Book Antiqua"/>
          <w:color w:val="000000"/>
        </w:rPr>
        <w:t>Monsalve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Sastre</w:t>
      </w:r>
      <w:proofErr w:type="spellEnd"/>
      <w:r>
        <w:rPr>
          <w:rFonts w:ascii="Book Antiqua" w:eastAsia="Book Antiqua" w:hAnsi="Book Antiqua" w:cs="Book Antiqua"/>
          <w:color w:val="000000"/>
        </w:rPr>
        <w:t xml:space="preserve"> J. Nuclear Factor Kappa B Signaling Complexes in Acute Inflammation. </w:t>
      </w:r>
      <w:proofErr w:type="spellStart"/>
      <w:r>
        <w:rPr>
          <w:rFonts w:ascii="Book Antiqua" w:eastAsia="Book Antiqua" w:hAnsi="Book Antiqua" w:cs="Book Antiqua"/>
          <w:i/>
          <w:iCs/>
          <w:color w:val="000000"/>
        </w:rPr>
        <w:t>Antioxid</w:t>
      </w:r>
      <w:proofErr w:type="spellEnd"/>
      <w:r>
        <w:rPr>
          <w:rFonts w:ascii="Book Antiqua" w:eastAsia="Book Antiqua" w:hAnsi="Book Antiqua" w:cs="Book Antiqua"/>
          <w:i/>
          <w:iCs/>
          <w:color w:val="000000"/>
        </w:rPr>
        <w:t xml:space="preserve"> Redox Signal</w:t>
      </w:r>
      <w:r>
        <w:rPr>
          <w:rFonts w:ascii="Book Antiqua" w:eastAsia="Book Antiqua" w:hAnsi="Book Antiqua" w:cs="Book Antiqua"/>
          <w:color w:val="000000"/>
        </w:rPr>
        <w:t xml:space="preserve"> 2020; </w:t>
      </w:r>
      <w:r>
        <w:rPr>
          <w:rFonts w:ascii="Book Antiqua" w:eastAsia="Book Antiqua" w:hAnsi="Book Antiqua" w:cs="Book Antiqua"/>
          <w:b/>
          <w:bCs/>
          <w:color w:val="000000"/>
        </w:rPr>
        <w:t>33</w:t>
      </w:r>
      <w:r>
        <w:rPr>
          <w:rFonts w:ascii="Book Antiqua" w:eastAsia="Book Antiqua" w:hAnsi="Book Antiqua" w:cs="Book Antiqua"/>
          <w:color w:val="000000"/>
        </w:rPr>
        <w:t>: 145-165 [PMID: 31856585 DOI: 10.1089/ars.2019.7975]</w:t>
      </w:r>
    </w:p>
    <w:bookmarkEnd w:id="3"/>
    <w:p w14:paraId="0F1576CA" w14:textId="77777777" w:rsidR="00A77B3E" w:rsidRDefault="00A77B3E" w:rsidP="005518F7">
      <w:pPr>
        <w:snapToGrid w:val="0"/>
        <w:spacing w:line="360" w:lineRule="auto"/>
        <w:jc w:val="both"/>
        <w:sectPr w:rsidR="00A77B3E">
          <w:pgSz w:w="12240" w:h="15840"/>
          <w:pgMar w:top="1440" w:right="1440" w:bottom="1440" w:left="1440" w:header="720" w:footer="720" w:gutter="0"/>
          <w:cols w:space="720"/>
          <w:docGrid w:linePitch="360"/>
        </w:sectPr>
      </w:pPr>
    </w:p>
    <w:p w14:paraId="457ADCDA" w14:textId="77777777" w:rsidR="00A77B3E" w:rsidRDefault="006C186E" w:rsidP="005518F7">
      <w:pPr>
        <w:snapToGrid w:val="0"/>
        <w:spacing w:line="360" w:lineRule="auto"/>
        <w:jc w:val="both"/>
      </w:pPr>
      <w:r>
        <w:rPr>
          <w:rFonts w:ascii="Book Antiqua" w:eastAsia="Book Antiqua" w:hAnsi="Book Antiqua" w:cs="Book Antiqua"/>
          <w:b/>
          <w:color w:val="000000"/>
        </w:rPr>
        <w:lastRenderedPageBreak/>
        <w:t>Footnotes</w:t>
      </w:r>
    </w:p>
    <w:p w14:paraId="15777D40" w14:textId="77777777" w:rsidR="00A77B3E" w:rsidRDefault="006C186E" w:rsidP="005518F7">
      <w:pPr>
        <w:snapToGrid w:val="0"/>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 xml:space="preserve">The study was approved by the </w:t>
      </w:r>
      <w:r w:rsidRPr="00325D78">
        <w:rPr>
          <w:rFonts w:ascii="Book Antiqua" w:eastAsia="Book Antiqua" w:hAnsi="Book Antiqua" w:cs="Book Antiqua"/>
          <w:caps/>
          <w:color w:val="000000"/>
        </w:rPr>
        <w:t>e</w:t>
      </w:r>
      <w:r>
        <w:rPr>
          <w:rFonts w:ascii="Book Antiqua" w:eastAsia="Book Antiqua" w:hAnsi="Book Antiqua" w:cs="Book Antiqua"/>
          <w:color w:val="000000"/>
        </w:rPr>
        <w:t xml:space="preserve">thics </w:t>
      </w:r>
      <w:r w:rsidRPr="00325D78">
        <w:rPr>
          <w:rFonts w:ascii="Book Antiqua" w:eastAsia="Book Antiqua" w:hAnsi="Book Antiqua" w:cs="Book Antiqua"/>
          <w:caps/>
          <w:color w:val="000000"/>
        </w:rPr>
        <w:t>c</w:t>
      </w:r>
      <w:r>
        <w:rPr>
          <w:rFonts w:ascii="Book Antiqua" w:eastAsia="Book Antiqua" w:hAnsi="Book Antiqua" w:cs="Book Antiqua"/>
          <w:color w:val="000000"/>
        </w:rPr>
        <w:t>ommittee of the Affiliated Hospital of Nanjing University of Chinese Medicine (2018NL-171-02).</w:t>
      </w:r>
    </w:p>
    <w:p w14:paraId="240CC2DD" w14:textId="77777777" w:rsidR="00A77B3E" w:rsidRDefault="00A77B3E" w:rsidP="005518F7">
      <w:pPr>
        <w:snapToGrid w:val="0"/>
        <w:spacing w:line="360" w:lineRule="auto"/>
        <w:jc w:val="both"/>
      </w:pPr>
    </w:p>
    <w:p w14:paraId="189C5E1F" w14:textId="77777777" w:rsidR="00A77B3E" w:rsidRDefault="006C186E" w:rsidP="005518F7">
      <w:pPr>
        <w:snapToGrid w:val="0"/>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To the best of our knowledge, no conflict of interest exists.</w:t>
      </w:r>
    </w:p>
    <w:p w14:paraId="41D389D4" w14:textId="77777777" w:rsidR="00A77B3E" w:rsidRDefault="00A77B3E" w:rsidP="005518F7">
      <w:pPr>
        <w:snapToGrid w:val="0"/>
        <w:spacing w:line="360" w:lineRule="auto"/>
        <w:jc w:val="both"/>
      </w:pPr>
    </w:p>
    <w:p w14:paraId="6B5B5730" w14:textId="77777777" w:rsidR="00A77B3E" w:rsidRDefault="006C186E" w:rsidP="005518F7">
      <w:pPr>
        <w:snapToGrid w:val="0"/>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w:t>
      </w:r>
    </w:p>
    <w:p w14:paraId="2A2CD017" w14:textId="77777777" w:rsidR="00A77B3E" w:rsidRDefault="00A77B3E" w:rsidP="005518F7">
      <w:pPr>
        <w:snapToGrid w:val="0"/>
        <w:spacing w:line="360" w:lineRule="auto"/>
        <w:jc w:val="both"/>
      </w:pPr>
    </w:p>
    <w:p w14:paraId="1437BB61" w14:textId="77777777" w:rsidR="00A77B3E" w:rsidRDefault="006C186E" w:rsidP="005518F7">
      <w:pPr>
        <w:snapToGrid w:val="0"/>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91C347B" w14:textId="77777777" w:rsidR="00A77B3E" w:rsidRDefault="00A77B3E" w:rsidP="005518F7">
      <w:pPr>
        <w:snapToGrid w:val="0"/>
        <w:spacing w:line="360" w:lineRule="auto"/>
        <w:jc w:val="both"/>
      </w:pPr>
    </w:p>
    <w:p w14:paraId="0A162E06" w14:textId="77777777" w:rsidR="00A77B3E" w:rsidRDefault="006C186E" w:rsidP="005518F7">
      <w:pPr>
        <w:snapToGrid w:val="0"/>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46200E">
        <w:rPr>
          <w:rFonts w:ascii="Book Antiqua" w:eastAsia="Book Antiqua" w:hAnsi="Book Antiqua" w:cs="Book Antiqua"/>
          <w:color w:val="000000"/>
        </w:rPr>
        <w:t>m</w:t>
      </w:r>
      <w:r>
        <w:rPr>
          <w:rFonts w:ascii="Book Antiqua" w:eastAsia="Book Antiqua" w:hAnsi="Book Antiqua" w:cs="Book Antiqua"/>
          <w:color w:val="000000"/>
        </w:rPr>
        <w:t>anuscript</w:t>
      </w:r>
    </w:p>
    <w:p w14:paraId="0FF05FC5" w14:textId="77777777" w:rsidR="00A77B3E" w:rsidRDefault="00A77B3E" w:rsidP="005518F7">
      <w:pPr>
        <w:snapToGrid w:val="0"/>
        <w:spacing w:line="360" w:lineRule="auto"/>
        <w:jc w:val="both"/>
      </w:pPr>
    </w:p>
    <w:p w14:paraId="1396B5E7" w14:textId="77777777" w:rsidR="00A77B3E" w:rsidRDefault="006C186E" w:rsidP="005518F7">
      <w:pPr>
        <w:snapToGrid w:val="0"/>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March 5, 2021</w:t>
      </w:r>
    </w:p>
    <w:p w14:paraId="17CD0E47" w14:textId="77777777" w:rsidR="00A77B3E" w:rsidRDefault="006C186E" w:rsidP="005518F7">
      <w:pPr>
        <w:snapToGrid w:val="0"/>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April 5, 2021</w:t>
      </w:r>
    </w:p>
    <w:p w14:paraId="30A9657A" w14:textId="77777777" w:rsidR="00A77B3E" w:rsidRDefault="006C186E" w:rsidP="005518F7">
      <w:pPr>
        <w:snapToGrid w:val="0"/>
        <w:spacing w:line="360" w:lineRule="auto"/>
        <w:jc w:val="both"/>
      </w:pPr>
      <w:r>
        <w:rPr>
          <w:rFonts w:ascii="Book Antiqua" w:eastAsia="Book Antiqua" w:hAnsi="Book Antiqua" w:cs="Book Antiqua"/>
          <w:b/>
          <w:color w:val="000000"/>
        </w:rPr>
        <w:t xml:space="preserve">Article in press: </w:t>
      </w:r>
    </w:p>
    <w:p w14:paraId="6DA6CF30" w14:textId="77777777" w:rsidR="00A77B3E" w:rsidRDefault="00A77B3E" w:rsidP="005518F7">
      <w:pPr>
        <w:snapToGrid w:val="0"/>
        <w:spacing w:line="360" w:lineRule="auto"/>
        <w:jc w:val="both"/>
      </w:pPr>
    </w:p>
    <w:p w14:paraId="3367446C" w14:textId="77777777" w:rsidR="00A77B3E" w:rsidRDefault="006C186E" w:rsidP="005518F7">
      <w:pPr>
        <w:snapToGrid w:val="0"/>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8F389E">
        <w:rPr>
          <w:rFonts w:ascii="Book Antiqua" w:eastAsia="Book Antiqua" w:hAnsi="Book Antiqua" w:cs="Book Antiqua"/>
          <w:color w:val="000000"/>
        </w:rPr>
        <w:t>h</w:t>
      </w:r>
      <w:r>
        <w:rPr>
          <w:rFonts w:ascii="Book Antiqua" w:eastAsia="Book Antiqua" w:hAnsi="Book Antiqua" w:cs="Book Antiqua"/>
          <w:color w:val="000000"/>
        </w:rPr>
        <w:t>epatology</w:t>
      </w:r>
    </w:p>
    <w:p w14:paraId="1BB8B0F0" w14:textId="77777777" w:rsidR="00A77B3E" w:rsidRDefault="006C186E" w:rsidP="005518F7">
      <w:pPr>
        <w:snapToGrid w:val="0"/>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1768A887" w14:textId="77777777" w:rsidR="00A77B3E" w:rsidRDefault="006C186E" w:rsidP="005518F7">
      <w:pPr>
        <w:snapToGrid w:val="0"/>
        <w:spacing w:line="360" w:lineRule="auto"/>
        <w:jc w:val="both"/>
      </w:pPr>
      <w:r>
        <w:rPr>
          <w:rFonts w:ascii="Book Antiqua" w:eastAsia="Book Antiqua" w:hAnsi="Book Antiqua" w:cs="Book Antiqua"/>
          <w:b/>
          <w:color w:val="000000"/>
        </w:rPr>
        <w:t>Peer-review report’s scientific quality classification</w:t>
      </w:r>
    </w:p>
    <w:p w14:paraId="25160582" w14:textId="77777777" w:rsidR="00A77B3E" w:rsidRDefault="006C186E" w:rsidP="005518F7">
      <w:pPr>
        <w:snapToGrid w:val="0"/>
        <w:spacing w:line="360" w:lineRule="auto"/>
        <w:jc w:val="both"/>
      </w:pPr>
      <w:r>
        <w:rPr>
          <w:rFonts w:ascii="Book Antiqua" w:eastAsia="Book Antiqua" w:hAnsi="Book Antiqua" w:cs="Book Antiqua"/>
          <w:color w:val="000000"/>
        </w:rPr>
        <w:t>Grade A (Excellent): 0</w:t>
      </w:r>
    </w:p>
    <w:p w14:paraId="58DE041F" w14:textId="77777777" w:rsidR="00A77B3E" w:rsidRDefault="006C186E" w:rsidP="005518F7">
      <w:pPr>
        <w:snapToGrid w:val="0"/>
        <w:spacing w:line="360" w:lineRule="auto"/>
        <w:jc w:val="both"/>
      </w:pPr>
      <w:r>
        <w:rPr>
          <w:rFonts w:ascii="Book Antiqua" w:eastAsia="Book Antiqua" w:hAnsi="Book Antiqua" w:cs="Book Antiqua"/>
          <w:color w:val="000000"/>
        </w:rPr>
        <w:t>Grade B (Very good): B</w:t>
      </w:r>
    </w:p>
    <w:p w14:paraId="5851066E" w14:textId="77777777" w:rsidR="00A77B3E" w:rsidRDefault="006C186E" w:rsidP="005518F7">
      <w:pPr>
        <w:snapToGrid w:val="0"/>
        <w:spacing w:line="360" w:lineRule="auto"/>
        <w:jc w:val="both"/>
      </w:pPr>
      <w:r>
        <w:rPr>
          <w:rFonts w:ascii="Book Antiqua" w:eastAsia="Book Antiqua" w:hAnsi="Book Antiqua" w:cs="Book Antiqua"/>
          <w:color w:val="000000"/>
        </w:rPr>
        <w:t>Grade C (Good): 0</w:t>
      </w:r>
    </w:p>
    <w:p w14:paraId="37709CC0" w14:textId="77777777" w:rsidR="00A77B3E" w:rsidRDefault="006C186E" w:rsidP="005518F7">
      <w:pPr>
        <w:snapToGrid w:val="0"/>
        <w:spacing w:line="360" w:lineRule="auto"/>
        <w:jc w:val="both"/>
      </w:pPr>
      <w:r>
        <w:rPr>
          <w:rFonts w:ascii="Book Antiqua" w:eastAsia="Book Antiqua" w:hAnsi="Book Antiqua" w:cs="Book Antiqua"/>
          <w:color w:val="000000"/>
        </w:rPr>
        <w:t>Grade D (Fair): 0</w:t>
      </w:r>
    </w:p>
    <w:p w14:paraId="763A5613" w14:textId="77777777" w:rsidR="00A77B3E" w:rsidRDefault="006C186E" w:rsidP="005518F7">
      <w:pPr>
        <w:snapToGrid w:val="0"/>
        <w:spacing w:line="360" w:lineRule="auto"/>
        <w:jc w:val="both"/>
      </w:pPr>
      <w:r>
        <w:rPr>
          <w:rFonts w:ascii="Book Antiqua" w:eastAsia="Book Antiqua" w:hAnsi="Book Antiqua" w:cs="Book Antiqua"/>
          <w:color w:val="000000"/>
        </w:rPr>
        <w:t>Grade E (Poor): 0</w:t>
      </w:r>
    </w:p>
    <w:p w14:paraId="37051F6C" w14:textId="77777777" w:rsidR="00A77B3E" w:rsidRDefault="00A77B3E" w:rsidP="005518F7">
      <w:pPr>
        <w:snapToGrid w:val="0"/>
        <w:spacing w:line="360" w:lineRule="auto"/>
        <w:jc w:val="both"/>
      </w:pPr>
    </w:p>
    <w:p w14:paraId="5A934A46" w14:textId="1E08C062" w:rsidR="00A77B3E" w:rsidRDefault="006C186E" w:rsidP="005518F7">
      <w:pPr>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Kumar S</w:t>
      </w:r>
      <w:r>
        <w:rPr>
          <w:rFonts w:ascii="Book Antiqua" w:eastAsia="Book Antiqua" w:hAnsi="Book Antiqua" w:cs="Book Antiqua"/>
          <w:b/>
          <w:color w:val="000000"/>
        </w:rPr>
        <w:t xml:space="preserve"> S-Editor: </w:t>
      </w:r>
      <w:r>
        <w:rPr>
          <w:rFonts w:ascii="Book Antiqua" w:eastAsia="Book Antiqua" w:hAnsi="Book Antiqua" w:cs="Book Antiqua"/>
          <w:color w:val="000000"/>
        </w:rPr>
        <w:t>Gong ZM</w:t>
      </w:r>
      <w:r>
        <w:rPr>
          <w:rFonts w:ascii="Book Antiqua" w:eastAsia="Book Antiqua" w:hAnsi="Book Antiqua" w:cs="Book Antiqua"/>
          <w:b/>
          <w:color w:val="000000"/>
        </w:rPr>
        <w:t xml:space="preserve"> L-Edito</w:t>
      </w:r>
      <w:r>
        <w:rPr>
          <w:rFonts w:ascii="Book Antiqua" w:eastAsia="Book Antiqua" w:hAnsi="Book Antiqua" w:cs="Book Antiqua"/>
          <w:b/>
          <w:color w:val="000000"/>
        </w:rPr>
        <w:t xml:space="preserve">r: </w:t>
      </w:r>
      <w:r w:rsidR="005C00FA" w:rsidRPr="003E4742">
        <w:rPr>
          <w:rFonts w:ascii="Book Antiqua" w:eastAsia="Book Antiqua" w:hAnsi="Book Antiqua" w:cs="Book Antiqua"/>
          <w:color w:val="000000"/>
        </w:rPr>
        <w:t>Wang TQ</w:t>
      </w:r>
      <w:r>
        <w:rPr>
          <w:rFonts w:ascii="Book Antiqua" w:eastAsia="Book Antiqua" w:hAnsi="Book Antiqua" w:cs="Book Antiqua"/>
          <w:b/>
          <w:color w:val="000000"/>
        </w:rPr>
        <w:t xml:space="preserve"> P-</w:t>
      </w:r>
      <w:r>
        <w:rPr>
          <w:rFonts w:ascii="Book Antiqua" w:eastAsia="Book Antiqua" w:hAnsi="Book Antiqua" w:cs="Book Antiqua"/>
          <w:b/>
          <w:color w:val="000000"/>
        </w:rPr>
        <w:t xml:space="preserve">Editor: </w:t>
      </w:r>
    </w:p>
    <w:p w14:paraId="5F9549AD" w14:textId="77777777" w:rsidR="000F4791" w:rsidRDefault="000F4791" w:rsidP="005518F7">
      <w:pPr>
        <w:snapToGrid w:val="0"/>
        <w:spacing w:line="360" w:lineRule="auto"/>
        <w:jc w:val="both"/>
        <w:sectPr w:rsidR="000F4791">
          <w:pgSz w:w="12240" w:h="15840"/>
          <w:pgMar w:top="1440" w:right="1440" w:bottom="1440" w:left="1440" w:header="720" w:footer="720" w:gutter="0"/>
          <w:cols w:space="720"/>
          <w:docGrid w:linePitch="360"/>
        </w:sectPr>
      </w:pPr>
    </w:p>
    <w:p w14:paraId="7D38616A" w14:textId="77777777" w:rsidR="00A77B3E" w:rsidRDefault="006C186E" w:rsidP="005518F7">
      <w:pPr>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76FE0B1A" w14:textId="77777777" w:rsidR="000F4791" w:rsidRDefault="000F4791" w:rsidP="005518F7">
      <w:pPr>
        <w:snapToGrid w:val="0"/>
        <w:spacing w:line="360" w:lineRule="auto"/>
        <w:jc w:val="both"/>
      </w:pPr>
      <w:r w:rsidRPr="000F4791">
        <w:rPr>
          <w:noProof/>
          <w:lang w:eastAsia="zh-CN"/>
        </w:rPr>
        <w:drawing>
          <wp:inline distT="0" distB="0" distL="0" distR="0" wp14:anchorId="01D74241" wp14:editId="3A157BA6">
            <wp:extent cx="5943600" cy="3182966"/>
            <wp:effectExtent l="0" t="0" r="0" b="0"/>
            <wp:docPr id="1" name="图片 1" descr="C:\Users\Admin\Desktop\图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图片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182966"/>
                    </a:xfrm>
                    <a:prstGeom prst="rect">
                      <a:avLst/>
                    </a:prstGeom>
                    <a:noFill/>
                    <a:ln>
                      <a:noFill/>
                    </a:ln>
                  </pic:spPr>
                </pic:pic>
              </a:graphicData>
            </a:graphic>
          </wp:inline>
        </w:drawing>
      </w:r>
    </w:p>
    <w:p w14:paraId="0AFCDE5B" w14:textId="181E633A" w:rsidR="00A77B3E" w:rsidRDefault="006C186E" w:rsidP="005518F7">
      <w:pPr>
        <w:snapToGrid w:val="0"/>
        <w:spacing w:line="360" w:lineRule="auto"/>
        <w:jc w:val="both"/>
      </w:pPr>
      <w:r>
        <w:rPr>
          <w:rFonts w:ascii="Book Antiqua" w:eastAsia="Book Antiqua" w:hAnsi="Book Antiqua" w:cs="Book Antiqua"/>
          <w:b/>
          <w:bCs/>
          <w:color w:val="000000"/>
        </w:rPr>
        <w:t>Figure 1 Fibrinoge</w:t>
      </w:r>
      <w:r>
        <w:rPr>
          <w:rFonts w:ascii="Book Antiqua" w:eastAsia="Book Antiqua" w:hAnsi="Book Antiqua" w:cs="Book Antiqua"/>
          <w:b/>
          <w:bCs/>
          <w:color w:val="000000"/>
        </w:rPr>
        <w:t xml:space="preserve">n-like protein 1 expression in the plasma of Crohn’s disease patients. </w:t>
      </w:r>
      <w:r>
        <w:rPr>
          <w:rFonts w:ascii="Book Antiqua" w:eastAsia="Book Antiqua" w:hAnsi="Book Antiqua" w:cs="Book Antiqua"/>
          <w:color w:val="000000"/>
        </w:rPr>
        <w:t xml:space="preserve">A: </w:t>
      </w:r>
      <w:r w:rsidR="005C00FA">
        <w:rPr>
          <w:rFonts w:ascii="Book Antiqua" w:eastAsia="Book Antiqua" w:hAnsi="Book Antiqua" w:cs="Book Antiqua"/>
          <w:color w:val="000000"/>
        </w:rPr>
        <w:t>H</w:t>
      </w:r>
      <w:r>
        <w:rPr>
          <w:rFonts w:ascii="Book Antiqua" w:eastAsia="Book Antiqua" w:hAnsi="Book Antiqua" w:cs="Book Antiqua"/>
          <w:color w:val="000000"/>
        </w:rPr>
        <w:t>eat map</w:t>
      </w:r>
      <w:r w:rsidR="005C00FA">
        <w:rPr>
          <w:rFonts w:ascii="Book Antiqua" w:eastAsia="Book Antiqua" w:hAnsi="Book Antiqua" w:cs="Book Antiqua"/>
          <w:color w:val="000000"/>
        </w:rPr>
        <w:t xml:space="preserve"> showing </w:t>
      </w:r>
      <w:r>
        <w:rPr>
          <w:rFonts w:ascii="Book Antiqua" w:eastAsia="Book Antiqua" w:hAnsi="Book Antiqua" w:cs="Book Antiqua"/>
          <w:color w:val="000000"/>
        </w:rPr>
        <w:t>35 differentially expressed proteins between Crohn’s disease (CD) patients and healthy individuals, among which fibrinogen-like protein 1 (FGL1) expression was upregulated in the CD group</w:t>
      </w:r>
      <w:r w:rsidR="004E45C2">
        <w:rPr>
          <w:rFonts w:ascii="Book Antiqua" w:eastAsia="Book Antiqua" w:hAnsi="Book Antiqua" w:cs="Book Antiqua"/>
          <w:color w:val="000000"/>
        </w:rPr>
        <w:t xml:space="preserve">; </w:t>
      </w:r>
      <w:r>
        <w:rPr>
          <w:rFonts w:ascii="Book Antiqua" w:eastAsia="Book Antiqua" w:hAnsi="Book Antiqua" w:cs="Book Antiqua"/>
          <w:color w:val="000000"/>
        </w:rPr>
        <w:t>B: The FGL1 expression level in the plasma of CD patients was 1.722-fold greater than that in healthy people</w:t>
      </w:r>
      <w:r w:rsidR="004E45C2">
        <w:rPr>
          <w:rFonts w:ascii="Book Antiqua" w:eastAsia="Book Antiqua" w:hAnsi="Book Antiqua" w:cs="Book Antiqua"/>
          <w:color w:val="000000"/>
        </w:rPr>
        <w:t>;</w:t>
      </w:r>
      <w:r>
        <w:rPr>
          <w:rFonts w:ascii="Book Antiqua" w:eastAsia="Book Antiqua" w:hAnsi="Book Antiqua" w:cs="Book Antiqua"/>
          <w:color w:val="000000"/>
        </w:rPr>
        <w:t xml:space="preserve"> C: Protein-protein interaction network of an MCODE module containing </w:t>
      </w:r>
      <w:r w:rsidRPr="003E4742">
        <w:rPr>
          <w:rFonts w:ascii="Book Antiqua" w:eastAsia="Book Antiqua" w:hAnsi="Book Antiqua" w:cs="Book Antiqua"/>
          <w:i/>
          <w:color w:val="000000"/>
        </w:rPr>
        <w:t>FGL1</w:t>
      </w:r>
      <w:r>
        <w:rPr>
          <w:rFonts w:ascii="Book Antiqua" w:eastAsia="Book Antiqua" w:hAnsi="Book Antiqua" w:cs="Book Antiqua"/>
          <w:color w:val="000000"/>
        </w:rPr>
        <w:t xml:space="preserve"> as a hub gene. CD: Crohn’s disease; NC: </w:t>
      </w:r>
      <w:r w:rsidR="004E45C2">
        <w:rPr>
          <w:rFonts w:ascii="Book Antiqua" w:eastAsia="Book Antiqua" w:hAnsi="Book Antiqua" w:cs="Book Antiqua"/>
          <w:color w:val="000000"/>
        </w:rPr>
        <w:t>N</w:t>
      </w:r>
      <w:r>
        <w:rPr>
          <w:rFonts w:ascii="Book Antiqua" w:eastAsia="Book Antiqua" w:hAnsi="Book Antiqua" w:cs="Book Antiqua"/>
          <w:color w:val="000000"/>
        </w:rPr>
        <w:t xml:space="preserve">ormal control; FGL1: </w:t>
      </w:r>
      <w:r w:rsidR="004E45C2">
        <w:rPr>
          <w:rFonts w:ascii="Book Antiqua" w:eastAsia="Book Antiqua" w:hAnsi="Book Antiqua" w:cs="Book Antiqua"/>
          <w:color w:val="000000"/>
        </w:rPr>
        <w:t>F</w:t>
      </w:r>
      <w:r>
        <w:rPr>
          <w:rFonts w:ascii="Book Antiqua" w:eastAsia="Book Antiqua" w:hAnsi="Book Antiqua" w:cs="Book Antiqua"/>
          <w:color w:val="000000"/>
        </w:rPr>
        <w:t>ibrinogen-like protein 1.</w:t>
      </w:r>
    </w:p>
    <w:p w14:paraId="21EB10EB" w14:textId="77777777" w:rsidR="00A77B3E" w:rsidRDefault="000F4791" w:rsidP="005518F7">
      <w:pPr>
        <w:snapToGrid w:val="0"/>
        <w:spacing w:line="360" w:lineRule="auto"/>
        <w:jc w:val="both"/>
      </w:pPr>
      <w:r>
        <w:br w:type="page"/>
      </w:r>
      <w:r w:rsidR="00CD2081" w:rsidRPr="00CD2081">
        <w:rPr>
          <w:noProof/>
          <w:lang w:eastAsia="zh-CN"/>
        </w:rPr>
        <w:lastRenderedPageBreak/>
        <w:drawing>
          <wp:inline distT="0" distB="0" distL="0" distR="0" wp14:anchorId="65356672" wp14:editId="4CA81DC6">
            <wp:extent cx="5943600" cy="3205335"/>
            <wp:effectExtent l="0" t="0" r="0" b="0"/>
            <wp:docPr id="2" name="图片 2" descr="C:\Users\Admin\Desktop\图片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图片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205335"/>
                    </a:xfrm>
                    <a:prstGeom prst="rect">
                      <a:avLst/>
                    </a:prstGeom>
                    <a:noFill/>
                    <a:ln>
                      <a:noFill/>
                    </a:ln>
                  </pic:spPr>
                </pic:pic>
              </a:graphicData>
            </a:graphic>
          </wp:inline>
        </w:drawing>
      </w:r>
    </w:p>
    <w:p w14:paraId="51F4C244" w14:textId="77B94017" w:rsidR="00A77B3E" w:rsidRDefault="006C186E" w:rsidP="005518F7">
      <w:pPr>
        <w:snapToGrid w:val="0"/>
        <w:spacing w:line="360" w:lineRule="auto"/>
        <w:jc w:val="both"/>
      </w:pPr>
      <w:r>
        <w:rPr>
          <w:rFonts w:ascii="Book Antiqua" w:eastAsia="Book Antiqua" w:hAnsi="Book Antiqua" w:cs="Book Antiqua"/>
          <w:b/>
          <w:bCs/>
          <w:color w:val="000000"/>
        </w:rPr>
        <w:t xml:space="preserve">Figure 2 Fibrinogen-like protein 1 expression, as determined by immunohistochemical analysis (× 200, × 400), was increased in the intestinal mucosal and epithelial tissues of Crohn’s disease patients. </w:t>
      </w:r>
      <w:proofErr w:type="spellStart"/>
      <w:r>
        <w:rPr>
          <w:rFonts w:ascii="Book Antiqua" w:eastAsia="Book Antiqua" w:hAnsi="Book Antiqua" w:cs="Book Antiqua"/>
          <w:color w:val="000000"/>
          <w:vertAlign w:val="superscript"/>
        </w:rPr>
        <w:t>a</w:t>
      </w:r>
      <w:r>
        <w:rPr>
          <w:rFonts w:ascii="Book Antiqua" w:eastAsia="Book Antiqua" w:hAnsi="Book Antiqua" w:cs="Book Antiqua"/>
          <w:i/>
          <w:iCs/>
          <w:color w:val="000000"/>
        </w:rPr>
        <w:t>P</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&lt; 0.01</w:t>
      </w:r>
      <w:r w:rsidR="00882F1D">
        <w:rPr>
          <w:rFonts w:ascii="Book Antiqua" w:eastAsia="Book Antiqua" w:hAnsi="Book Antiqua" w:cs="Book Antiqua"/>
          <w:color w:val="000000"/>
        </w:rPr>
        <w:t xml:space="preserve"> </w:t>
      </w:r>
      <w:r>
        <w:rPr>
          <w:rFonts w:ascii="Book Antiqua" w:eastAsia="Book Antiqua" w:hAnsi="Book Antiqua" w:cs="Book Antiqua"/>
          <w:i/>
          <w:iCs/>
          <w:color w:val="000000"/>
        </w:rPr>
        <w:t>vs</w:t>
      </w:r>
      <w:r>
        <w:rPr>
          <w:rFonts w:ascii="Book Antiqua" w:eastAsia="Book Antiqua" w:hAnsi="Book Antiqua" w:cs="Book Antiqua"/>
          <w:color w:val="000000"/>
        </w:rPr>
        <w:t xml:space="preserve"> </w:t>
      </w:r>
      <w:r w:rsidR="004E45C2">
        <w:rPr>
          <w:rFonts w:ascii="Book Antiqua" w:eastAsia="Book Antiqua" w:hAnsi="Book Antiqua" w:cs="Book Antiqua"/>
          <w:color w:val="000000"/>
        </w:rPr>
        <w:t>normal control group</w:t>
      </w:r>
      <w:r>
        <w:rPr>
          <w:rFonts w:ascii="Book Antiqua" w:eastAsia="Book Antiqua" w:hAnsi="Book Antiqua" w:cs="Book Antiqua"/>
          <w:color w:val="000000"/>
        </w:rPr>
        <w:t xml:space="preserve">. NC: </w:t>
      </w:r>
      <w:r w:rsidR="004E45C2">
        <w:rPr>
          <w:rFonts w:ascii="Book Antiqua" w:eastAsia="Book Antiqua" w:hAnsi="Book Antiqua" w:cs="Book Antiqua"/>
          <w:color w:val="000000"/>
        </w:rPr>
        <w:t>N</w:t>
      </w:r>
      <w:r>
        <w:rPr>
          <w:rFonts w:ascii="Book Antiqua" w:eastAsia="Book Antiqua" w:hAnsi="Book Antiqua" w:cs="Book Antiqua"/>
          <w:color w:val="000000"/>
        </w:rPr>
        <w:t xml:space="preserve">ormal control group; CD: Crohn’s disease group; FGL1: </w:t>
      </w:r>
      <w:r w:rsidRPr="00CD2081">
        <w:rPr>
          <w:rFonts w:ascii="Book Antiqua" w:eastAsia="Book Antiqua" w:hAnsi="Book Antiqua" w:cs="Book Antiqua"/>
          <w:caps/>
          <w:color w:val="000000"/>
        </w:rPr>
        <w:t>f</w:t>
      </w:r>
      <w:r>
        <w:rPr>
          <w:rFonts w:ascii="Book Antiqua" w:eastAsia="Book Antiqua" w:hAnsi="Book Antiqua" w:cs="Book Antiqua"/>
          <w:color w:val="000000"/>
        </w:rPr>
        <w:t>ibrinogen-like protein 1.</w:t>
      </w:r>
    </w:p>
    <w:p w14:paraId="35CD7BB4" w14:textId="77777777" w:rsidR="00A77B3E" w:rsidRDefault="000F4791" w:rsidP="005518F7">
      <w:pPr>
        <w:snapToGrid w:val="0"/>
        <w:spacing w:line="360" w:lineRule="auto"/>
        <w:jc w:val="both"/>
      </w:pPr>
      <w:r>
        <w:br w:type="page"/>
      </w:r>
      <w:r w:rsidR="00DA1470" w:rsidRPr="00DA1470">
        <w:rPr>
          <w:noProof/>
          <w:lang w:eastAsia="zh-CN"/>
        </w:rPr>
        <w:lastRenderedPageBreak/>
        <w:drawing>
          <wp:inline distT="0" distB="0" distL="0" distR="0" wp14:anchorId="688B0028" wp14:editId="3791E675">
            <wp:extent cx="5943600" cy="4686116"/>
            <wp:effectExtent l="0" t="0" r="0" b="0"/>
            <wp:docPr id="3" name="图片 3" descr="C:\Users\Admin\Desktop\图片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图片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686116"/>
                    </a:xfrm>
                    <a:prstGeom prst="rect">
                      <a:avLst/>
                    </a:prstGeom>
                    <a:noFill/>
                    <a:ln>
                      <a:noFill/>
                    </a:ln>
                  </pic:spPr>
                </pic:pic>
              </a:graphicData>
            </a:graphic>
          </wp:inline>
        </w:drawing>
      </w:r>
    </w:p>
    <w:p w14:paraId="270F696E" w14:textId="4A347C51" w:rsidR="00A77B3E" w:rsidRDefault="006C186E" w:rsidP="005518F7">
      <w:pPr>
        <w:snapToGrid w:val="0"/>
        <w:spacing w:line="360" w:lineRule="auto"/>
        <w:jc w:val="both"/>
      </w:pPr>
      <w:r>
        <w:rPr>
          <w:rFonts w:ascii="Book Antiqua" w:eastAsia="Book Antiqua" w:hAnsi="Book Antiqua" w:cs="Book Antiqua"/>
          <w:b/>
          <w:bCs/>
          <w:color w:val="000000"/>
        </w:rPr>
        <w:t xml:space="preserve">Figure 3 Expression of proinflammatory cytokines in different groups, as determined by </w:t>
      </w:r>
      <w:r w:rsidR="00022753" w:rsidRPr="00022753">
        <w:rPr>
          <w:rFonts w:ascii="Book Antiqua" w:eastAsia="Book Antiqua" w:hAnsi="Book Antiqua" w:cs="Book Antiqua"/>
          <w:b/>
          <w:bCs/>
          <w:color w:val="000000"/>
        </w:rPr>
        <w:t>enzyme linked immunosorbent assay</w:t>
      </w:r>
      <w:r>
        <w:rPr>
          <w:rFonts w:ascii="Book Antiqua" w:eastAsia="Book Antiqua" w:hAnsi="Book Antiqua" w:cs="Book Antiqua"/>
          <w:b/>
          <w:bCs/>
          <w:color w:val="000000"/>
        </w:rPr>
        <w:t xml:space="preserve">. </w:t>
      </w:r>
      <w:proofErr w:type="spellStart"/>
      <w:r>
        <w:rPr>
          <w:rFonts w:ascii="Book Antiqua" w:eastAsia="Book Antiqua" w:hAnsi="Book Antiqua" w:cs="Book Antiqua"/>
          <w:color w:val="000000"/>
          <w:vertAlign w:val="superscript"/>
        </w:rPr>
        <w:t>a</w:t>
      </w:r>
      <w:r>
        <w:rPr>
          <w:rFonts w:ascii="Book Antiqua" w:eastAsia="Book Antiqua" w:hAnsi="Book Antiqua" w:cs="Book Antiqua"/>
          <w:i/>
          <w:iCs/>
          <w:color w:val="000000"/>
        </w:rPr>
        <w:t>P</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&lt; 0.01</w:t>
      </w:r>
      <w:r w:rsidR="00DA1470">
        <w:rPr>
          <w:rFonts w:ascii="Book Antiqua" w:eastAsia="Book Antiqua" w:hAnsi="Book Antiqua" w:cs="Book Antiqua"/>
          <w:color w:val="000000"/>
        </w:rPr>
        <w:t xml:space="preserve"> </w:t>
      </w:r>
      <w:r>
        <w:rPr>
          <w:rFonts w:ascii="Book Antiqua" w:eastAsia="Book Antiqua" w:hAnsi="Book Antiqua" w:cs="Book Antiqua"/>
          <w:i/>
          <w:iCs/>
          <w:color w:val="000000"/>
        </w:rPr>
        <w:t>vs</w:t>
      </w:r>
      <w:r>
        <w:rPr>
          <w:rFonts w:ascii="Book Antiqua" w:eastAsia="Book Antiqua" w:hAnsi="Book Antiqua" w:cs="Book Antiqua"/>
          <w:color w:val="000000"/>
        </w:rPr>
        <w:t xml:space="preserve"> </w:t>
      </w:r>
      <w:r w:rsidR="004E45C2">
        <w:rPr>
          <w:rFonts w:ascii="Book Antiqua" w:eastAsia="Book Antiqua" w:hAnsi="Book Antiqua" w:cs="Book Antiqua"/>
          <w:color w:val="000000"/>
        </w:rPr>
        <w:t>normal control group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szCs w:val="30"/>
          <w:vertAlign w:val="superscript"/>
        </w:rPr>
        <w:t>b</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0.01, </w:t>
      </w:r>
      <w:proofErr w:type="spellStart"/>
      <w:r>
        <w:rPr>
          <w:rFonts w:ascii="Book Antiqua" w:eastAsia="Book Antiqua" w:hAnsi="Book Antiqua" w:cs="Book Antiqua"/>
          <w:color w:val="000000"/>
          <w:szCs w:val="30"/>
          <w:vertAlign w:val="superscript"/>
        </w:rPr>
        <w:t>c</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0.05</w:t>
      </w:r>
      <w:r w:rsidR="00DA1470">
        <w:rPr>
          <w:rFonts w:ascii="Book Antiqua" w:eastAsia="Book Antiqua" w:hAnsi="Book Antiqua" w:cs="Book Antiqua"/>
          <w:color w:val="000000"/>
        </w:rPr>
        <w:t xml:space="preserve"> </w:t>
      </w:r>
      <w:r>
        <w:rPr>
          <w:rFonts w:ascii="Book Antiqua" w:eastAsia="Book Antiqua" w:hAnsi="Book Antiqua" w:cs="Book Antiqua"/>
          <w:i/>
          <w:iCs/>
          <w:color w:val="000000"/>
        </w:rPr>
        <w:t>vs</w:t>
      </w:r>
      <w:r>
        <w:rPr>
          <w:rFonts w:ascii="Book Antiqua" w:eastAsia="Book Antiqua" w:hAnsi="Book Antiqua" w:cs="Book Antiqua"/>
          <w:color w:val="000000"/>
        </w:rPr>
        <w:t xml:space="preserve"> </w:t>
      </w:r>
      <w:r w:rsidR="004E45C2">
        <w:rPr>
          <w:rFonts w:ascii="Book Antiqua" w:eastAsia="Book Antiqua" w:hAnsi="Book Antiqua" w:cs="Book Antiqua"/>
          <w:color w:val="000000"/>
        </w:rPr>
        <w:t>lipopolysaccharide</w:t>
      </w:r>
      <w:r>
        <w:rPr>
          <w:rFonts w:ascii="Book Antiqua" w:eastAsia="Book Antiqua" w:hAnsi="Book Antiqua" w:cs="Book Antiqua"/>
          <w:color w:val="000000"/>
        </w:rPr>
        <w:t xml:space="preserve">. NC: </w:t>
      </w:r>
      <w:r w:rsidRPr="00CB5747">
        <w:rPr>
          <w:rFonts w:ascii="Book Antiqua" w:eastAsia="Book Antiqua" w:hAnsi="Book Antiqua" w:cs="Book Antiqua"/>
          <w:caps/>
          <w:color w:val="000000"/>
        </w:rPr>
        <w:t>n</w:t>
      </w:r>
      <w:r>
        <w:rPr>
          <w:rFonts w:ascii="Book Antiqua" w:eastAsia="Book Antiqua" w:hAnsi="Book Antiqua" w:cs="Book Antiqua"/>
          <w:color w:val="000000"/>
        </w:rPr>
        <w:t xml:space="preserve">ormal control group; LPS: Crohn’s disease (CD) model induced by </w:t>
      </w:r>
      <w:r w:rsidR="004E45C2">
        <w:rPr>
          <w:rFonts w:ascii="Book Antiqua" w:eastAsia="Book Antiqua" w:hAnsi="Book Antiqua" w:cs="Book Antiqua"/>
          <w:color w:val="000000"/>
        </w:rPr>
        <w:t>lipopolysaccharide (</w:t>
      </w:r>
      <w:r>
        <w:rPr>
          <w:rFonts w:ascii="Book Antiqua" w:eastAsia="Book Antiqua" w:hAnsi="Book Antiqua" w:cs="Book Antiqua"/>
          <w:color w:val="000000"/>
        </w:rPr>
        <w:t>LPS</w:t>
      </w:r>
      <w:r w:rsidR="004E45C2">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LPS+Vector</w:t>
      </w:r>
      <w:proofErr w:type="spellEnd"/>
      <w:r>
        <w:rPr>
          <w:rFonts w:ascii="Book Antiqua" w:eastAsia="Book Antiqua" w:hAnsi="Book Antiqua" w:cs="Book Antiqua"/>
          <w:color w:val="000000"/>
        </w:rPr>
        <w:t xml:space="preserve">: </w:t>
      </w:r>
      <w:r w:rsidRPr="00CB5747">
        <w:rPr>
          <w:rFonts w:ascii="Book Antiqua" w:eastAsia="Book Antiqua" w:hAnsi="Book Antiqua" w:cs="Book Antiqua"/>
          <w:caps/>
          <w:color w:val="000000"/>
        </w:rPr>
        <w:t>t</w:t>
      </w:r>
      <w:r>
        <w:rPr>
          <w:rFonts w:ascii="Book Antiqua" w:eastAsia="Book Antiqua" w:hAnsi="Book Antiqua" w:cs="Book Antiqua"/>
          <w:color w:val="000000"/>
        </w:rPr>
        <w:t xml:space="preserve">ransfected with an empty vector based on the CD model; LPS+si-FGL1: </w:t>
      </w:r>
      <w:r w:rsidRPr="00CB5747">
        <w:rPr>
          <w:rFonts w:ascii="Book Antiqua" w:eastAsia="Book Antiqua" w:hAnsi="Book Antiqua" w:cs="Book Antiqua"/>
          <w:caps/>
          <w:color w:val="000000"/>
        </w:rPr>
        <w:t>t</w:t>
      </w:r>
      <w:r>
        <w:rPr>
          <w:rFonts w:ascii="Book Antiqua" w:eastAsia="Book Antiqua" w:hAnsi="Book Antiqua" w:cs="Book Antiqua"/>
          <w:color w:val="000000"/>
        </w:rPr>
        <w:t xml:space="preserve">ransfected with FGL1 siRNA based on the CD model; LPS+oe-FGL1: </w:t>
      </w:r>
      <w:r w:rsidRPr="00CB5747">
        <w:rPr>
          <w:rFonts w:ascii="Book Antiqua" w:eastAsia="Book Antiqua" w:hAnsi="Book Antiqua" w:cs="Book Antiqua"/>
          <w:caps/>
          <w:color w:val="000000"/>
        </w:rPr>
        <w:t>t</w:t>
      </w:r>
      <w:r>
        <w:rPr>
          <w:rFonts w:ascii="Book Antiqua" w:eastAsia="Book Antiqua" w:hAnsi="Book Antiqua" w:cs="Book Antiqua"/>
          <w:color w:val="000000"/>
        </w:rPr>
        <w:t xml:space="preserve">ransfected with the FGL1 plasmid based on the CD model; FGL1: </w:t>
      </w:r>
      <w:r w:rsidRPr="00CB5747">
        <w:rPr>
          <w:rFonts w:ascii="Book Antiqua" w:eastAsia="Book Antiqua" w:hAnsi="Book Antiqua" w:cs="Book Antiqua"/>
          <w:caps/>
          <w:color w:val="000000"/>
        </w:rPr>
        <w:t>f</w:t>
      </w:r>
      <w:r w:rsidR="00CB5747">
        <w:rPr>
          <w:rFonts w:ascii="Book Antiqua" w:eastAsia="Book Antiqua" w:hAnsi="Book Antiqua" w:cs="Book Antiqua"/>
          <w:color w:val="000000"/>
        </w:rPr>
        <w:t>ibrinogen-like protein 1</w:t>
      </w:r>
      <w:r>
        <w:rPr>
          <w:rFonts w:ascii="Book Antiqua" w:eastAsia="Book Antiqua" w:hAnsi="Book Antiqua" w:cs="Book Antiqua"/>
          <w:color w:val="000000"/>
        </w:rPr>
        <w:t>.</w:t>
      </w:r>
    </w:p>
    <w:p w14:paraId="154C6DEA" w14:textId="77777777" w:rsidR="00A77B3E" w:rsidRDefault="000F4791" w:rsidP="005518F7">
      <w:pPr>
        <w:snapToGrid w:val="0"/>
        <w:spacing w:line="360" w:lineRule="auto"/>
        <w:jc w:val="both"/>
      </w:pPr>
      <w:r>
        <w:br w:type="page"/>
      </w:r>
      <w:r w:rsidR="00C115AD" w:rsidRPr="00C115AD">
        <w:rPr>
          <w:noProof/>
          <w:lang w:eastAsia="zh-CN"/>
        </w:rPr>
        <w:lastRenderedPageBreak/>
        <w:drawing>
          <wp:inline distT="0" distB="0" distL="0" distR="0" wp14:anchorId="7342EDDE" wp14:editId="69AC55E8">
            <wp:extent cx="5677486" cy="5255812"/>
            <wp:effectExtent l="0" t="0" r="0" b="0"/>
            <wp:docPr id="4" name="图片 4" descr="C:\Users\Admin\Desktop\图片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图片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84268" cy="5262091"/>
                    </a:xfrm>
                    <a:prstGeom prst="rect">
                      <a:avLst/>
                    </a:prstGeom>
                    <a:noFill/>
                    <a:ln>
                      <a:noFill/>
                    </a:ln>
                  </pic:spPr>
                </pic:pic>
              </a:graphicData>
            </a:graphic>
          </wp:inline>
        </w:drawing>
      </w:r>
    </w:p>
    <w:p w14:paraId="30217264" w14:textId="54C605BD" w:rsidR="00F839F2" w:rsidRDefault="006C186E" w:rsidP="005518F7">
      <w:pPr>
        <w:snapToGrid w:val="0"/>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w:t>
      </w:r>
      <w:bookmarkStart w:id="4" w:name="_GoBack"/>
      <w:r>
        <w:rPr>
          <w:rFonts w:ascii="Book Antiqua" w:eastAsia="Book Antiqua" w:hAnsi="Book Antiqua" w:cs="Book Antiqua"/>
          <w:b/>
          <w:bCs/>
          <w:color w:val="000000"/>
        </w:rPr>
        <w:t xml:space="preserve"> 4 </w:t>
      </w:r>
      <w:r w:rsidR="005C00FA">
        <w:rPr>
          <w:rFonts w:ascii="Book Antiqua" w:eastAsia="Book Antiqua" w:hAnsi="Book Antiqua" w:cs="Book Antiqua"/>
          <w:b/>
          <w:bCs/>
          <w:color w:val="000000"/>
        </w:rPr>
        <w:t>I</w:t>
      </w:r>
      <w:r>
        <w:rPr>
          <w:rFonts w:ascii="Book Antiqua" w:eastAsia="Book Antiqua" w:hAnsi="Book Antiqua" w:cs="Book Antiqua"/>
          <w:b/>
          <w:bCs/>
          <w:color w:val="000000"/>
        </w:rPr>
        <w:t>mpact of fibrinogen-like protein 1 on the NF-</w:t>
      </w:r>
      <w:proofErr w:type="spellStart"/>
      <w:r>
        <w:rPr>
          <w:rFonts w:ascii="Book Antiqua" w:eastAsia="Book Antiqua" w:hAnsi="Book Antiqua" w:cs="Book Antiqua"/>
          <w:b/>
          <w:bCs/>
          <w:color w:val="000000"/>
        </w:rPr>
        <w:t>κB</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signalling</w:t>
      </w:r>
      <w:proofErr w:type="spellEnd"/>
      <w:r>
        <w:rPr>
          <w:rFonts w:ascii="Book Antiqua" w:eastAsia="Book Antiqua" w:hAnsi="Book Antiqua" w:cs="Book Antiqua"/>
          <w:b/>
          <w:bCs/>
          <w:color w:val="000000"/>
        </w:rPr>
        <w:t xml:space="preserve"> pathway. </w:t>
      </w:r>
      <w:r>
        <w:rPr>
          <w:rFonts w:ascii="Book Antiqua" w:eastAsia="Book Antiqua" w:hAnsi="Book Antiqua" w:cs="Book Antiqua"/>
          <w:color w:val="000000"/>
        </w:rPr>
        <w:t>A and B:</w:t>
      </w:r>
      <w:r>
        <w:rPr>
          <w:rFonts w:ascii="Book Antiqua" w:eastAsia="Book Antiqua" w:hAnsi="Book Antiqua" w:cs="Book Antiqua"/>
          <w:b/>
          <w:bCs/>
          <w:color w:val="000000"/>
        </w:rPr>
        <w:t xml:space="preserve"> </w:t>
      </w:r>
      <w:r w:rsidR="005C00FA">
        <w:rPr>
          <w:rFonts w:ascii="Book Antiqua" w:eastAsia="Book Antiqua" w:hAnsi="Book Antiqua" w:cs="Book Antiqua"/>
          <w:color w:val="000000"/>
        </w:rPr>
        <w:t>E</w:t>
      </w:r>
      <w:r>
        <w:rPr>
          <w:rFonts w:ascii="Book Antiqua" w:eastAsia="Book Antiqua" w:hAnsi="Book Antiqua" w:cs="Book Antiqua"/>
          <w:color w:val="000000"/>
        </w:rPr>
        <w:t xml:space="preserve">ffect of knockdown or overexpression of fibrinogen-like protein 1 (FGL1) on the mRNA expression of </w:t>
      </w:r>
      <w:r w:rsidRPr="003E4742">
        <w:rPr>
          <w:rFonts w:ascii="Book Antiqua" w:eastAsia="Book Antiqua" w:hAnsi="Book Antiqua" w:cs="Book Antiqua"/>
          <w:i/>
          <w:color w:val="000000"/>
        </w:rPr>
        <w:t>FGL1</w:t>
      </w:r>
      <w:r>
        <w:rPr>
          <w:rFonts w:ascii="Book Antiqua" w:eastAsia="Book Antiqua" w:hAnsi="Book Antiqua" w:cs="Book Antiqua"/>
          <w:color w:val="000000"/>
        </w:rPr>
        <w:t xml:space="preserve"> and </w:t>
      </w:r>
      <w:r w:rsidRPr="003E4742">
        <w:rPr>
          <w:rFonts w:ascii="Book Antiqua" w:eastAsia="Book Antiqua" w:hAnsi="Book Antiqua" w:cs="Book Antiqua"/>
          <w:i/>
          <w:color w:val="000000"/>
        </w:rPr>
        <w:t>NF-</w:t>
      </w:r>
      <w:proofErr w:type="spellStart"/>
      <w:r w:rsidRPr="003E4742">
        <w:rPr>
          <w:rFonts w:ascii="Book Antiqua" w:eastAsia="Book Antiqua" w:hAnsi="Book Antiqua" w:cs="Book Antiqua"/>
          <w:i/>
          <w:color w:val="000000"/>
        </w:rPr>
        <w:t>κB</w:t>
      </w:r>
      <w:proofErr w:type="spellEnd"/>
      <w:r>
        <w:rPr>
          <w:rFonts w:ascii="Book Antiqua" w:eastAsia="Book Antiqua" w:hAnsi="Book Antiqua" w:cs="Book Antiqua"/>
          <w:color w:val="000000"/>
        </w:rPr>
        <w:t xml:space="preserve">, as determined by </w:t>
      </w:r>
      <w:r w:rsidR="005A5E15" w:rsidRPr="001A0B1C">
        <w:rPr>
          <w:rFonts w:ascii="Book Antiqua" w:eastAsia="Book Antiqua" w:hAnsi="Book Antiqua" w:cs="Book Antiqua"/>
          <w:color w:val="000000"/>
        </w:rPr>
        <w:t>q</w:t>
      </w:r>
      <w:r w:rsidR="002D79C5">
        <w:rPr>
          <w:rFonts w:ascii="Book Antiqua" w:eastAsia="Book Antiqua" w:hAnsi="Book Antiqua" w:cs="Book Antiqua"/>
          <w:color w:val="000000"/>
        </w:rPr>
        <w:t xml:space="preserve">uantitative real-time </w:t>
      </w:r>
      <w:r>
        <w:rPr>
          <w:rFonts w:ascii="Book Antiqua" w:eastAsia="Book Antiqua" w:hAnsi="Book Antiqua" w:cs="Book Antiqua"/>
          <w:color w:val="000000"/>
        </w:rPr>
        <w:t>PCR assay</w:t>
      </w:r>
      <w:r w:rsidR="004E45C2">
        <w:rPr>
          <w:rFonts w:ascii="Book Antiqua" w:eastAsia="Book Antiqua" w:hAnsi="Book Antiqua" w:cs="Book Antiqua"/>
          <w:color w:val="000000"/>
        </w:rPr>
        <w:t>;</w:t>
      </w:r>
      <w:r>
        <w:rPr>
          <w:rFonts w:ascii="Book Antiqua" w:eastAsia="Book Antiqua" w:hAnsi="Book Antiqua" w:cs="Book Antiqua"/>
          <w:color w:val="000000"/>
        </w:rPr>
        <w:t xml:space="preserve"> C: </w:t>
      </w:r>
      <w:r w:rsidR="005C00FA">
        <w:rPr>
          <w:rFonts w:ascii="Book Antiqua" w:eastAsia="Book Antiqua" w:hAnsi="Book Antiqua" w:cs="Book Antiqua"/>
          <w:color w:val="000000"/>
        </w:rPr>
        <w:t>E</w:t>
      </w:r>
      <w:r>
        <w:rPr>
          <w:rFonts w:ascii="Book Antiqua" w:eastAsia="Book Antiqua" w:hAnsi="Book Antiqua" w:cs="Book Antiqua"/>
          <w:color w:val="000000"/>
        </w:rPr>
        <w:t>ffect of FGL1 on the protein expression of related proteins in the canonical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pathway, as determined by </w:t>
      </w:r>
      <w:r w:rsidR="005C00FA">
        <w:rPr>
          <w:rFonts w:ascii="Book Antiqua" w:eastAsia="Book Antiqua" w:hAnsi="Book Antiqua" w:cs="Book Antiqua"/>
          <w:color w:val="000000"/>
        </w:rPr>
        <w:t xml:space="preserve">Western </w:t>
      </w:r>
      <w:r>
        <w:rPr>
          <w:rFonts w:ascii="Book Antiqua" w:eastAsia="Book Antiqua" w:hAnsi="Book Antiqua" w:cs="Book Antiqua"/>
          <w:color w:val="000000"/>
        </w:rPr>
        <w:t xml:space="preserve">blot assay. </w:t>
      </w:r>
      <w:proofErr w:type="spellStart"/>
      <w:r>
        <w:rPr>
          <w:rFonts w:ascii="Book Antiqua" w:eastAsia="Book Antiqua" w:hAnsi="Book Antiqua" w:cs="Book Antiqua"/>
          <w:color w:val="000000"/>
          <w:vertAlign w:val="superscript"/>
        </w:rPr>
        <w:t>a</w:t>
      </w:r>
      <w:r>
        <w:rPr>
          <w:rFonts w:ascii="Book Antiqua" w:eastAsia="Book Antiqua" w:hAnsi="Book Antiqua" w:cs="Book Antiqua"/>
          <w:i/>
          <w:iCs/>
          <w:color w:val="000000"/>
        </w:rPr>
        <w:t>P</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&lt; 0.01</w:t>
      </w:r>
      <w:r w:rsidR="00C115AD">
        <w:rPr>
          <w:rFonts w:ascii="Book Antiqua" w:eastAsia="Book Antiqua" w:hAnsi="Book Antiqua" w:cs="Book Antiqua"/>
          <w:color w:val="000000"/>
        </w:rPr>
        <w:t xml:space="preserve"> </w:t>
      </w:r>
      <w:r>
        <w:rPr>
          <w:rFonts w:ascii="Book Antiqua" w:eastAsia="Book Antiqua" w:hAnsi="Book Antiqua" w:cs="Book Antiqua"/>
          <w:i/>
          <w:iCs/>
          <w:color w:val="000000"/>
        </w:rPr>
        <w:t>vs</w:t>
      </w:r>
      <w:r>
        <w:rPr>
          <w:rFonts w:ascii="Book Antiqua" w:eastAsia="Book Antiqua" w:hAnsi="Book Antiqua" w:cs="Book Antiqua"/>
          <w:color w:val="000000"/>
        </w:rPr>
        <w:t xml:space="preserve"> NC; </w:t>
      </w:r>
      <w:proofErr w:type="spellStart"/>
      <w:r>
        <w:rPr>
          <w:rFonts w:ascii="Book Antiqua" w:eastAsia="Book Antiqua" w:hAnsi="Book Antiqua" w:cs="Book Antiqua"/>
          <w:color w:val="000000"/>
          <w:szCs w:val="30"/>
          <w:vertAlign w:val="superscript"/>
        </w:rPr>
        <w:t>b</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0.01, </w:t>
      </w:r>
      <w:proofErr w:type="spellStart"/>
      <w:r>
        <w:rPr>
          <w:rFonts w:ascii="Book Antiqua" w:eastAsia="Book Antiqua" w:hAnsi="Book Antiqua" w:cs="Book Antiqua"/>
          <w:color w:val="000000"/>
          <w:szCs w:val="30"/>
          <w:vertAlign w:val="superscript"/>
        </w:rPr>
        <w:t>c</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0.05</w:t>
      </w:r>
      <w:r w:rsidR="00C115AD">
        <w:rPr>
          <w:rFonts w:ascii="Book Antiqua" w:eastAsia="Book Antiqua" w:hAnsi="Book Antiqua" w:cs="Book Antiqua"/>
          <w:color w:val="000000"/>
        </w:rPr>
        <w:t xml:space="preserve"> </w:t>
      </w:r>
      <w:r>
        <w:rPr>
          <w:rFonts w:ascii="Book Antiqua" w:eastAsia="Book Antiqua" w:hAnsi="Book Antiqua" w:cs="Book Antiqua"/>
          <w:i/>
          <w:iCs/>
          <w:color w:val="000000"/>
        </w:rPr>
        <w:t>vs</w:t>
      </w:r>
      <w:r>
        <w:rPr>
          <w:rFonts w:ascii="Book Antiqua" w:eastAsia="Book Antiqua" w:hAnsi="Book Antiqua" w:cs="Book Antiqua"/>
          <w:color w:val="000000"/>
        </w:rPr>
        <w:t xml:space="preserve"> LPS. NC: </w:t>
      </w:r>
      <w:r w:rsidRPr="001A0B1C">
        <w:rPr>
          <w:rFonts w:ascii="Book Antiqua" w:eastAsia="Book Antiqua" w:hAnsi="Book Antiqua" w:cs="Book Antiqua"/>
          <w:caps/>
          <w:color w:val="000000"/>
        </w:rPr>
        <w:t>n</w:t>
      </w:r>
      <w:r>
        <w:rPr>
          <w:rFonts w:ascii="Book Antiqua" w:eastAsia="Book Antiqua" w:hAnsi="Book Antiqua" w:cs="Book Antiqua"/>
          <w:color w:val="000000"/>
        </w:rPr>
        <w:t xml:space="preserve">ormal control group; LPS: Crohn’s disease (CD) model induced by LPS; </w:t>
      </w:r>
      <w:proofErr w:type="spellStart"/>
      <w:r>
        <w:rPr>
          <w:rFonts w:ascii="Book Antiqua" w:eastAsia="Book Antiqua" w:hAnsi="Book Antiqua" w:cs="Book Antiqua"/>
          <w:color w:val="000000"/>
        </w:rPr>
        <w:t>LPS+Vector</w:t>
      </w:r>
      <w:proofErr w:type="spellEnd"/>
      <w:r>
        <w:rPr>
          <w:rFonts w:ascii="Book Antiqua" w:eastAsia="Book Antiqua" w:hAnsi="Book Antiqua" w:cs="Book Antiqua"/>
          <w:color w:val="000000"/>
        </w:rPr>
        <w:t xml:space="preserve">: </w:t>
      </w:r>
      <w:r w:rsidRPr="001A0B1C">
        <w:rPr>
          <w:rFonts w:ascii="Book Antiqua" w:eastAsia="Book Antiqua" w:hAnsi="Book Antiqua" w:cs="Book Antiqua"/>
          <w:caps/>
          <w:color w:val="000000"/>
        </w:rPr>
        <w:t>t</w:t>
      </w:r>
      <w:r>
        <w:rPr>
          <w:rFonts w:ascii="Book Antiqua" w:eastAsia="Book Antiqua" w:hAnsi="Book Antiqua" w:cs="Book Antiqua"/>
          <w:color w:val="000000"/>
        </w:rPr>
        <w:t>ransfecte</w:t>
      </w:r>
      <w:bookmarkEnd w:id="4"/>
      <w:r>
        <w:rPr>
          <w:rFonts w:ascii="Book Antiqua" w:eastAsia="Book Antiqua" w:hAnsi="Book Antiqua" w:cs="Book Antiqua"/>
          <w:color w:val="000000"/>
        </w:rPr>
        <w:t xml:space="preserve">d with an empty vector based on the CD model; LPS+si-FGL1: </w:t>
      </w:r>
      <w:r w:rsidRPr="001A0B1C">
        <w:rPr>
          <w:rFonts w:ascii="Book Antiqua" w:eastAsia="Book Antiqua" w:hAnsi="Book Antiqua" w:cs="Book Antiqua"/>
          <w:caps/>
          <w:color w:val="000000"/>
        </w:rPr>
        <w:t>t</w:t>
      </w:r>
      <w:r>
        <w:rPr>
          <w:rFonts w:ascii="Book Antiqua" w:eastAsia="Book Antiqua" w:hAnsi="Book Antiqua" w:cs="Book Antiqua"/>
          <w:color w:val="000000"/>
        </w:rPr>
        <w:t xml:space="preserve">ransfected with FGL1 siRNA based on the CD model; LPS+oe-FGL1: </w:t>
      </w:r>
      <w:r w:rsidRPr="001A0B1C">
        <w:rPr>
          <w:rFonts w:ascii="Book Antiqua" w:eastAsia="Book Antiqua" w:hAnsi="Book Antiqua" w:cs="Book Antiqua"/>
          <w:caps/>
          <w:color w:val="000000"/>
        </w:rPr>
        <w:t>t</w:t>
      </w:r>
      <w:r>
        <w:rPr>
          <w:rFonts w:ascii="Book Antiqua" w:eastAsia="Book Antiqua" w:hAnsi="Book Antiqua" w:cs="Book Antiqua"/>
          <w:color w:val="000000"/>
        </w:rPr>
        <w:t xml:space="preserve">ransfected with the FGL1 plasmid based on the CD model; LPS: </w:t>
      </w:r>
      <w:r w:rsidRPr="001A0B1C">
        <w:rPr>
          <w:rFonts w:ascii="Book Antiqua" w:eastAsia="Book Antiqua" w:hAnsi="Book Antiqua" w:cs="Book Antiqua"/>
          <w:caps/>
          <w:color w:val="000000"/>
        </w:rPr>
        <w:t>l</w:t>
      </w:r>
      <w:r>
        <w:rPr>
          <w:rFonts w:ascii="Book Antiqua" w:eastAsia="Book Antiqua" w:hAnsi="Book Antiqua" w:cs="Book Antiqua"/>
          <w:color w:val="000000"/>
        </w:rPr>
        <w:t xml:space="preserve">ipopolysaccharide; FGL1: </w:t>
      </w:r>
      <w:r w:rsidRPr="001A0B1C">
        <w:rPr>
          <w:rFonts w:ascii="Book Antiqua" w:eastAsia="Book Antiqua" w:hAnsi="Book Antiqua" w:cs="Book Antiqua"/>
          <w:caps/>
          <w:color w:val="000000"/>
        </w:rPr>
        <w:t>f</w:t>
      </w:r>
      <w:r>
        <w:rPr>
          <w:rFonts w:ascii="Book Antiqua" w:eastAsia="Book Antiqua" w:hAnsi="Book Antiqua" w:cs="Book Antiqua"/>
          <w:color w:val="000000"/>
        </w:rPr>
        <w:t>ibrinogen-like protein 1.</w:t>
      </w:r>
    </w:p>
    <w:p w14:paraId="0E2E2BA4" w14:textId="77777777" w:rsidR="00F839F2" w:rsidRDefault="00F839F2" w:rsidP="005518F7">
      <w:pPr>
        <w:snapToGrid w:val="0"/>
        <w:spacing w:line="360" w:lineRule="auto"/>
        <w:jc w:val="both"/>
      </w:pPr>
      <w:r>
        <w:rPr>
          <w:rFonts w:ascii="Book Antiqua" w:eastAsia="Book Antiqua" w:hAnsi="Book Antiqua" w:cs="Book Antiqua"/>
          <w:color w:val="000000"/>
        </w:rPr>
        <w:br w:type="page"/>
      </w:r>
      <w:r w:rsidRPr="00B579B6">
        <w:rPr>
          <w:rFonts w:ascii="Book Antiqua" w:hAnsi="Book Antiqua"/>
          <w:b/>
          <w:bCs/>
          <w:color w:val="000000" w:themeColor="text1"/>
        </w:rPr>
        <w:lastRenderedPageBreak/>
        <w:t>Table 1 Clinical characteristics of patients for plasma proteomic analysis</w:t>
      </w:r>
    </w:p>
    <w:tbl>
      <w:tblPr>
        <w:tblStyle w:val="a5"/>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3803"/>
        <w:gridCol w:w="1954"/>
        <w:gridCol w:w="2409"/>
        <w:gridCol w:w="1049"/>
      </w:tblGrid>
      <w:tr w:rsidR="00F839F2" w:rsidRPr="00B579B6" w14:paraId="00135474" w14:textId="77777777" w:rsidTr="00F839F2">
        <w:tc>
          <w:tcPr>
            <w:tcW w:w="0" w:type="auto"/>
            <w:tcBorders>
              <w:top w:val="single" w:sz="4" w:space="0" w:color="auto"/>
              <w:bottom w:val="single" w:sz="4" w:space="0" w:color="auto"/>
            </w:tcBorders>
          </w:tcPr>
          <w:p w14:paraId="1C4CE6BB" w14:textId="77777777" w:rsidR="00F839F2" w:rsidRPr="00B579B6" w:rsidRDefault="00F839F2" w:rsidP="005518F7">
            <w:pPr>
              <w:snapToGrid w:val="0"/>
              <w:spacing w:line="360" w:lineRule="auto"/>
              <w:rPr>
                <w:rFonts w:ascii="Book Antiqua" w:hAnsi="Book Antiqua" w:cs="Times New Roman"/>
                <w:b/>
                <w:bCs/>
                <w:color w:val="000000" w:themeColor="text1"/>
              </w:rPr>
            </w:pPr>
            <w:r w:rsidRPr="00B579B6">
              <w:rPr>
                <w:rFonts w:ascii="Book Antiqua" w:hAnsi="Book Antiqua" w:cs="Times New Roman"/>
                <w:b/>
                <w:bCs/>
                <w:color w:val="000000" w:themeColor="text1"/>
              </w:rPr>
              <w:t>Item</w:t>
            </w:r>
          </w:p>
        </w:tc>
        <w:tc>
          <w:tcPr>
            <w:tcW w:w="1954" w:type="dxa"/>
            <w:tcBorders>
              <w:top w:val="single" w:sz="4" w:space="0" w:color="auto"/>
              <w:bottom w:val="single" w:sz="4" w:space="0" w:color="auto"/>
            </w:tcBorders>
          </w:tcPr>
          <w:p w14:paraId="4D3C5798" w14:textId="77777777" w:rsidR="00F839F2" w:rsidRPr="00B579B6" w:rsidRDefault="00F839F2" w:rsidP="005518F7">
            <w:pPr>
              <w:snapToGrid w:val="0"/>
              <w:spacing w:line="360" w:lineRule="auto"/>
              <w:jc w:val="center"/>
              <w:rPr>
                <w:rFonts w:ascii="Book Antiqua" w:hAnsi="Book Antiqua" w:cs="Times New Roman"/>
                <w:b/>
                <w:bCs/>
                <w:color w:val="000000" w:themeColor="text1"/>
              </w:rPr>
            </w:pPr>
            <w:r w:rsidRPr="00B579B6">
              <w:rPr>
                <w:rFonts w:ascii="Book Antiqua" w:hAnsi="Book Antiqua" w:cs="Times New Roman"/>
                <w:b/>
                <w:bCs/>
                <w:color w:val="000000" w:themeColor="text1"/>
              </w:rPr>
              <w:t>Crohn’s disease (</w:t>
            </w:r>
            <w:r w:rsidRPr="00F839F2">
              <w:rPr>
                <w:rFonts w:ascii="Book Antiqua" w:hAnsi="Book Antiqua" w:cs="Times New Roman"/>
                <w:b/>
                <w:bCs/>
                <w:i/>
                <w:color w:val="000000" w:themeColor="text1"/>
              </w:rPr>
              <w:t>n</w:t>
            </w:r>
            <w:r>
              <w:rPr>
                <w:rFonts w:ascii="Book Antiqua" w:hAnsi="Book Antiqua" w:cs="Times New Roman"/>
                <w:b/>
                <w:bCs/>
                <w:color w:val="000000" w:themeColor="text1"/>
              </w:rPr>
              <w:t xml:space="preserve"> </w:t>
            </w:r>
            <w:r w:rsidRPr="00B579B6">
              <w:rPr>
                <w:rFonts w:ascii="Book Antiqua" w:hAnsi="Book Antiqua" w:cs="Times New Roman"/>
                <w:b/>
                <w:bCs/>
                <w:color w:val="000000" w:themeColor="text1"/>
              </w:rPr>
              <w:t>=</w:t>
            </w:r>
            <w:r>
              <w:rPr>
                <w:rFonts w:ascii="Book Antiqua" w:hAnsi="Book Antiqua" w:cs="Times New Roman"/>
                <w:b/>
                <w:bCs/>
                <w:color w:val="000000" w:themeColor="text1"/>
              </w:rPr>
              <w:t xml:space="preserve"> </w:t>
            </w:r>
            <w:r w:rsidRPr="00B579B6">
              <w:rPr>
                <w:rFonts w:ascii="Book Antiqua" w:hAnsi="Book Antiqua" w:cs="Times New Roman"/>
                <w:b/>
                <w:bCs/>
                <w:color w:val="000000" w:themeColor="text1"/>
              </w:rPr>
              <w:t>20)</w:t>
            </w:r>
          </w:p>
        </w:tc>
        <w:tc>
          <w:tcPr>
            <w:tcW w:w="2409" w:type="dxa"/>
            <w:tcBorders>
              <w:top w:val="single" w:sz="4" w:space="0" w:color="auto"/>
              <w:bottom w:val="single" w:sz="4" w:space="0" w:color="auto"/>
            </w:tcBorders>
          </w:tcPr>
          <w:p w14:paraId="1EF93CE2" w14:textId="77777777" w:rsidR="00F839F2" w:rsidRPr="00B579B6" w:rsidRDefault="00F839F2" w:rsidP="005518F7">
            <w:pPr>
              <w:snapToGrid w:val="0"/>
              <w:spacing w:line="360" w:lineRule="auto"/>
              <w:jc w:val="center"/>
              <w:rPr>
                <w:rFonts w:ascii="Book Antiqua" w:hAnsi="Book Antiqua" w:cs="Times New Roman"/>
                <w:b/>
                <w:bCs/>
                <w:color w:val="000000" w:themeColor="text1"/>
              </w:rPr>
            </w:pPr>
            <w:r w:rsidRPr="00B579B6">
              <w:rPr>
                <w:rFonts w:ascii="Book Antiqua" w:hAnsi="Book Antiqua" w:cs="Times New Roman"/>
                <w:b/>
                <w:bCs/>
                <w:color w:val="000000" w:themeColor="text1"/>
              </w:rPr>
              <w:t>Normal control (</w:t>
            </w:r>
            <w:r w:rsidRPr="00F839F2">
              <w:rPr>
                <w:rFonts w:ascii="Book Antiqua" w:hAnsi="Book Antiqua" w:cs="Times New Roman"/>
                <w:b/>
                <w:bCs/>
                <w:i/>
                <w:color w:val="000000" w:themeColor="text1"/>
              </w:rPr>
              <w:t>n</w:t>
            </w:r>
            <w:r w:rsidRPr="00B579B6">
              <w:rPr>
                <w:rFonts w:ascii="Book Antiqua" w:hAnsi="Book Antiqua" w:cs="Times New Roman"/>
                <w:b/>
                <w:bCs/>
                <w:color w:val="000000" w:themeColor="text1"/>
              </w:rPr>
              <w:t xml:space="preserve"> =</w:t>
            </w:r>
            <w:r>
              <w:rPr>
                <w:rFonts w:ascii="Book Antiqua" w:hAnsi="Book Antiqua" w:cs="Times New Roman"/>
                <w:b/>
                <w:bCs/>
                <w:color w:val="000000" w:themeColor="text1"/>
              </w:rPr>
              <w:t xml:space="preserve"> </w:t>
            </w:r>
            <w:r w:rsidRPr="00B579B6">
              <w:rPr>
                <w:rFonts w:ascii="Book Antiqua" w:hAnsi="Book Antiqua" w:cs="Times New Roman"/>
                <w:b/>
                <w:bCs/>
                <w:color w:val="000000" w:themeColor="text1"/>
              </w:rPr>
              <w:t>20)</w:t>
            </w:r>
          </w:p>
        </w:tc>
        <w:tc>
          <w:tcPr>
            <w:tcW w:w="1049" w:type="dxa"/>
            <w:tcBorders>
              <w:top w:val="single" w:sz="4" w:space="0" w:color="auto"/>
              <w:bottom w:val="single" w:sz="4" w:space="0" w:color="auto"/>
            </w:tcBorders>
          </w:tcPr>
          <w:p w14:paraId="5AA17BB2" w14:textId="77777777" w:rsidR="00F839F2" w:rsidRPr="00B579B6" w:rsidRDefault="00F839F2" w:rsidP="005518F7">
            <w:pPr>
              <w:snapToGrid w:val="0"/>
              <w:spacing w:line="360" w:lineRule="auto"/>
              <w:jc w:val="center"/>
              <w:rPr>
                <w:rFonts w:ascii="Book Antiqua" w:hAnsi="Book Antiqua" w:cs="Times New Roman"/>
                <w:b/>
                <w:bCs/>
                <w:color w:val="000000" w:themeColor="text1"/>
              </w:rPr>
            </w:pPr>
            <w:r w:rsidRPr="004E3F21">
              <w:rPr>
                <w:rFonts w:ascii="Book Antiqua" w:hAnsi="Book Antiqua" w:cs="Times New Roman"/>
                <w:b/>
                <w:bCs/>
                <w:i/>
                <w:iCs/>
                <w:color w:val="000000" w:themeColor="text1"/>
              </w:rPr>
              <w:t>P</w:t>
            </w:r>
            <w:r>
              <w:rPr>
                <w:rFonts w:ascii="Book Antiqua" w:hAnsi="Book Antiqua" w:cs="Times New Roman"/>
                <w:b/>
                <w:bCs/>
                <w:color w:val="000000" w:themeColor="text1"/>
              </w:rPr>
              <w:t xml:space="preserve"> value</w:t>
            </w:r>
          </w:p>
        </w:tc>
      </w:tr>
      <w:tr w:rsidR="00F839F2" w:rsidRPr="00B579B6" w14:paraId="76DCDE39" w14:textId="77777777" w:rsidTr="000E6C84">
        <w:tc>
          <w:tcPr>
            <w:tcW w:w="0" w:type="auto"/>
            <w:tcBorders>
              <w:top w:val="single" w:sz="4" w:space="0" w:color="auto"/>
              <w:bottom w:val="nil"/>
            </w:tcBorders>
          </w:tcPr>
          <w:p w14:paraId="009B9221" w14:textId="77777777" w:rsidR="00F839F2" w:rsidRPr="00B579B6" w:rsidRDefault="00F839F2" w:rsidP="005518F7">
            <w:pPr>
              <w:snapToGrid w:val="0"/>
              <w:spacing w:line="360" w:lineRule="auto"/>
              <w:rPr>
                <w:rFonts w:ascii="Book Antiqua" w:hAnsi="Book Antiqua" w:cs="Times New Roman"/>
                <w:color w:val="000000" w:themeColor="text1"/>
              </w:rPr>
            </w:pPr>
            <w:r w:rsidRPr="00B579B6">
              <w:rPr>
                <w:rFonts w:ascii="Book Antiqua" w:hAnsi="Book Antiqua" w:cs="Times New Roman"/>
                <w:color w:val="000000" w:themeColor="text1"/>
              </w:rPr>
              <w:t>Sex</w:t>
            </w:r>
          </w:p>
        </w:tc>
        <w:tc>
          <w:tcPr>
            <w:tcW w:w="1954" w:type="dxa"/>
            <w:tcBorders>
              <w:top w:val="single" w:sz="4" w:space="0" w:color="auto"/>
              <w:bottom w:val="nil"/>
            </w:tcBorders>
          </w:tcPr>
          <w:p w14:paraId="6B41A100" w14:textId="77777777" w:rsidR="00F839F2" w:rsidRPr="00B579B6" w:rsidRDefault="00F839F2" w:rsidP="005518F7">
            <w:pPr>
              <w:snapToGrid w:val="0"/>
              <w:spacing w:line="360" w:lineRule="auto"/>
              <w:rPr>
                <w:rFonts w:ascii="Book Antiqua" w:hAnsi="Book Antiqua" w:cs="Times New Roman"/>
                <w:color w:val="000000" w:themeColor="text1"/>
              </w:rPr>
            </w:pPr>
          </w:p>
        </w:tc>
        <w:tc>
          <w:tcPr>
            <w:tcW w:w="2409" w:type="dxa"/>
            <w:tcBorders>
              <w:top w:val="single" w:sz="4" w:space="0" w:color="auto"/>
              <w:bottom w:val="nil"/>
            </w:tcBorders>
          </w:tcPr>
          <w:p w14:paraId="4FCA8084" w14:textId="77777777" w:rsidR="00F839F2" w:rsidRPr="00B579B6" w:rsidRDefault="00F839F2" w:rsidP="005518F7">
            <w:pPr>
              <w:snapToGrid w:val="0"/>
              <w:spacing w:line="360" w:lineRule="auto"/>
              <w:rPr>
                <w:rFonts w:ascii="Book Antiqua" w:hAnsi="Book Antiqua" w:cs="Times New Roman"/>
                <w:color w:val="000000" w:themeColor="text1"/>
              </w:rPr>
            </w:pPr>
          </w:p>
        </w:tc>
        <w:tc>
          <w:tcPr>
            <w:tcW w:w="1049" w:type="dxa"/>
            <w:tcBorders>
              <w:top w:val="single" w:sz="4" w:space="0" w:color="auto"/>
              <w:bottom w:val="nil"/>
            </w:tcBorders>
          </w:tcPr>
          <w:p w14:paraId="26B13221" w14:textId="77777777" w:rsidR="00F839F2" w:rsidRPr="00B579B6" w:rsidRDefault="00F839F2" w:rsidP="005518F7">
            <w:pPr>
              <w:snapToGrid w:val="0"/>
              <w:spacing w:line="360" w:lineRule="auto"/>
              <w:rPr>
                <w:rFonts w:ascii="Book Antiqua" w:hAnsi="Book Antiqua" w:cs="Times New Roman"/>
                <w:color w:val="000000" w:themeColor="text1"/>
              </w:rPr>
            </w:pPr>
          </w:p>
        </w:tc>
      </w:tr>
      <w:tr w:rsidR="00F839F2" w:rsidRPr="00B579B6" w14:paraId="040336F3" w14:textId="77777777" w:rsidTr="000E6C84">
        <w:tc>
          <w:tcPr>
            <w:tcW w:w="0" w:type="auto"/>
            <w:tcBorders>
              <w:top w:val="nil"/>
              <w:bottom w:val="nil"/>
            </w:tcBorders>
          </w:tcPr>
          <w:p w14:paraId="1246206E" w14:textId="77777777" w:rsidR="00F839F2" w:rsidRPr="00B579B6" w:rsidRDefault="00F839F2" w:rsidP="005518F7">
            <w:pPr>
              <w:snapToGrid w:val="0"/>
              <w:spacing w:line="360" w:lineRule="auto"/>
              <w:ind w:firstLineChars="100" w:firstLine="240"/>
              <w:rPr>
                <w:rFonts w:ascii="Book Antiqua" w:hAnsi="Book Antiqua" w:cs="Times New Roman"/>
                <w:color w:val="000000" w:themeColor="text1"/>
              </w:rPr>
            </w:pPr>
            <w:r w:rsidRPr="00B579B6">
              <w:rPr>
                <w:rFonts w:ascii="Book Antiqua" w:hAnsi="Book Antiqua" w:cs="Times New Roman"/>
                <w:color w:val="000000" w:themeColor="text1"/>
              </w:rPr>
              <w:t>Male</w:t>
            </w:r>
          </w:p>
        </w:tc>
        <w:tc>
          <w:tcPr>
            <w:tcW w:w="1954" w:type="dxa"/>
            <w:tcBorders>
              <w:top w:val="nil"/>
              <w:bottom w:val="nil"/>
            </w:tcBorders>
          </w:tcPr>
          <w:p w14:paraId="2756C8D8" w14:textId="77777777" w:rsidR="00F839F2" w:rsidRPr="00B579B6" w:rsidRDefault="00F839F2" w:rsidP="005518F7">
            <w:pPr>
              <w:snapToGrid w:val="0"/>
              <w:spacing w:line="360" w:lineRule="auto"/>
              <w:jc w:val="center"/>
              <w:rPr>
                <w:rFonts w:ascii="Book Antiqua" w:hAnsi="Book Antiqua" w:cs="Times New Roman"/>
                <w:color w:val="000000" w:themeColor="text1"/>
              </w:rPr>
            </w:pPr>
            <w:r w:rsidRPr="00B579B6">
              <w:rPr>
                <w:rFonts w:ascii="Book Antiqua" w:hAnsi="Book Antiqua" w:cs="Times New Roman"/>
                <w:color w:val="000000" w:themeColor="text1"/>
              </w:rPr>
              <w:t>13</w:t>
            </w:r>
          </w:p>
        </w:tc>
        <w:tc>
          <w:tcPr>
            <w:tcW w:w="2409" w:type="dxa"/>
            <w:tcBorders>
              <w:top w:val="nil"/>
              <w:bottom w:val="nil"/>
            </w:tcBorders>
          </w:tcPr>
          <w:p w14:paraId="4763D8BD" w14:textId="77777777" w:rsidR="00F839F2" w:rsidRPr="00B579B6" w:rsidRDefault="00F839F2" w:rsidP="005518F7">
            <w:pPr>
              <w:snapToGrid w:val="0"/>
              <w:spacing w:line="360" w:lineRule="auto"/>
              <w:jc w:val="center"/>
              <w:rPr>
                <w:rFonts w:ascii="Book Antiqua" w:hAnsi="Book Antiqua" w:cs="Times New Roman"/>
                <w:color w:val="000000" w:themeColor="text1"/>
              </w:rPr>
            </w:pPr>
            <w:r w:rsidRPr="00B579B6">
              <w:rPr>
                <w:rFonts w:ascii="Book Antiqua" w:hAnsi="Book Antiqua" w:cs="Times New Roman"/>
                <w:color w:val="000000" w:themeColor="text1"/>
              </w:rPr>
              <w:t>11</w:t>
            </w:r>
          </w:p>
        </w:tc>
        <w:tc>
          <w:tcPr>
            <w:tcW w:w="1049" w:type="dxa"/>
            <w:tcBorders>
              <w:top w:val="nil"/>
              <w:bottom w:val="nil"/>
            </w:tcBorders>
          </w:tcPr>
          <w:p w14:paraId="5C7EB56E" w14:textId="77777777" w:rsidR="00F839F2" w:rsidRPr="00B579B6" w:rsidRDefault="00F839F2" w:rsidP="005518F7">
            <w:pPr>
              <w:snapToGrid w:val="0"/>
              <w:spacing w:line="360" w:lineRule="auto"/>
              <w:jc w:val="center"/>
              <w:rPr>
                <w:rFonts w:ascii="Book Antiqua" w:hAnsi="Book Antiqua" w:cs="Times New Roman"/>
                <w:color w:val="000000" w:themeColor="text1"/>
              </w:rPr>
            </w:pPr>
            <w:r w:rsidRPr="00B579B6">
              <w:rPr>
                <w:rFonts w:ascii="Book Antiqua" w:hAnsi="Book Antiqua" w:cs="Times New Roman"/>
                <w:color w:val="000000" w:themeColor="text1"/>
              </w:rPr>
              <w:t>0.519</w:t>
            </w:r>
          </w:p>
        </w:tc>
      </w:tr>
      <w:tr w:rsidR="00F839F2" w:rsidRPr="00B579B6" w14:paraId="38AABBA7" w14:textId="77777777" w:rsidTr="000E6C84">
        <w:tc>
          <w:tcPr>
            <w:tcW w:w="0" w:type="auto"/>
            <w:tcBorders>
              <w:top w:val="nil"/>
              <w:bottom w:val="nil"/>
            </w:tcBorders>
          </w:tcPr>
          <w:p w14:paraId="0A5FB0AB" w14:textId="77777777" w:rsidR="00F839F2" w:rsidRPr="00B579B6" w:rsidRDefault="00F839F2" w:rsidP="005518F7">
            <w:pPr>
              <w:snapToGrid w:val="0"/>
              <w:spacing w:line="360" w:lineRule="auto"/>
              <w:ind w:firstLineChars="100" w:firstLine="240"/>
              <w:rPr>
                <w:rFonts w:ascii="Book Antiqua" w:hAnsi="Book Antiqua" w:cs="Times New Roman"/>
                <w:color w:val="000000" w:themeColor="text1"/>
              </w:rPr>
            </w:pPr>
            <w:r w:rsidRPr="00B579B6">
              <w:rPr>
                <w:rFonts w:ascii="Book Antiqua" w:hAnsi="Book Antiqua" w:cs="Times New Roman"/>
                <w:color w:val="000000" w:themeColor="text1"/>
              </w:rPr>
              <w:t>Female</w:t>
            </w:r>
          </w:p>
        </w:tc>
        <w:tc>
          <w:tcPr>
            <w:tcW w:w="1954" w:type="dxa"/>
            <w:tcBorders>
              <w:top w:val="nil"/>
              <w:bottom w:val="nil"/>
            </w:tcBorders>
          </w:tcPr>
          <w:p w14:paraId="14093FEE" w14:textId="77777777" w:rsidR="00F839F2" w:rsidRPr="00B579B6" w:rsidRDefault="00F839F2" w:rsidP="005518F7">
            <w:pPr>
              <w:snapToGrid w:val="0"/>
              <w:spacing w:line="360" w:lineRule="auto"/>
              <w:jc w:val="center"/>
              <w:rPr>
                <w:rFonts w:ascii="Book Antiqua" w:hAnsi="Book Antiqua" w:cs="Times New Roman"/>
                <w:color w:val="000000" w:themeColor="text1"/>
              </w:rPr>
            </w:pPr>
            <w:r w:rsidRPr="00B579B6">
              <w:rPr>
                <w:rFonts w:ascii="Book Antiqua" w:hAnsi="Book Antiqua" w:cs="Times New Roman"/>
                <w:color w:val="000000" w:themeColor="text1"/>
              </w:rPr>
              <w:t>7</w:t>
            </w:r>
          </w:p>
        </w:tc>
        <w:tc>
          <w:tcPr>
            <w:tcW w:w="2409" w:type="dxa"/>
            <w:tcBorders>
              <w:top w:val="nil"/>
              <w:bottom w:val="nil"/>
            </w:tcBorders>
          </w:tcPr>
          <w:p w14:paraId="41E63C97" w14:textId="77777777" w:rsidR="00F839F2" w:rsidRPr="00B579B6" w:rsidRDefault="00F839F2" w:rsidP="005518F7">
            <w:pPr>
              <w:snapToGrid w:val="0"/>
              <w:spacing w:line="360" w:lineRule="auto"/>
              <w:jc w:val="center"/>
              <w:rPr>
                <w:rFonts w:ascii="Book Antiqua" w:hAnsi="Book Antiqua" w:cs="Times New Roman"/>
                <w:color w:val="000000" w:themeColor="text1"/>
              </w:rPr>
            </w:pPr>
            <w:r w:rsidRPr="00B579B6">
              <w:rPr>
                <w:rFonts w:ascii="Book Antiqua" w:hAnsi="Book Antiqua" w:cs="Times New Roman"/>
                <w:color w:val="000000" w:themeColor="text1"/>
              </w:rPr>
              <w:t>9</w:t>
            </w:r>
          </w:p>
        </w:tc>
        <w:tc>
          <w:tcPr>
            <w:tcW w:w="1049" w:type="dxa"/>
            <w:tcBorders>
              <w:top w:val="nil"/>
              <w:bottom w:val="nil"/>
            </w:tcBorders>
          </w:tcPr>
          <w:p w14:paraId="38AF505C" w14:textId="77777777" w:rsidR="00F839F2" w:rsidRPr="00B579B6" w:rsidRDefault="00F839F2" w:rsidP="005518F7">
            <w:pPr>
              <w:snapToGrid w:val="0"/>
              <w:spacing w:line="360" w:lineRule="auto"/>
              <w:jc w:val="center"/>
              <w:rPr>
                <w:rFonts w:ascii="Book Antiqua" w:hAnsi="Book Antiqua" w:cs="Times New Roman"/>
                <w:color w:val="000000" w:themeColor="text1"/>
              </w:rPr>
            </w:pPr>
          </w:p>
        </w:tc>
      </w:tr>
      <w:tr w:rsidR="00F839F2" w:rsidRPr="00B579B6" w14:paraId="3650638E" w14:textId="77777777" w:rsidTr="000E6C84">
        <w:tc>
          <w:tcPr>
            <w:tcW w:w="0" w:type="auto"/>
            <w:tcBorders>
              <w:top w:val="nil"/>
              <w:bottom w:val="nil"/>
            </w:tcBorders>
          </w:tcPr>
          <w:p w14:paraId="08EDD488" w14:textId="77777777" w:rsidR="00F839F2" w:rsidRPr="00B579B6" w:rsidRDefault="00F839F2" w:rsidP="005518F7">
            <w:pPr>
              <w:snapToGrid w:val="0"/>
              <w:spacing w:line="360" w:lineRule="auto"/>
              <w:rPr>
                <w:rFonts w:ascii="Book Antiqua" w:hAnsi="Book Antiqua" w:cs="Times New Roman"/>
                <w:color w:val="000000" w:themeColor="text1"/>
              </w:rPr>
            </w:pPr>
            <w:r w:rsidRPr="00B579B6">
              <w:rPr>
                <w:rFonts w:ascii="Book Antiqua" w:hAnsi="Book Antiqua" w:cs="Times New Roman"/>
                <w:color w:val="000000" w:themeColor="text1"/>
              </w:rPr>
              <w:t xml:space="preserve">Median age </w:t>
            </w:r>
            <w:r w:rsidR="00132F7A">
              <w:rPr>
                <w:rFonts w:ascii="Book Antiqua" w:hAnsi="Book Antiqua" w:cs="Times New Roman"/>
                <w:color w:val="000000" w:themeColor="text1"/>
              </w:rPr>
              <w:t xml:space="preserve">(range), </w:t>
            </w:r>
            <w:proofErr w:type="spellStart"/>
            <w:r w:rsidR="00132F7A">
              <w:rPr>
                <w:rFonts w:ascii="Book Antiqua" w:hAnsi="Book Antiqua" w:cs="Times New Roman"/>
                <w:color w:val="000000" w:themeColor="text1"/>
              </w:rPr>
              <w:t>y</w:t>
            </w:r>
            <w:r w:rsidRPr="00B579B6">
              <w:rPr>
                <w:rFonts w:ascii="Book Antiqua" w:hAnsi="Book Antiqua" w:cs="Times New Roman"/>
                <w:color w:val="000000" w:themeColor="text1"/>
              </w:rPr>
              <w:t>r</w:t>
            </w:r>
            <w:proofErr w:type="spellEnd"/>
          </w:p>
        </w:tc>
        <w:tc>
          <w:tcPr>
            <w:tcW w:w="1954" w:type="dxa"/>
            <w:tcBorders>
              <w:top w:val="nil"/>
              <w:bottom w:val="nil"/>
            </w:tcBorders>
          </w:tcPr>
          <w:p w14:paraId="26FF173C" w14:textId="77777777" w:rsidR="00F839F2" w:rsidRPr="00B579B6" w:rsidRDefault="00F839F2" w:rsidP="005518F7">
            <w:pPr>
              <w:snapToGrid w:val="0"/>
              <w:spacing w:line="360" w:lineRule="auto"/>
              <w:jc w:val="center"/>
              <w:rPr>
                <w:rFonts w:ascii="Book Antiqua" w:hAnsi="Book Antiqua" w:cs="Times New Roman"/>
                <w:color w:val="000000" w:themeColor="text1"/>
              </w:rPr>
            </w:pPr>
            <w:r w:rsidRPr="00B579B6">
              <w:rPr>
                <w:rFonts w:ascii="Book Antiqua" w:hAnsi="Book Antiqua" w:cs="Times New Roman"/>
                <w:color w:val="000000" w:themeColor="text1"/>
              </w:rPr>
              <w:t>20.5 (14-43)</w:t>
            </w:r>
          </w:p>
        </w:tc>
        <w:tc>
          <w:tcPr>
            <w:tcW w:w="2409" w:type="dxa"/>
            <w:tcBorders>
              <w:top w:val="nil"/>
              <w:bottom w:val="nil"/>
            </w:tcBorders>
          </w:tcPr>
          <w:p w14:paraId="232B2A9F" w14:textId="77777777" w:rsidR="00F839F2" w:rsidRPr="00B579B6" w:rsidRDefault="00F839F2" w:rsidP="005518F7">
            <w:pPr>
              <w:snapToGrid w:val="0"/>
              <w:spacing w:line="360" w:lineRule="auto"/>
              <w:jc w:val="center"/>
              <w:rPr>
                <w:rFonts w:ascii="Book Antiqua" w:hAnsi="Book Antiqua" w:cs="Times New Roman"/>
                <w:color w:val="000000" w:themeColor="text1"/>
              </w:rPr>
            </w:pPr>
            <w:r w:rsidRPr="00B579B6">
              <w:rPr>
                <w:rFonts w:ascii="Book Antiqua" w:hAnsi="Book Antiqua" w:cs="Times New Roman"/>
                <w:color w:val="000000" w:themeColor="text1"/>
              </w:rPr>
              <w:t>24.5 (18-46)</w:t>
            </w:r>
          </w:p>
        </w:tc>
        <w:tc>
          <w:tcPr>
            <w:tcW w:w="1049" w:type="dxa"/>
            <w:tcBorders>
              <w:top w:val="nil"/>
              <w:bottom w:val="nil"/>
            </w:tcBorders>
          </w:tcPr>
          <w:p w14:paraId="4A0ED6B9" w14:textId="77777777" w:rsidR="00F839F2" w:rsidRPr="00B579B6" w:rsidRDefault="00F839F2" w:rsidP="005518F7">
            <w:pPr>
              <w:snapToGrid w:val="0"/>
              <w:spacing w:line="360" w:lineRule="auto"/>
              <w:jc w:val="center"/>
              <w:rPr>
                <w:rFonts w:ascii="Book Antiqua" w:hAnsi="Book Antiqua" w:cs="Times New Roman"/>
                <w:color w:val="000000" w:themeColor="text1"/>
              </w:rPr>
            </w:pPr>
            <w:r w:rsidRPr="00B579B6">
              <w:rPr>
                <w:rFonts w:ascii="Book Antiqua" w:hAnsi="Book Antiqua" w:cs="Times New Roman"/>
                <w:color w:val="000000" w:themeColor="text1"/>
              </w:rPr>
              <w:t>0.069</w:t>
            </w:r>
          </w:p>
        </w:tc>
      </w:tr>
      <w:tr w:rsidR="00F839F2" w:rsidRPr="00B579B6" w14:paraId="1E0E5B02" w14:textId="77777777" w:rsidTr="000E6C84">
        <w:tc>
          <w:tcPr>
            <w:tcW w:w="0" w:type="auto"/>
            <w:tcBorders>
              <w:top w:val="nil"/>
              <w:bottom w:val="nil"/>
            </w:tcBorders>
          </w:tcPr>
          <w:p w14:paraId="45080B16" w14:textId="77777777" w:rsidR="00F839F2" w:rsidRPr="00B579B6" w:rsidRDefault="00F839F2" w:rsidP="005518F7">
            <w:pPr>
              <w:snapToGrid w:val="0"/>
              <w:spacing w:line="360" w:lineRule="auto"/>
              <w:rPr>
                <w:rFonts w:ascii="Book Antiqua" w:hAnsi="Book Antiqua" w:cs="Times New Roman"/>
                <w:color w:val="000000" w:themeColor="text1"/>
              </w:rPr>
            </w:pPr>
            <w:r w:rsidRPr="00B579B6">
              <w:rPr>
                <w:rFonts w:ascii="Book Antiqua" w:hAnsi="Book Antiqua" w:cs="Times New Roman"/>
                <w:color w:val="000000" w:themeColor="text1"/>
              </w:rPr>
              <w:t>Disease location in the endoscopy</w:t>
            </w:r>
          </w:p>
        </w:tc>
        <w:tc>
          <w:tcPr>
            <w:tcW w:w="1954" w:type="dxa"/>
            <w:tcBorders>
              <w:top w:val="nil"/>
              <w:bottom w:val="nil"/>
            </w:tcBorders>
          </w:tcPr>
          <w:p w14:paraId="609E364A" w14:textId="77777777" w:rsidR="00F839F2" w:rsidRPr="00B579B6" w:rsidRDefault="00F839F2" w:rsidP="005518F7">
            <w:pPr>
              <w:snapToGrid w:val="0"/>
              <w:spacing w:line="360" w:lineRule="auto"/>
              <w:jc w:val="center"/>
              <w:rPr>
                <w:rFonts w:ascii="Book Antiqua" w:hAnsi="Book Antiqua" w:cs="Times New Roman"/>
                <w:color w:val="000000" w:themeColor="text1"/>
              </w:rPr>
            </w:pPr>
          </w:p>
        </w:tc>
        <w:tc>
          <w:tcPr>
            <w:tcW w:w="2409" w:type="dxa"/>
            <w:tcBorders>
              <w:top w:val="nil"/>
              <w:bottom w:val="nil"/>
            </w:tcBorders>
          </w:tcPr>
          <w:p w14:paraId="309592EB" w14:textId="77777777" w:rsidR="00F839F2" w:rsidRPr="00B579B6" w:rsidRDefault="00F839F2" w:rsidP="005518F7">
            <w:pPr>
              <w:snapToGrid w:val="0"/>
              <w:spacing w:line="360" w:lineRule="auto"/>
              <w:jc w:val="center"/>
              <w:rPr>
                <w:rFonts w:ascii="Book Antiqua" w:hAnsi="Book Antiqua" w:cs="Times New Roman"/>
                <w:color w:val="000000" w:themeColor="text1"/>
              </w:rPr>
            </w:pPr>
          </w:p>
        </w:tc>
        <w:tc>
          <w:tcPr>
            <w:tcW w:w="1049" w:type="dxa"/>
            <w:tcBorders>
              <w:top w:val="nil"/>
              <w:bottom w:val="nil"/>
            </w:tcBorders>
          </w:tcPr>
          <w:p w14:paraId="753219A2" w14:textId="77777777" w:rsidR="00F839F2" w:rsidRPr="00B579B6" w:rsidRDefault="00F839F2" w:rsidP="005518F7">
            <w:pPr>
              <w:snapToGrid w:val="0"/>
              <w:spacing w:line="360" w:lineRule="auto"/>
              <w:jc w:val="center"/>
              <w:rPr>
                <w:rFonts w:ascii="Book Antiqua" w:hAnsi="Book Antiqua" w:cs="Times New Roman"/>
                <w:color w:val="000000" w:themeColor="text1"/>
              </w:rPr>
            </w:pPr>
          </w:p>
        </w:tc>
      </w:tr>
      <w:tr w:rsidR="00F839F2" w:rsidRPr="00B579B6" w14:paraId="6CD18496" w14:textId="77777777" w:rsidTr="000E6C84">
        <w:tc>
          <w:tcPr>
            <w:tcW w:w="0" w:type="auto"/>
            <w:tcBorders>
              <w:top w:val="nil"/>
              <w:bottom w:val="nil"/>
            </w:tcBorders>
          </w:tcPr>
          <w:p w14:paraId="27C618A5" w14:textId="77777777" w:rsidR="00F839F2" w:rsidRPr="00B579B6" w:rsidRDefault="00F839F2" w:rsidP="005518F7">
            <w:pPr>
              <w:snapToGrid w:val="0"/>
              <w:spacing w:line="360" w:lineRule="auto"/>
              <w:ind w:firstLineChars="100" w:firstLine="240"/>
              <w:rPr>
                <w:rFonts w:ascii="Book Antiqua" w:hAnsi="Book Antiqua" w:cs="Times New Roman"/>
                <w:color w:val="000000" w:themeColor="text1"/>
              </w:rPr>
            </w:pPr>
            <w:r w:rsidRPr="00B579B6">
              <w:rPr>
                <w:rFonts w:ascii="Book Antiqua" w:hAnsi="Book Antiqua" w:cs="Times New Roman"/>
                <w:color w:val="000000" w:themeColor="text1"/>
              </w:rPr>
              <w:t>Ileum</w:t>
            </w:r>
          </w:p>
        </w:tc>
        <w:tc>
          <w:tcPr>
            <w:tcW w:w="1954" w:type="dxa"/>
            <w:tcBorders>
              <w:top w:val="nil"/>
              <w:bottom w:val="nil"/>
            </w:tcBorders>
          </w:tcPr>
          <w:p w14:paraId="75AC3F44" w14:textId="77777777" w:rsidR="00F839F2" w:rsidRPr="00B579B6" w:rsidRDefault="00F839F2" w:rsidP="005518F7">
            <w:pPr>
              <w:snapToGrid w:val="0"/>
              <w:spacing w:line="360" w:lineRule="auto"/>
              <w:jc w:val="center"/>
              <w:rPr>
                <w:rFonts w:ascii="Book Antiqua" w:hAnsi="Book Antiqua" w:cs="Times New Roman"/>
                <w:color w:val="000000" w:themeColor="text1"/>
              </w:rPr>
            </w:pPr>
            <w:r w:rsidRPr="00B579B6">
              <w:rPr>
                <w:rFonts w:ascii="Book Antiqua" w:hAnsi="Book Antiqua" w:cs="Times New Roman"/>
                <w:color w:val="000000" w:themeColor="text1"/>
              </w:rPr>
              <w:t>6</w:t>
            </w:r>
          </w:p>
        </w:tc>
        <w:tc>
          <w:tcPr>
            <w:tcW w:w="2409" w:type="dxa"/>
            <w:tcBorders>
              <w:top w:val="nil"/>
              <w:bottom w:val="nil"/>
            </w:tcBorders>
          </w:tcPr>
          <w:p w14:paraId="6C03FEEC" w14:textId="7FF85956" w:rsidR="00F839F2" w:rsidRPr="00B579B6" w:rsidRDefault="00F839F2" w:rsidP="005518F7">
            <w:pPr>
              <w:snapToGrid w:val="0"/>
              <w:spacing w:line="360" w:lineRule="auto"/>
              <w:jc w:val="center"/>
              <w:rPr>
                <w:rFonts w:ascii="Book Antiqua" w:hAnsi="Book Antiqua" w:cs="Times New Roman"/>
                <w:color w:val="000000" w:themeColor="text1"/>
              </w:rPr>
            </w:pPr>
            <w:r w:rsidRPr="00B579B6">
              <w:rPr>
                <w:rFonts w:ascii="Book Antiqua" w:hAnsi="Book Antiqua" w:cs="Times New Roman"/>
                <w:color w:val="000000" w:themeColor="text1"/>
              </w:rPr>
              <w:t>N</w:t>
            </w:r>
            <w:r w:rsidR="004E45C2">
              <w:rPr>
                <w:rFonts w:ascii="Book Antiqua" w:hAnsi="Book Antiqua" w:cs="Times New Roman"/>
                <w:color w:val="000000" w:themeColor="text1"/>
              </w:rPr>
              <w:t>/</w:t>
            </w:r>
            <w:r w:rsidRPr="00B579B6">
              <w:rPr>
                <w:rFonts w:ascii="Book Antiqua" w:hAnsi="Book Antiqua" w:cs="Times New Roman"/>
                <w:color w:val="000000" w:themeColor="text1"/>
              </w:rPr>
              <w:t>A</w:t>
            </w:r>
          </w:p>
        </w:tc>
        <w:tc>
          <w:tcPr>
            <w:tcW w:w="1049" w:type="dxa"/>
            <w:tcBorders>
              <w:top w:val="nil"/>
              <w:bottom w:val="nil"/>
            </w:tcBorders>
          </w:tcPr>
          <w:p w14:paraId="7057A13D" w14:textId="77777777" w:rsidR="00F839F2" w:rsidRPr="00B579B6" w:rsidRDefault="00F839F2" w:rsidP="005518F7">
            <w:pPr>
              <w:snapToGrid w:val="0"/>
              <w:spacing w:line="360" w:lineRule="auto"/>
              <w:jc w:val="center"/>
              <w:rPr>
                <w:rFonts w:ascii="Book Antiqua" w:hAnsi="Book Antiqua" w:cs="Times New Roman"/>
                <w:color w:val="000000" w:themeColor="text1"/>
              </w:rPr>
            </w:pPr>
          </w:p>
        </w:tc>
      </w:tr>
      <w:tr w:rsidR="00F839F2" w:rsidRPr="00B579B6" w14:paraId="48AD6F9A" w14:textId="77777777" w:rsidTr="000E6C84">
        <w:tc>
          <w:tcPr>
            <w:tcW w:w="0" w:type="auto"/>
            <w:tcBorders>
              <w:top w:val="nil"/>
              <w:bottom w:val="nil"/>
            </w:tcBorders>
          </w:tcPr>
          <w:p w14:paraId="3CD87032" w14:textId="77777777" w:rsidR="00F839F2" w:rsidRPr="00B579B6" w:rsidRDefault="00F839F2" w:rsidP="005518F7">
            <w:pPr>
              <w:snapToGrid w:val="0"/>
              <w:spacing w:line="360" w:lineRule="auto"/>
              <w:ind w:firstLineChars="100" w:firstLine="240"/>
              <w:rPr>
                <w:rFonts w:ascii="Book Antiqua" w:hAnsi="Book Antiqua" w:cs="Times New Roman"/>
                <w:color w:val="000000" w:themeColor="text1"/>
              </w:rPr>
            </w:pPr>
            <w:r w:rsidRPr="00B579B6">
              <w:rPr>
                <w:rFonts w:ascii="Book Antiqua" w:hAnsi="Book Antiqua" w:cs="Times New Roman"/>
                <w:color w:val="000000" w:themeColor="text1"/>
              </w:rPr>
              <w:t>Colon</w:t>
            </w:r>
          </w:p>
        </w:tc>
        <w:tc>
          <w:tcPr>
            <w:tcW w:w="1954" w:type="dxa"/>
            <w:tcBorders>
              <w:top w:val="nil"/>
              <w:bottom w:val="nil"/>
            </w:tcBorders>
          </w:tcPr>
          <w:p w14:paraId="5654F1D3" w14:textId="77777777" w:rsidR="00F839F2" w:rsidRPr="00B579B6" w:rsidRDefault="00F839F2" w:rsidP="005518F7">
            <w:pPr>
              <w:snapToGrid w:val="0"/>
              <w:spacing w:line="360" w:lineRule="auto"/>
              <w:jc w:val="center"/>
              <w:rPr>
                <w:rFonts w:ascii="Book Antiqua" w:hAnsi="Book Antiqua" w:cs="Times New Roman"/>
                <w:color w:val="000000" w:themeColor="text1"/>
              </w:rPr>
            </w:pPr>
            <w:r w:rsidRPr="00B579B6">
              <w:rPr>
                <w:rFonts w:ascii="Book Antiqua" w:hAnsi="Book Antiqua" w:cs="Times New Roman"/>
                <w:color w:val="000000" w:themeColor="text1"/>
              </w:rPr>
              <w:t>6</w:t>
            </w:r>
          </w:p>
        </w:tc>
        <w:tc>
          <w:tcPr>
            <w:tcW w:w="2409" w:type="dxa"/>
            <w:tcBorders>
              <w:top w:val="nil"/>
              <w:bottom w:val="nil"/>
            </w:tcBorders>
          </w:tcPr>
          <w:p w14:paraId="13CE0652" w14:textId="75882B41" w:rsidR="00F839F2" w:rsidRPr="00B579B6" w:rsidRDefault="00F839F2" w:rsidP="005518F7">
            <w:pPr>
              <w:snapToGrid w:val="0"/>
              <w:spacing w:line="360" w:lineRule="auto"/>
              <w:jc w:val="center"/>
              <w:rPr>
                <w:rFonts w:ascii="Book Antiqua" w:hAnsi="Book Antiqua" w:cs="Times New Roman"/>
                <w:color w:val="000000" w:themeColor="text1"/>
              </w:rPr>
            </w:pPr>
            <w:r w:rsidRPr="00B579B6">
              <w:rPr>
                <w:rFonts w:ascii="Book Antiqua" w:hAnsi="Book Antiqua" w:cs="Times New Roman"/>
                <w:color w:val="000000" w:themeColor="text1"/>
              </w:rPr>
              <w:t>N</w:t>
            </w:r>
            <w:r w:rsidR="004E45C2">
              <w:rPr>
                <w:rFonts w:ascii="Book Antiqua" w:hAnsi="Book Antiqua" w:cs="Times New Roman"/>
                <w:color w:val="000000" w:themeColor="text1"/>
              </w:rPr>
              <w:t>/</w:t>
            </w:r>
            <w:r w:rsidRPr="00B579B6">
              <w:rPr>
                <w:rFonts w:ascii="Book Antiqua" w:hAnsi="Book Antiqua" w:cs="Times New Roman"/>
                <w:color w:val="000000" w:themeColor="text1"/>
              </w:rPr>
              <w:t>A</w:t>
            </w:r>
          </w:p>
        </w:tc>
        <w:tc>
          <w:tcPr>
            <w:tcW w:w="1049" w:type="dxa"/>
            <w:tcBorders>
              <w:top w:val="nil"/>
              <w:bottom w:val="nil"/>
            </w:tcBorders>
          </w:tcPr>
          <w:p w14:paraId="61D52305" w14:textId="77777777" w:rsidR="00F839F2" w:rsidRPr="00B579B6" w:rsidRDefault="00F839F2" w:rsidP="005518F7">
            <w:pPr>
              <w:snapToGrid w:val="0"/>
              <w:spacing w:line="360" w:lineRule="auto"/>
              <w:jc w:val="center"/>
              <w:rPr>
                <w:rFonts w:ascii="Book Antiqua" w:hAnsi="Book Antiqua" w:cs="Times New Roman"/>
                <w:color w:val="000000" w:themeColor="text1"/>
              </w:rPr>
            </w:pPr>
          </w:p>
        </w:tc>
      </w:tr>
      <w:tr w:rsidR="00F839F2" w:rsidRPr="00B579B6" w14:paraId="3434F0E6" w14:textId="77777777" w:rsidTr="000E6C84">
        <w:tc>
          <w:tcPr>
            <w:tcW w:w="0" w:type="auto"/>
            <w:tcBorders>
              <w:top w:val="nil"/>
              <w:bottom w:val="single" w:sz="4" w:space="0" w:color="auto"/>
            </w:tcBorders>
          </w:tcPr>
          <w:p w14:paraId="409F394B" w14:textId="77777777" w:rsidR="00F839F2" w:rsidRPr="00B579B6" w:rsidRDefault="00F839F2" w:rsidP="005518F7">
            <w:pPr>
              <w:snapToGrid w:val="0"/>
              <w:spacing w:line="360" w:lineRule="auto"/>
              <w:ind w:firstLineChars="100" w:firstLine="240"/>
              <w:rPr>
                <w:rFonts w:ascii="Book Antiqua" w:hAnsi="Book Antiqua" w:cs="Times New Roman"/>
                <w:color w:val="000000" w:themeColor="text1"/>
              </w:rPr>
            </w:pPr>
            <w:proofErr w:type="spellStart"/>
            <w:r w:rsidRPr="00B579B6">
              <w:rPr>
                <w:rFonts w:ascii="Book Antiqua" w:hAnsi="Book Antiqua" w:cs="Times New Roman"/>
                <w:color w:val="000000" w:themeColor="text1"/>
              </w:rPr>
              <w:t>Ileocolon</w:t>
            </w:r>
            <w:proofErr w:type="spellEnd"/>
          </w:p>
        </w:tc>
        <w:tc>
          <w:tcPr>
            <w:tcW w:w="1954" w:type="dxa"/>
            <w:tcBorders>
              <w:top w:val="nil"/>
              <w:bottom w:val="single" w:sz="4" w:space="0" w:color="auto"/>
            </w:tcBorders>
          </w:tcPr>
          <w:p w14:paraId="3765BDA0" w14:textId="77777777" w:rsidR="00F839F2" w:rsidRPr="00B579B6" w:rsidRDefault="00F839F2" w:rsidP="005518F7">
            <w:pPr>
              <w:snapToGrid w:val="0"/>
              <w:spacing w:line="360" w:lineRule="auto"/>
              <w:jc w:val="center"/>
              <w:rPr>
                <w:rFonts w:ascii="Book Antiqua" w:hAnsi="Book Antiqua" w:cs="Times New Roman"/>
                <w:color w:val="000000" w:themeColor="text1"/>
              </w:rPr>
            </w:pPr>
            <w:r w:rsidRPr="00B579B6">
              <w:rPr>
                <w:rFonts w:ascii="Book Antiqua" w:hAnsi="Book Antiqua" w:cs="Times New Roman"/>
                <w:color w:val="000000" w:themeColor="text1"/>
              </w:rPr>
              <w:t>8</w:t>
            </w:r>
          </w:p>
        </w:tc>
        <w:tc>
          <w:tcPr>
            <w:tcW w:w="2409" w:type="dxa"/>
            <w:tcBorders>
              <w:top w:val="nil"/>
              <w:bottom w:val="single" w:sz="4" w:space="0" w:color="auto"/>
            </w:tcBorders>
          </w:tcPr>
          <w:p w14:paraId="5528729F" w14:textId="03F055ED" w:rsidR="00F839F2" w:rsidRPr="00B579B6" w:rsidRDefault="00F839F2" w:rsidP="005518F7">
            <w:pPr>
              <w:snapToGrid w:val="0"/>
              <w:spacing w:line="360" w:lineRule="auto"/>
              <w:jc w:val="center"/>
              <w:rPr>
                <w:rFonts w:ascii="Book Antiqua" w:hAnsi="Book Antiqua" w:cs="Times New Roman"/>
                <w:color w:val="000000" w:themeColor="text1"/>
              </w:rPr>
            </w:pPr>
            <w:r w:rsidRPr="00B579B6">
              <w:rPr>
                <w:rFonts w:ascii="Book Antiqua" w:hAnsi="Book Antiqua" w:cs="Times New Roman"/>
                <w:color w:val="000000" w:themeColor="text1"/>
              </w:rPr>
              <w:t>N</w:t>
            </w:r>
            <w:r w:rsidR="004E45C2">
              <w:rPr>
                <w:rFonts w:ascii="Book Antiqua" w:hAnsi="Book Antiqua" w:cs="Times New Roman"/>
                <w:color w:val="000000" w:themeColor="text1"/>
              </w:rPr>
              <w:t>/</w:t>
            </w:r>
            <w:r w:rsidRPr="00B579B6">
              <w:rPr>
                <w:rFonts w:ascii="Book Antiqua" w:hAnsi="Book Antiqua" w:cs="Times New Roman"/>
                <w:color w:val="000000" w:themeColor="text1"/>
              </w:rPr>
              <w:t>A</w:t>
            </w:r>
          </w:p>
        </w:tc>
        <w:tc>
          <w:tcPr>
            <w:tcW w:w="1049" w:type="dxa"/>
            <w:tcBorders>
              <w:top w:val="nil"/>
              <w:bottom w:val="single" w:sz="4" w:space="0" w:color="auto"/>
            </w:tcBorders>
          </w:tcPr>
          <w:p w14:paraId="0BC23341" w14:textId="77777777" w:rsidR="00F839F2" w:rsidRPr="00B579B6" w:rsidRDefault="00F839F2" w:rsidP="005518F7">
            <w:pPr>
              <w:snapToGrid w:val="0"/>
              <w:spacing w:line="360" w:lineRule="auto"/>
              <w:jc w:val="center"/>
              <w:rPr>
                <w:rFonts w:ascii="Book Antiqua" w:hAnsi="Book Antiqua" w:cs="Times New Roman"/>
                <w:color w:val="000000" w:themeColor="text1"/>
              </w:rPr>
            </w:pPr>
          </w:p>
        </w:tc>
      </w:tr>
    </w:tbl>
    <w:p w14:paraId="6E0A6871" w14:textId="3DF876F5" w:rsidR="00F839F2" w:rsidRDefault="00773A4B" w:rsidP="005518F7">
      <w:pPr>
        <w:snapToGrid w:val="0"/>
        <w:spacing w:line="360" w:lineRule="auto"/>
      </w:pPr>
      <w:r w:rsidRPr="00B579B6">
        <w:rPr>
          <w:rFonts w:ascii="Book Antiqua" w:hAnsi="Book Antiqua"/>
          <w:color w:val="000000" w:themeColor="text1"/>
        </w:rPr>
        <w:t>N</w:t>
      </w:r>
      <w:r w:rsidR="004E45C2">
        <w:rPr>
          <w:rFonts w:ascii="Book Antiqua" w:hAnsi="Book Antiqua"/>
          <w:color w:val="000000" w:themeColor="text1"/>
        </w:rPr>
        <w:t>/</w:t>
      </w:r>
      <w:r w:rsidRPr="00B579B6">
        <w:rPr>
          <w:rFonts w:ascii="Book Antiqua" w:hAnsi="Book Antiqua"/>
          <w:color w:val="000000" w:themeColor="text1"/>
        </w:rPr>
        <w:t>A: Not applicable</w:t>
      </w:r>
      <w:r>
        <w:rPr>
          <w:rFonts w:ascii="Book Antiqua" w:hAnsi="Book Antiqua"/>
          <w:color w:val="000000" w:themeColor="text1"/>
        </w:rPr>
        <w:t>.</w:t>
      </w:r>
    </w:p>
    <w:p w14:paraId="20559C6E" w14:textId="77777777" w:rsidR="00F839F2" w:rsidRDefault="00F839F2" w:rsidP="005518F7">
      <w:pPr>
        <w:snapToGrid w:val="0"/>
        <w:spacing w:line="360" w:lineRule="auto"/>
      </w:pPr>
      <w:r>
        <w:br w:type="page"/>
      </w:r>
      <w:r w:rsidR="0008575C" w:rsidRPr="00B579B6">
        <w:rPr>
          <w:rFonts w:ascii="Book Antiqua" w:hAnsi="Book Antiqua"/>
          <w:b/>
          <w:bCs/>
          <w:color w:val="000000" w:themeColor="text1"/>
        </w:rPr>
        <w:lastRenderedPageBreak/>
        <w:t>Table 2 Clinical characteristics of patients for immunohistochemical assay</w:t>
      </w:r>
    </w:p>
    <w:tbl>
      <w:tblPr>
        <w:tblStyle w:val="a5"/>
        <w:tblW w:w="5000" w:type="pct"/>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2808"/>
        <w:gridCol w:w="2606"/>
        <w:gridCol w:w="2645"/>
        <w:gridCol w:w="1301"/>
      </w:tblGrid>
      <w:tr w:rsidR="00F839F2" w:rsidRPr="00B579B6" w14:paraId="16179F0C" w14:textId="77777777" w:rsidTr="0008575C">
        <w:tc>
          <w:tcPr>
            <w:tcW w:w="1500" w:type="pct"/>
            <w:tcBorders>
              <w:top w:val="single" w:sz="4" w:space="0" w:color="auto"/>
              <w:bottom w:val="single" w:sz="4" w:space="0" w:color="auto"/>
            </w:tcBorders>
          </w:tcPr>
          <w:p w14:paraId="0F5EF8A9" w14:textId="77777777" w:rsidR="00F839F2" w:rsidRPr="00B579B6" w:rsidRDefault="00F839F2" w:rsidP="005518F7">
            <w:pPr>
              <w:snapToGrid w:val="0"/>
              <w:spacing w:line="360" w:lineRule="auto"/>
              <w:rPr>
                <w:rFonts w:ascii="Book Antiqua" w:hAnsi="Book Antiqua" w:cs="Times New Roman"/>
                <w:b/>
                <w:bCs/>
                <w:color w:val="000000" w:themeColor="text1"/>
              </w:rPr>
            </w:pPr>
            <w:r w:rsidRPr="00B579B6">
              <w:rPr>
                <w:rFonts w:ascii="Book Antiqua" w:hAnsi="Book Antiqua" w:cs="Times New Roman"/>
                <w:b/>
                <w:bCs/>
                <w:color w:val="000000" w:themeColor="text1"/>
              </w:rPr>
              <w:t>Item</w:t>
            </w:r>
          </w:p>
        </w:tc>
        <w:tc>
          <w:tcPr>
            <w:tcW w:w="1392" w:type="pct"/>
            <w:tcBorders>
              <w:top w:val="single" w:sz="4" w:space="0" w:color="auto"/>
              <w:bottom w:val="single" w:sz="4" w:space="0" w:color="auto"/>
            </w:tcBorders>
          </w:tcPr>
          <w:p w14:paraId="497636EC" w14:textId="77777777" w:rsidR="00F839F2" w:rsidRPr="00B579B6" w:rsidRDefault="00F839F2" w:rsidP="005518F7">
            <w:pPr>
              <w:snapToGrid w:val="0"/>
              <w:spacing w:line="360" w:lineRule="auto"/>
              <w:jc w:val="center"/>
              <w:rPr>
                <w:rFonts w:ascii="Book Antiqua" w:hAnsi="Book Antiqua" w:cs="Times New Roman"/>
                <w:b/>
                <w:bCs/>
                <w:color w:val="000000" w:themeColor="text1"/>
              </w:rPr>
            </w:pPr>
            <w:r w:rsidRPr="00B579B6">
              <w:rPr>
                <w:rFonts w:ascii="Book Antiqua" w:hAnsi="Book Antiqua" w:cs="Times New Roman"/>
                <w:b/>
                <w:bCs/>
                <w:color w:val="000000" w:themeColor="text1"/>
              </w:rPr>
              <w:t>Crohn’s disease (</w:t>
            </w:r>
            <w:r w:rsidRPr="0008575C">
              <w:rPr>
                <w:rFonts w:ascii="Book Antiqua" w:hAnsi="Book Antiqua" w:cs="Times New Roman"/>
                <w:b/>
                <w:bCs/>
                <w:i/>
                <w:color w:val="000000" w:themeColor="text1"/>
              </w:rPr>
              <w:t>n</w:t>
            </w:r>
            <w:r w:rsidR="0008575C">
              <w:rPr>
                <w:rFonts w:ascii="Book Antiqua" w:hAnsi="Book Antiqua" w:cs="Times New Roman"/>
                <w:b/>
                <w:bCs/>
                <w:color w:val="000000" w:themeColor="text1"/>
              </w:rPr>
              <w:t xml:space="preserve"> </w:t>
            </w:r>
            <w:r w:rsidRPr="00B579B6">
              <w:rPr>
                <w:rFonts w:ascii="Book Antiqua" w:hAnsi="Book Antiqua" w:cs="Times New Roman"/>
                <w:b/>
                <w:bCs/>
                <w:color w:val="000000" w:themeColor="text1"/>
              </w:rPr>
              <w:t>=</w:t>
            </w:r>
            <w:r w:rsidR="0008575C">
              <w:rPr>
                <w:rFonts w:ascii="Book Antiqua" w:hAnsi="Book Antiqua" w:cs="Times New Roman"/>
                <w:b/>
                <w:bCs/>
                <w:color w:val="000000" w:themeColor="text1"/>
              </w:rPr>
              <w:t xml:space="preserve"> </w:t>
            </w:r>
            <w:r w:rsidRPr="00B579B6">
              <w:rPr>
                <w:rFonts w:ascii="Book Antiqua" w:hAnsi="Book Antiqua" w:cs="Times New Roman"/>
                <w:b/>
                <w:bCs/>
                <w:color w:val="000000" w:themeColor="text1"/>
              </w:rPr>
              <w:t>20)</w:t>
            </w:r>
          </w:p>
        </w:tc>
        <w:tc>
          <w:tcPr>
            <w:tcW w:w="1413" w:type="pct"/>
            <w:tcBorders>
              <w:top w:val="single" w:sz="4" w:space="0" w:color="auto"/>
              <w:bottom w:val="single" w:sz="4" w:space="0" w:color="auto"/>
            </w:tcBorders>
          </w:tcPr>
          <w:p w14:paraId="5725D92B" w14:textId="77777777" w:rsidR="00F839F2" w:rsidRPr="00B579B6" w:rsidRDefault="00F839F2" w:rsidP="005518F7">
            <w:pPr>
              <w:snapToGrid w:val="0"/>
              <w:spacing w:line="360" w:lineRule="auto"/>
              <w:jc w:val="center"/>
              <w:rPr>
                <w:rFonts w:ascii="Book Antiqua" w:hAnsi="Book Antiqua" w:cs="Times New Roman"/>
                <w:b/>
                <w:bCs/>
                <w:color w:val="000000" w:themeColor="text1"/>
              </w:rPr>
            </w:pPr>
            <w:r w:rsidRPr="00B579B6">
              <w:rPr>
                <w:rFonts w:ascii="Book Antiqua" w:hAnsi="Book Antiqua" w:cs="Times New Roman"/>
                <w:b/>
                <w:bCs/>
                <w:color w:val="000000" w:themeColor="text1"/>
              </w:rPr>
              <w:t>Normal control (</w:t>
            </w:r>
            <w:r w:rsidR="0008575C" w:rsidRPr="0008575C">
              <w:rPr>
                <w:rFonts w:ascii="Book Antiqua" w:hAnsi="Book Antiqua" w:cs="Times New Roman"/>
                <w:b/>
                <w:bCs/>
                <w:i/>
                <w:color w:val="000000" w:themeColor="text1"/>
              </w:rPr>
              <w:t>n</w:t>
            </w:r>
            <w:r w:rsidR="0008575C" w:rsidRPr="00B579B6">
              <w:rPr>
                <w:rFonts w:ascii="Book Antiqua" w:hAnsi="Book Antiqua" w:cs="Times New Roman"/>
                <w:b/>
                <w:bCs/>
                <w:color w:val="000000" w:themeColor="text1"/>
              </w:rPr>
              <w:t xml:space="preserve"> </w:t>
            </w:r>
            <w:r w:rsidRPr="00B579B6">
              <w:rPr>
                <w:rFonts w:ascii="Book Antiqua" w:hAnsi="Book Antiqua" w:cs="Times New Roman"/>
                <w:b/>
                <w:bCs/>
                <w:color w:val="000000" w:themeColor="text1"/>
              </w:rPr>
              <w:t>=</w:t>
            </w:r>
            <w:r w:rsidR="0008575C">
              <w:rPr>
                <w:rFonts w:ascii="Book Antiqua" w:hAnsi="Book Antiqua" w:cs="Times New Roman"/>
                <w:b/>
                <w:bCs/>
                <w:color w:val="000000" w:themeColor="text1"/>
              </w:rPr>
              <w:t xml:space="preserve"> </w:t>
            </w:r>
            <w:r w:rsidRPr="00B579B6">
              <w:rPr>
                <w:rFonts w:ascii="Book Antiqua" w:hAnsi="Book Antiqua" w:cs="Times New Roman"/>
                <w:b/>
                <w:bCs/>
                <w:color w:val="000000" w:themeColor="text1"/>
              </w:rPr>
              <w:t>20)</w:t>
            </w:r>
          </w:p>
        </w:tc>
        <w:tc>
          <w:tcPr>
            <w:tcW w:w="695" w:type="pct"/>
            <w:tcBorders>
              <w:top w:val="single" w:sz="4" w:space="0" w:color="auto"/>
              <w:bottom w:val="single" w:sz="4" w:space="0" w:color="auto"/>
            </w:tcBorders>
          </w:tcPr>
          <w:p w14:paraId="620933DD" w14:textId="77777777" w:rsidR="00F839F2" w:rsidRPr="00B579B6" w:rsidRDefault="00F839F2" w:rsidP="005518F7">
            <w:pPr>
              <w:snapToGrid w:val="0"/>
              <w:spacing w:line="360" w:lineRule="auto"/>
              <w:jc w:val="center"/>
              <w:rPr>
                <w:rFonts w:ascii="Book Antiqua" w:hAnsi="Book Antiqua" w:cs="Times New Roman"/>
                <w:b/>
                <w:bCs/>
                <w:color w:val="000000" w:themeColor="text1"/>
              </w:rPr>
            </w:pPr>
            <w:r w:rsidRPr="004E3F21">
              <w:rPr>
                <w:rFonts w:ascii="Book Antiqua" w:hAnsi="Book Antiqua" w:cs="Times New Roman"/>
                <w:b/>
                <w:bCs/>
                <w:i/>
                <w:iCs/>
                <w:color w:val="000000" w:themeColor="text1"/>
              </w:rPr>
              <w:t>P</w:t>
            </w:r>
            <w:r>
              <w:rPr>
                <w:rFonts w:ascii="Book Antiqua" w:hAnsi="Book Antiqua" w:cs="Times New Roman"/>
                <w:b/>
                <w:bCs/>
                <w:color w:val="000000" w:themeColor="text1"/>
              </w:rPr>
              <w:t xml:space="preserve"> value</w:t>
            </w:r>
          </w:p>
        </w:tc>
      </w:tr>
      <w:tr w:rsidR="00F839F2" w:rsidRPr="00B579B6" w14:paraId="1463873E" w14:textId="77777777" w:rsidTr="000E6C84">
        <w:tc>
          <w:tcPr>
            <w:tcW w:w="1500" w:type="pct"/>
            <w:tcBorders>
              <w:top w:val="single" w:sz="4" w:space="0" w:color="auto"/>
              <w:bottom w:val="nil"/>
            </w:tcBorders>
          </w:tcPr>
          <w:p w14:paraId="233D4935" w14:textId="77777777" w:rsidR="00F839F2" w:rsidRPr="00B579B6" w:rsidRDefault="00F839F2" w:rsidP="005518F7">
            <w:pPr>
              <w:snapToGrid w:val="0"/>
              <w:spacing w:line="360" w:lineRule="auto"/>
              <w:rPr>
                <w:rFonts w:ascii="Book Antiqua" w:hAnsi="Book Antiqua" w:cs="Times New Roman"/>
                <w:color w:val="000000" w:themeColor="text1"/>
              </w:rPr>
            </w:pPr>
            <w:r w:rsidRPr="00B579B6">
              <w:rPr>
                <w:rFonts w:ascii="Book Antiqua" w:hAnsi="Book Antiqua" w:cs="Times New Roman"/>
                <w:color w:val="000000" w:themeColor="text1"/>
              </w:rPr>
              <w:t>Sex</w:t>
            </w:r>
          </w:p>
        </w:tc>
        <w:tc>
          <w:tcPr>
            <w:tcW w:w="1392" w:type="pct"/>
            <w:tcBorders>
              <w:top w:val="single" w:sz="4" w:space="0" w:color="auto"/>
              <w:bottom w:val="nil"/>
            </w:tcBorders>
          </w:tcPr>
          <w:p w14:paraId="012E326D" w14:textId="77777777" w:rsidR="00F839F2" w:rsidRPr="00B579B6" w:rsidRDefault="00F839F2" w:rsidP="005518F7">
            <w:pPr>
              <w:snapToGrid w:val="0"/>
              <w:spacing w:line="360" w:lineRule="auto"/>
              <w:jc w:val="center"/>
              <w:rPr>
                <w:rFonts w:ascii="Book Antiqua" w:hAnsi="Book Antiqua" w:cs="Times New Roman"/>
                <w:color w:val="000000" w:themeColor="text1"/>
              </w:rPr>
            </w:pPr>
          </w:p>
        </w:tc>
        <w:tc>
          <w:tcPr>
            <w:tcW w:w="1413" w:type="pct"/>
            <w:tcBorders>
              <w:top w:val="single" w:sz="4" w:space="0" w:color="auto"/>
              <w:bottom w:val="nil"/>
            </w:tcBorders>
          </w:tcPr>
          <w:p w14:paraId="64512D9A" w14:textId="77777777" w:rsidR="00F839F2" w:rsidRPr="00B579B6" w:rsidRDefault="00F839F2" w:rsidP="005518F7">
            <w:pPr>
              <w:snapToGrid w:val="0"/>
              <w:spacing w:line="360" w:lineRule="auto"/>
              <w:jc w:val="center"/>
              <w:rPr>
                <w:rFonts w:ascii="Book Antiqua" w:hAnsi="Book Antiqua" w:cs="Times New Roman"/>
                <w:color w:val="000000" w:themeColor="text1"/>
              </w:rPr>
            </w:pPr>
          </w:p>
        </w:tc>
        <w:tc>
          <w:tcPr>
            <w:tcW w:w="695" w:type="pct"/>
            <w:tcBorders>
              <w:top w:val="single" w:sz="4" w:space="0" w:color="auto"/>
              <w:bottom w:val="nil"/>
            </w:tcBorders>
          </w:tcPr>
          <w:p w14:paraId="194F5B05" w14:textId="77777777" w:rsidR="00F839F2" w:rsidRPr="00B579B6" w:rsidRDefault="00F839F2" w:rsidP="005518F7">
            <w:pPr>
              <w:snapToGrid w:val="0"/>
              <w:spacing w:line="360" w:lineRule="auto"/>
              <w:jc w:val="center"/>
              <w:rPr>
                <w:rFonts w:ascii="Book Antiqua" w:hAnsi="Book Antiqua" w:cs="Times New Roman"/>
                <w:color w:val="000000" w:themeColor="text1"/>
              </w:rPr>
            </w:pPr>
          </w:p>
        </w:tc>
      </w:tr>
      <w:tr w:rsidR="00F839F2" w:rsidRPr="00B579B6" w14:paraId="1581E844" w14:textId="77777777" w:rsidTr="000E6C84">
        <w:tc>
          <w:tcPr>
            <w:tcW w:w="1500" w:type="pct"/>
            <w:tcBorders>
              <w:top w:val="nil"/>
              <w:bottom w:val="nil"/>
            </w:tcBorders>
          </w:tcPr>
          <w:p w14:paraId="49480062" w14:textId="77777777" w:rsidR="00F839F2" w:rsidRPr="00B579B6" w:rsidRDefault="00F839F2" w:rsidP="005518F7">
            <w:pPr>
              <w:snapToGrid w:val="0"/>
              <w:spacing w:line="360" w:lineRule="auto"/>
              <w:ind w:firstLineChars="100" w:firstLine="240"/>
              <w:rPr>
                <w:rFonts w:ascii="Book Antiqua" w:hAnsi="Book Antiqua" w:cs="Times New Roman"/>
                <w:color w:val="000000" w:themeColor="text1"/>
              </w:rPr>
            </w:pPr>
            <w:r w:rsidRPr="00B579B6">
              <w:rPr>
                <w:rFonts w:ascii="Book Antiqua" w:hAnsi="Book Antiqua" w:cs="Times New Roman"/>
                <w:color w:val="000000" w:themeColor="text1"/>
              </w:rPr>
              <w:t>Male</w:t>
            </w:r>
          </w:p>
        </w:tc>
        <w:tc>
          <w:tcPr>
            <w:tcW w:w="1392" w:type="pct"/>
            <w:tcBorders>
              <w:top w:val="nil"/>
              <w:bottom w:val="nil"/>
            </w:tcBorders>
          </w:tcPr>
          <w:p w14:paraId="6A43858B" w14:textId="77777777" w:rsidR="00F839F2" w:rsidRPr="00B579B6" w:rsidRDefault="00F839F2" w:rsidP="005518F7">
            <w:pPr>
              <w:snapToGrid w:val="0"/>
              <w:spacing w:line="360" w:lineRule="auto"/>
              <w:jc w:val="center"/>
              <w:rPr>
                <w:rFonts w:ascii="Book Antiqua" w:hAnsi="Book Antiqua" w:cs="Times New Roman"/>
                <w:color w:val="000000" w:themeColor="text1"/>
              </w:rPr>
            </w:pPr>
            <w:r w:rsidRPr="00B579B6">
              <w:rPr>
                <w:rFonts w:ascii="Book Antiqua" w:hAnsi="Book Antiqua" w:cs="Times New Roman" w:hint="eastAsia"/>
                <w:color w:val="000000" w:themeColor="text1"/>
              </w:rPr>
              <w:t>1</w:t>
            </w:r>
            <w:r w:rsidRPr="00B579B6">
              <w:rPr>
                <w:rFonts w:ascii="Book Antiqua" w:hAnsi="Book Antiqua" w:cs="Times New Roman"/>
                <w:color w:val="000000" w:themeColor="text1"/>
              </w:rPr>
              <w:t>5</w:t>
            </w:r>
          </w:p>
        </w:tc>
        <w:tc>
          <w:tcPr>
            <w:tcW w:w="1413" w:type="pct"/>
            <w:tcBorders>
              <w:top w:val="nil"/>
              <w:bottom w:val="nil"/>
            </w:tcBorders>
          </w:tcPr>
          <w:p w14:paraId="3B670C73" w14:textId="77777777" w:rsidR="00F839F2" w:rsidRPr="00B579B6" w:rsidRDefault="00F839F2" w:rsidP="005518F7">
            <w:pPr>
              <w:snapToGrid w:val="0"/>
              <w:spacing w:line="360" w:lineRule="auto"/>
              <w:jc w:val="center"/>
              <w:rPr>
                <w:rFonts w:ascii="Book Antiqua" w:hAnsi="Book Antiqua" w:cs="Times New Roman"/>
                <w:color w:val="000000" w:themeColor="text1"/>
              </w:rPr>
            </w:pPr>
            <w:r w:rsidRPr="00B579B6">
              <w:rPr>
                <w:rFonts w:ascii="Book Antiqua" w:hAnsi="Book Antiqua" w:cs="Times New Roman" w:hint="eastAsia"/>
                <w:color w:val="000000" w:themeColor="text1"/>
              </w:rPr>
              <w:t>1</w:t>
            </w:r>
            <w:r w:rsidRPr="00B579B6">
              <w:rPr>
                <w:rFonts w:ascii="Book Antiqua" w:hAnsi="Book Antiqua" w:cs="Times New Roman"/>
                <w:color w:val="000000" w:themeColor="text1"/>
              </w:rPr>
              <w:t>3</w:t>
            </w:r>
          </w:p>
        </w:tc>
        <w:tc>
          <w:tcPr>
            <w:tcW w:w="695" w:type="pct"/>
            <w:tcBorders>
              <w:top w:val="nil"/>
              <w:bottom w:val="nil"/>
            </w:tcBorders>
          </w:tcPr>
          <w:p w14:paraId="7B556147" w14:textId="77777777" w:rsidR="00F839F2" w:rsidRPr="00B579B6" w:rsidRDefault="00F839F2" w:rsidP="005518F7">
            <w:pPr>
              <w:snapToGrid w:val="0"/>
              <w:spacing w:line="360" w:lineRule="auto"/>
              <w:jc w:val="center"/>
              <w:rPr>
                <w:rFonts w:ascii="Book Antiqua" w:hAnsi="Book Antiqua" w:cs="Times New Roman"/>
                <w:color w:val="000000" w:themeColor="text1"/>
              </w:rPr>
            </w:pPr>
            <w:r w:rsidRPr="00B579B6">
              <w:rPr>
                <w:rFonts w:ascii="Book Antiqua" w:hAnsi="Book Antiqua" w:cs="Times New Roman" w:hint="eastAsia"/>
                <w:color w:val="000000" w:themeColor="text1"/>
              </w:rPr>
              <w:t>0</w:t>
            </w:r>
            <w:r w:rsidRPr="00B579B6">
              <w:rPr>
                <w:rFonts w:ascii="Book Antiqua" w:hAnsi="Book Antiqua" w:cs="Times New Roman"/>
                <w:color w:val="000000" w:themeColor="text1"/>
              </w:rPr>
              <w:t>.731</w:t>
            </w:r>
          </w:p>
        </w:tc>
      </w:tr>
      <w:tr w:rsidR="00F839F2" w:rsidRPr="00B579B6" w14:paraId="42E5DF01" w14:textId="77777777" w:rsidTr="000E6C84">
        <w:tc>
          <w:tcPr>
            <w:tcW w:w="1500" w:type="pct"/>
            <w:tcBorders>
              <w:top w:val="nil"/>
              <w:bottom w:val="nil"/>
            </w:tcBorders>
          </w:tcPr>
          <w:p w14:paraId="33B83BC4" w14:textId="77777777" w:rsidR="00F839F2" w:rsidRPr="00B579B6" w:rsidRDefault="00F839F2" w:rsidP="005518F7">
            <w:pPr>
              <w:snapToGrid w:val="0"/>
              <w:spacing w:line="360" w:lineRule="auto"/>
              <w:ind w:firstLineChars="100" w:firstLine="240"/>
              <w:rPr>
                <w:rFonts w:ascii="Book Antiqua" w:hAnsi="Book Antiqua" w:cs="Times New Roman"/>
                <w:color w:val="000000" w:themeColor="text1"/>
              </w:rPr>
            </w:pPr>
            <w:r w:rsidRPr="00B579B6">
              <w:rPr>
                <w:rFonts w:ascii="Book Antiqua" w:hAnsi="Book Antiqua" w:cs="Times New Roman"/>
                <w:color w:val="000000" w:themeColor="text1"/>
              </w:rPr>
              <w:t>Female</w:t>
            </w:r>
          </w:p>
        </w:tc>
        <w:tc>
          <w:tcPr>
            <w:tcW w:w="1392" w:type="pct"/>
            <w:tcBorders>
              <w:top w:val="nil"/>
              <w:bottom w:val="nil"/>
            </w:tcBorders>
          </w:tcPr>
          <w:p w14:paraId="3DD9977C" w14:textId="77777777" w:rsidR="00F839F2" w:rsidRPr="00B579B6" w:rsidRDefault="00F839F2" w:rsidP="005518F7">
            <w:pPr>
              <w:snapToGrid w:val="0"/>
              <w:spacing w:line="360" w:lineRule="auto"/>
              <w:jc w:val="center"/>
              <w:rPr>
                <w:rFonts w:ascii="Book Antiqua" w:hAnsi="Book Antiqua" w:cs="Times New Roman"/>
                <w:color w:val="000000" w:themeColor="text1"/>
              </w:rPr>
            </w:pPr>
            <w:r w:rsidRPr="00B579B6">
              <w:rPr>
                <w:rFonts w:ascii="Book Antiqua" w:hAnsi="Book Antiqua" w:cs="Times New Roman" w:hint="eastAsia"/>
                <w:color w:val="000000" w:themeColor="text1"/>
              </w:rPr>
              <w:t>5</w:t>
            </w:r>
          </w:p>
        </w:tc>
        <w:tc>
          <w:tcPr>
            <w:tcW w:w="1413" w:type="pct"/>
            <w:tcBorders>
              <w:top w:val="nil"/>
              <w:bottom w:val="nil"/>
            </w:tcBorders>
          </w:tcPr>
          <w:p w14:paraId="5F953C3F" w14:textId="77777777" w:rsidR="00F839F2" w:rsidRPr="00B579B6" w:rsidRDefault="00F839F2" w:rsidP="005518F7">
            <w:pPr>
              <w:snapToGrid w:val="0"/>
              <w:spacing w:line="360" w:lineRule="auto"/>
              <w:jc w:val="center"/>
              <w:rPr>
                <w:rFonts w:ascii="Book Antiqua" w:hAnsi="Book Antiqua" w:cs="Times New Roman"/>
                <w:color w:val="000000" w:themeColor="text1"/>
              </w:rPr>
            </w:pPr>
            <w:r w:rsidRPr="00B579B6">
              <w:rPr>
                <w:rFonts w:ascii="Book Antiqua" w:hAnsi="Book Antiqua" w:cs="Times New Roman" w:hint="eastAsia"/>
                <w:color w:val="000000" w:themeColor="text1"/>
              </w:rPr>
              <w:t>7</w:t>
            </w:r>
          </w:p>
        </w:tc>
        <w:tc>
          <w:tcPr>
            <w:tcW w:w="695" w:type="pct"/>
            <w:tcBorders>
              <w:top w:val="nil"/>
              <w:bottom w:val="nil"/>
            </w:tcBorders>
          </w:tcPr>
          <w:p w14:paraId="7B3532AC" w14:textId="77777777" w:rsidR="00F839F2" w:rsidRPr="00B579B6" w:rsidRDefault="00F839F2" w:rsidP="005518F7">
            <w:pPr>
              <w:snapToGrid w:val="0"/>
              <w:spacing w:line="360" w:lineRule="auto"/>
              <w:jc w:val="center"/>
              <w:rPr>
                <w:rFonts w:ascii="Book Antiqua" w:hAnsi="Book Antiqua" w:cs="Times New Roman"/>
                <w:color w:val="000000" w:themeColor="text1"/>
              </w:rPr>
            </w:pPr>
          </w:p>
        </w:tc>
      </w:tr>
      <w:tr w:rsidR="00F839F2" w:rsidRPr="00B579B6" w14:paraId="38FB1143" w14:textId="77777777" w:rsidTr="000E6C84">
        <w:tc>
          <w:tcPr>
            <w:tcW w:w="1500" w:type="pct"/>
            <w:tcBorders>
              <w:top w:val="nil"/>
              <w:bottom w:val="nil"/>
            </w:tcBorders>
          </w:tcPr>
          <w:p w14:paraId="07A90035" w14:textId="77777777" w:rsidR="00F839F2" w:rsidRPr="00B579B6" w:rsidRDefault="00F839F2" w:rsidP="005518F7">
            <w:pPr>
              <w:snapToGrid w:val="0"/>
              <w:spacing w:line="360" w:lineRule="auto"/>
              <w:rPr>
                <w:rFonts w:ascii="Book Antiqua" w:hAnsi="Book Antiqua" w:cs="Times New Roman"/>
                <w:color w:val="000000" w:themeColor="text1"/>
              </w:rPr>
            </w:pPr>
            <w:r w:rsidRPr="00B579B6">
              <w:rPr>
                <w:rFonts w:ascii="Book Antiqua" w:hAnsi="Book Antiqua" w:cs="Times New Roman"/>
                <w:color w:val="000000" w:themeColor="text1"/>
              </w:rPr>
              <w:t xml:space="preserve">Age (mean ± </w:t>
            </w:r>
            <w:r w:rsidRPr="00B579B6">
              <w:rPr>
                <w:rFonts w:ascii="Book Antiqua" w:hAnsi="Book Antiqua" w:cs="Times New Roman" w:hint="eastAsia"/>
                <w:color w:val="000000" w:themeColor="text1"/>
              </w:rPr>
              <w:t>SD</w:t>
            </w:r>
            <w:r w:rsidR="005F2831">
              <w:rPr>
                <w:rFonts w:ascii="Book Antiqua" w:hAnsi="Book Antiqua" w:cs="Times New Roman"/>
                <w:color w:val="000000" w:themeColor="text1"/>
              </w:rPr>
              <w:t xml:space="preserve">), </w:t>
            </w:r>
            <w:proofErr w:type="spellStart"/>
            <w:r w:rsidR="005F2831">
              <w:rPr>
                <w:rFonts w:ascii="Book Antiqua" w:hAnsi="Book Antiqua" w:cs="Times New Roman"/>
                <w:color w:val="000000" w:themeColor="text1"/>
              </w:rPr>
              <w:t>y</w:t>
            </w:r>
            <w:r w:rsidRPr="00B579B6">
              <w:rPr>
                <w:rFonts w:ascii="Book Antiqua" w:hAnsi="Book Antiqua" w:cs="Times New Roman"/>
                <w:color w:val="000000" w:themeColor="text1"/>
              </w:rPr>
              <w:t>r</w:t>
            </w:r>
            <w:proofErr w:type="spellEnd"/>
          </w:p>
        </w:tc>
        <w:tc>
          <w:tcPr>
            <w:tcW w:w="1392" w:type="pct"/>
            <w:tcBorders>
              <w:top w:val="nil"/>
              <w:bottom w:val="nil"/>
            </w:tcBorders>
          </w:tcPr>
          <w:p w14:paraId="7979B8BB" w14:textId="77777777" w:rsidR="00F839F2" w:rsidRPr="00B579B6" w:rsidRDefault="00F839F2" w:rsidP="005518F7">
            <w:pPr>
              <w:snapToGrid w:val="0"/>
              <w:spacing w:line="360" w:lineRule="auto"/>
              <w:jc w:val="center"/>
              <w:rPr>
                <w:rFonts w:ascii="Book Antiqua" w:hAnsi="Book Antiqua" w:cs="Times New Roman"/>
                <w:color w:val="000000" w:themeColor="text1"/>
              </w:rPr>
            </w:pPr>
            <w:r w:rsidRPr="00B579B6">
              <w:rPr>
                <w:rFonts w:ascii="Book Antiqua" w:hAnsi="Book Antiqua" w:cs="Times New Roman"/>
                <w:color w:val="000000" w:themeColor="text1"/>
              </w:rPr>
              <w:t>27.1 ± 7.9</w:t>
            </w:r>
          </w:p>
        </w:tc>
        <w:tc>
          <w:tcPr>
            <w:tcW w:w="1413" w:type="pct"/>
            <w:tcBorders>
              <w:top w:val="nil"/>
              <w:bottom w:val="nil"/>
            </w:tcBorders>
          </w:tcPr>
          <w:p w14:paraId="4DB0E913" w14:textId="77777777" w:rsidR="00F839F2" w:rsidRPr="00B579B6" w:rsidRDefault="00F839F2" w:rsidP="005518F7">
            <w:pPr>
              <w:snapToGrid w:val="0"/>
              <w:spacing w:line="360" w:lineRule="auto"/>
              <w:jc w:val="center"/>
              <w:rPr>
                <w:rFonts w:ascii="Book Antiqua" w:hAnsi="Book Antiqua" w:cs="Times New Roman"/>
                <w:color w:val="000000" w:themeColor="text1"/>
              </w:rPr>
            </w:pPr>
            <w:r w:rsidRPr="00B579B6">
              <w:rPr>
                <w:rFonts w:ascii="Book Antiqua" w:hAnsi="Book Antiqua" w:cs="Times New Roman" w:hint="eastAsia"/>
                <w:color w:val="000000" w:themeColor="text1"/>
              </w:rPr>
              <w:t>2</w:t>
            </w:r>
            <w:r w:rsidRPr="00B579B6">
              <w:rPr>
                <w:rFonts w:ascii="Book Antiqua" w:hAnsi="Book Antiqua" w:cs="Times New Roman"/>
                <w:color w:val="000000" w:themeColor="text1"/>
              </w:rPr>
              <w:t>5.6 ± 4.5</w:t>
            </w:r>
          </w:p>
        </w:tc>
        <w:tc>
          <w:tcPr>
            <w:tcW w:w="695" w:type="pct"/>
            <w:tcBorders>
              <w:top w:val="nil"/>
              <w:bottom w:val="nil"/>
            </w:tcBorders>
          </w:tcPr>
          <w:p w14:paraId="16EA6395" w14:textId="77777777" w:rsidR="00F839F2" w:rsidRPr="00B579B6" w:rsidRDefault="00F839F2" w:rsidP="005518F7">
            <w:pPr>
              <w:snapToGrid w:val="0"/>
              <w:spacing w:line="360" w:lineRule="auto"/>
              <w:jc w:val="center"/>
              <w:rPr>
                <w:rFonts w:ascii="Book Antiqua" w:hAnsi="Book Antiqua" w:cs="Times New Roman"/>
                <w:color w:val="000000" w:themeColor="text1"/>
              </w:rPr>
            </w:pPr>
            <w:r w:rsidRPr="00B579B6">
              <w:rPr>
                <w:rFonts w:ascii="Book Antiqua" w:hAnsi="Book Antiqua" w:cs="Times New Roman" w:hint="eastAsia"/>
                <w:color w:val="000000" w:themeColor="text1"/>
              </w:rPr>
              <w:t>0</w:t>
            </w:r>
            <w:r w:rsidRPr="00B579B6">
              <w:rPr>
                <w:rFonts w:ascii="Book Antiqua" w:hAnsi="Book Antiqua" w:cs="Times New Roman"/>
                <w:color w:val="000000" w:themeColor="text1"/>
              </w:rPr>
              <w:t>.465</w:t>
            </w:r>
          </w:p>
        </w:tc>
      </w:tr>
      <w:tr w:rsidR="00F839F2" w:rsidRPr="00B579B6" w14:paraId="44849234" w14:textId="77777777" w:rsidTr="000E6C84">
        <w:tc>
          <w:tcPr>
            <w:tcW w:w="1500" w:type="pct"/>
            <w:tcBorders>
              <w:top w:val="nil"/>
              <w:bottom w:val="nil"/>
            </w:tcBorders>
          </w:tcPr>
          <w:p w14:paraId="12D211C8" w14:textId="77777777" w:rsidR="00F839F2" w:rsidRPr="00B579B6" w:rsidRDefault="00F839F2" w:rsidP="005518F7">
            <w:pPr>
              <w:snapToGrid w:val="0"/>
              <w:spacing w:line="360" w:lineRule="auto"/>
              <w:rPr>
                <w:rFonts w:ascii="Book Antiqua" w:hAnsi="Book Antiqua" w:cs="Times New Roman"/>
                <w:color w:val="000000" w:themeColor="text1"/>
              </w:rPr>
            </w:pPr>
            <w:r w:rsidRPr="00B579B6">
              <w:rPr>
                <w:rFonts w:ascii="Book Antiqua" w:hAnsi="Book Antiqua" w:cs="Times New Roman"/>
                <w:color w:val="000000" w:themeColor="text1"/>
              </w:rPr>
              <w:t>Biopsy site</w:t>
            </w:r>
          </w:p>
        </w:tc>
        <w:tc>
          <w:tcPr>
            <w:tcW w:w="1392" w:type="pct"/>
            <w:tcBorders>
              <w:top w:val="nil"/>
              <w:bottom w:val="nil"/>
            </w:tcBorders>
          </w:tcPr>
          <w:p w14:paraId="2000E25A" w14:textId="77777777" w:rsidR="00F839F2" w:rsidRPr="00B579B6" w:rsidRDefault="00F839F2" w:rsidP="005518F7">
            <w:pPr>
              <w:snapToGrid w:val="0"/>
              <w:spacing w:line="360" w:lineRule="auto"/>
              <w:jc w:val="center"/>
              <w:rPr>
                <w:rFonts w:ascii="Book Antiqua" w:hAnsi="Book Antiqua" w:cs="Times New Roman"/>
                <w:color w:val="000000" w:themeColor="text1"/>
              </w:rPr>
            </w:pPr>
          </w:p>
        </w:tc>
        <w:tc>
          <w:tcPr>
            <w:tcW w:w="1413" w:type="pct"/>
            <w:tcBorders>
              <w:top w:val="nil"/>
              <w:bottom w:val="nil"/>
            </w:tcBorders>
          </w:tcPr>
          <w:p w14:paraId="5CF84F1D" w14:textId="77777777" w:rsidR="00F839F2" w:rsidRPr="00B579B6" w:rsidRDefault="00F839F2" w:rsidP="005518F7">
            <w:pPr>
              <w:snapToGrid w:val="0"/>
              <w:spacing w:line="360" w:lineRule="auto"/>
              <w:jc w:val="center"/>
              <w:rPr>
                <w:rFonts w:ascii="Book Antiqua" w:hAnsi="Book Antiqua" w:cs="Times New Roman"/>
                <w:color w:val="000000" w:themeColor="text1"/>
              </w:rPr>
            </w:pPr>
          </w:p>
        </w:tc>
        <w:tc>
          <w:tcPr>
            <w:tcW w:w="695" w:type="pct"/>
            <w:tcBorders>
              <w:top w:val="nil"/>
              <w:bottom w:val="nil"/>
            </w:tcBorders>
          </w:tcPr>
          <w:p w14:paraId="3D00031F" w14:textId="77777777" w:rsidR="00F839F2" w:rsidRPr="00B579B6" w:rsidRDefault="00F839F2" w:rsidP="005518F7">
            <w:pPr>
              <w:snapToGrid w:val="0"/>
              <w:spacing w:line="360" w:lineRule="auto"/>
              <w:jc w:val="center"/>
              <w:rPr>
                <w:rFonts w:ascii="Book Antiqua" w:hAnsi="Book Antiqua" w:cs="Times New Roman"/>
                <w:color w:val="000000" w:themeColor="text1"/>
              </w:rPr>
            </w:pPr>
          </w:p>
        </w:tc>
      </w:tr>
      <w:tr w:rsidR="00F839F2" w:rsidRPr="00B579B6" w14:paraId="153C6BF1" w14:textId="77777777" w:rsidTr="000E6C84">
        <w:tc>
          <w:tcPr>
            <w:tcW w:w="1500" w:type="pct"/>
            <w:tcBorders>
              <w:top w:val="nil"/>
              <w:bottom w:val="nil"/>
            </w:tcBorders>
          </w:tcPr>
          <w:p w14:paraId="2CE9BBD8" w14:textId="77777777" w:rsidR="00F839F2" w:rsidRPr="00B579B6" w:rsidRDefault="00F839F2" w:rsidP="005518F7">
            <w:pPr>
              <w:snapToGrid w:val="0"/>
              <w:spacing w:line="360" w:lineRule="auto"/>
              <w:ind w:firstLineChars="100" w:firstLine="240"/>
              <w:rPr>
                <w:rFonts w:ascii="Book Antiqua" w:hAnsi="Book Antiqua" w:cs="Times New Roman"/>
                <w:color w:val="000000" w:themeColor="text1"/>
              </w:rPr>
            </w:pPr>
            <w:r w:rsidRPr="00B579B6">
              <w:rPr>
                <w:rFonts w:ascii="Book Antiqua" w:hAnsi="Book Antiqua" w:cs="Times New Roman"/>
                <w:color w:val="000000" w:themeColor="text1"/>
              </w:rPr>
              <w:t>Terminal ileum</w:t>
            </w:r>
          </w:p>
        </w:tc>
        <w:tc>
          <w:tcPr>
            <w:tcW w:w="1392" w:type="pct"/>
            <w:tcBorders>
              <w:top w:val="nil"/>
              <w:bottom w:val="nil"/>
            </w:tcBorders>
          </w:tcPr>
          <w:p w14:paraId="1DD816FA" w14:textId="77777777" w:rsidR="00F839F2" w:rsidRPr="00B579B6" w:rsidRDefault="00F839F2" w:rsidP="005518F7">
            <w:pPr>
              <w:snapToGrid w:val="0"/>
              <w:spacing w:line="360" w:lineRule="auto"/>
              <w:jc w:val="center"/>
              <w:rPr>
                <w:rFonts w:ascii="Book Antiqua" w:hAnsi="Book Antiqua" w:cs="Times New Roman"/>
                <w:color w:val="000000" w:themeColor="text1"/>
              </w:rPr>
            </w:pPr>
            <w:r w:rsidRPr="00B579B6">
              <w:rPr>
                <w:rFonts w:ascii="Book Antiqua" w:hAnsi="Book Antiqua" w:cs="Times New Roman" w:hint="eastAsia"/>
                <w:color w:val="000000" w:themeColor="text1"/>
              </w:rPr>
              <w:t>8</w:t>
            </w:r>
          </w:p>
        </w:tc>
        <w:tc>
          <w:tcPr>
            <w:tcW w:w="1413" w:type="pct"/>
            <w:tcBorders>
              <w:top w:val="nil"/>
              <w:bottom w:val="nil"/>
            </w:tcBorders>
          </w:tcPr>
          <w:p w14:paraId="05F62F91" w14:textId="77777777" w:rsidR="00F839F2" w:rsidRPr="00B579B6" w:rsidRDefault="00F839F2" w:rsidP="005518F7">
            <w:pPr>
              <w:snapToGrid w:val="0"/>
              <w:spacing w:line="360" w:lineRule="auto"/>
              <w:jc w:val="center"/>
              <w:rPr>
                <w:rFonts w:ascii="Book Antiqua" w:hAnsi="Book Antiqua" w:cs="Times New Roman"/>
                <w:color w:val="000000" w:themeColor="text1"/>
              </w:rPr>
            </w:pPr>
            <w:r w:rsidRPr="00B579B6">
              <w:rPr>
                <w:rFonts w:ascii="Book Antiqua" w:hAnsi="Book Antiqua" w:cs="Times New Roman" w:hint="eastAsia"/>
                <w:color w:val="000000" w:themeColor="text1"/>
              </w:rPr>
              <w:t>5</w:t>
            </w:r>
          </w:p>
        </w:tc>
        <w:tc>
          <w:tcPr>
            <w:tcW w:w="695" w:type="pct"/>
            <w:tcBorders>
              <w:top w:val="nil"/>
              <w:bottom w:val="nil"/>
            </w:tcBorders>
          </w:tcPr>
          <w:p w14:paraId="508B90BC" w14:textId="77777777" w:rsidR="00F839F2" w:rsidRPr="00B579B6" w:rsidRDefault="00F839F2" w:rsidP="005518F7">
            <w:pPr>
              <w:snapToGrid w:val="0"/>
              <w:spacing w:line="360" w:lineRule="auto"/>
              <w:jc w:val="center"/>
              <w:rPr>
                <w:rFonts w:ascii="Book Antiqua" w:hAnsi="Book Antiqua" w:cs="Times New Roman"/>
                <w:color w:val="000000" w:themeColor="text1"/>
              </w:rPr>
            </w:pPr>
            <w:r w:rsidRPr="00B579B6">
              <w:rPr>
                <w:rFonts w:ascii="Book Antiqua" w:hAnsi="Book Antiqua" w:cs="Times New Roman" w:hint="eastAsia"/>
                <w:color w:val="000000" w:themeColor="text1"/>
              </w:rPr>
              <w:t>0</w:t>
            </w:r>
            <w:r w:rsidRPr="00B579B6">
              <w:rPr>
                <w:rFonts w:ascii="Book Antiqua" w:hAnsi="Book Antiqua" w:cs="Times New Roman"/>
                <w:color w:val="000000" w:themeColor="text1"/>
              </w:rPr>
              <w:t>.832</w:t>
            </w:r>
          </w:p>
        </w:tc>
      </w:tr>
      <w:tr w:rsidR="00F839F2" w:rsidRPr="00B579B6" w14:paraId="1081752F" w14:textId="77777777" w:rsidTr="000E6C84">
        <w:tc>
          <w:tcPr>
            <w:tcW w:w="1500" w:type="pct"/>
            <w:tcBorders>
              <w:top w:val="nil"/>
              <w:bottom w:val="nil"/>
            </w:tcBorders>
          </w:tcPr>
          <w:p w14:paraId="4A05C8C1" w14:textId="77777777" w:rsidR="00F839F2" w:rsidRPr="00B579B6" w:rsidRDefault="00F839F2" w:rsidP="005518F7">
            <w:pPr>
              <w:snapToGrid w:val="0"/>
              <w:spacing w:line="360" w:lineRule="auto"/>
              <w:ind w:firstLineChars="100" w:firstLine="240"/>
              <w:rPr>
                <w:rFonts w:ascii="Book Antiqua" w:hAnsi="Book Antiqua" w:cs="Times New Roman"/>
                <w:color w:val="000000" w:themeColor="text1"/>
              </w:rPr>
            </w:pPr>
            <w:r w:rsidRPr="00B579B6">
              <w:rPr>
                <w:rFonts w:ascii="Book Antiqua" w:hAnsi="Book Antiqua" w:cs="Times New Roman"/>
                <w:color w:val="000000" w:themeColor="text1"/>
              </w:rPr>
              <w:t>Ascending colon</w:t>
            </w:r>
          </w:p>
        </w:tc>
        <w:tc>
          <w:tcPr>
            <w:tcW w:w="1392" w:type="pct"/>
            <w:tcBorders>
              <w:top w:val="nil"/>
              <w:bottom w:val="nil"/>
            </w:tcBorders>
          </w:tcPr>
          <w:p w14:paraId="5AF36389" w14:textId="77777777" w:rsidR="00F839F2" w:rsidRPr="00B579B6" w:rsidRDefault="00F839F2" w:rsidP="005518F7">
            <w:pPr>
              <w:snapToGrid w:val="0"/>
              <w:spacing w:line="360" w:lineRule="auto"/>
              <w:jc w:val="center"/>
              <w:rPr>
                <w:rFonts w:ascii="Book Antiqua" w:hAnsi="Book Antiqua" w:cs="Times New Roman"/>
                <w:color w:val="000000" w:themeColor="text1"/>
              </w:rPr>
            </w:pPr>
            <w:r w:rsidRPr="00B579B6">
              <w:rPr>
                <w:rFonts w:ascii="Book Antiqua" w:hAnsi="Book Antiqua" w:cs="Times New Roman" w:hint="eastAsia"/>
                <w:color w:val="000000" w:themeColor="text1"/>
              </w:rPr>
              <w:t>2</w:t>
            </w:r>
          </w:p>
        </w:tc>
        <w:tc>
          <w:tcPr>
            <w:tcW w:w="1413" w:type="pct"/>
            <w:tcBorders>
              <w:top w:val="nil"/>
              <w:bottom w:val="nil"/>
            </w:tcBorders>
          </w:tcPr>
          <w:p w14:paraId="463E6D4A" w14:textId="77777777" w:rsidR="00F839F2" w:rsidRPr="00B579B6" w:rsidRDefault="00F839F2" w:rsidP="005518F7">
            <w:pPr>
              <w:snapToGrid w:val="0"/>
              <w:spacing w:line="360" w:lineRule="auto"/>
              <w:jc w:val="center"/>
              <w:rPr>
                <w:rFonts w:ascii="Book Antiqua" w:hAnsi="Book Antiqua" w:cs="Times New Roman"/>
                <w:color w:val="000000" w:themeColor="text1"/>
              </w:rPr>
            </w:pPr>
            <w:r w:rsidRPr="00B579B6">
              <w:rPr>
                <w:rFonts w:ascii="Book Antiqua" w:hAnsi="Book Antiqua" w:cs="Times New Roman" w:hint="eastAsia"/>
                <w:color w:val="000000" w:themeColor="text1"/>
              </w:rPr>
              <w:t>1</w:t>
            </w:r>
          </w:p>
        </w:tc>
        <w:tc>
          <w:tcPr>
            <w:tcW w:w="695" w:type="pct"/>
            <w:tcBorders>
              <w:top w:val="nil"/>
              <w:bottom w:val="nil"/>
            </w:tcBorders>
          </w:tcPr>
          <w:p w14:paraId="63F386A6" w14:textId="77777777" w:rsidR="00F839F2" w:rsidRPr="00B579B6" w:rsidRDefault="00F839F2" w:rsidP="005518F7">
            <w:pPr>
              <w:snapToGrid w:val="0"/>
              <w:spacing w:line="360" w:lineRule="auto"/>
              <w:jc w:val="center"/>
              <w:rPr>
                <w:rFonts w:ascii="Book Antiqua" w:hAnsi="Book Antiqua" w:cs="Times New Roman"/>
                <w:color w:val="000000" w:themeColor="text1"/>
              </w:rPr>
            </w:pPr>
          </w:p>
        </w:tc>
      </w:tr>
      <w:tr w:rsidR="00F839F2" w:rsidRPr="00B579B6" w14:paraId="114C04FB" w14:textId="77777777" w:rsidTr="000E6C84">
        <w:tc>
          <w:tcPr>
            <w:tcW w:w="1500" w:type="pct"/>
            <w:tcBorders>
              <w:top w:val="nil"/>
              <w:bottom w:val="nil"/>
            </w:tcBorders>
          </w:tcPr>
          <w:p w14:paraId="51794E9C" w14:textId="77777777" w:rsidR="00F839F2" w:rsidRPr="00B579B6" w:rsidRDefault="00F839F2" w:rsidP="005518F7">
            <w:pPr>
              <w:snapToGrid w:val="0"/>
              <w:spacing w:line="360" w:lineRule="auto"/>
              <w:ind w:firstLineChars="100" w:firstLine="240"/>
              <w:rPr>
                <w:rFonts w:ascii="Book Antiqua" w:hAnsi="Book Antiqua" w:cs="Times New Roman"/>
                <w:color w:val="000000" w:themeColor="text1"/>
              </w:rPr>
            </w:pPr>
            <w:r w:rsidRPr="00B579B6">
              <w:rPr>
                <w:rFonts w:ascii="Book Antiqua" w:hAnsi="Book Antiqua" w:cs="Times New Roman"/>
                <w:color w:val="000000" w:themeColor="text1"/>
              </w:rPr>
              <w:t>Transverse colon</w:t>
            </w:r>
          </w:p>
        </w:tc>
        <w:tc>
          <w:tcPr>
            <w:tcW w:w="1392" w:type="pct"/>
            <w:tcBorders>
              <w:top w:val="nil"/>
              <w:bottom w:val="nil"/>
            </w:tcBorders>
          </w:tcPr>
          <w:p w14:paraId="35C99BE7" w14:textId="77777777" w:rsidR="00F839F2" w:rsidRPr="00B579B6" w:rsidRDefault="00F839F2" w:rsidP="005518F7">
            <w:pPr>
              <w:snapToGrid w:val="0"/>
              <w:spacing w:line="360" w:lineRule="auto"/>
              <w:jc w:val="center"/>
              <w:rPr>
                <w:rFonts w:ascii="Book Antiqua" w:hAnsi="Book Antiqua" w:cs="Times New Roman"/>
                <w:color w:val="000000" w:themeColor="text1"/>
              </w:rPr>
            </w:pPr>
            <w:r w:rsidRPr="00B579B6">
              <w:rPr>
                <w:rFonts w:ascii="Book Antiqua" w:hAnsi="Book Antiqua" w:cs="Times New Roman" w:hint="eastAsia"/>
                <w:color w:val="000000" w:themeColor="text1"/>
              </w:rPr>
              <w:t>2</w:t>
            </w:r>
          </w:p>
        </w:tc>
        <w:tc>
          <w:tcPr>
            <w:tcW w:w="1413" w:type="pct"/>
            <w:tcBorders>
              <w:top w:val="nil"/>
              <w:bottom w:val="nil"/>
            </w:tcBorders>
          </w:tcPr>
          <w:p w14:paraId="126EAF9B" w14:textId="77777777" w:rsidR="00F839F2" w:rsidRPr="00B579B6" w:rsidRDefault="00F839F2" w:rsidP="005518F7">
            <w:pPr>
              <w:snapToGrid w:val="0"/>
              <w:spacing w:line="360" w:lineRule="auto"/>
              <w:jc w:val="center"/>
              <w:rPr>
                <w:rFonts w:ascii="Book Antiqua" w:hAnsi="Book Antiqua" w:cs="Times New Roman"/>
                <w:color w:val="000000" w:themeColor="text1"/>
              </w:rPr>
            </w:pPr>
            <w:r w:rsidRPr="00B579B6">
              <w:rPr>
                <w:rFonts w:ascii="Book Antiqua" w:hAnsi="Book Antiqua" w:cs="Times New Roman" w:hint="eastAsia"/>
                <w:color w:val="000000" w:themeColor="text1"/>
              </w:rPr>
              <w:t>2</w:t>
            </w:r>
          </w:p>
        </w:tc>
        <w:tc>
          <w:tcPr>
            <w:tcW w:w="695" w:type="pct"/>
            <w:tcBorders>
              <w:top w:val="nil"/>
              <w:bottom w:val="nil"/>
            </w:tcBorders>
          </w:tcPr>
          <w:p w14:paraId="3B539A1C" w14:textId="77777777" w:rsidR="00F839F2" w:rsidRPr="00B579B6" w:rsidRDefault="00F839F2" w:rsidP="005518F7">
            <w:pPr>
              <w:snapToGrid w:val="0"/>
              <w:spacing w:line="360" w:lineRule="auto"/>
              <w:jc w:val="center"/>
              <w:rPr>
                <w:rFonts w:ascii="Book Antiqua" w:hAnsi="Book Antiqua" w:cs="Times New Roman"/>
                <w:color w:val="000000" w:themeColor="text1"/>
              </w:rPr>
            </w:pPr>
          </w:p>
        </w:tc>
      </w:tr>
      <w:tr w:rsidR="00F839F2" w:rsidRPr="00B579B6" w14:paraId="6570A014" w14:textId="77777777" w:rsidTr="000E6C84">
        <w:tc>
          <w:tcPr>
            <w:tcW w:w="1500" w:type="pct"/>
            <w:tcBorders>
              <w:top w:val="nil"/>
              <w:bottom w:val="nil"/>
            </w:tcBorders>
          </w:tcPr>
          <w:p w14:paraId="2C67DEBC" w14:textId="77777777" w:rsidR="00F839F2" w:rsidRPr="00B579B6" w:rsidRDefault="00F839F2" w:rsidP="005518F7">
            <w:pPr>
              <w:snapToGrid w:val="0"/>
              <w:spacing w:line="360" w:lineRule="auto"/>
              <w:ind w:firstLineChars="100" w:firstLine="240"/>
              <w:rPr>
                <w:rFonts w:ascii="Book Antiqua" w:hAnsi="Book Antiqua" w:cs="Times New Roman"/>
                <w:color w:val="000000" w:themeColor="text1"/>
              </w:rPr>
            </w:pPr>
            <w:r w:rsidRPr="00B579B6">
              <w:rPr>
                <w:rFonts w:ascii="Book Antiqua" w:hAnsi="Book Antiqua" w:cs="Times New Roman"/>
                <w:color w:val="000000" w:themeColor="text1"/>
              </w:rPr>
              <w:t>Descending colon</w:t>
            </w:r>
          </w:p>
        </w:tc>
        <w:tc>
          <w:tcPr>
            <w:tcW w:w="1392" w:type="pct"/>
            <w:tcBorders>
              <w:top w:val="nil"/>
              <w:bottom w:val="nil"/>
            </w:tcBorders>
          </w:tcPr>
          <w:p w14:paraId="27D8AC10" w14:textId="77777777" w:rsidR="00F839F2" w:rsidRPr="00B579B6" w:rsidRDefault="00F839F2" w:rsidP="005518F7">
            <w:pPr>
              <w:snapToGrid w:val="0"/>
              <w:spacing w:line="360" w:lineRule="auto"/>
              <w:jc w:val="center"/>
              <w:rPr>
                <w:rFonts w:ascii="Book Antiqua" w:hAnsi="Book Antiqua" w:cs="Times New Roman"/>
                <w:color w:val="000000" w:themeColor="text1"/>
              </w:rPr>
            </w:pPr>
            <w:r w:rsidRPr="00B579B6">
              <w:rPr>
                <w:rFonts w:ascii="Book Antiqua" w:hAnsi="Book Antiqua" w:cs="Times New Roman" w:hint="eastAsia"/>
                <w:color w:val="000000" w:themeColor="text1"/>
              </w:rPr>
              <w:t>2</w:t>
            </w:r>
          </w:p>
        </w:tc>
        <w:tc>
          <w:tcPr>
            <w:tcW w:w="1413" w:type="pct"/>
            <w:tcBorders>
              <w:top w:val="nil"/>
              <w:bottom w:val="nil"/>
            </w:tcBorders>
          </w:tcPr>
          <w:p w14:paraId="3E4DAC84" w14:textId="77777777" w:rsidR="00F839F2" w:rsidRPr="00B579B6" w:rsidRDefault="00F839F2" w:rsidP="005518F7">
            <w:pPr>
              <w:snapToGrid w:val="0"/>
              <w:spacing w:line="360" w:lineRule="auto"/>
              <w:jc w:val="center"/>
              <w:rPr>
                <w:rFonts w:ascii="Book Antiqua" w:hAnsi="Book Antiqua" w:cs="Times New Roman"/>
                <w:color w:val="000000" w:themeColor="text1"/>
              </w:rPr>
            </w:pPr>
            <w:r w:rsidRPr="00B579B6">
              <w:rPr>
                <w:rFonts w:ascii="Book Antiqua" w:hAnsi="Book Antiqua" w:cs="Times New Roman" w:hint="eastAsia"/>
                <w:color w:val="000000" w:themeColor="text1"/>
              </w:rPr>
              <w:t>4</w:t>
            </w:r>
          </w:p>
        </w:tc>
        <w:tc>
          <w:tcPr>
            <w:tcW w:w="695" w:type="pct"/>
            <w:tcBorders>
              <w:top w:val="nil"/>
              <w:bottom w:val="nil"/>
            </w:tcBorders>
          </w:tcPr>
          <w:p w14:paraId="44E02177" w14:textId="77777777" w:rsidR="00F839F2" w:rsidRPr="00B579B6" w:rsidRDefault="00F839F2" w:rsidP="005518F7">
            <w:pPr>
              <w:snapToGrid w:val="0"/>
              <w:spacing w:line="360" w:lineRule="auto"/>
              <w:jc w:val="center"/>
              <w:rPr>
                <w:rFonts w:ascii="Book Antiqua" w:hAnsi="Book Antiqua" w:cs="Times New Roman"/>
                <w:color w:val="000000" w:themeColor="text1"/>
              </w:rPr>
            </w:pPr>
          </w:p>
        </w:tc>
      </w:tr>
      <w:tr w:rsidR="00F839F2" w:rsidRPr="00B579B6" w14:paraId="4B5AA8B6" w14:textId="77777777" w:rsidTr="000E6C84">
        <w:tc>
          <w:tcPr>
            <w:tcW w:w="1500" w:type="pct"/>
            <w:tcBorders>
              <w:top w:val="nil"/>
              <w:bottom w:val="nil"/>
            </w:tcBorders>
          </w:tcPr>
          <w:p w14:paraId="2CBA14E8" w14:textId="77777777" w:rsidR="00F839F2" w:rsidRPr="00B579B6" w:rsidRDefault="00F839F2" w:rsidP="005518F7">
            <w:pPr>
              <w:snapToGrid w:val="0"/>
              <w:spacing w:line="360" w:lineRule="auto"/>
              <w:ind w:firstLineChars="100" w:firstLine="240"/>
              <w:rPr>
                <w:rFonts w:ascii="Book Antiqua" w:hAnsi="Book Antiqua" w:cs="Times New Roman"/>
                <w:color w:val="000000" w:themeColor="text1"/>
              </w:rPr>
            </w:pPr>
            <w:r w:rsidRPr="00B579B6">
              <w:rPr>
                <w:rFonts w:ascii="Book Antiqua" w:hAnsi="Book Antiqua" w:cs="Times New Roman"/>
                <w:color w:val="000000" w:themeColor="text1"/>
              </w:rPr>
              <w:t>Sigmoid colon</w:t>
            </w:r>
          </w:p>
        </w:tc>
        <w:tc>
          <w:tcPr>
            <w:tcW w:w="1392" w:type="pct"/>
            <w:tcBorders>
              <w:top w:val="nil"/>
              <w:bottom w:val="nil"/>
            </w:tcBorders>
          </w:tcPr>
          <w:p w14:paraId="79C0C27F" w14:textId="77777777" w:rsidR="00F839F2" w:rsidRPr="00B579B6" w:rsidRDefault="00F839F2" w:rsidP="005518F7">
            <w:pPr>
              <w:snapToGrid w:val="0"/>
              <w:spacing w:line="360" w:lineRule="auto"/>
              <w:jc w:val="center"/>
              <w:rPr>
                <w:rFonts w:ascii="Book Antiqua" w:hAnsi="Book Antiqua" w:cs="Times New Roman"/>
                <w:color w:val="000000" w:themeColor="text1"/>
              </w:rPr>
            </w:pPr>
            <w:r w:rsidRPr="00B579B6">
              <w:rPr>
                <w:rFonts w:ascii="Book Antiqua" w:hAnsi="Book Antiqua" w:cs="Times New Roman" w:hint="eastAsia"/>
                <w:color w:val="000000" w:themeColor="text1"/>
              </w:rPr>
              <w:t>4</w:t>
            </w:r>
          </w:p>
        </w:tc>
        <w:tc>
          <w:tcPr>
            <w:tcW w:w="1413" w:type="pct"/>
            <w:tcBorders>
              <w:top w:val="nil"/>
              <w:bottom w:val="nil"/>
            </w:tcBorders>
          </w:tcPr>
          <w:p w14:paraId="72F28782" w14:textId="77777777" w:rsidR="00F839F2" w:rsidRPr="00B579B6" w:rsidRDefault="00F839F2" w:rsidP="005518F7">
            <w:pPr>
              <w:snapToGrid w:val="0"/>
              <w:spacing w:line="360" w:lineRule="auto"/>
              <w:jc w:val="center"/>
              <w:rPr>
                <w:rFonts w:ascii="Book Antiqua" w:hAnsi="Book Antiqua" w:cs="Times New Roman"/>
                <w:color w:val="000000" w:themeColor="text1"/>
              </w:rPr>
            </w:pPr>
            <w:r w:rsidRPr="00B579B6">
              <w:rPr>
                <w:rFonts w:ascii="Book Antiqua" w:hAnsi="Book Antiqua" w:cs="Times New Roman" w:hint="eastAsia"/>
                <w:color w:val="000000" w:themeColor="text1"/>
              </w:rPr>
              <w:t>6</w:t>
            </w:r>
          </w:p>
        </w:tc>
        <w:tc>
          <w:tcPr>
            <w:tcW w:w="695" w:type="pct"/>
            <w:tcBorders>
              <w:top w:val="nil"/>
              <w:bottom w:val="nil"/>
            </w:tcBorders>
          </w:tcPr>
          <w:p w14:paraId="5D456C5A" w14:textId="77777777" w:rsidR="00F839F2" w:rsidRPr="00B579B6" w:rsidRDefault="00F839F2" w:rsidP="005518F7">
            <w:pPr>
              <w:snapToGrid w:val="0"/>
              <w:spacing w:line="360" w:lineRule="auto"/>
              <w:jc w:val="center"/>
              <w:rPr>
                <w:rFonts w:ascii="Book Antiqua" w:hAnsi="Book Antiqua" w:cs="Times New Roman"/>
                <w:color w:val="000000" w:themeColor="text1"/>
              </w:rPr>
            </w:pPr>
          </w:p>
        </w:tc>
      </w:tr>
      <w:tr w:rsidR="00F839F2" w:rsidRPr="00B579B6" w14:paraId="2A740009" w14:textId="77777777" w:rsidTr="000E6C84">
        <w:tc>
          <w:tcPr>
            <w:tcW w:w="1500" w:type="pct"/>
            <w:tcBorders>
              <w:top w:val="nil"/>
              <w:bottom w:val="single" w:sz="4" w:space="0" w:color="auto"/>
            </w:tcBorders>
          </w:tcPr>
          <w:p w14:paraId="70073D29" w14:textId="77777777" w:rsidR="00F839F2" w:rsidRPr="00B579B6" w:rsidRDefault="00F839F2" w:rsidP="005518F7">
            <w:pPr>
              <w:snapToGrid w:val="0"/>
              <w:spacing w:line="360" w:lineRule="auto"/>
              <w:ind w:firstLineChars="100" w:firstLine="240"/>
              <w:rPr>
                <w:rFonts w:ascii="Book Antiqua" w:hAnsi="Book Antiqua" w:cs="Times New Roman"/>
                <w:color w:val="000000" w:themeColor="text1"/>
              </w:rPr>
            </w:pPr>
            <w:r w:rsidRPr="00B579B6">
              <w:rPr>
                <w:rFonts w:ascii="Book Antiqua" w:hAnsi="Book Antiqua" w:cs="Times New Roman"/>
                <w:color w:val="000000" w:themeColor="text1"/>
              </w:rPr>
              <w:t>Rectum</w:t>
            </w:r>
          </w:p>
        </w:tc>
        <w:tc>
          <w:tcPr>
            <w:tcW w:w="1392" w:type="pct"/>
            <w:tcBorders>
              <w:top w:val="nil"/>
              <w:bottom w:val="single" w:sz="4" w:space="0" w:color="auto"/>
            </w:tcBorders>
          </w:tcPr>
          <w:p w14:paraId="60C22F13" w14:textId="77777777" w:rsidR="00F839F2" w:rsidRPr="00B579B6" w:rsidRDefault="00F839F2" w:rsidP="005518F7">
            <w:pPr>
              <w:snapToGrid w:val="0"/>
              <w:spacing w:line="360" w:lineRule="auto"/>
              <w:jc w:val="center"/>
              <w:rPr>
                <w:rFonts w:ascii="Book Antiqua" w:hAnsi="Book Antiqua" w:cs="Times New Roman"/>
                <w:color w:val="000000" w:themeColor="text1"/>
              </w:rPr>
            </w:pPr>
            <w:r w:rsidRPr="00B579B6">
              <w:rPr>
                <w:rFonts w:ascii="Book Antiqua" w:hAnsi="Book Antiqua" w:cs="Times New Roman" w:hint="eastAsia"/>
                <w:color w:val="000000" w:themeColor="text1"/>
              </w:rPr>
              <w:t>2</w:t>
            </w:r>
          </w:p>
        </w:tc>
        <w:tc>
          <w:tcPr>
            <w:tcW w:w="1413" w:type="pct"/>
            <w:tcBorders>
              <w:top w:val="nil"/>
              <w:bottom w:val="single" w:sz="4" w:space="0" w:color="auto"/>
            </w:tcBorders>
          </w:tcPr>
          <w:p w14:paraId="1494DC5F" w14:textId="77777777" w:rsidR="00F839F2" w:rsidRPr="00B579B6" w:rsidRDefault="00F839F2" w:rsidP="005518F7">
            <w:pPr>
              <w:snapToGrid w:val="0"/>
              <w:spacing w:line="360" w:lineRule="auto"/>
              <w:jc w:val="center"/>
              <w:rPr>
                <w:rFonts w:ascii="Book Antiqua" w:hAnsi="Book Antiqua" w:cs="Times New Roman"/>
                <w:color w:val="000000" w:themeColor="text1"/>
              </w:rPr>
            </w:pPr>
            <w:r w:rsidRPr="00B579B6">
              <w:rPr>
                <w:rFonts w:ascii="Book Antiqua" w:hAnsi="Book Antiqua" w:cs="Times New Roman" w:hint="eastAsia"/>
                <w:color w:val="000000" w:themeColor="text1"/>
              </w:rPr>
              <w:t>2</w:t>
            </w:r>
          </w:p>
        </w:tc>
        <w:tc>
          <w:tcPr>
            <w:tcW w:w="695" w:type="pct"/>
            <w:tcBorders>
              <w:top w:val="nil"/>
              <w:bottom w:val="single" w:sz="4" w:space="0" w:color="auto"/>
            </w:tcBorders>
          </w:tcPr>
          <w:p w14:paraId="2DD6F4A4" w14:textId="77777777" w:rsidR="00F839F2" w:rsidRPr="00B579B6" w:rsidRDefault="00F839F2" w:rsidP="005518F7">
            <w:pPr>
              <w:snapToGrid w:val="0"/>
              <w:spacing w:line="360" w:lineRule="auto"/>
              <w:jc w:val="center"/>
              <w:rPr>
                <w:rFonts w:ascii="Book Antiqua" w:hAnsi="Book Antiqua" w:cs="Times New Roman"/>
                <w:color w:val="000000" w:themeColor="text1"/>
              </w:rPr>
            </w:pPr>
          </w:p>
        </w:tc>
      </w:tr>
    </w:tbl>
    <w:p w14:paraId="3F32258C" w14:textId="77777777" w:rsidR="00A77B3E" w:rsidRDefault="005F2831" w:rsidP="005518F7">
      <w:pPr>
        <w:snapToGrid w:val="0"/>
        <w:spacing w:line="360" w:lineRule="auto"/>
        <w:jc w:val="both"/>
      </w:pPr>
      <w:r w:rsidRPr="00B579B6">
        <w:rPr>
          <w:rFonts w:ascii="Book Antiqua" w:hAnsi="Book Antiqua" w:hint="eastAsia"/>
          <w:color w:val="000000" w:themeColor="text1"/>
        </w:rPr>
        <w:t>S</w:t>
      </w:r>
      <w:r w:rsidRPr="00B579B6">
        <w:rPr>
          <w:rFonts w:ascii="Book Antiqua" w:hAnsi="Book Antiqua"/>
          <w:color w:val="000000" w:themeColor="text1"/>
        </w:rPr>
        <w:t>D: Standard deviation</w:t>
      </w:r>
      <w:r>
        <w:rPr>
          <w:rFonts w:ascii="Book Antiqua" w:hAnsi="Book Antiqua"/>
          <w:color w:val="000000" w:themeColor="text1"/>
        </w:rPr>
        <w:t>.</w:t>
      </w: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93BBC0" w14:textId="77777777" w:rsidR="00584E6E" w:rsidRDefault="00584E6E" w:rsidP="00F757E4">
      <w:r>
        <w:separator/>
      </w:r>
    </w:p>
  </w:endnote>
  <w:endnote w:type="continuationSeparator" w:id="0">
    <w:p w14:paraId="2598B7A9" w14:textId="77777777" w:rsidR="00584E6E" w:rsidRDefault="00584E6E" w:rsidP="00F757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2052743"/>
      <w:docPartObj>
        <w:docPartGallery w:val="Page Numbers (Bottom of Page)"/>
        <w:docPartUnique/>
      </w:docPartObj>
    </w:sdtPr>
    <w:sdtEndPr/>
    <w:sdtContent>
      <w:sdt>
        <w:sdtPr>
          <w:id w:val="-1705238520"/>
          <w:docPartObj>
            <w:docPartGallery w:val="Page Numbers (Top of Page)"/>
            <w:docPartUnique/>
          </w:docPartObj>
        </w:sdtPr>
        <w:sdtEndPr/>
        <w:sdtContent>
          <w:p w14:paraId="5439D3AD" w14:textId="77777777" w:rsidR="00F757E4" w:rsidRDefault="00F757E4" w:rsidP="00F757E4">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3E4742">
              <w:rPr>
                <w:b/>
                <w:bCs/>
                <w:noProof/>
              </w:rPr>
              <w:t>27</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3E4742">
              <w:rPr>
                <w:b/>
                <w:bCs/>
                <w:noProof/>
              </w:rPr>
              <w:t>27</w:t>
            </w:r>
            <w:r>
              <w:rPr>
                <w:b/>
                <w:bCs/>
                <w:sz w:val="24"/>
                <w:szCs w:val="24"/>
              </w:rPr>
              <w:fldChar w:fldCharType="end"/>
            </w:r>
          </w:p>
        </w:sdtContent>
      </w:sdt>
    </w:sdtContent>
  </w:sdt>
  <w:p w14:paraId="497A68D1" w14:textId="77777777" w:rsidR="00F757E4" w:rsidRDefault="00F757E4">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EE6D46" w14:textId="77777777" w:rsidR="00584E6E" w:rsidRDefault="00584E6E" w:rsidP="00F757E4">
      <w:r>
        <w:separator/>
      </w:r>
    </w:p>
  </w:footnote>
  <w:footnote w:type="continuationSeparator" w:id="0">
    <w:p w14:paraId="0B1AA76E" w14:textId="77777777" w:rsidR="00584E6E" w:rsidRDefault="00584E6E" w:rsidP="00F757E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22753"/>
    <w:rsid w:val="0008575C"/>
    <w:rsid w:val="000F4791"/>
    <w:rsid w:val="00132F7A"/>
    <w:rsid w:val="001A0B1C"/>
    <w:rsid w:val="001D1443"/>
    <w:rsid w:val="00235643"/>
    <w:rsid w:val="002A448C"/>
    <w:rsid w:val="002D79C5"/>
    <w:rsid w:val="0031435A"/>
    <w:rsid w:val="00325D78"/>
    <w:rsid w:val="00332179"/>
    <w:rsid w:val="0039378E"/>
    <w:rsid w:val="003E4742"/>
    <w:rsid w:val="003E7662"/>
    <w:rsid w:val="00406C90"/>
    <w:rsid w:val="0046200E"/>
    <w:rsid w:val="004972D0"/>
    <w:rsid w:val="004A646E"/>
    <w:rsid w:val="004B2DAF"/>
    <w:rsid w:val="004C7BFF"/>
    <w:rsid w:val="004E45C2"/>
    <w:rsid w:val="00503019"/>
    <w:rsid w:val="00507A7A"/>
    <w:rsid w:val="00515C26"/>
    <w:rsid w:val="005518F7"/>
    <w:rsid w:val="00584E6E"/>
    <w:rsid w:val="005A5E15"/>
    <w:rsid w:val="005C00FA"/>
    <w:rsid w:val="005F2831"/>
    <w:rsid w:val="00613CED"/>
    <w:rsid w:val="006B3111"/>
    <w:rsid w:val="006C186E"/>
    <w:rsid w:val="00773A4B"/>
    <w:rsid w:val="00784BED"/>
    <w:rsid w:val="00842043"/>
    <w:rsid w:val="00882F1D"/>
    <w:rsid w:val="008A0377"/>
    <w:rsid w:val="008A493C"/>
    <w:rsid w:val="008F389E"/>
    <w:rsid w:val="00914EC6"/>
    <w:rsid w:val="009170BA"/>
    <w:rsid w:val="009C233F"/>
    <w:rsid w:val="009E5AF4"/>
    <w:rsid w:val="00A77B3E"/>
    <w:rsid w:val="00B16DBC"/>
    <w:rsid w:val="00B22F87"/>
    <w:rsid w:val="00B631C0"/>
    <w:rsid w:val="00BD0518"/>
    <w:rsid w:val="00BE1B48"/>
    <w:rsid w:val="00C115AD"/>
    <w:rsid w:val="00C406BE"/>
    <w:rsid w:val="00CA2A55"/>
    <w:rsid w:val="00CB5747"/>
    <w:rsid w:val="00CD2081"/>
    <w:rsid w:val="00CE2B94"/>
    <w:rsid w:val="00DA1470"/>
    <w:rsid w:val="00E354E8"/>
    <w:rsid w:val="00E552DC"/>
    <w:rsid w:val="00E636B4"/>
    <w:rsid w:val="00F05303"/>
    <w:rsid w:val="00F757E4"/>
    <w:rsid w:val="00F839F2"/>
    <w:rsid w:val="00FB3423"/>
    <w:rsid w:val="00FC6B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92FC67"/>
  <w15:docId w15:val="{BA77B3D1-0893-493D-BAE4-0BDC70A7B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F757E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F757E4"/>
    <w:rPr>
      <w:sz w:val="18"/>
      <w:szCs w:val="18"/>
    </w:rPr>
  </w:style>
  <w:style w:type="paragraph" w:styleId="a4">
    <w:name w:val="footer"/>
    <w:basedOn w:val="a"/>
    <w:link w:val="Char0"/>
    <w:uiPriority w:val="99"/>
    <w:unhideWhenUsed/>
    <w:rsid w:val="00F757E4"/>
    <w:pPr>
      <w:tabs>
        <w:tab w:val="center" w:pos="4153"/>
        <w:tab w:val="right" w:pos="8306"/>
      </w:tabs>
      <w:snapToGrid w:val="0"/>
    </w:pPr>
    <w:rPr>
      <w:sz w:val="18"/>
      <w:szCs w:val="18"/>
    </w:rPr>
  </w:style>
  <w:style w:type="character" w:customStyle="1" w:styleId="Char0">
    <w:name w:val="页脚 Char"/>
    <w:basedOn w:val="a0"/>
    <w:link w:val="a4"/>
    <w:uiPriority w:val="99"/>
    <w:rsid w:val="00F757E4"/>
    <w:rPr>
      <w:sz w:val="18"/>
      <w:szCs w:val="18"/>
    </w:rPr>
  </w:style>
  <w:style w:type="table" w:styleId="a5">
    <w:name w:val="Table Grid"/>
    <w:basedOn w:val="a1"/>
    <w:uiPriority w:val="59"/>
    <w:rsid w:val="00F839F2"/>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Char1"/>
    <w:semiHidden/>
    <w:unhideWhenUsed/>
    <w:rsid w:val="00E354E8"/>
    <w:rPr>
      <w:sz w:val="18"/>
      <w:szCs w:val="18"/>
    </w:rPr>
  </w:style>
  <w:style w:type="character" w:customStyle="1" w:styleId="Char1">
    <w:name w:val="批注框文本 Char"/>
    <w:basedOn w:val="a0"/>
    <w:link w:val="a6"/>
    <w:semiHidden/>
    <w:rsid w:val="00E354E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27</Pages>
  <Words>5950</Words>
  <Characters>33915</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ibm</cp:lastModifiedBy>
  <cp:revision>3</cp:revision>
  <dcterms:created xsi:type="dcterms:W3CDTF">2021-08-25T00:41:00Z</dcterms:created>
  <dcterms:modified xsi:type="dcterms:W3CDTF">2021-08-25T00:46:00Z</dcterms:modified>
</cp:coreProperties>
</file>