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73" w:rsidRPr="00E25B3A" w:rsidRDefault="005E1073" w:rsidP="005E1073">
      <w:pPr>
        <w:spacing w:after="0" w:line="360" w:lineRule="auto"/>
        <w:jc w:val="both"/>
        <w:rPr>
          <w:rFonts w:ascii="Book Antiqua" w:hAnsi="Book Antiqua" w:cs="Arial"/>
          <w:b/>
          <w:sz w:val="21"/>
          <w:szCs w:val="21"/>
        </w:rPr>
      </w:pPr>
      <w:r w:rsidRPr="00E25B3A">
        <w:rPr>
          <w:rFonts w:ascii="Book Antiqua" w:hAnsi="Book Antiqua" w:cs="Arial"/>
          <w:b/>
          <w:sz w:val="21"/>
          <w:szCs w:val="21"/>
        </w:rPr>
        <w:t xml:space="preserve">Name of journal: World Journal of Gastroenterology </w:t>
      </w:r>
    </w:p>
    <w:p w:rsidR="005E1073" w:rsidRPr="00E25B3A" w:rsidRDefault="005E1073" w:rsidP="005E1073">
      <w:pPr>
        <w:spacing w:after="0" w:line="360" w:lineRule="auto"/>
        <w:jc w:val="both"/>
        <w:rPr>
          <w:rFonts w:ascii="Book Antiqua" w:hAnsi="Book Antiqua" w:cs="Arial"/>
          <w:b/>
          <w:sz w:val="21"/>
          <w:szCs w:val="21"/>
          <w:lang w:eastAsia="zh-CN"/>
        </w:rPr>
      </w:pPr>
      <w:r w:rsidRPr="00E25B3A">
        <w:rPr>
          <w:rFonts w:ascii="Book Antiqua" w:hAnsi="Book Antiqua" w:cs="Arial"/>
          <w:b/>
          <w:sz w:val="21"/>
          <w:szCs w:val="21"/>
        </w:rPr>
        <w:t>ESPS Manuscript NO:</w:t>
      </w:r>
      <w:r w:rsidRPr="00E25B3A">
        <w:rPr>
          <w:rFonts w:ascii="Book Antiqua" w:hAnsi="Book Antiqua" w:cs="Arial" w:hint="eastAsia"/>
          <w:b/>
          <w:sz w:val="21"/>
          <w:szCs w:val="21"/>
          <w:lang w:eastAsia="zh-CN"/>
        </w:rPr>
        <w:t xml:space="preserve"> 6540</w:t>
      </w:r>
    </w:p>
    <w:p w:rsidR="005E1073" w:rsidRPr="00E25B3A" w:rsidRDefault="005E1073" w:rsidP="005E1073">
      <w:pPr>
        <w:spacing w:after="0" w:line="360" w:lineRule="auto"/>
        <w:jc w:val="both"/>
        <w:rPr>
          <w:rFonts w:ascii="Book Antiqua" w:hAnsi="Book Antiqua" w:cs="Arial"/>
          <w:b/>
          <w:sz w:val="21"/>
          <w:szCs w:val="21"/>
          <w:lang w:eastAsia="zh-CN"/>
        </w:rPr>
      </w:pPr>
      <w:r w:rsidRPr="00E25B3A">
        <w:rPr>
          <w:rFonts w:ascii="Book Antiqua" w:hAnsi="Book Antiqua" w:cs="Arial"/>
          <w:b/>
          <w:sz w:val="21"/>
          <w:szCs w:val="21"/>
        </w:rPr>
        <w:t>Columns:</w:t>
      </w:r>
      <w:r w:rsidRPr="00E25B3A">
        <w:rPr>
          <w:rFonts w:ascii="Book Antiqua" w:hAnsi="Book Antiqua" w:cs="Arial" w:hint="eastAsia"/>
          <w:b/>
          <w:sz w:val="21"/>
          <w:szCs w:val="21"/>
          <w:lang w:eastAsia="zh-CN"/>
        </w:rPr>
        <w:t xml:space="preserve"> CASE REPROT</w:t>
      </w:r>
    </w:p>
    <w:p w:rsidR="005E1073" w:rsidRPr="00E25B3A" w:rsidRDefault="005E1073" w:rsidP="005E1073">
      <w:pPr>
        <w:spacing w:after="0" w:line="360" w:lineRule="auto"/>
        <w:jc w:val="both"/>
        <w:rPr>
          <w:rFonts w:ascii="Book Antiqua" w:hAnsi="Book Antiqua" w:cs="Arial"/>
          <w:b/>
          <w:sz w:val="24"/>
          <w:szCs w:val="24"/>
          <w:lang w:eastAsia="zh-CN"/>
        </w:rPr>
      </w:pPr>
    </w:p>
    <w:p w:rsidR="00D76E37" w:rsidRPr="00E25B3A" w:rsidRDefault="00F72541" w:rsidP="0097748F">
      <w:pPr>
        <w:spacing w:after="0" w:line="360" w:lineRule="auto"/>
        <w:jc w:val="both"/>
        <w:rPr>
          <w:rFonts w:ascii="Book Antiqua" w:hAnsi="Book Antiqua" w:cs="Arial"/>
          <w:b/>
          <w:sz w:val="24"/>
          <w:szCs w:val="24"/>
          <w:lang w:eastAsia="zh-CN"/>
        </w:rPr>
      </w:pPr>
      <w:r w:rsidRPr="00E25B3A">
        <w:rPr>
          <w:rFonts w:ascii="Book Antiqua" w:hAnsi="Book Antiqua" w:cs="Arial"/>
          <w:b/>
          <w:sz w:val="24"/>
          <w:szCs w:val="24"/>
        </w:rPr>
        <w:t>Rapid i</w:t>
      </w:r>
      <w:r w:rsidR="00D76E37" w:rsidRPr="00E25B3A">
        <w:rPr>
          <w:rFonts w:ascii="Book Antiqua" w:hAnsi="Book Antiqua" w:cs="Arial"/>
          <w:b/>
          <w:sz w:val="24"/>
          <w:szCs w:val="24"/>
        </w:rPr>
        <w:t xml:space="preserve">mprovement in post-infectious </w:t>
      </w:r>
      <w:proofErr w:type="spellStart"/>
      <w:r w:rsidR="00D76E37" w:rsidRPr="00E25B3A">
        <w:rPr>
          <w:rFonts w:ascii="Book Antiqua" w:hAnsi="Book Antiqua" w:cs="Arial"/>
          <w:b/>
          <w:sz w:val="24"/>
          <w:szCs w:val="24"/>
        </w:rPr>
        <w:t>gastroparesis</w:t>
      </w:r>
      <w:proofErr w:type="spellEnd"/>
      <w:r w:rsidR="00D76E37" w:rsidRPr="00E25B3A">
        <w:rPr>
          <w:rFonts w:ascii="Book Antiqua" w:hAnsi="Book Antiqua" w:cs="Arial"/>
          <w:b/>
          <w:sz w:val="24"/>
          <w:szCs w:val="24"/>
        </w:rPr>
        <w:t xml:space="preserve"> symptoms with mirtazapine</w:t>
      </w:r>
    </w:p>
    <w:p w:rsidR="005E1073" w:rsidRPr="00E25B3A" w:rsidRDefault="005E1073" w:rsidP="0097748F">
      <w:pPr>
        <w:spacing w:after="0" w:line="360" w:lineRule="auto"/>
        <w:jc w:val="both"/>
        <w:rPr>
          <w:rFonts w:ascii="Book Antiqua" w:hAnsi="Book Antiqua" w:cs="Arial"/>
          <w:sz w:val="24"/>
          <w:szCs w:val="24"/>
          <w:lang w:eastAsia="zh-CN"/>
        </w:rPr>
      </w:pPr>
    </w:p>
    <w:p w:rsidR="00D76E37" w:rsidRPr="00E25B3A" w:rsidRDefault="005C76BE" w:rsidP="0097748F">
      <w:pPr>
        <w:spacing w:after="0" w:line="360" w:lineRule="auto"/>
        <w:jc w:val="both"/>
        <w:rPr>
          <w:rFonts w:ascii="Book Antiqua" w:hAnsi="Book Antiqua" w:cs="Arial"/>
          <w:sz w:val="24"/>
          <w:szCs w:val="24"/>
        </w:rPr>
      </w:pPr>
      <w:proofErr w:type="spellStart"/>
      <w:r w:rsidRPr="00E25B3A">
        <w:rPr>
          <w:rFonts w:ascii="Book Antiqua" w:hAnsi="Book Antiqua" w:cs="Arial"/>
          <w:sz w:val="24"/>
          <w:szCs w:val="24"/>
        </w:rPr>
        <w:t>Kundu</w:t>
      </w:r>
      <w:proofErr w:type="spellEnd"/>
      <w:r w:rsidRPr="00E25B3A">
        <w:rPr>
          <w:rFonts w:ascii="Book Antiqua" w:hAnsi="Book Antiqua" w:cs="Arial"/>
          <w:sz w:val="24"/>
          <w:szCs w:val="24"/>
        </w:rPr>
        <w:t xml:space="preserve"> S </w:t>
      </w:r>
      <w:r w:rsidRPr="00E25B3A">
        <w:rPr>
          <w:rFonts w:ascii="Book Antiqua" w:hAnsi="Book Antiqua" w:cs="Arial"/>
          <w:i/>
          <w:sz w:val="24"/>
          <w:szCs w:val="24"/>
        </w:rPr>
        <w:t xml:space="preserve">et al. </w:t>
      </w:r>
      <w:r w:rsidR="00F72541" w:rsidRPr="00E25B3A">
        <w:rPr>
          <w:rFonts w:ascii="Book Antiqua" w:hAnsi="Book Antiqua" w:cs="Arial"/>
          <w:sz w:val="24"/>
          <w:szCs w:val="24"/>
        </w:rPr>
        <w:t>Mirtazapine improves gastroparesis symptoms</w:t>
      </w:r>
    </w:p>
    <w:p w:rsidR="005E1073" w:rsidRPr="00E25B3A" w:rsidRDefault="005E1073" w:rsidP="0097748F">
      <w:pPr>
        <w:spacing w:after="0" w:line="360" w:lineRule="auto"/>
        <w:jc w:val="both"/>
        <w:rPr>
          <w:rFonts w:ascii="Book Antiqua" w:hAnsi="Book Antiqua" w:cs="Arial"/>
          <w:b/>
          <w:sz w:val="24"/>
          <w:szCs w:val="24"/>
          <w:lang w:eastAsia="zh-CN"/>
        </w:rPr>
      </w:pPr>
    </w:p>
    <w:p w:rsidR="00D76E37" w:rsidRPr="00E25B3A" w:rsidRDefault="00D76E37" w:rsidP="0097748F">
      <w:pPr>
        <w:spacing w:after="0" w:line="360" w:lineRule="auto"/>
        <w:jc w:val="both"/>
        <w:rPr>
          <w:rFonts w:ascii="Book Antiqua" w:hAnsi="Book Antiqua" w:cs="Arial"/>
          <w:sz w:val="24"/>
          <w:szCs w:val="24"/>
          <w:lang w:eastAsia="zh-CN"/>
        </w:rPr>
      </w:pPr>
      <w:proofErr w:type="spellStart"/>
      <w:r w:rsidRPr="00E25B3A">
        <w:rPr>
          <w:rFonts w:ascii="Book Antiqua" w:hAnsi="Book Antiqua" w:cs="Arial"/>
          <w:sz w:val="24"/>
          <w:szCs w:val="24"/>
        </w:rPr>
        <w:t>Shinjini</w:t>
      </w:r>
      <w:proofErr w:type="spellEnd"/>
      <w:r w:rsidRPr="00E25B3A">
        <w:rPr>
          <w:rFonts w:ascii="Book Antiqua" w:hAnsi="Book Antiqua" w:cs="Arial"/>
          <w:sz w:val="24"/>
          <w:szCs w:val="24"/>
        </w:rPr>
        <w:t xml:space="preserve"> </w:t>
      </w:r>
      <w:proofErr w:type="spellStart"/>
      <w:r w:rsidRPr="00E25B3A">
        <w:rPr>
          <w:rFonts w:ascii="Book Antiqua" w:hAnsi="Book Antiqua" w:cs="Arial"/>
          <w:sz w:val="24"/>
          <w:szCs w:val="24"/>
        </w:rPr>
        <w:t>Kundu</w:t>
      </w:r>
      <w:proofErr w:type="spellEnd"/>
      <w:r w:rsidR="00147660" w:rsidRPr="00E25B3A">
        <w:rPr>
          <w:rFonts w:ascii="Book Antiqua" w:hAnsi="Book Antiqua" w:cs="Arial"/>
          <w:sz w:val="24"/>
          <w:szCs w:val="24"/>
        </w:rPr>
        <w:t>,</w:t>
      </w:r>
      <w:r w:rsidRPr="00E25B3A">
        <w:rPr>
          <w:rFonts w:ascii="Book Antiqua" w:hAnsi="Book Antiqua" w:cs="Arial"/>
          <w:sz w:val="24"/>
          <w:szCs w:val="24"/>
        </w:rPr>
        <w:t xml:space="preserve"> Shari </w:t>
      </w:r>
      <w:proofErr w:type="spellStart"/>
      <w:r w:rsidRPr="00E25B3A">
        <w:rPr>
          <w:rFonts w:ascii="Book Antiqua" w:hAnsi="Book Antiqua" w:cs="Arial"/>
          <w:sz w:val="24"/>
          <w:szCs w:val="24"/>
        </w:rPr>
        <w:t>Rogal</w:t>
      </w:r>
      <w:proofErr w:type="spellEnd"/>
      <w:r w:rsidRPr="00E25B3A">
        <w:rPr>
          <w:rFonts w:ascii="Book Antiqua" w:hAnsi="Book Antiqua" w:cs="Arial"/>
          <w:sz w:val="24"/>
          <w:szCs w:val="24"/>
        </w:rPr>
        <w:t xml:space="preserve">, </w:t>
      </w:r>
      <w:proofErr w:type="spellStart"/>
      <w:r w:rsidRPr="00E25B3A">
        <w:rPr>
          <w:rFonts w:ascii="Book Antiqua" w:hAnsi="Book Antiqua" w:cs="Arial"/>
          <w:sz w:val="24"/>
          <w:szCs w:val="24"/>
        </w:rPr>
        <w:t>Abdulkader</w:t>
      </w:r>
      <w:proofErr w:type="spellEnd"/>
      <w:r w:rsidRPr="00E25B3A">
        <w:rPr>
          <w:rFonts w:ascii="Book Antiqua" w:hAnsi="Book Antiqua" w:cs="Arial"/>
          <w:sz w:val="24"/>
          <w:szCs w:val="24"/>
        </w:rPr>
        <w:t xml:space="preserve"> </w:t>
      </w:r>
      <w:proofErr w:type="spellStart"/>
      <w:r w:rsidRPr="00E25B3A">
        <w:rPr>
          <w:rFonts w:ascii="Book Antiqua" w:hAnsi="Book Antiqua" w:cs="Arial"/>
          <w:sz w:val="24"/>
          <w:szCs w:val="24"/>
        </w:rPr>
        <w:t>Alam</w:t>
      </w:r>
      <w:proofErr w:type="spellEnd"/>
      <w:r w:rsidR="00147660" w:rsidRPr="00E25B3A">
        <w:rPr>
          <w:rFonts w:ascii="Book Antiqua" w:hAnsi="Book Antiqua" w:cs="Arial"/>
          <w:sz w:val="24"/>
          <w:szCs w:val="24"/>
        </w:rPr>
        <w:t xml:space="preserve">, </w:t>
      </w:r>
      <w:r w:rsidRPr="00E25B3A">
        <w:rPr>
          <w:rFonts w:ascii="Book Antiqua" w:hAnsi="Book Antiqua" w:cs="Arial"/>
          <w:sz w:val="24"/>
          <w:szCs w:val="24"/>
        </w:rPr>
        <w:t xml:space="preserve">David </w:t>
      </w:r>
      <w:r w:rsidR="005E1073" w:rsidRPr="00E25B3A">
        <w:rPr>
          <w:rFonts w:ascii="Book Antiqua" w:hAnsi="Book Antiqua" w:cs="Arial"/>
          <w:sz w:val="24"/>
          <w:szCs w:val="24"/>
        </w:rPr>
        <w:t>J</w:t>
      </w:r>
      <w:r w:rsidR="00F72541" w:rsidRPr="00E25B3A">
        <w:rPr>
          <w:rFonts w:ascii="Book Antiqua" w:hAnsi="Book Antiqua" w:cs="Arial"/>
          <w:sz w:val="24"/>
          <w:szCs w:val="24"/>
        </w:rPr>
        <w:t xml:space="preserve"> </w:t>
      </w:r>
      <w:proofErr w:type="spellStart"/>
      <w:r w:rsidRPr="00E25B3A">
        <w:rPr>
          <w:rFonts w:ascii="Book Antiqua" w:hAnsi="Book Antiqua" w:cs="Arial"/>
          <w:sz w:val="24"/>
          <w:szCs w:val="24"/>
        </w:rPr>
        <w:t>Levinthal</w:t>
      </w:r>
      <w:proofErr w:type="spellEnd"/>
    </w:p>
    <w:p w:rsidR="005E1073" w:rsidRPr="00E25B3A" w:rsidRDefault="005E1073" w:rsidP="0097748F">
      <w:pPr>
        <w:spacing w:after="0" w:line="360" w:lineRule="auto"/>
        <w:jc w:val="both"/>
        <w:rPr>
          <w:rFonts w:ascii="Book Antiqua" w:hAnsi="Book Antiqua" w:cs="Arial"/>
          <w:b/>
          <w:sz w:val="24"/>
          <w:szCs w:val="24"/>
          <w:lang w:eastAsia="zh-CN"/>
        </w:rPr>
      </w:pPr>
    </w:p>
    <w:p w:rsidR="005C76BE" w:rsidRPr="00E25B3A" w:rsidRDefault="005C76BE" w:rsidP="0097748F">
      <w:pPr>
        <w:spacing w:after="0" w:line="360" w:lineRule="auto"/>
        <w:jc w:val="both"/>
        <w:rPr>
          <w:rFonts w:ascii="Book Antiqua" w:hAnsi="Book Antiqua" w:cs="Arial"/>
          <w:sz w:val="24"/>
          <w:szCs w:val="24"/>
          <w:lang w:eastAsia="zh-CN"/>
        </w:rPr>
      </w:pPr>
      <w:proofErr w:type="spellStart"/>
      <w:r w:rsidRPr="00E25B3A">
        <w:rPr>
          <w:rFonts w:ascii="Book Antiqua" w:hAnsi="Book Antiqua" w:cs="Arial"/>
          <w:b/>
          <w:sz w:val="24"/>
          <w:szCs w:val="24"/>
        </w:rPr>
        <w:t>Shinjini</w:t>
      </w:r>
      <w:proofErr w:type="spellEnd"/>
      <w:r w:rsidRPr="00E25B3A">
        <w:rPr>
          <w:rFonts w:ascii="Book Antiqua" w:hAnsi="Book Antiqua" w:cs="Arial"/>
          <w:b/>
          <w:sz w:val="24"/>
          <w:szCs w:val="24"/>
        </w:rPr>
        <w:t xml:space="preserve"> </w:t>
      </w:r>
      <w:proofErr w:type="spellStart"/>
      <w:r w:rsidRPr="00E25B3A">
        <w:rPr>
          <w:rFonts w:ascii="Book Antiqua" w:hAnsi="Book Antiqua" w:cs="Arial"/>
          <w:b/>
          <w:sz w:val="24"/>
          <w:szCs w:val="24"/>
        </w:rPr>
        <w:t>Kundu</w:t>
      </w:r>
      <w:proofErr w:type="spellEnd"/>
      <w:r w:rsidRPr="00E25B3A">
        <w:rPr>
          <w:rFonts w:ascii="Book Antiqua" w:hAnsi="Book Antiqua" w:cs="Arial"/>
          <w:sz w:val="24"/>
          <w:szCs w:val="24"/>
        </w:rPr>
        <w:t xml:space="preserve">, Department of Biomedical Engineering, University of Pittsburgh and the </w:t>
      </w:r>
      <w:r w:rsidR="00D76E37" w:rsidRPr="00E25B3A">
        <w:rPr>
          <w:rFonts w:ascii="Book Antiqua" w:hAnsi="Book Antiqua" w:cs="Arial"/>
          <w:sz w:val="24"/>
          <w:szCs w:val="24"/>
        </w:rPr>
        <w:t>University of Pittsburgh</w:t>
      </w:r>
      <w:r w:rsidR="00F72541" w:rsidRPr="00E25B3A">
        <w:rPr>
          <w:rFonts w:ascii="Book Antiqua" w:hAnsi="Book Antiqua" w:cs="Arial"/>
          <w:sz w:val="24"/>
          <w:szCs w:val="24"/>
        </w:rPr>
        <w:t xml:space="preserve"> School of Medicine</w:t>
      </w:r>
      <w:r w:rsidR="00147660" w:rsidRPr="00E25B3A">
        <w:rPr>
          <w:rFonts w:ascii="Book Antiqua" w:hAnsi="Book Antiqua" w:cs="Arial"/>
          <w:sz w:val="24"/>
          <w:szCs w:val="24"/>
        </w:rPr>
        <w:t>,</w:t>
      </w:r>
      <w:r w:rsidRPr="00E25B3A">
        <w:rPr>
          <w:rFonts w:ascii="Book Antiqua" w:hAnsi="Book Antiqua" w:cs="Arial"/>
          <w:sz w:val="24"/>
          <w:szCs w:val="24"/>
        </w:rPr>
        <w:t xml:space="preserve"> Pittsburgh, PA 15261, United States</w:t>
      </w:r>
    </w:p>
    <w:p w:rsidR="001B509E" w:rsidRPr="00E25B3A" w:rsidRDefault="001B509E" w:rsidP="0097748F">
      <w:pPr>
        <w:spacing w:after="0" w:line="360" w:lineRule="auto"/>
        <w:jc w:val="both"/>
        <w:rPr>
          <w:rFonts w:ascii="Book Antiqua" w:hAnsi="Book Antiqua" w:cs="Arial"/>
          <w:sz w:val="24"/>
          <w:szCs w:val="24"/>
          <w:lang w:eastAsia="zh-CN"/>
        </w:rPr>
      </w:pPr>
    </w:p>
    <w:p w:rsidR="00D76E37" w:rsidRPr="00E25B3A" w:rsidRDefault="005C76BE" w:rsidP="0097748F">
      <w:pPr>
        <w:spacing w:after="0" w:line="360" w:lineRule="auto"/>
        <w:jc w:val="both"/>
        <w:rPr>
          <w:rFonts w:ascii="Book Antiqua" w:hAnsi="Book Antiqua" w:cs="Arial"/>
          <w:sz w:val="24"/>
          <w:szCs w:val="24"/>
        </w:rPr>
      </w:pPr>
      <w:r w:rsidRPr="00E25B3A">
        <w:rPr>
          <w:rFonts w:ascii="Book Antiqua" w:hAnsi="Book Antiqua" w:cs="Arial"/>
          <w:b/>
          <w:sz w:val="24"/>
          <w:szCs w:val="24"/>
        </w:rPr>
        <w:t xml:space="preserve">Shari </w:t>
      </w:r>
      <w:proofErr w:type="spellStart"/>
      <w:r w:rsidRPr="00E25B3A">
        <w:rPr>
          <w:rFonts w:ascii="Book Antiqua" w:hAnsi="Book Antiqua" w:cs="Arial"/>
          <w:b/>
          <w:sz w:val="24"/>
          <w:szCs w:val="24"/>
        </w:rPr>
        <w:t>Rogal</w:t>
      </w:r>
      <w:proofErr w:type="spellEnd"/>
      <w:r w:rsidRPr="00E25B3A">
        <w:rPr>
          <w:rFonts w:ascii="Book Antiqua" w:hAnsi="Book Antiqua" w:cs="Arial"/>
          <w:b/>
          <w:sz w:val="24"/>
          <w:szCs w:val="24"/>
        </w:rPr>
        <w:t xml:space="preserve">, David J </w:t>
      </w:r>
      <w:proofErr w:type="spellStart"/>
      <w:r w:rsidRPr="00E25B3A">
        <w:rPr>
          <w:rFonts w:ascii="Book Antiqua" w:hAnsi="Book Antiqua" w:cs="Arial"/>
          <w:b/>
          <w:sz w:val="24"/>
          <w:szCs w:val="24"/>
        </w:rPr>
        <w:t>Levinthal</w:t>
      </w:r>
      <w:proofErr w:type="spellEnd"/>
      <w:r w:rsidRPr="00E25B3A">
        <w:rPr>
          <w:rFonts w:ascii="Book Antiqua" w:hAnsi="Book Antiqua" w:cs="Arial"/>
          <w:sz w:val="24"/>
          <w:szCs w:val="24"/>
        </w:rPr>
        <w:t xml:space="preserve">, </w:t>
      </w:r>
      <w:r w:rsidR="00D76E37" w:rsidRPr="00E25B3A">
        <w:rPr>
          <w:rFonts w:ascii="Book Antiqua" w:hAnsi="Book Antiqua" w:cs="Arial"/>
          <w:sz w:val="24"/>
          <w:szCs w:val="24"/>
        </w:rPr>
        <w:t>Division of Gastroentero</w:t>
      </w:r>
      <w:r w:rsidR="00147660" w:rsidRPr="00E25B3A">
        <w:rPr>
          <w:rFonts w:ascii="Book Antiqua" w:hAnsi="Book Antiqua" w:cs="Arial"/>
          <w:sz w:val="24"/>
          <w:szCs w:val="24"/>
        </w:rPr>
        <w:t xml:space="preserve">logy, </w:t>
      </w:r>
      <w:proofErr w:type="spellStart"/>
      <w:r w:rsidR="00147660" w:rsidRPr="00E25B3A">
        <w:rPr>
          <w:rFonts w:ascii="Book Antiqua" w:hAnsi="Book Antiqua" w:cs="Arial"/>
          <w:sz w:val="24"/>
          <w:szCs w:val="24"/>
        </w:rPr>
        <w:t>Hepatology</w:t>
      </w:r>
      <w:proofErr w:type="spellEnd"/>
      <w:r w:rsidR="00147660" w:rsidRPr="00E25B3A">
        <w:rPr>
          <w:rFonts w:ascii="Book Antiqua" w:hAnsi="Book Antiqua" w:cs="Arial"/>
          <w:sz w:val="24"/>
          <w:szCs w:val="24"/>
        </w:rPr>
        <w:t>, and Nutrition</w:t>
      </w:r>
      <w:r w:rsidRPr="00E25B3A">
        <w:rPr>
          <w:rFonts w:ascii="Book Antiqua" w:hAnsi="Book Antiqua" w:cs="Arial"/>
          <w:sz w:val="24"/>
          <w:szCs w:val="24"/>
        </w:rPr>
        <w:t>, Department of Medicine, University of Pittsburgh Medical Center, Pittsburgh, PA 15213, United States</w:t>
      </w:r>
    </w:p>
    <w:p w:rsidR="005E1073" w:rsidRPr="00E25B3A" w:rsidRDefault="005E1073" w:rsidP="0097748F">
      <w:pPr>
        <w:spacing w:after="0" w:line="360" w:lineRule="auto"/>
        <w:jc w:val="both"/>
        <w:rPr>
          <w:rFonts w:ascii="Book Antiqua" w:hAnsi="Book Antiqua" w:cs="Arial"/>
          <w:b/>
          <w:sz w:val="24"/>
          <w:szCs w:val="24"/>
          <w:lang w:eastAsia="zh-CN"/>
        </w:rPr>
      </w:pPr>
    </w:p>
    <w:p w:rsidR="00147660" w:rsidRPr="00E25B3A" w:rsidRDefault="005C76BE" w:rsidP="0097748F">
      <w:pPr>
        <w:spacing w:after="0" w:line="360" w:lineRule="auto"/>
        <w:jc w:val="both"/>
        <w:rPr>
          <w:rFonts w:ascii="Book Antiqua" w:hAnsi="Book Antiqua" w:cs="Arial"/>
          <w:sz w:val="24"/>
          <w:szCs w:val="24"/>
          <w:lang w:eastAsia="zh-CN"/>
        </w:rPr>
      </w:pPr>
      <w:proofErr w:type="spellStart"/>
      <w:r w:rsidRPr="00E25B3A">
        <w:rPr>
          <w:rFonts w:ascii="Book Antiqua" w:hAnsi="Book Antiqua" w:cs="Arial"/>
          <w:b/>
          <w:sz w:val="24"/>
          <w:szCs w:val="24"/>
        </w:rPr>
        <w:t>Abdulkader</w:t>
      </w:r>
      <w:proofErr w:type="spellEnd"/>
      <w:r w:rsidRPr="00E25B3A">
        <w:rPr>
          <w:rFonts w:ascii="Book Antiqua" w:hAnsi="Book Antiqua" w:cs="Arial"/>
          <w:b/>
          <w:sz w:val="24"/>
          <w:szCs w:val="24"/>
        </w:rPr>
        <w:t xml:space="preserve"> </w:t>
      </w:r>
      <w:proofErr w:type="spellStart"/>
      <w:r w:rsidRPr="00E25B3A">
        <w:rPr>
          <w:rFonts w:ascii="Book Antiqua" w:hAnsi="Book Antiqua" w:cs="Arial"/>
          <w:b/>
          <w:sz w:val="24"/>
          <w:szCs w:val="24"/>
        </w:rPr>
        <w:t>Alam</w:t>
      </w:r>
      <w:proofErr w:type="spellEnd"/>
      <w:r w:rsidRPr="00E25B3A">
        <w:rPr>
          <w:rFonts w:ascii="Book Antiqua" w:hAnsi="Book Antiqua" w:cs="Arial"/>
          <w:sz w:val="24"/>
          <w:szCs w:val="24"/>
        </w:rPr>
        <w:t>, Department of Psychiatry, Stony Brook University Hospital, Stony Brook, NY 11794</w:t>
      </w:r>
      <w:r w:rsidR="001B509E" w:rsidRPr="00E25B3A">
        <w:rPr>
          <w:rFonts w:ascii="Book Antiqua" w:hAnsi="Book Antiqua" w:cs="Arial"/>
          <w:sz w:val="24"/>
          <w:szCs w:val="24"/>
        </w:rPr>
        <w:t>, United States</w:t>
      </w:r>
    </w:p>
    <w:p w:rsidR="00CB0FB1" w:rsidRPr="00E25B3A" w:rsidRDefault="00CB0FB1" w:rsidP="0097748F">
      <w:pPr>
        <w:spacing w:after="0" w:line="360" w:lineRule="auto"/>
        <w:jc w:val="both"/>
        <w:rPr>
          <w:rFonts w:ascii="Book Antiqua" w:hAnsi="Book Antiqua" w:cs="Arial"/>
          <w:b/>
          <w:sz w:val="24"/>
          <w:szCs w:val="24"/>
        </w:rPr>
      </w:pPr>
    </w:p>
    <w:p w:rsidR="00CB0FB1" w:rsidRPr="00E25B3A" w:rsidRDefault="00420F2B" w:rsidP="0097748F">
      <w:pPr>
        <w:spacing w:after="0" w:line="360" w:lineRule="auto"/>
        <w:jc w:val="both"/>
        <w:rPr>
          <w:rFonts w:ascii="Book Antiqua" w:hAnsi="Book Antiqua" w:cs="Arial"/>
          <w:sz w:val="24"/>
          <w:szCs w:val="24"/>
          <w:lang w:eastAsia="zh-CN"/>
        </w:rPr>
      </w:pPr>
      <w:bookmarkStart w:id="0" w:name="OLE_LINK17"/>
      <w:bookmarkStart w:id="1" w:name="OLE_LINK18"/>
      <w:r w:rsidRPr="00E25B3A">
        <w:rPr>
          <w:rFonts w:ascii="Book Antiqua" w:hAnsi="Book Antiqua"/>
          <w:b/>
          <w:color w:val="000000"/>
          <w:sz w:val="24"/>
        </w:rPr>
        <w:t>Author contributions:</w:t>
      </w:r>
      <w:bookmarkEnd w:id="0"/>
      <w:bookmarkEnd w:id="1"/>
      <w:r w:rsidR="005C76BE" w:rsidRPr="00E25B3A">
        <w:rPr>
          <w:rFonts w:ascii="Book Antiqua" w:hAnsi="Book Antiqua" w:cs="Arial"/>
          <w:b/>
          <w:sz w:val="24"/>
          <w:szCs w:val="24"/>
        </w:rPr>
        <w:t xml:space="preserve"> </w:t>
      </w:r>
      <w:proofErr w:type="spellStart"/>
      <w:r w:rsidR="00500E06" w:rsidRPr="00E25B3A">
        <w:rPr>
          <w:rFonts w:ascii="Book Antiqua" w:hAnsi="Book Antiqua" w:cs="Arial"/>
          <w:sz w:val="24"/>
          <w:szCs w:val="24"/>
        </w:rPr>
        <w:t>Kundu</w:t>
      </w:r>
      <w:proofErr w:type="spellEnd"/>
      <w:r w:rsidR="00500E06" w:rsidRPr="00E25B3A">
        <w:rPr>
          <w:rFonts w:ascii="Book Antiqua" w:hAnsi="Book Antiqua" w:cs="Arial"/>
          <w:sz w:val="24"/>
          <w:szCs w:val="24"/>
        </w:rPr>
        <w:t xml:space="preserve"> S, </w:t>
      </w:r>
      <w:proofErr w:type="spellStart"/>
      <w:r w:rsidR="00500E06" w:rsidRPr="00E25B3A">
        <w:rPr>
          <w:rFonts w:ascii="Book Antiqua" w:hAnsi="Book Antiqua" w:cs="Arial"/>
          <w:sz w:val="24"/>
          <w:szCs w:val="24"/>
        </w:rPr>
        <w:t>Rogal</w:t>
      </w:r>
      <w:proofErr w:type="spellEnd"/>
      <w:r w:rsidR="00500E06" w:rsidRPr="00E25B3A">
        <w:rPr>
          <w:rFonts w:ascii="Book Antiqua" w:hAnsi="Book Antiqua" w:cs="Arial"/>
          <w:sz w:val="24"/>
          <w:szCs w:val="24"/>
        </w:rPr>
        <w:t xml:space="preserve"> S, </w:t>
      </w:r>
      <w:proofErr w:type="spellStart"/>
      <w:r w:rsidR="00500E06" w:rsidRPr="00E25B3A">
        <w:rPr>
          <w:rFonts w:ascii="Book Antiqua" w:hAnsi="Book Antiqua" w:cs="Arial"/>
          <w:sz w:val="24"/>
          <w:szCs w:val="24"/>
        </w:rPr>
        <w:t>Alam</w:t>
      </w:r>
      <w:proofErr w:type="spellEnd"/>
      <w:r w:rsidR="00500E06" w:rsidRPr="00E25B3A">
        <w:rPr>
          <w:rFonts w:ascii="Book Antiqua" w:hAnsi="Book Antiqua" w:cs="Arial"/>
          <w:sz w:val="24"/>
          <w:szCs w:val="24"/>
        </w:rPr>
        <w:t xml:space="preserve"> A</w:t>
      </w:r>
      <w:r w:rsidR="005C76BE" w:rsidRPr="00E25B3A">
        <w:rPr>
          <w:rFonts w:ascii="Book Antiqua" w:hAnsi="Book Antiqua" w:cs="Arial"/>
          <w:sz w:val="24"/>
          <w:szCs w:val="24"/>
        </w:rPr>
        <w:t xml:space="preserve"> and </w:t>
      </w:r>
      <w:proofErr w:type="spellStart"/>
      <w:r w:rsidR="005C76BE" w:rsidRPr="00E25B3A">
        <w:rPr>
          <w:rFonts w:ascii="Book Antiqua" w:hAnsi="Book Antiqua" w:cs="Arial"/>
          <w:sz w:val="24"/>
          <w:szCs w:val="24"/>
        </w:rPr>
        <w:t>Levinthal</w:t>
      </w:r>
      <w:proofErr w:type="spellEnd"/>
      <w:r w:rsidR="005C76BE" w:rsidRPr="00E25B3A">
        <w:rPr>
          <w:rFonts w:ascii="Book Antiqua" w:hAnsi="Book Antiqua" w:cs="Arial"/>
          <w:sz w:val="24"/>
          <w:szCs w:val="24"/>
        </w:rPr>
        <w:t xml:space="preserve"> DJ designed the report</w:t>
      </w:r>
      <w:r w:rsidR="00CB0FB1" w:rsidRPr="00E25B3A">
        <w:rPr>
          <w:rFonts w:ascii="Book Antiqua" w:hAnsi="Book Antiqua" w:cs="Arial"/>
          <w:sz w:val="24"/>
          <w:szCs w:val="24"/>
        </w:rPr>
        <w:t xml:space="preserve"> and collected the patient’s </w:t>
      </w:r>
      <w:r w:rsidR="00500E06" w:rsidRPr="00E25B3A">
        <w:rPr>
          <w:rFonts w:ascii="Book Antiqua" w:hAnsi="Book Antiqua" w:cs="Arial"/>
          <w:sz w:val="24"/>
          <w:szCs w:val="24"/>
        </w:rPr>
        <w:t xml:space="preserve">clinical data; </w:t>
      </w:r>
      <w:proofErr w:type="spellStart"/>
      <w:r w:rsidR="00500E06" w:rsidRPr="00E25B3A">
        <w:rPr>
          <w:rFonts w:ascii="Book Antiqua" w:hAnsi="Book Antiqua" w:cs="Arial"/>
          <w:sz w:val="24"/>
          <w:szCs w:val="24"/>
        </w:rPr>
        <w:t>Kundu</w:t>
      </w:r>
      <w:proofErr w:type="spellEnd"/>
      <w:r w:rsidR="00500E06" w:rsidRPr="00E25B3A">
        <w:rPr>
          <w:rFonts w:ascii="Book Antiqua" w:hAnsi="Book Antiqua" w:cs="Arial"/>
          <w:sz w:val="24"/>
          <w:szCs w:val="24"/>
        </w:rPr>
        <w:t xml:space="preserve"> S, Shari S</w:t>
      </w:r>
      <w:r w:rsidR="00CB0FB1" w:rsidRPr="00E25B3A">
        <w:rPr>
          <w:rFonts w:ascii="Book Antiqua" w:hAnsi="Book Antiqua" w:cs="Arial"/>
          <w:sz w:val="24"/>
          <w:szCs w:val="24"/>
        </w:rPr>
        <w:t xml:space="preserve"> and </w:t>
      </w:r>
      <w:proofErr w:type="spellStart"/>
      <w:r w:rsidR="00CB0FB1" w:rsidRPr="00E25B3A">
        <w:rPr>
          <w:rFonts w:ascii="Book Antiqua" w:hAnsi="Book Antiqua" w:cs="Arial"/>
          <w:sz w:val="24"/>
          <w:szCs w:val="24"/>
        </w:rPr>
        <w:t>Levinthal</w:t>
      </w:r>
      <w:proofErr w:type="spellEnd"/>
      <w:r w:rsidR="00CB0FB1" w:rsidRPr="00E25B3A">
        <w:rPr>
          <w:rFonts w:ascii="Book Antiqua" w:hAnsi="Book Antiqua" w:cs="Arial"/>
          <w:sz w:val="24"/>
          <w:szCs w:val="24"/>
        </w:rPr>
        <w:t xml:space="preserve"> DJ analyzed the data and wrote the paper.</w:t>
      </w:r>
    </w:p>
    <w:p w:rsidR="001B509E" w:rsidRPr="00E25B3A" w:rsidRDefault="001B509E" w:rsidP="0097748F">
      <w:pPr>
        <w:spacing w:after="0" w:line="360" w:lineRule="auto"/>
        <w:jc w:val="both"/>
        <w:rPr>
          <w:rFonts w:ascii="Book Antiqua" w:hAnsi="Book Antiqua" w:cs="Arial"/>
          <w:sz w:val="24"/>
          <w:szCs w:val="24"/>
          <w:lang w:eastAsia="zh-CN"/>
        </w:rPr>
      </w:pPr>
    </w:p>
    <w:p w:rsidR="005C76BE" w:rsidRPr="00E25B3A" w:rsidRDefault="00CB0FB1" w:rsidP="0097748F">
      <w:pPr>
        <w:spacing w:after="0" w:line="360" w:lineRule="auto"/>
        <w:jc w:val="both"/>
        <w:rPr>
          <w:rFonts w:ascii="Book Antiqua" w:hAnsi="Book Antiqua" w:cs="Arial"/>
          <w:sz w:val="24"/>
          <w:szCs w:val="24"/>
        </w:rPr>
      </w:pPr>
      <w:r w:rsidRPr="00E25B3A">
        <w:rPr>
          <w:rFonts w:ascii="Book Antiqua" w:hAnsi="Book Antiqua" w:cs="Arial"/>
          <w:b/>
          <w:sz w:val="24"/>
          <w:szCs w:val="24"/>
        </w:rPr>
        <w:t>Supported by</w:t>
      </w:r>
      <w:r w:rsidRPr="00E25B3A">
        <w:rPr>
          <w:rFonts w:ascii="Book Antiqua" w:hAnsi="Book Antiqua" w:cs="Arial"/>
          <w:sz w:val="24"/>
          <w:szCs w:val="24"/>
        </w:rPr>
        <w:t xml:space="preserve"> </w:t>
      </w:r>
      <w:proofErr w:type="gramStart"/>
      <w:r w:rsidRPr="00E25B3A">
        <w:rPr>
          <w:rFonts w:ascii="Book Antiqua" w:hAnsi="Book Antiqua" w:cs="Arial"/>
          <w:caps/>
          <w:sz w:val="24"/>
          <w:szCs w:val="24"/>
        </w:rPr>
        <w:t>t</w:t>
      </w:r>
      <w:r w:rsidRPr="00E25B3A">
        <w:rPr>
          <w:rFonts w:ascii="Book Antiqua" w:hAnsi="Book Antiqua" w:cs="Arial"/>
          <w:sz w:val="24"/>
          <w:szCs w:val="24"/>
        </w:rPr>
        <w:t>he</w:t>
      </w:r>
      <w:proofErr w:type="gramEnd"/>
      <w:r w:rsidRPr="00E25B3A">
        <w:rPr>
          <w:rFonts w:ascii="Book Antiqua" w:hAnsi="Book Antiqua" w:cs="Arial"/>
          <w:sz w:val="24"/>
          <w:szCs w:val="24"/>
        </w:rPr>
        <w:t xml:space="preserve"> University of Pittsburgh Medical Center, Pittsburgh PA, United States</w:t>
      </w:r>
    </w:p>
    <w:p w:rsidR="00CB0FB1" w:rsidRPr="00E25B3A" w:rsidRDefault="00CB0FB1" w:rsidP="0097748F">
      <w:pPr>
        <w:spacing w:after="0" w:line="360" w:lineRule="auto"/>
        <w:jc w:val="both"/>
        <w:rPr>
          <w:rFonts w:ascii="Book Antiqua" w:hAnsi="Book Antiqua" w:cs="Arial"/>
          <w:b/>
          <w:sz w:val="24"/>
          <w:szCs w:val="24"/>
        </w:rPr>
      </w:pPr>
    </w:p>
    <w:p w:rsidR="00CB0FB1" w:rsidRPr="00E25B3A" w:rsidRDefault="00AF5AAB" w:rsidP="0097748F">
      <w:pPr>
        <w:spacing w:after="0" w:line="360" w:lineRule="auto"/>
        <w:jc w:val="both"/>
        <w:rPr>
          <w:rStyle w:val="a3"/>
          <w:rFonts w:ascii="Book Antiqua" w:hAnsi="Book Antiqua" w:cs="Arial"/>
          <w:sz w:val="24"/>
          <w:szCs w:val="24"/>
        </w:rPr>
      </w:pPr>
      <w:bookmarkStart w:id="2" w:name="OLE_LINK27"/>
      <w:bookmarkStart w:id="3" w:name="OLE_LINK28"/>
      <w:r w:rsidRPr="00E25B3A">
        <w:rPr>
          <w:rFonts w:ascii="Book Antiqua" w:hAnsi="Book Antiqua"/>
          <w:b/>
          <w:sz w:val="24"/>
        </w:rPr>
        <w:t>Correspondence to:</w:t>
      </w:r>
      <w:bookmarkEnd w:id="2"/>
      <w:bookmarkEnd w:id="3"/>
      <w:r w:rsidR="00CB0FB1" w:rsidRPr="00E25B3A">
        <w:rPr>
          <w:rFonts w:ascii="Book Antiqua" w:hAnsi="Book Antiqua" w:cs="Arial"/>
          <w:b/>
          <w:sz w:val="24"/>
          <w:szCs w:val="24"/>
        </w:rPr>
        <w:t xml:space="preserve"> </w:t>
      </w:r>
      <w:r w:rsidR="00D76E37" w:rsidRPr="00E25B3A">
        <w:rPr>
          <w:rFonts w:ascii="Book Antiqua" w:hAnsi="Book Antiqua" w:cs="Arial"/>
          <w:b/>
          <w:sz w:val="24"/>
          <w:szCs w:val="24"/>
        </w:rPr>
        <w:t xml:space="preserve">David </w:t>
      </w:r>
      <w:r w:rsidRPr="00E25B3A">
        <w:rPr>
          <w:rFonts w:ascii="Book Antiqua" w:hAnsi="Book Antiqua" w:cs="Arial"/>
          <w:b/>
          <w:sz w:val="24"/>
          <w:szCs w:val="24"/>
        </w:rPr>
        <w:t>J</w:t>
      </w:r>
      <w:r w:rsidR="006108D1" w:rsidRPr="00E25B3A">
        <w:rPr>
          <w:rFonts w:ascii="Book Antiqua" w:hAnsi="Book Antiqua" w:cs="Arial"/>
          <w:b/>
          <w:sz w:val="24"/>
          <w:szCs w:val="24"/>
        </w:rPr>
        <w:t xml:space="preserve"> </w:t>
      </w:r>
      <w:proofErr w:type="spellStart"/>
      <w:r w:rsidR="00D76E37" w:rsidRPr="00E25B3A">
        <w:rPr>
          <w:rFonts w:ascii="Book Antiqua" w:hAnsi="Book Antiqua" w:cs="Arial"/>
          <w:b/>
          <w:sz w:val="24"/>
          <w:szCs w:val="24"/>
        </w:rPr>
        <w:t>Levinthal</w:t>
      </w:r>
      <w:proofErr w:type="spellEnd"/>
      <w:r w:rsidR="00D76E37" w:rsidRPr="00E25B3A">
        <w:rPr>
          <w:rFonts w:ascii="Book Antiqua" w:hAnsi="Book Antiqua" w:cs="Arial"/>
          <w:b/>
          <w:sz w:val="24"/>
          <w:szCs w:val="24"/>
        </w:rPr>
        <w:t>, MD, PhD</w:t>
      </w:r>
      <w:r w:rsidR="00CB0FB1" w:rsidRPr="00E25B3A">
        <w:rPr>
          <w:rFonts w:ascii="Book Antiqua" w:hAnsi="Book Antiqua" w:cs="Arial"/>
          <w:b/>
          <w:sz w:val="24"/>
          <w:szCs w:val="24"/>
        </w:rPr>
        <w:t>,</w:t>
      </w:r>
      <w:r w:rsidR="00CB0FB1" w:rsidRPr="00E25B3A">
        <w:rPr>
          <w:rFonts w:ascii="Book Antiqua" w:hAnsi="Book Antiqua" w:cs="Arial"/>
          <w:sz w:val="24"/>
          <w:szCs w:val="24"/>
        </w:rPr>
        <w:t xml:space="preserve"> </w:t>
      </w:r>
      <w:r w:rsidR="00D76E37" w:rsidRPr="00E25B3A">
        <w:rPr>
          <w:rFonts w:ascii="Book Antiqua" w:hAnsi="Book Antiqua" w:cs="Arial"/>
          <w:b/>
          <w:sz w:val="24"/>
          <w:szCs w:val="24"/>
        </w:rPr>
        <w:t>Assistant Professor</w:t>
      </w:r>
      <w:r w:rsidR="00D76E37" w:rsidRPr="00E25B3A">
        <w:rPr>
          <w:rFonts w:ascii="Book Antiqua" w:hAnsi="Book Antiqua" w:cs="Arial"/>
          <w:sz w:val="24"/>
          <w:szCs w:val="24"/>
        </w:rPr>
        <w:t xml:space="preserve"> of Medicine</w:t>
      </w:r>
      <w:r w:rsidR="00CB0FB1" w:rsidRPr="00E25B3A">
        <w:rPr>
          <w:rFonts w:ascii="Book Antiqua" w:hAnsi="Book Antiqua" w:cs="Arial"/>
          <w:sz w:val="24"/>
          <w:szCs w:val="24"/>
        </w:rPr>
        <w:t xml:space="preserve">, </w:t>
      </w:r>
      <w:r w:rsidR="00D76E37" w:rsidRPr="00E25B3A">
        <w:rPr>
          <w:rFonts w:ascii="Book Antiqua" w:hAnsi="Book Antiqua" w:cs="Arial"/>
          <w:sz w:val="24"/>
          <w:szCs w:val="24"/>
        </w:rPr>
        <w:t xml:space="preserve">Division of Gastroenterology, </w:t>
      </w:r>
      <w:proofErr w:type="spellStart"/>
      <w:r w:rsidR="00D76E37" w:rsidRPr="00E25B3A">
        <w:rPr>
          <w:rFonts w:ascii="Book Antiqua" w:hAnsi="Book Antiqua" w:cs="Arial"/>
          <w:sz w:val="24"/>
          <w:szCs w:val="24"/>
        </w:rPr>
        <w:t>Hepatology</w:t>
      </w:r>
      <w:proofErr w:type="spellEnd"/>
      <w:r w:rsidR="00D76E37" w:rsidRPr="00E25B3A">
        <w:rPr>
          <w:rFonts w:ascii="Book Antiqua" w:hAnsi="Book Antiqua" w:cs="Arial"/>
          <w:sz w:val="24"/>
          <w:szCs w:val="24"/>
        </w:rPr>
        <w:t>, and Nutrition</w:t>
      </w:r>
      <w:r w:rsidR="00CB0FB1" w:rsidRPr="00E25B3A">
        <w:rPr>
          <w:rFonts w:ascii="Book Antiqua" w:hAnsi="Book Antiqua" w:cs="Arial"/>
          <w:sz w:val="24"/>
          <w:szCs w:val="24"/>
        </w:rPr>
        <w:t xml:space="preserve">, </w:t>
      </w:r>
      <w:r w:rsidR="00B54A3C" w:rsidRPr="00E25B3A">
        <w:rPr>
          <w:rFonts w:ascii="Book Antiqua" w:hAnsi="Book Antiqua" w:cs="Arial"/>
          <w:sz w:val="24"/>
          <w:szCs w:val="24"/>
        </w:rPr>
        <w:t>Department of Medicine,</w:t>
      </w:r>
      <w:r w:rsidR="00B54A3C" w:rsidRPr="00E25B3A">
        <w:rPr>
          <w:rFonts w:ascii="Book Antiqua" w:hAnsi="Book Antiqua" w:cs="Arial" w:hint="eastAsia"/>
          <w:sz w:val="24"/>
          <w:szCs w:val="24"/>
          <w:lang w:eastAsia="zh-CN"/>
        </w:rPr>
        <w:t xml:space="preserve"> </w:t>
      </w:r>
      <w:r w:rsidR="00B54A3C" w:rsidRPr="00E25B3A">
        <w:rPr>
          <w:rFonts w:ascii="Book Antiqua" w:hAnsi="Book Antiqua" w:cs="Arial"/>
          <w:sz w:val="24"/>
          <w:szCs w:val="24"/>
        </w:rPr>
        <w:lastRenderedPageBreak/>
        <w:t xml:space="preserve">University of Pittsburgh Medical Center, </w:t>
      </w:r>
      <w:r w:rsidR="00D76E37" w:rsidRPr="00E25B3A">
        <w:rPr>
          <w:rFonts w:ascii="Book Antiqua" w:hAnsi="Book Antiqua" w:cs="Arial"/>
          <w:sz w:val="24"/>
          <w:szCs w:val="24"/>
        </w:rPr>
        <w:t>M2 C-Wing PUH</w:t>
      </w:r>
      <w:r w:rsidR="00CB0FB1" w:rsidRPr="00E25B3A">
        <w:rPr>
          <w:rFonts w:ascii="Book Antiqua" w:hAnsi="Book Antiqua" w:cs="Arial"/>
          <w:sz w:val="24"/>
          <w:szCs w:val="24"/>
        </w:rPr>
        <w:t xml:space="preserve">, 200 Lothrop Street, </w:t>
      </w:r>
      <w:r w:rsidR="00D76E37" w:rsidRPr="00E25B3A">
        <w:rPr>
          <w:rFonts w:ascii="Book Antiqua" w:hAnsi="Book Antiqua" w:cs="Arial"/>
          <w:sz w:val="24"/>
          <w:szCs w:val="24"/>
        </w:rPr>
        <w:t>Pittsburgh, PA 15213</w:t>
      </w:r>
      <w:r w:rsidR="00360C28" w:rsidRPr="00E25B3A">
        <w:rPr>
          <w:rFonts w:ascii="Book Antiqua" w:hAnsi="Book Antiqua" w:cs="Arial"/>
          <w:sz w:val="24"/>
          <w:szCs w:val="24"/>
        </w:rPr>
        <w:t xml:space="preserve">, United States. </w:t>
      </w:r>
      <w:r w:rsidR="00147660" w:rsidRPr="00E25B3A">
        <w:rPr>
          <w:rFonts w:ascii="Book Antiqua" w:hAnsi="Book Antiqua" w:cs="Arial"/>
          <w:sz w:val="24"/>
          <w:szCs w:val="24"/>
        </w:rPr>
        <w:t>levinthald@upmc.edu</w:t>
      </w:r>
    </w:p>
    <w:p w:rsidR="000F2EF5" w:rsidRPr="00E25B3A" w:rsidRDefault="000F2EF5" w:rsidP="000F2EF5">
      <w:pPr>
        <w:spacing w:after="0" w:line="360" w:lineRule="auto"/>
        <w:jc w:val="both"/>
        <w:rPr>
          <w:rStyle w:val="a3"/>
          <w:rFonts w:ascii="Book Antiqua" w:hAnsi="Book Antiqua" w:cs="Arial"/>
          <w:color w:val="auto"/>
          <w:sz w:val="24"/>
          <w:szCs w:val="24"/>
          <w:u w:val="none"/>
          <w:lang w:eastAsia="zh-CN"/>
        </w:rPr>
      </w:pPr>
    </w:p>
    <w:p w:rsidR="000F2EF5" w:rsidRPr="00E25B3A" w:rsidRDefault="000F2EF5" w:rsidP="00687CE6">
      <w:pPr>
        <w:spacing w:after="0" w:line="360" w:lineRule="auto"/>
        <w:jc w:val="both"/>
        <w:rPr>
          <w:rFonts w:ascii="Book Antiqua" w:hAnsi="Book Antiqua" w:cs="Arial"/>
          <w:sz w:val="24"/>
          <w:szCs w:val="24"/>
        </w:rPr>
      </w:pPr>
      <w:r w:rsidRPr="00E25B3A">
        <w:rPr>
          <w:rFonts w:ascii="Book Antiqua" w:hAnsi="Book Antiqua"/>
          <w:b/>
          <w:sz w:val="24"/>
        </w:rPr>
        <w:t xml:space="preserve">Telephone: </w:t>
      </w:r>
      <w:r w:rsidRPr="00E25B3A">
        <w:rPr>
          <w:rStyle w:val="a3"/>
          <w:rFonts w:ascii="Book Antiqua" w:hAnsi="Book Antiqua" w:cs="Arial"/>
          <w:color w:val="auto"/>
          <w:sz w:val="24"/>
          <w:szCs w:val="24"/>
          <w:u w:val="none"/>
        </w:rPr>
        <w:t>+1-412-3030525</w:t>
      </w:r>
      <w:r w:rsidRPr="00E25B3A">
        <w:rPr>
          <w:rFonts w:ascii="Book Antiqua" w:hAnsi="Book Antiqua"/>
          <w:sz w:val="24"/>
        </w:rPr>
        <w:t xml:space="preserve"> </w:t>
      </w:r>
      <w:r w:rsidRPr="00E25B3A">
        <w:rPr>
          <w:rFonts w:ascii="Book Antiqua" w:hAnsi="Book Antiqua"/>
          <w:b/>
          <w:sz w:val="24"/>
        </w:rPr>
        <w:t xml:space="preserve"> </w:t>
      </w:r>
      <w:r w:rsidR="0020034A" w:rsidRPr="00E25B3A">
        <w:rPr>
          <w:rFonts w:ascii="Book Antiqua" w:hAnsi="Book Antiqua" w:hint="eastAsia"/>
          <w:b/>
          <w:sz w:val="24"/>
          <w:lang w:eastAsia="zh-CN"/>
        </w:rPr>
        <w:t xml:space="preserve"> </w:t>
      </w:r>
      <w:r w:rsidRPr="00E25B3A">
        <w:rPr>
          <w:rFonts w:ascii="Book Antiqua" w:hAnsi="Book Antiqua"/>
          <w:b/>
          <w:sz w:val="24"/>
        </w:rPr>
        <w:t xml:space="preserve">Fax: </w:t>
      </w:r>
      <w:bookmarkStart w:id="4" w:name="OLE_LINK29"/>
      <w:bookmarkStart w:id="5" w:name="OLE_LINK30"/>
      <w:r w:rsidRPr="00E25B3A">
        <w:rPr>
          <w:rStyle w:val="a3"/>
          <w:rFonts w:ascii="Book Antiqua" w:hAnsi="Book Antiqua" w:cs="Arial"/>
          <w:color w:val="auto"/>
          <w:sz w:val="24"/>
          <w:szCs w:val="24"/>
          <w:u w:val="none"/>
        </w:rPr>
        <w:t>+1-412-648-9378</w:t>
      </w:r>
    </w:p>
    <w:p w:rsidR="000F2EF5" w:rsidRPr="00E25B3A" w:rsidRDefault="0020034A" w:rsidP="00687CE6">
      <w:pPr>
        <w:spacing w:after="0" w:line="360" w:lineRule="auto"/>
        <w:rPr>
          <w:rFonts w:ascii="Book Antiqua" w:hAnsi="Book Antiqua"/>
          <w:b/>
          <w:sz w:val="24"/>
          <w:lang w:eastAsia="zh-CN"/>
        </w:rPr>
      </w:pPr>
      <w:bookmarkStart w:id="6" w:name="OLE_LINK14"/>
      <w:bookmarkStart w:id="7" w:name="OLE_LINK15"/>
      <w:r w:rsidRPr="00E25B3A">
        <w:rPr>
          <w:rFonts w:ascii="Book Antiqua" w:hAnsi="Book Antiqua"/>
          <w:b/>
          <w:sz w:val="24"/>
        </w:rPr>
        <w:t xml:space="preserve">Received: </w:t>
      </w:r>
      <w:r w:rsidRPr="00E25B3A">
        <w:rPr>
          <w:rFonts w:ascii="Book Antiqua" w:hAnsi="Book Antiqua"/>
          <w:sz w:val="24"/>
        </w:rPr>
        <w:t>October</w:t>
      </w:r>
      <w:bookmarkEnd w:id="6"/>
      <w:bookmarkEnd w:id="7"/>
      <w:r w:rsidRPr="00E25B3A">
        <w:rPr>
          <w:rFonts w:ascii="Book Antiqua" w:hAnsi="Book Antiqua" w:hint="eastAsia"/>
          <w:sz w:val="24"/>
          <w:lang w:eastAsia="zh-CN"/>
        </w:rPr>
        <w:t xml:space="preserve"> 22, 2013 </w:t>
      </w:r>
      <w:r w:rsidR="000F2EF5" w:rsidRPr="00E25B3A">
        <w:rPr>
          <w:rFonts w:ascii="Book Antiqua" w:hAnsi="Book Antiqua"/>
          <w:b/>
          <w:sz w:val="24"/>
        </w:rPr>
        <w:t xml:space="preserve"> </w:t>
      </w:r>
      <w:r w:rsidRPr="00E25B3A">
        <w:rPr>
          <w:rFonts w:ascii="Book Antiqua" w:hAnsi="Book Antiqua" w:hint="eastAsia"/>
          <w:b/>
          <w:sz w:val="24"/>
          <w:lang w:eastAsia="zh-CN"/>
        </w:rPr>
        <w:t xml:space="preserve"> </w:t>
      </w:r>
      <w:r w:rsidRPr="00E25B3A">
        <w:rPr>
          <w:rFonts w:ascii="Book Antiqua" w:hAnsi="Book Antiqua"/>
          <w:b/>
          <w:sz w:val="24"/>
        </w:rPr>
        <w:t xml:space="preserve">Revised: </w:t>
      </w:r>
      <w:r w:rsidRPr="00E25B3A">
        <w:rPr>
          <w:rFonts w:ascii="Book Antiqua" w:hAnsi="Book Antiqua"/>
          <w:sz w:val="24"/>
        </w:rPr>
        <w:t>January</w:t>
      </w:r>
      <w:r w:rsidRPr="00E25B3A">
        <w:rPr>
          <w:rFonts w:ascii="Book Antiqua" w:hAnsi="Book Antiqua" w:hint="eastAsia"/>
          <w:sz w:val="24"/>
          <w:lang w:eastAsia="zh-CN"/>
        </w:rPr>
        <w:t xml:space="preserve"> 10, 2014</w:t>
      </w:r>
    </w:p>
    <w:p w:rsidR="00A63DE7" w:rsidRPr="009A45E4" w:rsidRDefault="000F2EF5" w:rsidP="00A63DE7">
      <w:pPr>
        <w:rPr>
          <w:rFonts w:ascii="Book Antiqua" w:hAnsi="Book Antiqua"/>
          <w:sz w:val="24"/>
          <w:szCs w:val="24"/>
        </w:rPr>
      </w:pPr>
      <w:r w:rsidRPr="00E25B3A">
        <w:rPr>
          <w:rFonts w:ascii="Book Antiqua" w:hAnsi="Book Antiqua"/>
          <w:b/>
          <w:sz w:val="24"/>
        </w:rPr>
        <w:t xml:space="preserve">Accepted: </w:t>
      </w:r>
      <w:bookmarkStart w:id="8" w:name="OLE_LINK1"/>
      <w:bookmarkStart w:id="9" w:name="OLE_LINK2"/>
      <w:r w:rsidR="00A63DE7" w:rsidRPr="009A45E4">
        <w:rPr>
          <w:rFonts w:ascii="Book Antiqua" w:hAnsi="Book Antiqua"/>
          <w:sz w:val="24"/>
          <w:szCs w:val="24"/>
        </w:rPr>
        <w:t>March 5, 2014</w:t>
      </w:r>
      <w:bookmarkEnd w:id="8"/>
      <w:bookmarkEnd w:id="9"/>
    </w:p>
    <w:p w:rsidR="000F2EF5" w:rsidRPr="00E25B3A" w:rsidRDefault="000F2EF5" w:rsidP="00687CE6">
      <w:pPr>
        <w:spacing w:after="0" w:line="360" w:lineRule="auto"/>
        <w:rPr>
          <w:rFonts w:ascii="Book Antiqua" w:hAnsi="Book Antiqua"/>
          <w:b/>
          <w:sz w:val="24"/>
        </w:rPr>
      </w:pPr>
      <w:bookmarkStart w:id="10" w:name="_GoBack"/>
      <w:bookmarkEnd w:id="10"/>
      <w:r w:rsidRPr="00E25B3A">
        <w:rPr>
          <w:rFonts w:ascii="Book Antiqua" w:hAnsi="Book Antiqua"/>
          <w:b/>
          <w:sz w:val="24"/>
        </w:rPr>
        <w:t xml:space="preserve"> </w:t>
      </w:r>
    </w:p>
    <w:p w:rsidR="000F2EF5" w:rsidRPr="00E25B3A" w:rsidRDefault="000F2EF5" w:rsidP="00687CE6">
      <w:pPr>
        <w:spacing w:after="0" w:line="360" w:lineRule="auto"/>
        <w:rPr>
          <w:rFonts w:ascii="Book Antiqua" w:hAnsi="Book Antiqua"/>
          <w:b/>
          <w:sz w:val="24"/>
        </w:rPr>
      </w:pPr>
      <w:r w:rsidRPr="00E25B3A">
        <w:rPr>
          <w:rFonts w:ascii="Book Antiqua" w:hAnsi="Book Antiqua"/>
          <w:b/>
          <w:sz w:val="24"/>
        </w:rPr>
        <w:t xml:space="preserve">Published online: </w:t>
      </w:r>
    </w:p>
    <w:bookmarkEnd w:id="4"/>
    <w:bookmarkEnd w:id="5"/>
    <w:p w:rsidR="00403F3C" w:rsidRPr="00E25B3A" w:rsidRDefault="00403F3C" w:rsidP="0097748F">
      <w:pPr>
        <w:spacing w:after="0" w:line="360" w:lineRule="auto"/>
        <w:jc w:val="both"/>
        <w:rPr>
          <w:rFonts w:ascii="Book Antiqua" w:hAnsi="Book Antiqua"/>
          <w:b/>
          <w:sz w:val="24"/>
          <w:lang w:eastAsia="zh-CN"/>
        </w:rPr>
      </w:pPr>
    </w:p>
    <w:p w:rsidR="00403F3C" w:rsidRPr="00E25B3A" w:rsidRDefault="00403F3C" w:rsidP="0097748F">
      <w:pPr>
        <w:spacing w:after="0" w:line="360" w:lineRule="auto"/>
        <w:jc w:val="both"/>
        <w:rPr>
          <w:rFonts w:ascii="Book Antiqua" w:hAnsi="Book Antiqua" w:cs="Arial"/>
          <w:sz w:val="24"/>
          <w:szCs w:val="24"/>
          <w:lang w:eastAsia="zh-CN"/>
        </w:rPr>
      </w:pPr>
      <w:r w:rsidRPr="00E25B3A">
        <w:rPr>
          <w:rFonts w:ascii="Book Antiqua" w:hAnsi="Book Antiqua"/>
          <w:b/>
          <w:sz w:val="24"/>
        </w:rPr>
        <w:t>Abstract</w:t>
      </w:r>
      <w:r w:rsidRPr="00E25B3A">
        <w:rPr>
          <w:rFonts w:ascii="Book Antiqua" w:hAnsi="Book Antiqua" w:cs="Arial"/>
          <w:sz w:val="24"/>
          <w:szCs w:val="24"/>
        </w:rPr>
        <w:t xml:space="preserve"> </w:t>
      </w:r>
    </w:p>
    <w:p w:rsidR="00D76E37" w:rsidRPr="00E25B3A" w:rsidRDefault="00F837D8" w:rsidP="0097748F">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We report</w:t>
      </w:r>
      <w:r w:rsidR="00C268C4" w:rsidRPr="00E25B3A">
        <w:rPr>
          <w:rFonts w:ascii="Book Antiqua" w:hAnsi="Book Antiqua" w:cs="Arial"/>
          <w:sz w:val="24"/>
          <w:szCs w:val="24"/>
        </w:rPr>
        <w:t xml:space="preserve"> the case of a </w:t>
      </w:r>
      <w:r w:rsidR="00D34247" w:rsidRPr="00E25B3A">
        <w:rPr>
          <w:rFonts w:ascii="Book Antiqua" w:hAnsi="Book Antiqua" w:cs="Arial"/>
          <w:sz w:val="24"/>
          <w:szCs w:val="24"/>
        </w:rPr>
        <w:t>34 year-</w:t>
      </w:r>
      <w:r w:rsidR="00D76E37" w:rsidRPr="00E25B3A">
        <w:rPr>
          <w:rFonts w:ascii="Book Antiqua" w:hAnsi="Book Antiqua" w:cs="Arial"/>
          <w:sz w:val="24"/>
          <w:szCs w:val="24"/>
        </w:rPr>
        <w:t>old woman with severe post-infectious gastroparesis</w:t>
      </w:r>
      <w:r w:rsidR="00C268C4" w:rsidRPr="00E25B3A">
        <w:rPr>
          <w:rFonts w:ascii="Book Antiqua" w:hAnsi="Book Antiqua" w:cs="Arial"/>
          <w:sz w:val="24"/>
          <w:szCs w:val="24"/>
        </w:rPr>
        <w:t xml:space="preserve"> who was transferred </w:t>
      </w:r>
      <w:r w:rsidR="00C72156" w:rsidRPr="00E25B3A">
        <w:rPr>
          <w:rFonts w:ascii="Book Antiqua" w:hAnsi="Book Antiqua" w:cs="Arial"/>
          <w:sz w:val="24"/>
          <w:szCs w:val="24"/>
        </w:rPr>
        <w:t>from an outside medical facility for a second</w:t>
      </w:r>
      <w:r w:rsidR="00360C28" w:rsidRPr="00E25B3A">
        <w:rPr>
          <w:rFonts w:ascii="Book Antiqua" w:hAnsi="Book Antiqua" w:cs="Arial"/>
          <w:sz w:val="24"/>
          <w:szCs w:val="24"/>
        </w:rPr>
        <w:t xml:space="preserve"> opinion regarding management. </w:t>
      </w:r>
      <w:r w:rsidR="00C72156" w:rsidRPr="00E25B3A">
        <w:rPr>
          <w:rFonts w:ascii="Book Antiqua" w:hAnsi="Book Antiqua" w:cs="Arial"/>
          <w:sz w:val="24"/>
          <w:szCs w:val="24"/>
        </w:rPr>
        <w:t>This patient had no prior history of gastrointestinal symptoms</w:t>
      </w:r>
      <w:r w:rsidR="00360C28" w:rsidRPr="00E25B3A">
        <w:rPr>
          <w:rFonts w:ascii="Book Antiqua" w:hAnsi="Book Antiqua" w:cs="Arial"/>
          <w:sz w:val="24"/>
          <w:szCs w:val="24"/>
        </w:rPr>
        <w:t xml:space="preserve">. </w:t>
      </w:r>
      <w:r w:rsidRPr="00E25B3A">
        <w:rPr>
          <w:rFonts w:ascii="Book Antiqua" w:hAnsi="Book Antiqua" w:cs="Arial"/>
          <w:sz w:val="24"/>
          <w:szCs w:val="24"/>
        </w:rPr>
        <w:t xml:space="preserve">However, </w:t>
      </w:r>
      <w:r w:rsidR="00C72156" w:rsidRPr="00E25B3A">
        <w:rPr>
          <w:rFonts w:ascii="Book Antiqua" w:hAnsi="Book Antiqua" w:cs="Arial"/>
          <w:sz w:val="24"/>
          <w:szCs w:val="24"/>
        </w:rPr>
        <w:t xml:space="preserve">in the aftermath of a viral illness, she developed </w:t>
      </w:r>
      <w:r w:rsidR="00D76E37" w:rsidRPr="00E25B3A">
        <w:rPr>
          <w:rFonts w:ascii="Book Antiqua" w:hAnsi="Book Antiqua" w:cs="Arial"/>
          <w:sz w:val="24"/>
          <w:szCs w:val="24"/>
        </w:rPr>
        <w:t>two</w:t>
      </w:r>
      <w:r w:rsidR="00C72156" w:rsidRPr="00E25B3A">
        <w:rPr>
          <w:rFonts w:ascii="Book Antiqua" w:hAnsi="Book Antiqua" w:cs="Arial"/>
          <w:sz w:val="24"/>
          <w:szCs w:val="24"/>
        </w:rPr>
        <w:t xml:space="preserve"> </w:t>
      </w:r>
      <w:r w:rsidR="00D76E37" w:rsidRPr="00E25B3A">
        <w:rPr>
          <w:rFonts w:ascii="Book Antiqua" w:hAnsi="Book Antiqua" w:cs="Arial"/>
          <w:sz w:val="24"/>
          <w:szCs w:val="24"/>
        </w:rPr>
        <w:t>month</w:t>
      </w:r>
      <w:r w:rsidR="00C72156" w:rsidRPr="00E25B3A">
        <w:rPr>
          <w:rFonts w:ascii="Book Antiqua" w:hAnsi="Book Antiqua" w:cs="Arial"/>
          <w:sz w:val="24"/>
          <w:szCs w:val="24"/>
        </w:rPr>
        <w:t xml:space="preserve">s of </w:t>
      </w:r>
      <w:r w:rsidR="00D76E37" w:rsidRPr="00E25B3A">
        <w:rPr>
          <w:rFonts w:ascii="Book Antiqua" w:hAnsi="Book Antiqua" w:cs="Arial"/>
          <w:sz w:val="24"/>
          <w:szCs w:val="24"/>
        </w:rPr>
        <w:t xml:space="preserve">intractable nausea, vomiting, and oral intake intolerance </w:t>
      </w:r>
      <w:r w:rsidR="00C72156" w:rsidRPr="00E25B3A">
        <w:rPr>
          <w:rFonts w:ascii="Book Antiqua" w:hAnsi="Book Antiqua" w:cs="Arial"/>
          <w:sz w:val="24"/>
          <w:szCs w:val="24"/>
        </w:rPr>
        <w:t xml:space="preserve">that </w:t>
      </w:r>
      <w:r w:rsidR="00D76E37" w:rsidRPr="00E25B3A">
        <w:rPr>
          <w:rFonts w:ascii="Book Antiqua" w:hAnsi="Book Antiqua" w:cs="Arial"/>
          <w:sz w:val="24"/>
          <w:szCs w:val="24"/>
        </w:rPr>
        <w:t>result</w:t>
      </w:r>
      <w:r w:rsidR="00C72156" w:rsidRPr="00E25B3A">
        <w:rPr>
          <w:rFonts w:ascii="Book Antiqua" w:hAnsi="Book Antiqua" w:cs="Arial"/>
          <w:sz w:val="24"/>
          <w:szCs w:val="24"/>
        </w:rPr>
        <w:t xml:space="preserve">ed in </w:t>
      </w:r>
      <w:r w:rsidR="006108D1" w:rsidRPr="00E25B3A">
        <w:rPr>
          <w:rFonts w:ascii="Book Antiqua" w:hAnsi="Book Antiqua" w:cs="Arial"/>
          <w:sz w:val="24"/>
          <w:szCs w:val="24"/>
        </w:rPr>
        <w:t>numerous hospitalizations</w:t>
      </w:r>
      <w:r w:rsidR="009D0441" w:rsidRPr="00E25B3A">
        <w:rPr>
          <w:rFonts w:ascii="Book Antiqua" w:hAnsi="Book Antiqua" w:cs="Arial"/>
          <w:sz w:val="24"/>
          <w:szCs w:val="24"/>
        </w:rPr>
        <w:t xml:space="preserve"> </w:t>
      </w:r>
      <w:r w:rsidR="00C72156" w:rsidRPr="00E25B3A">
        <w:rPr>
          <w:rFonts w:ascii="Book Antiqua" w:hAnsi="Book Antiqua" w:cs="Arial"/>
          <w:sz w:val="24"/>
          <w:szCs w:val="24"/>
        </w:rPr>
        <w:t>for dehydration</w:t>
      </w:r>
      <w:r w:rsidRPr="00E25B3A">
        <w:rPr>
          <w:rFonts w:ascii="Book Antiqua" w:hAnsi="Book Antiqua" w:cs="Arial"/>
          <w:sz w:val="24"/>
          <w:szCs w:val="24"/>
        </w:rPr>
        <w:t xml:space="preserve"> and electrolyte disturbances</w:t>
      </w:r>
      <w:r w:rsidR="00D76E37" w:rsidRPr="00E25B3A">
        <w:rPr>
          <w:rFonts w:ascii="Book Antiqua" w:hAnsi="Book Antiqua" w:cs="Arial"/>
          <w:sz w:val="24"/>
          <w:szCs w:val="24"/>
        </w:rPr>
        <w:t xml:space="preserve">. </w:t>
      </w:r>
      <w:r w:rsidR="00C72156" w:rsidRPr="00E25B3A">
        <w:rPr>
          <w:rFonts w:ascii="Book Antiqua" w:hAnsi="Book Antiqua" w:cs="Arial"/>
          <w:sz w:val="24"/>
          <w:szCs w:val="24"/>
        </w:rPr>
        <w:t xml:space="preserve">A solid-phase gastric emptying scan had confirmed delayed </w:t>
      </w:r>
      <w:proofErr w:type="spellStart"/>
      <w:r w:rsidR="00C72156" w:rsidRPr="00E25B3A">
        <w:rPr>
          <w:rFonts w:ascii="Book Antiqua" w:hAnsi="Book Antiqua" w:cs="Arial"/>
          <w:sz w:val="24"/>
          <w:szCs w:val="24"/>
        </w:rPr>
        <w:t>emp</w:t>
      </w:r>
      <w:r w:rsidR="004538CD" w:rsidRPr="00E25B3A">
        <w:rPr>
          <w:rFonts w:ascii="Book Antiqua" w:hAnsi="Book Antiqua" w:cs="Arial"/>
          <w:sz w:val="24"/>
          <w:szCs w:val="24"/>
        </w:rPr>
        <w:t>tyng</w:t>
      </w:r>
      <w:proofErr w:type="spellEnd"/>
      <w:r w:rsidR="004538CD" w:rsidRPr="00E25B3A">
        <w:rPr>
          <w:rFonts w:ascii="Book Antiqua" w:hAnsi="Book Antiqua" w:cs="Arial"/>
          <w:sz w:val="24"/>
          <w:szCs w:val="24"/>
        </w:rPr>
        <w:t xml:space="preserve">, confirming </w:t>
      </w:r>
      <w:proofErr w:type="spellStart"/>
      <w:r w:rsidR="004538CD" w:rsidRPr="00E25B3A">
        <w:rPr>
          <w:rFonts w:ascii="Book Antiqua" w:hAnsi="Book Antiqua" w:cs="Arial"/>
          <w:sz w:val="24"/>
          <w:szCs w:val="24"/>
        </w:rPr>
        <w:t>gastroparesis</w:t>
      </w:r>
      <w:proofErr w:type="spellEnd"/>
      <w:r w:rsidR="004538CD" w:rsidRPr="00E25B3A">
        <w:rPr>
          <w:rFonts w:ascii="Book Antiqua" w:hAnsi="Book Antiqua" w:cs="Arial"/>
          <w:sz w:val="24"/>
          <w:szCs w:val="24"/>
        </w:rPr>
        <w:t>.</w:t>
      </w:r>
      <w:r w:rsidR="00C72156" w:rsidRPr="00E25B3A">
        <w:rPr>
          <w:rFonts w:ascii="Book Antiqua" w:hAnsi="Book Antiqua" w:cs="Arial"/>
          <w:sz w:val="24"/>
          <w:szCs w:val="24"/>
        </w:rPr>
        <w:t xml:space="preserve"> </w:t>
      </w:r>
      <w:r w:rsidRPr="00E25B3A">
        <w:rPr>
          <w:rFonts w:ascii="Book Antiqua" w:hAnsi="Book Antiqua" w:cs="Arial"/>
          <w:sz w:val="24"/>
          <w:szCs w:val="24"/>
        </w:rPr>
        <w:t>Unfortunately, c</w:t>
      </w:r>
      <w:r w:rsidR="00D76E37" w:rsidRPr="00E25B3A">
        <w:rPr>
          <w:rFonts w:ascii="Book Antiqua" w:hAnsi="Book Antiqua" w:cs="Arial"/>
          <w:sz w:val="24"/>
          <w:szCs w:val="24"/>
        </w:rPr>
        <w:t xml:space="preserve">onventional pro-kinetic </w:t>
      </w:r>
      <w:r w:rsidRPr="00E25B3A">
        <w:rPr>
          <w:rFonts w:ascii="Book Antiqua" w:hAnsi="Book Antiqua" w:cs="Arial"/>
          <w:sz w:val="24"/>
          <w:szCs w:val="24"/>
        </w:rPr>
        <w:t xml:space="preserve">agents </w:t>
      </w:r>
      <w:r w:rsidR="00D76E37" w:rsidRPr="00E25B3A">
        <w:rPr>
          <w:rFonts w:ascii="Book Antiqua" w:hAnsi="Book Antiqua" w:cs="Arial"/>
          <w:sz w:val="24"/>
          <w:szCs w:val="24"/>
        </w:rPr>
        <w:t xml:space="preserve">and </w:t>
      </w:r>
      <w:r w:rsidR="00C72156" w:rsidRPr="00E25B3A">
        <w:rPr>
          <w:rFonts w:ascii="Book Antiqua" w:hAnsi="Book Antiqua" w:cs="Arial"/>
          <w:sz w:val="24"/>
          <w:szCs w:val="24"/>
        </w:rPr>
        <w:t xml:space="preserve">numerous </w:t>
      </w:r>
      <w:r w:rsidR="00D76E37" w:rsidRPr="00E25B3A">
        <w:rPr>
          <w:rFonts w:ascii="Book Antiqua" w:hAnsi="Book Antiqua" w:cs="Arial"/>
          <w:sz w:val="24"/>
          <w:szCs w:val="24"/>
        </w:rPr>
        <w:t xml:space="preserve">anti-emetic drugs provided little or no relief of the patient’s symptoms. </w:t>
      </w:r>
      <w:r w:rsidR="00C72156" w:rsidRPr="00E25B3A">
        <w:rPr>
          <w:rFonts w:ascii="Book Antiqua" w:hAnsi="Book Antiqua" w:cs="Arial"/>
          <w:sz w:val="24"/>
          <w:szCs w:val="24"/>
        </w:rPr>
        <w:t xml:space="preserve">At our institution, the patient experienced </w:t>
      </w:r>
      <w:r w:rsidR="006108D1" w:rsidRPr="00E25B3A">
        <w:rPr>
          <w:rFonts w:ascii="Book Antiqua" w:hAnsi="Book Antiqua" w:cs="Arial"/>
          <w:sz w:val="24"/>
          <w:szCs w:val="24"/>
        </w:rPr>
        <w:t xml:space="preserve">a </w:t>
      </w:r>
      <w:r w:rsidR="00D76E37" w:rsidRPr="00E25B3A">
        <w:rPr>
          <w:rFonts w:ascii="Book Antiqua" w:hAnsi="Book Antiqua" w:cs="Arial"/>
          <w:sz w:val="24"/>
          <w:szCs w:val="24"/>
        </w:rPr>
        <w:t xml:space="preserve">cessation of vomiting, </w:t>
      </w:r>
      <w:r w:rsidR="006108D1" w:rsidRPr="00E25B3A">
        <w:rPr>
          <w:rFonts w:ascii="Book Antiqua" w:hAnsi="Book Antiqua" w:cs="Arial"/>
          <w:sz w:val="24"/>
          <w:szCs w:val="24"/>
        </w:rPr>
        <w:t xml:space="preserve">reported a </w:t>
      </w:r>
      <w:r w:rsidR="00D76E37" w:rsidRPr="00E25B3A">
        <w:rPr>
          <w:rFonts w:ascii="Book Antiqua" w:hAnsi="Book Antiqua" w:cs="Arial"/>
          <w:sz w:val="24"/>
          <w:szCs w:val="24"/>
        </w:rPr>
        <w:t xml:space="preserve">significant reduction in nausea, and </w:t>
      </w:r>
      <w:r w:rsidR="00C72156" w:rsidRPr="00E25B3A">
        <w:rPr>
          <w:rFonts w:ascii="Book Antiqua" w:hAnsi="Book Antiqua" w:cs="Arial"/>
          <w:sz w:val="24"/>
          <w:szCs w:val="24"/>
        </w:rPr>
        <w:t xml:space="preserve">tolerated </w:t>
      </w:r>
      <w:r w:rsidR="00D76E37" w:rsidRPr="00E25B3A">
        <w:rPr>
          <w:rFonts w:ascii="Book Antiqua" w:hAnsi="Book Antiqua" w:cs="Arial"/>
          <w:sz w:val="24"/>
          <w:szCs w:val="24"/>
        </w:rPr>
        <w:t>oral intake</w:t>
      </w:r>
      <w:r w:rsidR="00C72156" w:rsidRPr="00E25B3A">
        <w:rPr>
          <w:rFonts w:ascii="Book Antiqua" w:hAnsi="Book Antiqua" w:cs="Arial"/>
          <w:sz w:val="24"/>
          <w:szCs w:val="24"/>
        </w:rPr>
        <w:t xml:space="preserve"> shortly after taking mirtazapine</w:t>
      </w:r>
      <w:r w:rsidR="00360C28" w:rsidRPr="00E25B3A">
        <w:rPr>
          <w:rFonts w:ascii="Book Antiqua" w:hAnsi="Book Antiqua" w:cs="Arial"/>
          <w:sz w:val="24"/>
          <w:szCs w:val="24"/>
        </w:rPr>
        <w:t xml:space="preserve">. </w:t>
      </w:r>
      <w:r w:rsidR="00C72156" w:rsidRPr="00E25B3A">
        <w:rPr>
          <w:rFonts w:ascii="Book Antiqua" w:hAnsi="Book Antiqua" w:cs="Arial"/>
          <w:sz w:val="24"/>
          <w:szCs w:val="24"/>
        </w:rPr>
        <w:t xml:space="preserve">Based on </w:t>
      </w:r>
      <w:r w:rsidRPr="00E25B3A">
        <w:rPr>
          <w:rFonts w:ascii="Book Antiqua" w:hAnsi="Book Antiqua" w:cs="Arial"/>
          <w:sz w:val="24"/>
          <w:szCs w:val="24"/>
        </w:rPr>
        <w:t xml:space="preserve">mirtazapine’s primary </w:t>
      </w:r>
      <w:r w:rsidR="00C72156" w:rsidRPr="00E25B3A">
        <w:rPr>
          <w:rFonts w:ascii="Book Antiqua" w:hAnsi="Book Antiqua" w:cs="Arial"/>
          <w:sz w:val="24"/>
          <w:szCs w:val="24"/>
        </w:rPr>
        <w:t>action</w:t>
      </w:r>
      <w:r w:rsidRPr="00E25B3A">
        <w:rPr>
          <w:rFonts w:ascii="Book Antiqua" w:hAnsi="Book Antiqua" w:cs="Arial"/>
          <w:sz w:val="24"/>
          <w:szCs w:val="24"/>
        </w:rPr>
        <w:t xml:space="preserve"> as a serotonin (5-HT) 1a receptor agonist</w:t>
      </w:r>
      <w:r w:rsidR="00C72156" w:rsidRPr="00E25B3A">
        <w:rPr>
          <w:rFonts w:ascii="Book Antiqua" w:hAnsi="Book Antiqua" w:cs="Arial"/>
          <w:sz w:val="24"/>
          <w:szCs w:val="24"/>
        </w:rPr>
        <w:t>,</w:t>
      </w:r>
      <w:r w:rsidRPr="00E25B3A">
        <w:rPr>
          <w:rFonts w:ascii="Book Antiqua" w:hAnsi="Book Antiqua" w:cs="Arial"/>
          <w:sz w:val="24"/>
          <w:szCs w:val="24"/>
        </w:rPr>
        <w:t xml:space="preserve"> we infer that this receptor system mediated the clinical improvement through a combination of peripheral </w:t>
      </w:r>
      <w:r w:rsidR="00360C28" w:rsidRPr="00E25B3A">
        <w:rPr>
          <w:rFonts w:ascii="Book Antiqua" w:hAnsi="Book Antiqua" w:cs="Arial"/>
          <w:sz w:val="24"/>
          <w:szCs w:val="24"/>
        </w:rPr>
        <w:t xml:space="preserve">and central neural mechanisms. </w:t>
      </w:r>
      <w:r w:rsidRPr="00E25B3A">
        <w:rPr>
          <w:rFonts w:ascii="Book Antiqua" w:hAnsi="Book Antiqua" w:cs="Arial"/>
          <w:sz w:val="24"/>
          <w:szCs w:val="24"/>
        </w:rPr>
        <w:t>This report highlights the potential utility of 5-HT1a agonists in the mana</w:t>
      </w:r>
      <w:r w:rsidR="00360C28" w:rsidRPr="00E25B3A">
        <w:rPr>
          <w:rFonts w:ascii="Book Antiqua" w:hAnsi="Book Antiqua" w:cs="Arial"/>
          <w:sz w:val="24"/>
          <w:szCs w:val="24"/>
        </w:rPr>
        <w:t xml:space="preserve">gement of nausea and vomiting. </w:t>
      </w:r>
      <w:r w:rsidRPr="00E25B3A">
        <w:rPr>
          <w:rFonts w:ascii="Book Antiqua" w:hAnsi="Book Antiqua" w:cs="Arial"/>
          <w:sz w:val="24"/>
          <w:szCs w:val="24"/>
        </w:rPr>
        <w:t>We conclude that m</w:t>
      </w:r>
      <w:r w:rsidR="00D76E37" w:rsidRPr="00E25B3A">
        <w:rPr>
          <w:rFonts w:ascii="Book Antiqua" w:hAnsi="Book Antiqua" w:cs="Arial"/>
          <w:sz w:val="24"/>
          <w:szCs w:val="24"/>
        </w:rPr>
        <w:t>irtazapine may be effective in treating symptoms associated with non-diabetic gastroparesis that are refractory to conventional therapies.</w:t>
      </w:r>
    </w:p>
    <w:p w:rsidR="005E1073" w:rsidRPr="00E25B3A" w:rsidRDefault="005E1073" w:rsidP="0097748F">
      <w:pPr>
        <w:spacing w:after="0" w:line="360" w:lineRule="auto"/>
        <w:jc w:val="both"/>
        <w:rPr>
          <w:rFonts w:ascii="Book Antiqua" w:hAnsi="Book Antiqua" w:cs="Arial"/>
          <w:b/>
          <w:sz w:val="24"/>
          <w:szCs w:val="24"/>
          <w:lang w:eastAsia="zh-CN"/>
        </w:rPr>
      </w:pPr>
    </w:p>
    <w:p w:rsidR="00627010" w:rsidRPr="00E25B3A" w:rsidRDefault="00627010" w:rsidP="00627010">
      <w:pPr>
        <w:rPr>
          <w:rFonts w:ascii="Book Antiqua" w:hAnsi="Book Antiqua" w:cs="宋体"/>
          <w:color w:val="000000"/>
          <w:sz w:val="24"/>
        </w:rPr>
      </w:pPr>
      <w:r w:rsidRPr="00E25B3A">
        <w:rPr>
          <w:rFonts w:ascii="Book Antiqua" w:hAnsi="Book Antiqua" w:cs="Tahoma"/>
          <w:sz w:val="24"/>
          <w:lang w:eastAsia="ja-JP"/>
        </w:rPr>
        <w:t>©</w:t>
      </w:r>
      <w:r w:rsidRPr="00E25B3A">
        <w:rPr>
          <w:rFonts w:ascii="Book Antiqua" w:hAnsi="Book Antiqua" w:cs="Tahoma"/>
          <w:sz w:val="24"/>
        </w:rPr>
        <w:t xml:space="preserve"> </w:t>
      </w:r>
      <w:r w:rsidRPr="00E25B3A">
        <w:rPr>
          <w:rFonts w:ascii="Book Antiqua" w:hAnsi="Book Antiqua" w:cs="宋体"/>
          <w:color w:val="000000"/>
          <w:sz w:val="24"/>
        </w:rPr>
        <w:t>201</w:t>
      </w:r>
      <w:r w:rsidRPr="00E25B3A">
        <w:rPr>
          <w:rFonts w:ascii="Book Antiqua" w:hAnsi="Book Antiqua" w:cs="宋体" w:hint="eastAsia"/>
          <w:color w:val="000000"/>
          <w:sz w:val="24"/>
        </w:rPr>
        <w:t>4</w:t>
      </w:r>
      <w:r w:rsidRPr="00E25B3A">
        <w:rPr>
          <w:rFonts w:ascii="Book Antiqua" w:hAnsi="Book Antiqua" w:cs="宋体"/>
          <w:color w:val="000000"/>
          <w:sz w:val="24"/>
        </w:rPr>
        <w:t xml:space="preserve"> </w:t>
      </w:r>
      <w:proofErr w:type="spellStart"/>
      <w:r w:rsidRPr="00E25B3A">
        <w:rPr>
          <w:rFonts w:ascii="Book Antiqua" w:hAnsi="Book Antiqua" w:cs="宋体"/>
          <w:color w:val="000000"/>
          <w:sz w:val="24"/>
        </w:rPr>
        <w:t>Baishideng</w:t>
      </w:r>
      <w:proofErr w:type="spellEnd"/>
      <w:r w:rsidRPr="00E25B3A">
        <w:rPr>
          <w:rFonts w:ascii="Book Antiqua" w:hAnsi="Book Antiqua" w:cs="宋体"/>
          <w:color w:val="000000"/>
          <w:sz w:val="24"/>
        </w:rPr>
        <w:t xml:space="preserve"> Publishing Group Co., Limited. All rights reserved.</w:t>
      </w:r>
    </w:p>
    <w:p w:rsidR="00627010" w:rsidRPr="00E25B3A" w:rsidRDefault="00627010" w:rsidP="0097748F">
      <w:pPr>
        <w:spacing w:after="0" w:line="360" w:lineRule="auto"/>
        <w:jc w:val="both"/>
        <w:rPr>
          <w:rFonts w:ascii="Book Antiqua" w:hAnsi="Book Antiqua" w:cs="Arial"/>
          <w:b/>
          <w:sz w:val="24"/>
          <w:szCs w:val="24"/>
          <w:lang w:eastAsia="zh-CN"/>
        </w:rPr>
      </w:pPr>
    </w:p>
    <w:p w:rsidR="00147660" w:rsidRPr="00E25B3A" w:rsidRDefault="00E13F00" w:rsidP="0097748F">
      <w:pPr>
        <w:spacing w:after="0" w:line="360" w:lineRule="auto"/>
        <w:jc w:val="both"/>
        <w:rPr>
          <w:rFonts w:ascii="Book Antiqua" w:hAnsi="Book Antiqua" w:cs="Arial"/>
          <w:sz w:val="24"/>
          <w:szCs w:val="24"/>
        </w:rPr>
      </w:pPr>
      <w:r w:rsidRPr="00E25B3A">
        <w:rPr>
          <w:rFonts w:ascii="Book Antiqua" w:hAnsi="Book Antiqua"/>
          <w:b/>
          <w:sz w:val="24"/>
        </w:rPr>
        <w:lastRenderedPageBreak/>
        <w:t>Key words:</w:t>
      </w:r>
      <w:r w:rsidR="00147660" w:rsidRPr="00E25B3A">
        <w:rPr>
          <w:rFonts w:ascii="Book Antiqua" w:hAnsi="Book Antiqua" w:cs="Arial"/>
          <w:sz w:val="24"/>
          <w:szCs w:val="24"/>
        </w:rPr>
        <w:t xml:space="preserve"> </w:t>
      </w:r>
      <w:r w:rsidRPr="00E25B3A">
        <w:rPr>
          <w:rFonts w:ascii="Book Antiqua" w:hAnsi="Book Antiqua" w:cs="Arial"/>
          <w:sz w:val="24"/>
          <w:szCs w:val="24"/>
        </w:rPr>
        <w:t>Nausea</w:t>
      </w:r>
      <w:r w:rsidRPr="00E25B3A">
        <w:rPr>
          <w:rFonts w:ascii="Book Antiqua" w:hAnsi="Book Antiqua" w:cs="Arial" w:hint="eastAsia"/>
          <w:sz w:val="24"/>
          <w:szCs w:val="24"/>
          <w:lang w:eastAsia="zh-CN"/>
        </w:rPr>
        <w:t>;</w:t>
      </w:r>
      <w:r w:rsidR="00147660" w:rsidRPr="00E25B3A">
        <w:rPr>
          <w:rFonts w:ascii="Book Antiqua" w:hAnsi="Book Antiqua" w:cs="Arial"/>
          <w:sz w:val="24"/>
          <w:szCs w:val="24"/>
        </w:rPr>
        <w:t xml:space="preserve"> </w:t>
      </w:r>
      <w:r w:rsidRPr="00E25B3A">
        <w:rPr>
          <w:rFonts w:ascii="Book Antiqua" w:hAnsi="Book Antiqua" w:cs="Arial"/>
          <w:sz w:val="24"/>
          <w:szCs w:val="24"/>
        </w:rPr>
        <w:t>Vomiting</w:t>
      </w:r>
      <w:r w:rsidRPr="00E25B3A">
        <w:rPr>
          <w:rFonts w:ascii="Book Antiqua" w:hAnsi="Book Antiqua" w:cs="Arial" w:hint="eastAsia"/>
          <w:sz w:val="24"/>
          <w:szCs w:val="24"/>
          <w:lang w:eastAsia="zh-CN"/>
        </w:rPr>
        <w:t>;</w:t>
      </w:r>
      <w:r w:rsidR="00147660" w:rsidRPr="00E25B3A">
        <w:rPr>
          <w:rFonts w:ascii="Book Antiqua" w:hAnsi="Book Antiqua" w:cs="Arial"/>
          <w:sz w:val="24"/>
          <w:szCs w:val="24"/>
        </w:rPr>
        <w:t xml:space="preserve"> </w:t>
      </w:r>
      <w:proofErr w:type="spellStart"/>
      <w:r w:rsidRPr="00E25B3A">
        <w:rPr>
          <w:rFonts w:ascii="Book Antiqua" w:hAnsi="Book Antiqua" w:cs="Arial"/>
          <w:sz w:val="24"/>
          <w:szCs w:val="24"/>
        </w:rPr>
        <w:t>Gastroparesis</w:t>
      </w:r>
      <w:proofErr w:type="spellEnd"/>
      <w:r w:rsidRPr="00E25B3A">
        <w:rPr>
          <w:rFonts w:ascii="Book Antiqua" w:hAnsi="Book Antiqua" w:cs="Arial" w:hint="eastAsia"/>
          <w:sz w:val="24"/>
          <w:szCs w:val="24"/>
          <w:lang w:eastAsia="zh-CN"/>
        </w:rPr>
        <w:t>;</w:t>
      </w:r>
      <w:r w:rsidR="00147660" w:rsidRPr="00E25B3A">
        <w:rPr>
          <w:rFonts w:ascii="Book Antiqua" w:hAnsi="Book Antiqua" w:cs="Arial"/>
          <w:sz w:val="24"/>
          <w:szCs w:val="24"/>
        </w:rPr>
        <w:t xml:space="preserve"> </w:t>
      </w:r>
      <w:r w:rsidRPr="00E25B3A">
        <w:rPr>
          <w:rFonts w:ascii="Book Antiqua" w:hAnsi="Book Antiqua" w:cs="Arial"/>
          <w:sz w:val="24"/>
          <w:szCs w:val="24"/>
        </w:rPr>
        <w:t>Symptoms</w:t>
      </w:r>
      <w:r w:rsidRPr="00E25B3A">
        <w:rPr>
          <w:rFonts w:ascii="Book Antiqua" w:hAnsi="Book Antiqua" w:cs="Arial" w:hint="eastAsia"/>
          <w:sz w:val="24"/>
          <w:szCs w:val="24"/>
          <w:lang w:eastAsia="zh-CN"/>
        </w:rPr>
        <w:t>;</w:t>
      </w:r>
      <w:r w:rsidR="00147660" w:rsidRPr="00E25B3A">
        <w:rPr>
          <w:rFonts w:ascii="Book Antiqua" w:hAnsi="Book Antiqua" w:cs="Arial"/>
          <w:sz w:val="24"/>
          <w:szCs w:val="24"/>
        </w:rPr>
        <w:t xml:space="preserve"> </w:t>
      </w:r>
      <w:r w:rsidRPr="00E25B3A">
        <w:rPr>
          <w:rFonts w:ascii="Book Antiqua" w:hAnsi="Book Antiqua" w:cs="Arial"/>
          <w:sz w:val="24"/>
          <w:szCs w:val="24"/>
        </w:rPr>
        <w:t>Mirtazapine</w:t>
      </w:r>
      <w:r w:rsidRPr="00E25B3A">
        <w:rPr>
          <w:rFonts w:ascii="Book Antiqua" w:hAnsi="Book Antiqua" w:cs="Arial" w:hint="eastAsia"/>
          <w:sz w:val="24"/>
          <w:szCs w:val="24"/>
          <w:lang w:eastAsia="zh-CN"/>
        </w:rPr>
        <w:t>;</w:t>
      </w:r>
      <w:r w:rsidR="00147660" w:rsidRPr="00E25B3A">
        <w:rPr>
          <w:rFonts w:ascii="Book Antiqua" w:hAnsi="Book Antiqua" w:cs="Arial"/>
          <w:sz w:val="24"/>
          <w:szCs w:val="24"/>
        </w:rPr>
        <w:t xml:space="preserve"> </w:t>
      </w:r>
      <w:r w:rsidRPr="00E25B3A">
        <w:rPr>
          <w:rFonts w:ascii="Book Antiqua" w:hAnsi="Book Antiqua" w:cs="Arial"/>
          <w:sz w:val="24"/>
          <w:szCs w:val="24"/>
        </w:rPr>
        <w:t>Anti</w:t>
      </w:r>
      <w:r w:rsidR="00147660" w:rsidRPr="00E25B3A">
        <w:rPr>
          <w:rFonts w:ascii="Book Antiqua" w:hAnsi="Book Antiqua" w:cs="Arial"/>
          <w:sz w:val="24"/>
          <w:szCs w:val="24"/>
        </w:rPr>
        <w:t>-emetics</w:t>
      </w:r>
    </w:p>
    <w:p w:rsidR="005E1073" w:rsidRPr="00E25B3A" w:rsidRDefault="005E1073" w:rsidP="0097748F">
      <w:pPr>
        <w:spacing w:after="0" w:line="360" w:lineRule="auto"/>
        <w:jc w:val="both"/>
        <w:rPr>
          <w:rFonts w:ascii="Book Antiqua" w:hAnsi="Book Antiqua" w:cs="Arial"/>
          <w:b/>
          <w:sz w:val="24"/>
          <w:szCs w:val="24"/>
          <w:lang w:eastAsia="zh-CN"/>
        </w:rPr>
      </w:pPr>
    </w:p>
    <w:p w:rsidR="00EC2862" w:rsidRPr="00E25B3A" w:rsidRDefault="00C7065B" w:rsidP="0097748F">
      <w:pPr>
        <w:spacing w:after="0" w:line="360" w:lineRule="auto"/>
        <w:jc w:val="both"/>
        <w:rPr>
          <w:rFonts w:ascii="Book Antiqua" w:hAnsi="Book Antiqua" w:cs="Arial"/>
          <w:sz w:val="24"/>
          <w:szCs w:val="24"/>
        </w:rPr>
      </w:pPr>
      <w:r w:rsidRPr="00E25B3A">
        <w:rPr>
          <w:rFonts w:ascii="Book Antiqua" w:hAnsi="Book Antiqua" w:cs="Arial"/>
          <w:b/>
          <w:sz w:val="24"/>
          <w:szCs w:val="24"/>
        </w:rPr>
        <w:t xml:space="preserve">Core </w:t>
      </w:r>
      <w:r w:rsidR="007C391C" w:rsidRPr="00E25B3A">
        <w:rPr>
          <w:rFonts w:ascii="Book Antiqua" w:hAnsi="Book Antiqua" w:cs="Arial"/>
          <w:b/>
          <w:sz w:val="24"/>
          <w:szCs w:val="24"/>
        </w:rPr>
        <w:t>tip</w:t>
      </w:r>
      <w:r w:rsidR="007C391C" w:rsidRPr="00E25B3A">
        <w:rPr>
          <w:rFonts w:ascii="Book Antiqua" w:hAnsi="Book Antiqua" w:cs="Arial"/>
          <w:sz w:val="24"/>
          <w:szCs w:val="24"/>
        </w:rPr>
        <w:t xml:space="preserve">: </w:t>
      </w:r>
      <w:r w:rsidRPr="00E25B3A">
        <w:rPr>
          <w:rFonts w:ascii="Book Antiqua" w:hAnsi="Book Antiqua" w:cs="Arial"/>
          <w:sz w:val="24"/>
          <w:szCs w:val="24"/>
        </w:rPr>
        <w:t>The management of symptoms associated with severe gastroparesis remains challenging because current therapeu</w:t>
      </w:r>
      <w:r w:rsidR="0026658A" w:rsidRPr="00E25B3A">
        <w:rPr>
          <w:rFonts w:ascii="Book Antiqua" w:hAnsi="Book Antiqua" w:cs="Arial"/>
          <w:sz w:val="24"/>
          <w:szCs w:val="24"/>
        </w:rPr>
        <w:t>tic options are fairly limited.</w:t>
      </w:r>
      <w:r w:rsidRPr="00E25B3A">
        <w:rPr>
          <w:rFonts w:ascii="Book Antiqua" w:hAnsi="Book Antiqua" w:cs="Arial"/>
          <w:sz w:val="24"/>
          <w:szCs w:val="24"/>
        </w:rPr>
        <w:t xml:space="preserve"> This case report documents the rapid improvement of nausea and vomiting in a patient with severe post-infectious gastroparesis </w:t>
      </w:r>
      <w:r w:rsidR="009D0441" w:rsidRPr="00E25B3A">
        <w:rPr>
          <w:rFonts w:ascii="Book Antiqua" w:hAnsi="Book Antiqua" w:cs="Arial"/>
          <w:sz w:val="24"/>
          <w:szCs w:val="24"/>
        </w:rPr>
        <w:t xml:space="preserve">with </w:t>
      </w:r>
      <w:r w:rsidR="00360C28" w:rsidRPr="00E25B3A">
        <w:rPr>
          <w:rFonts w:ascii="Book Antiqua" w:hAnsi="Book Antiqua" w:cs="Arial"/>
          <w:sz w:val="24"/>
          <w:szCs w:val="24"/>
        </w:rPr>
        <w:t xml:space="preserve">mirtazapine. </w:t>
      </w:r>
      <w:r w:rsidRPr="00E25B3A">
        <w:rPr>
          <w:rFonts w:ascii="Book Antiqua" w:hAnsi="Book Antiqua" w:cs="Arial"/>
          <w:sz w:val="24"/>
          <w:szCs w:val="24"/>
        </w:rPr>
        <w:t>Because mirtazapine acts primarily as a serotonin 1a receptor agonist, this receptor system may be an important adjunctive target for nausea and vomiting ref</w:t>
      </w:r>
      <w:r w:rsidR="00360C28" w:rsidRPr="00E25B3A">
        <w:rPr>
          <w:rFonts w:ascii="Book Antiqua" w:hAnsi="Book Antiqua" w:cs="Arial"/>
          <w:sz w:val="24"/>
          <w:szCs w:val="24"/>
        </w:rPr>
        <w:t xml:space="preserve">ractory to standard therapies. </w:t>
      </w:r>
      <w:r w:rsidRPr="00E25B3A">
        <w:rPr>
          <w:rFonts w:ascii="Book Antiqua" w:hAnsi="Book Antiqua" w:cs="Arial"/>
          <w:sz w:val="24"/>
          <w:szCs w:val="24"/>
        </w:rPr>
        <w:t xml:space="preserve">Thus, mirtazapine should be considered as a treatment option for gastroparesis. </w:t>
      </w:r>
    </w:p>
    <w:p w:rsidR="00CB0FB1" w:rsidRPr="00E25B3A" w:rsidRDefault="00CB0FB1" w:rsidP="0097748F">
      <w:pPr>
        <w:spacing w:after="0" w:line="360" w:lineRule="auto"/>
        <w:jc w:val="both"/>
        <w:rPr>
          <w:rFonts w:ascii="Book Antiqua" w:hAnsi="Book Antiqua" w:cs="Arial"/>
          <w:sz w:val="24"/>
          <w:szCs w:val="24"/>
        </w:rPr>
      </w:pPr>
    </w:p>
    <w:p w:rsidR="009B2B56" w:rsidRPr="00E25B3A" w:rsidRDefault="00CB0FB1" w:rsidP="0097748F">
      <w:pPr>
        <w:spacing w:after="0" w:line="360" w:lineRule="auto"/>
        <w:jc w:val="both"/>
        <w:rPr>
          <w:rFonts w:ascii="Book Antiqua" w:hAnsi="Book Antiqua" w:cs="Arial"/>
          <w:i/>
          <w:sz w:val="24"/>
          <w:szCs w:val="24"/>
          <w:lang w:eastAsia="zh-CN"/>
        </w:rPr>
      </w:pPr>
      <w:proofErr w:type="spellStart"/>
      <w:r w:rsidRPr="00E25B3A">
        <w:rPr>
          <w:rFonts w:ascii="Book Antiqua" w:hAnsi="Book Antiqua" w:cs="Arial"/>
          <w:sz w:val="24"/>
          <w:szCs w:val="24"/>
        </w:rPr>
        <w:t>Kundu</w:t>
      </w:r>
      <w:proofErr w:type="spellEnd"/>
      <w:r w:rsidRPr="00E25B3A">
        <w:rPr>
          <w:rFonts w:ascii="Book Antiqua" w:hAnsi="Book Antiqua" w:cs="Arial"/>
          <w:sz w:val="24"/>
          <w:szCs w:val="24"/>
        </w:rPr>
        <w:t xml:space="preserve"> S, </w:t>
      </w:r>
      <w:proofErr w:type="spellStart"/>
      <w:r w:rsidRPr="00E25B3A">
        <w:rPr>
          <w:rFonts w:ascii="Book Antiqua" w:hAnsi="Book Antiqua" w:cs="Arial"/>
          <w:sz w:val="24"/>
          <w:szCs w:val="24"/>
        </w:rPr>
        <w:t>Rogal</w:t>
      </w:r>
      <w:proofErr w:type="spellEnd"/>
      <w:r w:rsidRPr="00E25B3A">
        <w:rPr>
          <w:rFonts w:ascii="Book Antiqua" w:hAnsi="Book Antiqua" w:cs="Arial"/>
          <w:sz w:val="24"/>
          <w:szCs w:val="24"/>
        </w:rPr>
        <w:t xml:space="preserve"> S, </w:t>
      </w:r>
      <w:proofErr w:type="spellStart"/>
      <w:r w:rsidRPr="00E25B3A">
        <w:rPr>
          <w:rFonts w:ascii="Book Antiqua" w:hAnsi="Book Antiqua" w:cs="Arial"/>
          <w:sz w:val="24"/>
          <w:szCs w:val="24"/>
        </w:rPr>
        <w:t>Alam</w:t>
      </w:r>
      <w:proofErr w:type="spellEnd"/>
      <w:r w:rsidRPr="00E25B3A">
        <w:rPr>
          <w:rFonts w:ascii="Book Antiqua" w:hAnsi="Book Antiqua" w:cs="Arial"/>
          <w:sz w:val="24"/>
          <w:szCs w:val="24"/>
        </w:rPr>
        <w:t xml:space="preserve"> A, </w:t>
      </w:r>
      <w:proofErr w:type="spellStart"/>
      <w:r w:rsidRPr="00E25B3A">
        <w:rPr>
          <w:rFonts w:ascii="Book Antiqua" w:hAnsi="Book Antiqua" w:cs="Arial"/>
          <w:sz w:val="24"/>
          <w:szCs w:val="24"/>
        </w:rPr>
        <w:t>Levinthal</w:t>
      </w:r>
      <w:proofErr w:type="spellEnd"/>
      <w:r w:rsidRPr="00E25B3A">
        <w:rPr>
          <w:rFonts w:ascii="Book Antiqua" w:hAnsi="Book Antiqua" w:cs="Arial"/>
          <w:sz w:val="24"/>
          <w:szCs w:val="24"/>
        </w:rPr>
        <w:t xml:space="preserve"> DJ. </w:t>
      </w:r>
      <w:proofErr w:type="gramStart"/>
      <w:r w:rsidRPr="00E25B3A">
        <w:rPr>
          <w:rFonts w:ascii="Book Antiqua" w:hAnsi="Book Antiqua" w:cs="Arial"/>
          <w:sz w:val="24"/>
          <w:szCs w:val="24"/>
        </w:rPr>
        <w:t>Rapid improvement in post-infectious gastroparesis symptoms with mirtazapine.</w:t>
      </w:r>
      <w:proofErr w:type="gramEnd"/>
      <w:r w:rsidRPr="00E25B3A">
        <w:rPr>
          <w:rFonts w:ascii="Book Antiqua" w:hAnsi="Book Antiqua" w:cs="Arial"/>
          <w:sz w:val="24"/>
          <w:szCs w:val="24"/>
        </w:rPr>
        <w:t xml:space="preserve"> </w:t>
      </w:r>
    </w:p>
    <w:p w:rsidR="0026658A" w:rsidRPr="00E25B3A" w:rsidRDefault="0026658A" w:rsidP="0026658A">
      <w:pPr>
        <w:spacing w:after="0" w:line="360" w:lineRule="auto"/>
        <w:jc w:val="both"/>
        <w:rPr>
          <w:rFonts w:ascii="Book Antiqua" w:hAnsi="Book Antiqua" w:cs="Arial"/>
          <w:b/>
          <w:sz w:val="24"/>
          <w:szCs w:val="24"/>
          <w:lang w:eastAsia="zh-CN"/>
        </w:rPr>
      </w:pPr>
      <w:r w:rsidRPr="00E25B3A">
        <w:rPr>
          <w:rFonts w:ascii="Book Antiqua" w:hAnsi="Book Antiqua" w:cs="Arial"/>
          <w:b/>
          <w:sz w:val="24"/>
          <w:szCs w:val="24"/>
          <w:lang w:eastAsia="zh-CN"/>
        </w:rPr>
        <w:t xml:space="preserve">Available from: </w:t>
      </w:r>
    </w:p>
    <w:p w:rsidR="0026658A" w:rsidRPr="00E25B3A" w:rsidRDefault="0026658A" w:rsidP="0026658A">
      <w:pPr>
        <w:spacing w:after="0" w:line="360" w:lineRule="auto"/>
        <w:jc w:val="both"/>
        <w:rPr>
          <w:rFonts w:ascii="Book Antiqua" w:hAnsi="Book Antiqua" w:cs="Arial"/>
          <w:b/>
          <w:sz w:val="24"/>
          <w:szCs w:val="24"/>
          <w:lang w:eastAsia="zh-CN"/>
        </w:rPr>
      </w:pPr>
      <w:r w:rsidRPr="00E25B3A">
        <w:rPr>
          <w:rFonts w:ascii="Book Antiqua" w:hAnsi="Book Antiqua" w:cs="Arial"/>
          <w:b/>
          <w:sz w:val="24"/>
          <w:szCs w:val="24"/>
          <w:lang w:eastAsia="zh-CN"/>
        </w:rPr>
        <w:t>DOI:</w:t>
      </w:r>
    </w:p>
    <w:p w:rsidR="005E1073" w:rsidRPr="00E25B3A" w:rsidRDefault="005E1073" w:rsidP="0097748F">
      <w:pPr>
        <w:spacing w:after="0" w:line="360" w:lineRule="auto"/>
        <w:jc w:val="both"/>
        <w:rPr>
          <w:rFonts w:ascii="Book Antiqua" w:hAnsi="Book Antiqua" w:cs="Arial"/>
          <w:b/>
          <w:sz w:val="24"/>
          <w:szCs w:val="24"/>
          <w:lang w:eastAsia="zh-CN"/>
        </w:rPr>
      </w:pPr>
    </w:p>
    <w:p w:rsidR="00D76E37" w:rsidRPr="00E25B3A" w:rsidRDefault="00D76E37" w:rsidP="0097748F">
      <w:pPr>
        <w:spacing w:after="0" w:line="360" w:lineRule="auto"/>
        <w:jc w:val="both"/>
        <w:rPr>
          <w:rFonts w:ascii="Book Antiqua" w:hAnsi="Book Antiqua" w:cs="Arial"/>
          <w:b/>
          <w:caps/>
          <w:sz w:val="24"/>
          <w:szCs w:val="24"/>
        </w:rPr>
      </w:pPr>
      <w:r w:rsidRPr="00E25B3A">
        <w:rPr>
          <w:rFonts w:ascii="Book Antiqua" w:hAnsi="Book Antiqua" w:cs="Arial"/>
          <w:b/>
          <w:caps/>
          <w:sz w:val="24"/>
          <w:szCs w:val="24"/>
        </w:rPr>
        <w:t xml:space="preserve">Introduction </w:t>
      </w:r>
    </w:p>
    <w:p w:rsidR="00D76E37" w:rsidRPr="00E25B3A" w:rsidRDefault="00D76E37" w:rsidP="0097748F">
      <w:pPr>
        <w:spacing w:after="0" w:line="360" w:lineRule="auto"/>
        <w:jc w:val="both"/>
        <w:rPr>
          <w:rFonts w:ascii="Book Antiqua" w:hAnsi="Book Antiqua" w:cs="Arial"/>
          <w:sz w:val="24"/>
          <w:szCs w:val="24"/>
        </w:rPr>
      </w:pPr>
      <w:proofErr w:type="spellStart"/>
      <w:r w:rsidRPr="00E25B3A">
        <w:rPr>
          <w:rFonts w:ascii="Book Antiqua" w:hAnsi="Book Antiqua" w:cs="Arial"/>
          <w:sz w:val="24"/>
          <w:szCs w:val="24"/>
        </w:rPr>
        <w:t>Gastroparesis</w:t>
      </w:r>
      <w:proofErr w:type="spellEnd"/>
      <w:r w:rsidRPr="00E25B3A">
        <w:rPr>
          <w:rFonts w:ascii="Book Antiqua" w:hAnsi="Book Antiqua" w:cs="Arial"/>
          <w:sz w:val="24"/>
          <w:szCs w:val="24"/>
        </w:rPr>
        <w:t xml:space="preserve"> is a disorder defined by delayed gastric emptying in the absence of mechanical gastric outlet </w:t>
      </w:r>
      <w:proofErr w:type="gramStart"/>
      <w:r w:rsidRPr="00E25B3A">
        <w:rPr>
          <w:rFonts w:ascii="Book Antiqua" w:hAnsi="Book Antiqua" w:cs="Arial"/>
          <w:sz w:val="24"/>
          <w:szCs w:val="24"/>
        </w:rPr>
        <w:t>obstruction</w:t>
      </w:r>
      <w:r w:rsidRPr="00E25B3A">
        <w:rPr>
          <w:rFonts w:ascii="Book Antiqua" w:hAnsi="Book Antiqua" w:cs="Arial"/>
          <w:sz w:val="24"/>
          <w:szCs w:val="24"/>
          <w:vertAlign w:val="superscript"/>
        </w:rPr>
        <w:t>[</w:t>
      </w:r>
      <w:proofErr w:type="gramEnd"/>
      <w:r w:rsidRPr="00E25B3A">
        <w:rPr>
          <w:rFonts w:ascii="Book Antiqua" w:hAnsi="Book Antiqua" w:cs="Arial"/>
          <w:sz w:val="24"/>
          <w:szCs w:val="24"/>
          <w:vertAlign w:val="superscript"/>
        </w:rPr>
        <w:t>1]</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Patients with </w:t>
      </w:r>
      <w:proofErr w:type="spellStart"/>
      <w:r w:rsidRPr="00E25B3A">
        <w:rPr>
          <w:rFonts w:ascii="Book Antiqua" w:hAnsi="Book Antiqua" w:cs="Arial"/>
          <w:sz w:val="24"/>
          <w:szCs w:val="24"/>
        </w:rPr>
        <w:t>gastroparesis</w:t>
      </w:r>
      <w:proofErr w:type="spellEnd"/>
      <w:r w:rsidRPr="00E25B3A">
        <w:rPr>
          <w:rFonts w:ascii="Book Antiqua" w:hAnsi="Book Antiqua" w:cs="Arial"/>
          <w:sz w:val="24"/>
          <w:szCs w:val="24"/>
        </w:rPr>
        <w:t xml:space="preserve"> typically experience symptoms including anorexia, nausea and vomiting, </w:t>
      </w:r>
      <w:r w:rsidR="006108D1" w:rsidRPr="00E25B3A">
        <w:rPr>
          <w:rFonts w:ascii="Book Antiqua" w:hAnsi="Book Antiqua" w:cs="Arial"/>
          <w:sz w:val="24"/>
          <w:szCs w:val="24"/>
        </w:rPr>
        <w:t xml:space="preserve">abdominal pain, </w:t>
      </w:r>
      <w:r w:rsidRPr="00E25B3A">
        <w:rPr>
          <w:rFonts w:ascii="Book Antiqua" w:hAnsi="Book Antiqua" w:cs="Arial"/>
          <w:sz w:val="24"/>
          <w:szCs w:val="24"/>
        </w:rPr>
        <w:t>and other dyspeptic symptoms (</w:t>
      </w:r>
      <w:r w:rsidRPr="00E25B3A">
        <w:rPr>
          <w:rFonts w:ascii="Book Antiqua" w:hAnsi="Book Antiqua" w:cs="Arial"/>
          <w:i/>
          <w:sz w:val="24"/>
          <w:szCs w:val="24"/>
        </w:rPr>
        <w:t>e.g.</w:t>
      </w:r>
      <w:r w:rsidRPr="00E25B3A">
        <w:rPr>
          <w:rFonts w:ascii="Book Antiqua" w:hAnsi="Book Antiqua" w:cs="Arial"/>
          <w:sz w:val="24"/>
          <w:szCs w:val="24"/>
        </w:rPr>
        <w:t>, early satiety, post-prandial bloating</w:t>
      </w:r>
      <w:proofErr w:type="gramStart"/>
      <w:r w:rsidRPr="00E25B3A">
        <w:rPr>
          <w:rFonts w:ascii="Book Antiqua" w:hAnsi="Book Antiqua" w:cs="Arial"/>
          <w:sz w:val="24"/>
          <w:szCs w:val="24"/>
        </w:rPr>
        <w:t>)</w:t>
      </w:r>
      <w:r w:rsidRPr="00E25B3A">
        <w:rPr>
          <w:rFonts w:ascii="Book Antiqua" w:hAnsi="Book Antiqua" w:cs="Arial"/>
          <w:sz w:val="24"/>
          <w:szCs w:val="24"/>
          <w:vertAlign w:val="superscript"/>
        </w:rPr>
        <w:t>[</w:t>
      </w:r>
      <w:proofErr w:type="gramEnd"/>
      <w:r w:rsidRPr="00E25B3A">
        <w:rPr>
          <w:rFonts w:ascii="Book Antiqua" w:hAnsi="Book Antiqua" w:cs="Arial"/>
          <w:sz w:val="24"/>
          <w:szCs w:val="24"/>
          <w:vertAlign w:val="superscript"/>
        </w:rPr>
        <w:t>1</w:t>
      </w:r>
      <w:r w:rsidR="00A05490" w:rsidRPr="00E25B3A">
        <w:rPr>
          <w:rFonts w:ascii="Book Antiqua" w:hAnsi="Book Antiqua" w:cs="Arial" w:hint="eastAsia"/>
          <w:sz w:val="24"/>
          <w:szCs w:val="24"/>
          <w:vertAlign w:val="superscript"/>
          <w:lang w:eastAsia="zh-CN"/>
        </w:rPr>
        <w:t>-</w:t>
      </w:r>
      <w:r w:rsidR="00D34247" w:rsidRPr="00E25B3A">
        <w:rPr>
          <w:rFonts w:ascii="Book Antiqua" w:hAnsi="Book Antiqua" w:cs="Arial"/>
          <w:sz w:val="24"/>
          <w:szCs w:val="24"/>
          <w:vertAlign w:val="superscript"/>
        </w:rPr>
        <w:t>3</w:t>
      </w:r>
      <w:r w:rsidRPr="00E25B3A">
        <w:rPr>
          <w:rFonts w:ascii="Book Antiqua" w:hAnsi="Book Antiqua" w:cs="Arial"/>
          <w:sz w:val="24"/>
          <w:szCs w:val="24"/>
          <w:vertAlign w:val="superscript"/>
        </w:rPr>
        <w:t>]</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Patients can have a wide range of symptom severity, and those with more severe cases may require multiple </w:t>
      </w:r>
      <w:proofErr w:type="gramStart"/>
      <w:r w:rsidRPr="00E25B3A">
        <w:rPr>
          <w:rFonts w:ascii="Book Antiqua" w:hAnsi="Book Antiqua" w:cs="Arial"/>
          <w:sz w:val="24"/>
          <w:szCs w:val="24"/>
        </w:rPr>
        <w:t>hospitalizations</w:t>
      </w:r>
      <w:r w:rsidR="00D34247" w:rsidRPr="00E25B3A">
        <w:rPr>
          <w:rFonts w:ascii="Book Antiqua" w:hAnsi="Book Antiqua" w:cs="Arial"/>
          <w:sz w:val="24"/>
          <w:szCs w:val="24"/>
          <w:vertAlign w:val="superscript"/>
        </w:rPr>
        <w:t>[</w:t>
      </w:r>
      <w:proofErr w:type="gramEnd"/>
      <w:r w:rsidR="00D34247" w:rsidRPr="00E25B3A">
        <w:rPr>
          <w:rFonts w:ascii="Book Antiqua" w:hAnsi="Book Antiqua" w:cs="Arial"/>
          <w:sz w:val="24"/>
          <w:szCs w:val="24"/>
          <w:vertAlign w:val="superscript"/>
        </w:rPr>
        <w:t>4]</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Patients tend to have a clinical course that lasts several months to </w:t>
      </w:r>
      <w:proofErr w:type="gramStart"/>
      <w:r w:rsidRPr="00E25B3A">
        <w:rPr>
          <w:rFonts w:ascii="Book Antiqua" w:hAnsi="Book Antiqua" w:cs="Arial"/>
          <w:sz w:val="24"/>
          <w:szCs w:val="24"/>
        </w:rPr>
        <w:t>years</w:t>
      </w:r>
      <w:r w:rsidRPr="00E25B3A">
        <w:rPr>
          <w:rFonts w:ascii="Book Antiqua" w:hAnsi="Book Antiqua" w:cs="Arial"/>
          <w:sz w:val="24"/>
          <w:szCs w:val="24"/>
          <w:vertAlign w:val="superscript"/>
        </w:rPr>
        <w:t>[</w:t>
      </w:r>
      <w:proofErr w:type="gramEnd"/>
      <w:r w:rsidR="00D34247" w:rsidRPr="00E25B3A">
        <w:rPr>
          <w:rFonts w:ascii="Book Antiqua" w:hAnsi="Book Antiqua" w:cs="Arial"/>
          <w:sz w:val="24"/>
          <w:szCs w:val="24"/>
          <w:vertAlign w:val="superscript"/>
        </w:rPr>
        <w:t>5,6</w:t>
      </w:r>
      <w:r w:rsidRPr="00E25B3A">
        <w:rPr>
          <w:rFonts w:ascii="Book Antiqua" w:hAnsi="Book Antiqua" w:cs="Arial"/>
          <w:sz w:val="24"/>
          <w:szCs w:val="24"/>
          <w:vertAlign w:val="superscript"/>
        </w:rPr>
        <w:t>]</w:t>
      </w:r>
      <w:r w:rsidRPr="00E25B3A">
        <w:rPr>
          <w:rFonts w:ascii="Book Antiqua" w:hAnsi="Book Antiqua" w:cs="Arial"/>
          <w:sz w:val="24"/>
          <w:szCs w:val="24"/>
        </w:rPr>
        <w:t xml:space="preserve">. The prevalence of gastroparesis has been extrapolated to include up to </w:t>
      </w:r>
      <w:r w:rsidR="00A05490" w:rsidRPr="00E25B3A">
        <w:rPr>
          <w:rFonts w:ascii="Book Antiqua" w:hAnsi="Book Antiqua" w:cs="Arial"/>
          <w:sz w:val="24"/>
          <w:szCs w:val="24"/>
          <w:lang w:eastAsia="zh-CN"/>
        </w:rPr>
        <w:t>approximate</w:t>
      </w:r>
      <w:r w:rsidR="00A05490" w:rsidRPr="00E25B3A">
        <w:rPr>
          <w:rFonts w:ascii="Book Antiqua" w:hAnsi="Book Antiqua" w:cs="Arial" w:hint="eastAsia"/>
          <w:sz w:val="24"/>
          <w:szCs w:val="24"/>
          <w:lang w:eastAsia="zh-CN"/>
        </w:rPr>
        <w:t xml:space="preserve">ly </w:t>
      </w:r>
      <w:r w:rsidRPr="00E25B3A">
        <w:rPr>
          <w:rFonts w:ascii="Book Antiqua" w:hAnsi="Book Antiqua" w:cs="Arial"/>
          <w:sz w:val="24"/>
          <w:szCs w:val="24"/>
        </w:rPr>
        <w:t>2% of the general population, but even this estimate has been thought to represent the “tip of the iceberg</w:t>
      </w:r>
      <w:proofErr w:type="gramStart"/>
      <w:r w:rsidRPr="00E25B3A">
        <w:rPr>
          <w:rFonts w:ascii="Book Antiqua" w:hAnsi="Book Antiqua" w:cs="Arial"/>
          <w:sz w:val="24"/>
          <w:szCs w:val="24"/>
        </w:rPr>
        <w:t>”</w:t>
      </w:r>
      <w:r w:rsidRPr="00E25B3A">
        <w:rPr>
          <w:rFonts w:ascii="Book Antiqua" w:hAnsi="Book Antiqua" w:cs="Arial"/>
          <w:sz w:val="24"/>
          <w:szCs w:val="24"/>
          <w:vertAlign w:val="superscript"/>
        </w:rPr>
        <w:t>[</w:t>
      </w:r>
      <w:proofErr w:type="gramEnd"/>
      <w:r w:rsidR="00D34247" w:rsidRPr="00E25B3A">
        <w:rPr>
          <w:rFonts w:ascii="Book Antiqua" w:hAnsi="Book Antiqua" w:cs="Arial"/>
          <w:sz w:val="24"/>
          <w:szCs w:val="24"/>
          <w:vertAlign w:val="superscript"/>
        </w:rPr>
        <w:t>7,</w:t>
      </w:r>
      <w:r w:rsidRPr="00E25B3A">
        <w:rPr>
          <w:rFonts w:ascii="Book Antiqua" w:hAnsi="Book Antiqua" w:cs="Arial"/>
          <w:sz w:val="24"/>
          <w:szCs w:val="24"/>
          <w:vertAlign w:val="superscript"/>
        </w:rPr>
        <w:t>8]</w:t>
      </w:r>
      <w:r w:rsidRPr="00E25B3A">
        <w:rPr>
          <w:rFonts w:ascii="Book Antiqua" w:hAnsi="Book Antiqua" w:cs="Arial"/>
          <w:sz w:val="24"/>
          <w:szCs w:val="24"/>
        </w:rPr>
        <w:t>.</w:t>
      </w:r>
    </w:p>
    <w:p w:rsidR="00D76E37" w:rsidRPr="00E25B3A" w:rsidRDefault="00D76E37" w:rsidP="00A05490">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 xml:space="preserve">While </w:t>
      </w:r>
      <w:r w:rsidR="006108D1" w:rsidRPr="00E25B3A">
        <w:rPr>
          <w:rFonts w:ascii="Book Antiqua" w:hAnsi="Book Antiqua" w:cs="Arial"/>
          <w:sz w:val="24"/>
          <w:szCs w:val="24"/>
        </w:rPr>
        <w:t xml:space="preserve">the etiology of gastroparesis was once thought to be primarily caused by </w:t>
      </w:r>
      <w:r w:rsidRPr="00E25B3A">
        <w:rPr>
          <w:rFonts w:ascii="Book Antiqua" w:hAnsi="Book Antiqua" w:cs="Arial"/>
          <w:sz w:val="24"/>
          <w:szCs w:val="24"/>
        </w:rPr>
        <w:t xml:space="preserve">uncontrolled diabetes mellitus </w:t>
      </w:r>
      <w:r w:rsidR="006108D1" w:rsidRPr="00E25B3A">
        <w:rPr>
          <w:rFonts w:ascii="Book Antiqua" w:hAnsi="Book Antiqua" w:cs="Arial"/>
          <w:sz w:val="24"/>
          <w:szCs w:val="24"/>
        </w:rPr>
        <w:t>(</w:t>
      </w:r>
      <w:r w:rsidR="006108D1" w:rsidRPr="00E25B3A">
        <w:rPr>
          <w:rFonts w:ascii="Book Antiqua" w:hAnsi="Book Antiqua" w:cs="Arial"/>
          <w:i/>
          <w:sz w:val="24"/>
          <w:szCs w:val="24"/>
        </w:rPr>
        <w:t>i.e.</w:t>
      </w:r>
      <w:r w:rsidR="006108D1" w:rsidRPr="00E25B3A">
        <w:rPr>
          <w:rFonts w:ascii="Book Antiqua" w:hAnsi="Book Antiqua" w:cs="Arial"/>
          <w:sz w:val="24"/>
          <w:szCs w:val="24"/>
        </w:rPr>
        <w:t xml:space="preserve"> visceral neuropathy) or </w:t>
      </w:r>
      <w:r w:rsidRPr="00E25B3A">
        <w:rPr>
          <w:rFonts w:ascii="Book Antiqua" w:hAnsi="Book Antiqua" w:cs="Arial"/>
          <w:sz w:val="24"/>
          <w:szCs w:val="24"/>
        </w:rPr>
        <w:t>prior gastric surgery</w:t>
      </w:r>
      <w:r w:rsidR="006108D1" w:rsidRPr="00E25B3A">
        <w:rPr>
          <w:rFonts w:ascii="Book Antiqua" w:hAnsi="Book Antiqua" w:cs="Arial"/>
          <w:sz w:val="24"/>
          <w:szCs w:val="24"/>
        </w:rPr>
        <w:t xml:space="preserve"> resulting in </w:t>
      </w:r>
      <w:r w:rsidRPr="00E25B3A">
        <w:rPr>
          <w:rFonts w:ascii="Book Antiqua" w:hAnsi="Book Antiqua" w:cs="Arial"/>
          <w:sz w:val="24"/>
          <w:szCs w:val="24"/>
        </w:rPr>
        <w:t>vagal nerve injury, it is now appreciated that the majority of cases of gastroparesis are idiopathic</w:t>
      </w:r>
      <w:r w:rsidRPr="00E25B3A">
        <w:rPr>
          <w:rFonts w:ascii="Book Antiqua" w:hAnsi="Book Antiqua" w:cs="Arial"/>
          <w:sz w:val="24"/>
          <w:szCs w:val="24"/>
          <w:vertAlign w:val="superscript"/>
        </w:rPr>
        <w:t>[</w:t>
      </w:r>
      <w:r w:rsidR="00D34247" w:rsidRPr="00E25B3A">
        <w:rPr>
          <w:rFonts w:ascii="Book Antiqua" w:hAnsi="Book Antiqua" w:cs="Arial"/>
          <w:sz w:val="24"/>
          <w:szCs w:val="24"/>
          <w:vertAlign w:val="superscript"/>
        </w:rPr>
        <w:t>3,</w:t>
      </w:r>
      <w:r w:rsidRPr="00E25B3A">
        <w:rPr>
          <w:rFonts w:ascii="Book Antiqua" w:hAnsi="Book Antiqua" w:cs="Arial"/>
          <w:sz w:val="24"/>
          <w:szCs w:val="24"/>
          <w:vertAlign w:val="superscript"/>
        </w:rPr>
        <w:t>6]</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However, a significant subset of patients with idiopathic </w:t>
      </w:r>
      <w:r w:rsidRPr="00E25B3A">
        <w:rPr>
          <w:rFonts w:ascii="Book Antiqua" w:hAnsi="Book Antiqua" w:cs="Arial"/>
          <w:sz w:val="24"/>
          <w:szCs w:val="24"/>
        </w:rPr>
        <w:lastRenderedPageBreak/>
        <w:t>gastroparesis can associate the onset of symptoms following a viral-like illness, and this subset of patients tends to present with more acute and severe symptoms. Fortunately, most cases of post-viral gastroparesis ultimately resolve, but patients typically have fairly durable symptoms d</w:t>
      </w:r>
      <w:r w:rsidR="00517E4D" w:rsidRPr="00E25B3A">
        <w:rPr>
          <w:rFonts w:ascii="Book Antiqua" w:hAnsi="Book Antiqua" w:cs="Arial"/>
          <w:sz w:val="24"/>
          <w:szCs w:val="24"/>
        </w:rPr>
        <w:t xml:space="preserve">uring the course of the </w:t>
      </w:r>
      <w:proofErr w:type="gramStart"/>
      <w:r w:rsidR="00517E4D" w:rsidRPr="00E25B3A">
        <w:rPr>
          <w:rFonts w:ascii="Book Antiqua" w:hAnsi="Book Antiqua" w:cs="Arial"/>
          <w:sz w:val="24"/>
          <w:szCs w:val="24"/>
        </w:rPr>
        <w:t>illness</w:t>
      </w:r>
      <w:r w:rsidRPr="00E25B3A">
        <w:rPr>
          <w:rFonts w:ascii="Book Antiqua" w:hAnsi="Book Antiqua" w:cs="Arial"/>
          <w:sz w:val="24"/>
          <w:szCs w:val="24"/>
          <w:vertAlign w:val="superscript"/>
        </w:rPr>
        <w:t>[</w:t>
      </w:r>
      <w:proofErr w:type="gramEnd"/>
      <w:r w:rsidR="00D34247" w:rsidRPr="00E25B3A">
        <w:rPr>
          <w:rFonts w:ascii="Book Antiqua" w:hAnsi="Book Antiqua" w:cs="Arial"/>
          <w:sz w:val="24"/>
          <w:szCs w:val="24"/>
          <w:vertAlign w:val="superscript"/>
        </w:rPr>
        <w:t>6</w:t>
      </w:r>
      <w:r w:rsidRPr="00E25B3A">
        <w:rPr>
          <w:rFonts w:ascii="Book Antiqua" w:hAnsi="Book Antiqua" w:cs="Arial"/>
          <w:sz w:val="24"/>
          <w:szCs w:val="24"/>
          <w:vertAlign w:val="superscript"/>
        </w:rPr>
        <w:t>]</w:t>
      </w:r>
      <w:r w:rsidRPr="00E25B3A">
        <w:rPr>
          <w:rFonts w:ascii="Book Antiqua" w:hAnsi="Book Antiqua" w:cs="Arial"/>
          <w:sz w:val="24"/>
          <w:szCs w:val="24"/>
        </w:rPr>
        <w:t xml:space="preserve">. </w:t>
      </w:r>
    </w:p>
    <w:p w:rsidR="00D76E37" w:rsidRPr="00E25B3A" w:rsidRDefault="00D76E37" w:rsidP="00A05490">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The management of symptoms associated with severe gastroparesis is challenging because current therapeut</w:t>
      </w:r>
      <w:r w:rsidR="00360C28" w:rsidRPr="00E25B3A">
        <w:rPr>
          <w:rFonts w:ascii="Book Antiqua" w:hAnsi="Book Antiqua" w:cs="Arial"/>
          <w:sz w:val="24"/>
          <w:szCs w:val="24"/>
        </w:rPr>
        <w:t xml:space="preserve">ic options are fairly limited. </w:t>
      </w:r>
      <w:r w:rsidRPr="00E25B3A">
        <w:rPr>
          <w:rFonts w:ascii="Book Antiqua" w:hAnsi="Book Antiqua" w:cs="Arial"/>
          <w:sz w:val="24"/>
          <w:szCs w:val="24"/>
        </w:rPr>
        <w:t>The current mainstay of treatment focuses on symptom control using a variety of pharmacologic approaches including prokinetic agents such as metoclopramide, domperidone, and erythromycin, and anti-emetic agents such as phenothiazines and 5-HT3 antagonists (</w:t>
      </w:r>
      <w:r w:rsidRPr="00E25B3A">
        <w:rPr>
          <w:rFonts w:ascii="Book Antiqua" w:hAnsi="Book Antiqua" w:cs="Arial"/>
          <w:i/>
          <w:sz w:val="24"/>
          <w:szCs w:val="24"/>
        </w:rPr>
        <w:t>e.g.</w:t>
      </w:r>
      <w:r w:rsidRPr="00E25B3A">
        <w:rPr>
          <w:rFonts w:ascii="Book Antiqua" w:hAnsi="Book Antiqua" w:cs="Arial"/>
          <w:sz w:val="24"/>
          <w:szCs w:val="24"/>
        </w:rPr>
        <w:t xml:space="preserve"> </w:t>
      </w:r>
      <w:proofErr w:type="spellStart"/>
      <w:r w:rsidRPr="00E25B3A">
        <w:rPr>
          <w:rFonts w:ascii="Book Antiqua" w:hAnsi="Book Antiqua" w:cs="Arial"/>
          <w:sz w:val="24"/>
          <w:szCs w:val="24"/>
        </w:rPr>
        <w:t>ondansetron</w:t>
      </w:r>
      <w:proofErr w:type="spellEnd"/>
      <w:r w:rsidRPr="00E25B3A">
        <w:rPr>
          <w:rFonts w:ascii="Book Antiqua" w:hAnsi="Book Antiqua" w:cs="Arial"/>
          <w:sz w:val="24"/>
          <w:szCs w:val="24"/>
        </w:rPr>
        <w:t>)</w:t>
      </w:r>
      <w:r w:rsidR="007476F0" w:rsidRPr="00E25B3A">
        <w:rPr>
          <w:rFonts w:ascii="Book Antiqua" w:hAnsi="Book Antiqua" w:cs="Arial"/>
          <w:sz w:val="24"/>
          <w:szCs w:val="24"/>
          <w:vertAlign w:val="superscript"/>
        </w:rPr>
        <w:t>[</w:t>
      </w:r>
      <w:r w:rsidR="00EB3B87" w:rsidRPr="00E25B3A">
        <w:rPr>
          <w:rFonts w:ascii="Book Antiqua" w:hAnsi="Book Antiqua" w:cs="Arial"/>
          <w:sz w:val="24"/>
          <w:szCs w:val="24"/>
          <w:vertAlign w:val="superscript"/>
        </w:rPr>
        <w:t>1</w:t>
      </w:r>
      <w:r w:rsidR="00571E94" w:rsidRPr="00E25B3A">
        <w:rPr>
          <w:rFonts w:ascii="Book Antiqua" w:hAnsi="Book Antiqua" w:cs="Arial" w:hint="eastAsia"/>
          <w:sz w:val="24"/>
          <w:szCs w:val="24"/>
          <w:vertAlign w:val="superscript"/>
          <w:lang w:eastAsia="zh-CN"/>
        </w:rPr>
        <w:t>-</w:t>
      </w:r>
      <w:r w:rsidR="00EB3B87" w:rsidRPr="00E25B3A">
        <w:rPr>
          <w:rFonts w:ascii="Book Antiqua" w:hAnsi="Book Antiqua" w:cs="Arial"/>
          <w:sz w:val="24"/>
          <w:szCs w:val="24"/>
          <w:vertAlign w:val="superscript"/>
        </w:rPr>
        <w:t>3,7</w:t>
      </w:r>
      <w:r w:rsidR="007476F0" w:rsidRPr="00E25B3A">
        <w:rPr>
          <w:rFonts w:ascii="Book Antiqua" w:hAnsi="Book Antiqua" w:cs="Arial"/>
          <w:sz w:val="24"/>
          <w:szCs w:val="24"/>
          <w:vertAlign w:val="superscript"/>
        </w:rPr>
        <w:t>]</w:t>
      </w:r>
      <w:r w:rsidR="00A05490" w:rsidRPr="00E25B3A">
        <w:rPr>
          <w:rFonts w:ascii="Book Antiqua" w:hAnsi="Book Antiqua" w:cs="Arial"/>
          <w:sz w:val="24"/>
          <w:szCs w:val="24"/>
        </w:rPr>
        <w:t>.</w:t>
      </w:r>
      <w:r w:rsidRPr="00E25B3A">
        <w:rPr>
          <w:rFonts w:ascii="Book Antiqua" w:hAnsi="Book Antiqua" w:cs="Arial"/>
          <w:sz w:val="24"/>
          <w:szCs w:val="24"/>
        </w:rPr>
        <w:t xml:space="preserve"> We report a case of a patient whose symptoms attributable to gastroparesis were refractory to</w:t>
      </w:r>
      <w:r w:rsidR="00360C28" w:rsidRPr="00E25B3A">
        <w:rPr>
          <w:rFonts w:ascii="Book Antiqua" w:hAnsi="Book Antiqua" w:cs="Arial"/>
          <w:sz w:val="24"/>
          <w:szCs w:val="24"/>
        </w:rPr>
        <w:t xml:space="preserve"> such conventional treatments. </w:t>
      </w:r>
      <w:r w:rsidRPr="00E25B3A">
        <w:rPr>
          <w:rFonts w:ascii="Book Antiqua" w:hAnsi="Book Antiqua" w:cs="Arial"/>
          <w:sz w:val="24"/>
          <w:szCs w:val="24"/>
        </w:rPr>
        <w:t xml:space="preserve">This patient experienced significant improvement of her symptoms following initiation of treatment with mirtazapine. </w:t>
      </w:r>
    </w:p>
    <w:p w:rsidR="006108D1" w:rsidRPr="00E25B3A" w:rsidRDefault="006108D1" w:rsidP="0097748F">
      <w:pPr>
        <w:spacing w:after="0" w:line="360" w:lineRule="auto"/>
        <w:jc w:val="both"/>
        <w:rPr>
          <w:rFonts w:ascii="Book Antiqua" w:hAnsi="Book Antiqua" w:cs="Arial"/>
          <w:b/>
          <w:sz w:val="24"/>
          <w:szCs w:val="24"/>
        </w:rPr>
      </w:pPr>
    </w:p>
    <w:p w:rsidR="00D76E37" w:rsidRPr="00E25B3A" w:rsidRDefault="00D76E37" w:rsidP="0097748F">
      <w:pPr>
        <w:spacing w:after="0" w:line="360" w:lineRule="auto"/>
        <w:jc w:val="both"/>
        <w:rPr>
          <w:rFonts w:ascii="Book Antiqua" w:hAnsi="Book Antiqua" w:cs="Arial"/>
          <w:b/>
          <w:caps/>
          <w:sz w:val="24"/>
          <w:szCs w:val="24"/>
        </w:rPr>
      </w:pPr>
      <w:r w:rsidRPr="00E25B3A">
        <w:rPr>
          <w:rFonts w:ascii="Book Antiqua" w:hAnsi="Book Antiqua" w:cs="Arial"/>
          <w:b/>
          <w:caps/>
          <w:sz w:val="24"/>
          <w:szCs w:val="24"/>
        </w:rPr>
        <w:t>Case Report</w:t>
      </w:r>
    </w:p>
    <w:p w:rsidR="00D76E37" w:rsidRPr="00E25B3A" w:rsidRDefault="00D76E37" w:rsidP="0097748F">
      <w:pPr>
        <w:spacing w:after="0" w:line="360" w:lineRule="auto"/>
        <w:jc w:val="both"/>
        <w:rPr>
          <w:rFonts w:ascii="Book Antiqua" w:hAnsi="Book Antiqua" w:cs="Arial"/>
          <w:sz w:val="24"/>
          <w:szCs w:val="24"/>
        </w:rPr>
      </w:pPr>
      <w:r w:rsidRPr="00E25B3A">
        <w:rPr>
          <w:rFonts w:ascii="Book Antiqua" w:hAnsi="Book Antiqua" w:cs="Arial"/>
          <w:sz w:val="24"/>
          <w:szCs w:val="24"/>
        </w:rPr>
        <w:t>A 34 year</w:t>
      </w:r>
      <w:r w:rsidR="00A05490" w:rsidRPr="00E25B3A">
        <w:rPr>
          <w:rFonts w:ascii="Book Antiqua" w:hAnsi="Book Antiqua" w:cs="Arial" w:hint="eastAsia"/>
          <w:sz w:val="24"/>
          <w:szCs w:val="24"/>
          <w:lang w:eastAsia="zh-CN"/>
        </w:rPr>
        <w:t>-</w:t>
      </w:r>
      <w:r w:rsidRPr="00E25B3A">
        <w:rPr>
          <w:rFonts w:ascii="Book Antiqua" w:hAnsi="Book Antiqua" w:cs="Arial"/>
          <w:sz w:val="24"/>
          <w:szCs w:val="24"/>
        </w:rPr>
        <w:t xml:space="preserve">old woman was referred to the inpatient gastroenterology and consult-liaison psychiatry services for evaluation of intractable nausea, vomiting, and intolerance of oral intake. She had no significant past medical history other than occasional migraine headaches responsive to sumatriptan. Two months prior to presentation at our institution, she </w:t>
      </w:r>
      <w:r w:rsidR="00C52099" w:rsidRPr="00E25B3A">
        <w:rPr>
          <w:rFonts w:ascii="Book Antiqua" w:hAnsi="Book Antiqua" w:cs="Arial"/>
          <w:sz w:val="24"/>
          <w:szCs w:val="24"/>
        </w:rPr>
        <w:t xml:space="preserve">developed a presumptive upper GI viral illness manifesting as nausea with vomiting, as the patient’s two younger </w:t>
      </w:r>
      <w:r w:rsidR="00360C28" w:rsidRPr="00E25B3A">
        <w:rPr>
          <w:rFonts w:ascii="Book Antiqua" w:hAnsi="Book Antiqua" w:cs="Arial"/>
          <w:sz w:val="24"/>
          <w:szCs w:val="24"/>
        </w:rPr>
        <w:t xml:space="preserve">children had similar symptoms. </w:t>
      </w:r>
      <w:r w:rsidR="00C52099" w:rsidRPr="00E25B3A">
        <w:rPr>
          <w:rFonts w:ascii="Book Antiqua" w:hAnsi="Book Antiqua" w:cs="Arial"/>
          <w:sz w:val="24"/>
          <w:szCs w:val="24"/>
        </w:rPr>
        <w:t xml:space="preserve">However, despite the </w:t>
      </w:r>
      <w:r w:rsidR="006108D1" w:rsidRPr="00E25B3A">
        <w:rPr>
          <w:rFonts w:ascii="Book Antiqua" w:hAnsi="Book Antiqua" w:cs="Arial"/>
          <w:sz w:val="24"/>
          <w:szCs w:val="24"/>
        </w:rPr>
        <w:t xml:space="preserve">rapid </w:t>
      </w:r>
      <w:r w:rsidR="00C52099" w:rsidRPr="00E25B3A">
        <w:rPr>
          <w:rFonts w:ascii="Book Antiqua" w:hAnsi="Book Antiqua" w:cs="Arial"/>
          <w:sz w:val="24"/>
          <w:szCs w:val="24"/>
        </w:rPr>
        <w:t xml:space="preserve">resolution of symptoms in her children, the patient </w:t>
      </w:r>
      <w:r w:rsidRPr="00E25B3A">
        <w:rPr>
          <w:rFonts w:ascii="Book Antiqua" w:hAnsi="Book Antiqua" w:cs="Arial"/>
          <w:sz w:val="24"/>
          <w:szCs w:val="24"/>
        </w:rPr>
        <w:t>subsequently developed constant nausea and intractable vomiting</w:t>
      </w:r>
      <w:r w:rsidR="00C52099" w:rsidRPr="00E25B3A">
        <w:rPr>
          <w:rFonts w:ascii="Book Antiqua" w:hAnsi="Book Antiqua" w:cs="Arial"/>
          <w:sz w:val="24"/>
          <w:szCs w:val="24"/>
        </w:rPr>
        <w:t xml:space="preserve"> requiring intermittent emergency room visits and eventual hospitalization</w:t>
      </w:r>
      <w:r w:rsidR="00A05490" w:rsidRPr="00E25B3A">
        <w:rPr>
          <w:rFonts w:ascii="Book Antiqua" w:hAnsi="Book Antiqua" w:cs="Arial"/>
          <w:sz w:val="24"/>
          <w:szCs w:val="24"/>
        </w:rPr>
        <w:t xml:space="preserve">. </w:t>
      </w:r>
      <w:r w:rsidRPr="00E25B3A">
        <w:rPr>
          <w:rFonts w:ascii="Book Antiqua" w:hAnsi="Book Antiqua" w:cs="Arial"/>
          <w:sz w:val="24"/>
          <w:szCs w:val="24"/>
        </w:rPr>
        <w:t>Initial workup at an outside hospital was co</w:t>
      </w:r>
      <w:r w:rsidR="0076541D" w:rsidRPr="00E25B3A">
        <w:rPr>
          <w:rFonts w:ascii="Book Antiqua" w:hAnsi="Book Antiqua" w:cs="Arial"/>
          <w:sz w:val="24"/>
          <w:szCs w:val="24"/>
        </w:rPr>
        <w:t xml:space="preserve">nsistent with mild dehydration, </w:t>
      </w:r>
      <w:r w:rsidRPr="00E25B3A">
        <w:rPr>
          <w:rFonts w:ascii="Book Antiqua" w:hAnsi="Book Antiqua" w:cs="Arial"/>
          <w:sz w:val="24"/>
          <w:szCs w:val="24"/>
        </w:rPr>
        <w:t xml:space="preserve">but </w:t>
      </w:r>
      <w:r w:rsidR="006108D1" w:rsidRPr="00E25B3A">
        <w:rPr>
          <w:rFonts w:ascii="Book Antiqua" w:hAnsi="Book Antiqua" w:cs="Arial"/>
          <w:sz w:val="24"/>
          <w:szCs w:val="24"/>
        </w:rPr>
        <w:t xml:space="preserve">multiple </w:t>
      </w:r>
      <w:r w:rsidRPr="00E25B3A">
        <w:rPr>
          <w:rFonts w:ascii="Book Antiqua" w:hAnsi="Book Antiqua" w:cs="Arial"/>
          <w:sz w:val="24"/>
          <w:szCs w:val="24"/>
        </w:rPr>
        <w:t>diagnostic studies</w:t>
      </w:r>
      <w:r w:rsidR="006108D1" w:rsidRPr="00E25B3A">
        <w:rPr>
          <w:rFonts w:ascii="Book Antiqua" w:hAnsi="Book Antiqua" w:cs="Arial"/>
          <w:sz w:val="24"/>
          <w:szCs w:val="24"/>
        </w:rPr>
        <w:t xml:space="preserve"> </w:t>
      </w:r>
      <w:r w:rsidRPr="00E25B3A">
        <w:rPr>
          <w:rFonts w:ascii="Book Antiqua" w:hAnsi="Book Antiqua" w:cs="Arial"/>
          <w:sz w:val="24"/>
          <w:szCs w:val="24"/>
        </w:rPr>
        <w:t xml:space="preserve">were fairly unremarkable except for the finding of a decreased gallbladder ejection </w:t>
      </w:r>
      <w:r w:rsidR="00A05490" w:rsidRPr="00E25B3A">
        <w:rPr>
          <w:rFonts w:ascii="Book Antiqua" w:hAnsi="Book Antiqua" w:cs="Arial"/>
          <w:sz w:val="24"/>
          <w:szCs w:val="24"/>
        </w:rPr>
        <w:t xml:space="preserve">fraction. </w:t>
      </w:r>
      <w:r w:rsidR="0076541D" w:rsidRPr="00E25B3A">
        <w:rPr>
          <w:rFonts w:ascii="Book Antiqua" w:hAnsi="Book Antiqua" w:cs="Arial"/>
          <w:sz w:val="24"/>
          <w:szCs w:val="24"/>
        </w:rPr>
        <w:t xml:space="preserve">Based on this result, </w:t>
      </w:r>
      <w:r w:rsidRPr="00E25B3A">
        <w:rPr>
          <w:rFonts w:ascii="Book Antiqua" w:hAnsi="Book Antiqua" w:cs="Arial"/>
          <w:sz w:val="24"/>
          <w:szCs w:val="24"/>
        </w:rPr>
        <w:t xml:space="preserve">coupled with the </w:t>
      </w:r>
      <w:r w:rsidR="00C52099" w:rsidRPr="00E25B3A">
        <w:rPr>
          <w:rFonts w:ascii="Book Antiqua" w:hAnsi="Book Antiqua" w:cs="Arial"/>
          <w:sz w:val="24"/>
          <w:szCs w:val="24"/>
        </w:rPr>
        <w:t xml:space="preserve">continued </w:t>
      </w:r>
      <w:r w:rsidRPr="00E25B3A">
        <w:rPr>
          <w:rFonts w:ascii="Book Antiqua" w:hAnsi="Book Antiqua" w:cs="Arial"/>
          <w:sz w:val="24"/>
          <w:szCs w:val="24"/>
        </w:rPr>
        <w:t>symptoms of nausea and vomiting, she proceeded with a</w:t>
      </w:r>
      <w:r w:rsidR="00A05490" w:rsidRPr="00E25B3A">
        <w:rPr>
          <w:rFonts w:ascii="Book Antiqua" w:hAnsi="Book Antiqua" w:cs="Arial"/>
          <w:sz w:val="24"/>
          <w:szCs w:val="24"/>
        </w:rPr>
        <w:t xml:space="preserve"> laparoscopic cholecystectomy. </w:t>
      </w:r>
      <w:r w:rsidRPr="00E25B3A">
        <w:rPr>
          <w:rFonts w:ascii="Book Antiqua" w:hAnsi="Book Antiqua" w:cs="Arial"/>
          <w:sz w:val="24"/>
          <w:szCs w:val="24"/>
        </w:rPr>
        <w:t>Subsequent to the surgery, she developed C. di</w:t>
      </w:r>
      <w:r w:rsidR="00C52099" w:rsidRPr="00E25B3A">
        <w:rPr>
          <w:rFonts w:ascii="Book Antiqua" w:hAnsi="Book Antiqua" w:cs="Arial"/>
          <w:sz w:val="24"/>
          <w:szCs w:val="24"/>
        </w:rPr>
        <w:t>f</w:t>
      </w:r>
      <w:r w:rsidRPr="00E25B3A">
        <w:rPr>
          <w:rFonts w:ascii="Book Antiqua" w:hAnsi="Book Antiqua" w:cs="Arial"/>
          <w:sz w:val="24"/>
          <w:szCs w:val="24"/>
        </w:rPr>
        <w:t xml:space="preserve">ficile colitis, which was effectively treated. Unfortunately, the patient’s </w:t>
      </w:r>
      <w:r w:rsidRPr="00E25B3A">
        <w:rPr>
          <w:rFonts w:ascii="Book Antiqua" w:hAnsi="Book Antiqua" w:cs="Arial"/>
          <w:sz w:val="24"/>
          <w:szCs w:val="24"/>
        </w:rPr>
        <w:lastRenderedPageBreak/>
        <w:t xml:space="preserve">nausea and vomiting persisted for several weeks after </w:t>
      </w:r>
      <w:r w:rsidR="00A05490" w:rsidRPr="00E25B3A">
        <w:rPr>
          <w:rFonts w:ascii="Book Antiqua" w:hAnsi="Book Antiqua" w:cs="Arial"/>
          <w:sz w:val="24"/>
          <w:szCs w:val="24"/>
        </w:rPr>
        <w:t xml:space="preserve">the other issues had resolved. </w:t>
      </w:r>
      <w:r w:rsidRPr="00E25B3A">
        <w:rPr>
          <w:rFonts w:ascii="Book Antiqua" w:hAnsi="Book Antiqua" w:cs="Arial"/>
          <w:sz w:val="24"/>
          <w:szCs w:val="24"/>
        </w:rPr>
        <w:t xml:space="preserve">A </w:t>
      </w:r>
      <w:r w:rsidR="00F11DDB" w:rsidRPr="00E25B3A">
        <w:rPr>
          <w:rFonts w:ascii="Book Antiqua" w:hAnsi="Book Antiqua" w:cs="Arial"/>
          <w:sz w:val="24"/>
          <w:szCs w:val="24"/>
        </w:rPr>
        <w:t xml:space="preserve">2 h, </w:t>
      </w:r>
      <w:r w:rsidRPr="00E25B3A">
        <w:rPr>
          <w:rFonts w:ascii="Book Antiqua" w:hAnsi="Book Antiqua" w:cs="Arial"/>
          <w:sz w:val="24"/>
          <w:szCs w:val="24"/>
        </w:rPr>
        <w:t xml:space="preserve">solid phase gastric emptying study </w:t>
      </w:r>
      <w:r w:rsidR="00EB3B87" w:rsidRPr="00E25B3A">
        <w:rPr>
          <w:rFonts w:ascii="Book Antiqua" w:hAnsi="Book Antiqua" w:cs="Arial"/>
          <w:sz w:val="24"/>
          <w:szCs w:val="24"/>
        </w:rPr>
        <w:t>using</w:t>
      </w:r>
      <w:r w:rsidR="00F11DDB" w:rsidRPr="00E25B3A">
        <w:rPr>
          <w:rFonts w:ascii="Book Antiqua" w:hAnsi="Book Antiqua" w:cs="Arial"/>
          <w:sz w:val="24"/>
          <w:szCs w:val="24"/>
        </w:rPr>
        <w:t xml:space="preserve"> a standardized test meal was per</w:t>
      </w:r>
      <w:r w:rsidR="00A05490" w:rsidRPr="00E25B3A">
        <w:rPr>
          <w:rFonts w:ascii="Book Antiqua" w:hAnsi="Book Antiqua" w:cs="Arial"/>
          <w:sz w:val="24"/>
          <w:szCs w:val="24"/>
        </w:rPr>
        <w:t xml:space="preserve">formed at an outside facility. </w:t>
      </w:r>
      <w:r w:rsidR="00F11DDB" w:rsidRPr="00E25B3A">
        <w:rPr>
          <w:rFonts w:ascii="Book Antiqua" w:hAnsi="Book Antiqua" w:cs="Arial"/>
          <w:sz w:val="24"/>
          <w:szCs w:val="24"/>
        </w:rPr>
        <w:t xml:space="preserve">This study </w:t>
      </w:r>
      <w:r w:rsidRPr="00E25B3A">
        <w:rPr>
          <w:rFonts w:ascii="Book Antiqua" w:hAnsi="Book Antiqua" w:cs="Arial"/>
          <w:sz w:val="24"/>
          <w:szCs w:val="24"/>
        </w:rPr>
        <w:t>demonstrated gastric emptying of &lt;</w:t>
      </w:r>
      <w:r w:rsidR="00A05490" w:rsidRPr="00E25B3A">
        <w:rPr>
          <w:rFonts w:ascii="Book Antiqua" w:hAnsi="Book Antiqua" w:cs="Arial" w:hint="eastAsia"/>
          <w:sz w:val="24"/>
          <w:szCs w:val="24"/>
          <w:lang w:eastAsia="zh-CN"/>
        </w:rPr>
        <w:t xml:space="preserve"> </w:t>
      </w:r>
      <w:r w:rsidRPr="00E25B3A">
        <w:rPr>
          <w:rFonts w:ascii="Book Antiqua" w:hAnsi="Book Antiqua" w:cs="Arial"/>
          <w:sz w:val="24"/>
          <w:szCs w:val="24"/>
        </w:rPr>
        <w:t xml:space="preserve">23% at 2 </w:t>
      </w:r>
      <w:r w:rsidR="00A05490" w:rsidRPr="00E25B3A">
        <w:rPr>
          <w:rFonts w:ascii="Book Antiqua" w:hAnsi="Book Antiqua" w:cs="Arial"/>
          <w:sz w:val="24"/>
          <w:szCs w:val="24"/>
        </w:rPr>
        <w:t>h</w:t>
      </w:r>
      <w:r w:rsidRPr="00E25B3A">
        <w:rPr>
          <w:rFonts w:ascii="Book Antiqua" w:hAnsi="Book Antiqua" w:cs="Arial"/>
          <w:sz w:val="24"/>
          <w:szCs w:val="24"/>
        </w:rPr>
        <w:t xml:space="preserve">, and the patient was diagnosed with gastroparesis. </w:t>
      </w:r>
      <w:r w:rsidR="00F87CA0" w:rsidRPr="00E25B3A">
        <w:rPr>
          <w:rFonts w:ascii="Book Antiqua" w:hAnsi="Book Antiqua" w:cs="Arial"/>
          <w:sz w:val="24"/>
          <w:szCs w:val="24"/>
        </w:rPr>
        <w:t>This result was obtained without the patient having taken narcotics or anti-cholin</w:t>
      </w:r>
      <w:r w:rsidR="00360C28" w:rsidRPr="00E25B3A">
        <w:rPr>
          <w:rFonts w:ascii="Book Antiqua" w:hAnsi="Book Antiqua" w:cs="Arial"/>
          <w:sz w:val="24"/>
          <w:szCs w:val="24"/>
        </w:rPr>
        <w:t xml:space="preserve">ergic agents. </w:t>
      </w:r>
      <w:r w:rsidRPr="00E25B3A">
        <w:rPr>
          <w:rFonts w:ascii="Book Antiqua" w:hAnsi="Book Antiqua" w:cs="Arial"/>
          <w:sz w:val="24"/>
          <w:szCs w:val="24"/>
        </w:rPr>
        <w:t xml:space="preserve">Ultimately, the patient had lost 16 lbs over the two months of illness prior to presenting to our institution for a second opinion regarding management. </w:t>
      </w:r>
    </w:p>
    <w:p w:rsidR="0076541D" w:rsidRPr="00E25B3A" w:rsidRDefault="00D76E37" w:rsidP="00A05490">
      <w:pPr>
        <w:spacing w:after="0" w:line="360" w:lineRule="auto"/>
        <w:ind w:firstLineChars="200" w:firstLine="480"/>
        <w:jc w:val="both"/>
        <w:rPr>
          <w:rFonts w:ascii="Book Antiqua" w:hAnsi="Book Antiqua" w:cs="Arial"/>
          <w:sz w:val="24"/>
          <w:szCs w:val="24"/>
          <w:lang w:eastAsia="zh-CN"/>
        </w:rPr>
      </w:pPr>
      <w:r w:rsidRPr="00E25B3A">
        <w:rPr>
          <w:rFonts w:ascii="Book Antiqua" w:hAnsi="Book Antiqua" w:cs="Arial"/>
          <w:sz w:val="24"/>
          <w:szCs w:val="24"/>
        </w:rPr>
        <w:t xml:space="preserve">Review of the patient’s prior therapy showed that she had </w:t>
      </w:r>
      <w:r w:rsidR="0076541D" w:rsidRPr="00E25B3A">
        <w:rPr>
          <w:rFonts w:ascii="Book Antiqua" w:hAnsi="Book Antiqua" w:cs="Arial"/>
          <w:sz w:val="24"/>
          <w:szCs w:val="24"/>
        </w:rPr>
        <w:t xml:space="preserve">trialed </w:t>
      </w:r>
      <w:r w:rsidRPr="00E25B3A">
        <w:rPr>
          <w:rFonts w:ascii="Book Antiqua" w:hAnsi="Book Antiqua" w:cs="Arial"/>
          <w:sz w:val="24"/>
          <w:szCs w:val="24"/>
        </w:rPr>
        <w:t>numerous oral and intravenous forms of anti-emetics including ondansetron, prochlorperazine, promethazine, scopolamine (</w:t>
      </w:r>
      <w:r w:rsidR="00A05490" w:rsidRPr="00E25B3A">
        <w:rPr>
          <w:rFonts w:ascii="Book Antiqua" w:hAnsi="Book Antiqua" w:cs="Arial"/>
          <w:i/>
          <w:sz w:val="24"/>
          <w:szCs w:val="24"/>
        </w:rPr>
        <w:t>via</w:t>
      </w:r>
      <w:r w:rsidRPr="00E25B3A">
        <w:rPr>
          <w:rFonts w:ascii="Book Antiqua" w:hAnsi="Book Antiqua" w:cs="Arial"/>
          <w:sz w:val="24"/>
          <w:szCs w:val="24"/>
        </w:rPr>
        <w:t xml:space="preserve"> transdermal patch), </w:t>
      </w:r>
      <w:proofErr w:type="spellStart"/>
      <w:r w:rsidR="0076541D" w:rsidRPr="00E25B3A">
        <w:rPr>
          <w:rFonts w:ascii="Book Antiqua" w:hAnsi="Book Antiqua" w:cs="Arial"/>
          <w:sz w:val="24"/>
          <w:szCs w:val="24"/>
        </w:rPr>
        <w:t>dronabinol</w:t>
      </w:r>
      <w:proofErr w:type="spellEnd"/>
      <w:r w:rsidR="0076541D" w:rsidRPr="00E25B3A">
        <w:rPr>
          <w:rFonts w:ascii="Book Antiqua" w:hAnsi="Book Antiqua" w:cs="Arial"/>
          <w:sz w:val="24"/>
          <w:szCs w:val="24"/>
        </w:rPr>
        <w:t xml:space="preserve">, </w:t>
      </w:r>
      <w:r w:rsidR="00A05490" w:rsidRPr="00E25B3A">
        <w:rPr>
          <w:rFonts w:ascii="Book Antiqua" w:hAnsi="Book Antiqua" w:cs="Arial"/>
          <w:sz w:val="24"/>
          <w:szCs w:val="24"/>
        </w:rPr>
        <w:t xml:space="preserve">and </w:t>
      </w:r>
      <w:proofErr w:type="spellStart"/>
      <w:r w:rsidR="00A05490" w:rsidRPr="00E25B3A">
        <w:rPr>
          <w:rFonts w:ascii="Book Antiqua" w:hAnsi="Book Antiqua" w:cs="Arial"/>
          <w:sz w:val="24"/>
          <w:szCs w:val="24"/>
        </w:rPr>
        <w:t>aprepitant</w:t>
      </w:r>
      <w:proofErr w:type="spellEnd"/>
      <w:r w:rsidR="00A05490" w:rsidRPr="00E25B3A">
        <w:rPr>
          <w:rFonts w:ascii="Book Antiqua" w:hAnsi="Book Antiqua" w:cs="Arial"/>
          <w:sz w:val="24"/>
          <w:szCs w:val="24"/>
        </w:rPr>
        <w:t xml:space="preserve">. </w:t>
      </w:r>
      <w:r w:rsidRPr="00E25B3A">
        <w:rPr>
          <w:rFonts w:ascii="Book Antiqua" w:hAnsi="Book Antiqua" w:cs="Arial"/>
          <w:sz w:val="24"/>
          <w:szCs w:val="24"/>
        </w:rPr>
        <w:t xml:space="preserve">The prokinetic </w:t>
      </w:r>
      <w:proofErr w:type="gramStart"/>
      <w:r w:rsidR="0076541D" w:rsidRPr="00E25B3A">
        <w:rPr>
          <w:rFonts w:ascii="Book Antiqua" w:hAnsi="Book Antiqua" w:cs="Arial"/>
          <w:sz w:val="24"/>
          <w:szCs w:val="24"/>
        </w:rPr>
        <w:t>agents</w:t>
      </w:r>
      <w:proofErr w:type="gramEnd"/>
      <w:r w:rsidR="0076541D" w:rsidRPr="00E25B3A">
        <w:rPr>
          <w:rFonts w:ascii="Book Antiqua" w:hAnsi="Book Antiqua" w:cs="Arial"/>
          <w:sz w:val="24"/>
          <w:szCs w:val="24"/>
        </w:rPr>
        <w:t xml:space="preserve"> </w:t>
      </w:r>
      <w:r w:rsidRPr="00E25B3A">
        <w:rPr>
          <w:rFonts w:ascii="Book Antiqua" w:hAnsi="Book Antiqua" w:cs="Arial"/>
          <w:sz w:val="24"/>
          <w:szCs w:val="24"/>
        </w:rPr>
        <w:t xml:space="preserve">erythromycin and metoclopramide had both been tried without significant clinical benefit, and she experienced </w:t>
      </w:r>
      <w:r w:rsidR="006108D1" w:rsidRPr="00E25B3A">
        <w:rPr>
          <w:rFonts w:ascii="Book Antiqua" w:hAnsi="Book Antiqua" w:cs="Arial"/>
          <w:sz w:val="24"/>
          <w:szCs w:val="24"/>
        </w:rPr>
        <w:t xml:space="preserve">central </w:t>
      </w:r>
      <w:r w:rsidRPr="00E25B3A">
        <w:rPr>
          <w:rFonts w:ascii="Book Antiqua" w:hAnsi="Book Antiqua" w:cs="Arial"/>
          <w:sz w:val="24"/>
          <w:szCs w:val="24"/>
        </w:rPr>
        <w:t>sid</w:t>
      </w:r>
      <w:r w:rsidR="00A05490" w:rsidRPr="00E25B3A">
        <w:rPr>
          <w:rFonts w:ascii="Book Antiqua" w:hAnsi="Book Antiqua" w:cs="Arial"/>
          <w:sz w:val="24"/>
          <w:szCs w:val="24"/>
        </w:rPr>
        <w:t xml:space="preserve">e effects with metoclopramide. </w:t>
      </w:r>
      <w:r w:rsidRPr="00E25B3A">
        <w:rPr>
          <w:rFonts w:ascii="Book Antiqua" w:hAnsi="Book Antiqua" w:cs="Arial"/>
          <w:sz w:val="24"/>
          <w:szCs w:val="24"/>
        </w:rPr>
        <w:t>At our institution, she continued to have significant nausea and was unable tolerate oral intake</w:t>
      </w:r>
      <w:r w:rsidR="0076541D" w:rsidRPr="00E25B3A">
        <w:rPr>
          <w:rFonts w:ascii="Book Antiqua" w:hAnsi="Book Antiqua" w:cs="Arial"/>
          <w:sz w:val="24"/>
          <w:szCs w:val="24"/>
        </w:rPr>
        <w:t xml:space="preserve"> without vomiting</w:t>
      </w:r>
      <w:r w:rsidRPr="00E25B3A">
        <w:rPr>
          <w:rFonts w:ascii="Book Antiqua" w:hAnsi="Book Antiqua" w:cs="Arial"/>
          <w:sz w:val="24"/>
          <w:szCs w:val="24"/>
        </w:rPr>
        <w:t>. A head CT was negative for an</w:t>
      </w:r>
      <w:r w:rsidR="006108D1" w:rsidRPr="00E25B3A">
        <w:rPr>
          <w:rFonts w:ascii="Book Antiqua" w:hAnsi="Book Antiqua" w:cs="Arial"/>
          <w:sz w:val="24"/>
          <w:szCs w:val="24"/>
        </w:rPr>
        <w:t>y</w:t>
      </w:r>
      <w:r w:rsidRPr="00E25B3A">
        <w:rPr>
          <w:rFonts w:ascii="Book Antiqua" w:hAnsi="Book Antiqua" w:cs="Arial"/>
          <w:sz w:val="24"/>
          <w:szCs w:val="24"/>
        </w:rPr>
        <w:t xml:space="preserve"> intracranial pathology to explain sympt</w:t>
      </w:r>
      <w:r w:rsidR="00A05490" w:rsidRPr="00E25B3A">
        <w:rPr>
          <w:rFonts w:ascii="Book Antiqua" w:hAnsi="Book Antiqua" w:cs="Arial"/>
          <w:sz w:val="24"/>
          <w:szCs w:val="24"/>
        </w:rPr>
        <w:t xml:space="preserve">oms. </w:t>
      </w:r>
      <w:r w:rsidR="0076541D" w:rsidRPr="00E25B3A">
        <w:rPr>
          <w:rFonts w:ascii="Book Antiqua" w:hAnsi="Book Antiqua" w:cs="Arial"/>
          <w:sz w:val="24"/>
          <w:szCs w:val="24"/>
        </w:rPr>
        <w:t xml:space="preserve">On psychiatric evaluation, </w:t>
      </w:r>
      <w:r w:rsidRPr="00E25B3A">
        <w:rPr>
          <w:rFonts w:ascii="Book Antiqua" w:hAnsi="Book Antiqua" w:cs="Arial"/>
          <w:sz w:val="24"/>
          <w:szCs w:val="24"/>
        </w:rPr>
        <w:t>she did not meet</w:t>
      </w:r>
      <w:r w:rsidR="00FE0F63" w:rsidRPr="00E25B3A">
        <w:rPr>
          <w:rFonts w:ascii="Book Antiqua" w:hAnsi="Book Antiqua" w:cs="Arial"/>
          <w:sz w:val="24"/>
          <w:szCs w:val="24"/>
        </w:rPr>
        <w:t xml:space="preserve"> DSM-IV</w:t>
      </w:r>
      <w:r w:rsidRPr="00E25B3A">
        <w:rPr>
          <w:rFonts w:ascii="Book Antiqua" w:hAnsi="Book Antiqua" w:cs="Arial"/>
          <w:sz w:val="24"/>
          <w:szCs w:val="24"/>
        </w:rPr>
        <w:t xml:space="preserve"> criteria for any psychiatric illness such as depression, anxiety, somatoform</w:t>
      </w:r>
      <w:r w:rsidR="0076541D" w:rsidRPr="00E25B3A">
        <w:rPr>
          <w:rFonts w:ascii="Book Antiqua" w:hAnsi="Book Antiqua" w:cs="Arial"/>
          <w:sz w:val="24"/>
          <w:szCs w:val="24"/>
        </w:rPr>
        <w:t xml:space="preserve"> disorder,</w:t>
      </w:r>
      <w:r w:rsidRPr="00E25B3A">
        <w:rPr>
          <w:rFonts w:ascii="Book Antiqua" w:hAnsi="Book Antiqua" w:cs="Arial"/>
          <w:sz w:val="24"/>
          <w:szCs w:val="24"/>
        </w:rPr>
        <w:t xml:space="preserve"> or factitious disorder that could </w:t>
      </w:r>
      <w:r w:rsidR="0076541D" w:rsidRPr="00E25B3A">
        <w:rPr>
          <w:rFonts w:ascii="Book Antiqua" w:hAnsi="Book Antiqua" w:cs="Arial"/>
          <w:sz w:val="24"/>
          <w:szCs w:val="24"/>
        </w:rPr>
        <w:t xml:space="preserve">contribute to </w:t>
      </w:r>
      <w:r w:rsidR="00A05490" w:rsidRPr="00E25B3A">
        <w:rPr>
          <w:rFonts w:ascii="Book Antiqua" w:hAnsi="Book Antiqua" w:cs="Arial"/>
          <w:sz w:val="24"/>
          <w:szCs w:val="24"/>
        </w:rPr>
        <w:t xml:space="preserve">symptoms. </w:t>
      </w:r>
      <w:r w:rsidRPr="00E25B3A">
        <w:rPr>
          <w:rFonts w:ascii="Book Antiqua" w:hAnsi="Book Antiqua" w:cs="Arial"/>
          <w:sz w:val="24"/>
          <w:szCs w:val="24"/>
        </w:rPr>
        <w:t>Bec</w:t>
      </w:r>
      <w:r w:rsidR="0076541D" w:rsidRPr="00E25B3A">
        <w:rPr>
          <w:rFonts w:ascii="Book Antiqua" w:hAnsi="Book Antiqua" w:cs="Arial"/>
          <w:sz w:val="24"/>
          <w:szCs w:val="24"/>
        </w:rPr>
        <w:t xml:space="preserve">ause of the poor oral intake and subsequent weight loss, </w:t>
      </w:r>
      <w:r w:rsidRPr="00E25B3A">
        <w:rPr>
          <w:rFonts w:ascii="Book Antiqua" w:hAnsi="Book Antiqua" w:cs="Arial"/>
          <w:sz w:val="24"/>
          <w:szCs w:val="24"/>
        </w:rPr>
        <w:t xml:space="preserve">she had a </w:t>
      </w:r>
      <w:r w:rsidR="006108D1" w:rsidRPr="00E25B3A">
        <w:rPr>
          <w:rFonts w:ascii="Book Antiqua" w:hAnsi="Book Antiqua" w:cs="Arial"/>
          <w:sz w:val="24"/>
          <w:szCs w:val="24"/>
        </w:rPr>
        <w:t xml:space="preserve">post-pyloric </w:t>
      </w:r>
      <w:r w:rsidRPr="00E25B3A">
        <w:rPr>
          <w:rFonts w:ascii="Book Antiqua" w:hAnsi="Book Antiqua" w:cs="Arial"/>
          <w:sz w:val="24"/>
          <w:szCs w:val="24"/>
        </w:rPr>
        <w:t>nasojejunal tube</w:t>
      </w:r>
      <w:r w:rsidR="00C52099" w:rsidRPr="00E25B3A">
        <w:rPr>
          <w:rFonts w:ascii="Book Antiqua" w:hAnsi="Book Antiqua" w:cs="Arial"/>
          <w:sz w:val="24"/>
          <w:szCs w:val="24"/>
        </w:rPr>
        <w:t xml:space="preserve"> placed for </w:t>
      </w:r>
      <w:r w:rsidR="00F11DDB" w:rsidRPr="00E25B3A">
        <w:rPr>
          <w:rFonts w:ascii="Book Antiqua" w:hAnsi="Book Antiqua" w:cs="Arial"/>
          <w:sz w:val="24"/>
          <w:szCs w:val="24"/>
        </w:rPr>
        <w:t>enteral feeding</w:t>
      </w:r>
      <w:r w:rsidR="006108D1" w:rsidRPr="00E25B3A">
        <w:rPr>
          <w:rFonts w:ascii="Book Antiqua" w:hAnsi="Book Antiqua" w:cs="Arial"/>
          <w:sz w:val="24"/>
          <w:szCs w:val="24"/>
        </w:rPr>
        <w:t>, along with continuous IV fluids</w:t>
      </w:r>
      <w:r w:rsidR="00360C28" w:rsidRPr="00E25B3A">
        <w:rPr>
          <w:rFonts w:ascii="Book Antiqua" w:hAnsi="Book Antiqua" w:cs="Arial"/>
          <w:sz w:val="24"/>
          <w:szCs w:val="24"/>
        </w:rPr>
        <w:t xml:space="preserve">. </w:t>
      </w:r>
      <w:r w:rsidRPr="00E25B3A">
        <w:rPr>
          <w:rFonts w:ascii="Book Antiqua" w:hAnsi="Book Antiqua" w:cs="Arial"/>
          <w:sz w:val="24"/>
          <w:szCs w:val="24"/>
        </w:rPr>
        <w:t>She was also trialed on proton pump inhibitors and benzodiazepines</w:t>
      </w:r>
      <w:r w:rsidR="00E74457" w:rsidRPr="00E25B3A">
        <w:rPr>
          <w:rFonts w:ascii="Book Antiqua" w:hAnsi="Book Antiqua" w:cs="Arial"/>
          <w:sz w:val="24"/>
          <w:szCs w:val="24"/>
        </w:rPr>
        <w:t>, in addition to scheduled dosing of several other antiemetics</w:t>
      </w:r>
      <w:r w:rsidR="00A05490" w:rsidRPr="00E25B3A">
        <w:rPr>
          <w:rFonts w:ascii="Book Antiqua" w:hAnsi="Book Antiqua" w:cs="Arial"/>
          <w:sz w:val="24"/>
          <w:szCs w:val="24"/>
        </w:rPr>
        <w:t xml:space="preserve">. </w:t>
      </w:r>
      <w:r w:rsidRPr="00E25B3A">
        <w:rPr>
          <w:rFonts w:ascii="Book Antiqua" w:hAnsi="Book Antiqua" w:cs="Arial"/>
          <w:sz w:val="24"/>
          <w:szCs w:val="24"/>
        </w:rPr>
        <w:t>Several days a</w:t>
      </w:r>
      <w:r w:rsidR="0076541D" w:rsidRPr="00E25B3A">
        <w:rPr>
          <w:rFonts w:ascii="Book Antiqua" w:hAnsi="Book Antiqua" w:cs="Arial"/>
          <w:sz w:val="24"/>
          <w:szCs w:val="24"/>
        </w:rPr>
        <w:t xml:space="preserve">fter initiation of </w:t>
      </w:r>
      <w:r w:rsidR="00F11DDB" w:rsidRPr="00E25B3A">
        <w:rPr>
          <w:rFonts w:ascii="Book Antiqua" w:hAnsi="Book Antiqua" w:cs="Arial"/>
          <w:sz w:val="24"/>
          <w:szCs w:val="24"/>
        </w:rPr>
        <w:t xml:space="preserve">enteral </w:t>
      </w:r>
      <w:r w:rsidR="0076541D" w:rsidRPr="00E25B3A">
        <w:rPr>
          <w:rFonts w:ascii="Book Antiqua" w:hAnsi="Book Antiqua" w:cs="Arial"/>
          <w:sz w:val="24"/>
          <w:szCs w:val="24"/>
        </w:rPr>
        <w:t xml:space="preserve">feeding, </w:t>
      </w:r>
      <w:r w:rsidRPr="00E25B3A">
        <w:rPr>
          <w:rFonts w:ascii="Book Antiqua" w:hAnsi="Book Antiqua" w:cs="Arial"/>
          <w:sz w:val="24"/>
          <w:szCs w:val="24"/>
        </w:rPr>
        <w:t>she continued to have ongoing severe symptoms</w:t>
      </w:r>
      <w:r w:rsidR="00E74457" w:rsidRPr="00E25B3A">
        <w:rPr>
          <w:rFonts w:ascii="Book Antiqua" w:hAnsi="Book Antiqua" w:cs="Arial"/>
          <w:sz w:val="24"/>
          <w:szCs w:val="24"/>
        </w:rPr>
        <w:t xml:space="preserve"> </w:t>
      </w:r>
      <w:r w:rsidR="0076541D" w:rsidRPr="00E25B3A">
        <w:rPr>
          <w:rFonts w:ascii="Book Antiqua" w:hAnsi="Book Antiqua" w:cs="Arial"/>
          <w:sz w:val="24"/>
          <w:szCs w:val="24"/>
        </w:rPr>
        <w:t>attributed to gastroparesis</w:t>
      </w:r>
      <w:r w:rsidR="00A05490" w:rsidRPr="00E25B3A">
        <w:rPr>
          <w:rFonts w:ascii="Book Antiqua" w:hAnsi="Book Antiqua" w:cs="Arial"/>
          <w:sz w:val="24"/>
          <w:szCs w:val="24"/>
        </w:rPr>
        <w:t xml:space="preserve">. </w:t>
      </w:r>
      <w:r w:rsidR="00517E4D" w:rsidRPr="00E25B3A">
        <w:rPr>
          <w:rFonts w:ascii="Book Antiqua" w:hAnsi="Book Antiqua" w:cs="Arial"/>
          <w:sz w:val="24"/>
          <w:szCs w:val="24"/>
        </w:rPr>
        <w:t>Using an 11-point verbal rating scale, s</w:t>
      </w:r>
      <w:r w:rsidRPr="00E25B3A">
        <w:rPr>
          <w:rFonts w:ascii="Book Antiqua" w:hAnsi="Book Antiqua" w:cs="Arial"/>
          <w:sz w:val="24"/>
          <w:szCs w:val="24"/>
        </w:rPr>
        <w:t xml:space="preserve">he reported that her nausea was 8/10 in severity with only brief and mild relief from combination </w:t>
      </w:r>
      <w:r w:rsidR="00517E4D" w:rsidRPr="00E25B3A">
        <w:rPr>
          <w:rFonts w:ascii="Book Antiqua" w:hAnsi="Book Antiqua" w:cs="Arial"/>
          <w:sz w:val="24"/>
          <w:szCs w:val="24"/>
        </w:rPr>
        <w:t xml:space="preserve">therapy using </w:t>
      </w:r>
      <w:r w:rsidRPr="00E25B3A">
        <w:rPr>
          <w:rFonts w:ascii="Book Antiqua" w:hAnsi="Book Antiqua" w:cs="Arial"/>
          <w:sz w:val="24"/>
          <w:szCs w:val="24"/>
        </w:rPr>
        <w:t xml:space="preserve">clonazepam, promethazine, </w:t>
      </w:r>
      <w:r w:rsidR="00E567E5" w:rsidRPr="00E25B3A">
        <w:rPr>
          <w:rFonts w:ascii="Book Antiqua" w:hAnsi="Book Antiqua" w:cs="Arial"/>
          <w:sz w:val="24"/>
          <w:szCs w:val="24"/>
        </w:rPr>
        <w:t xml:space="preserve">ondansetron, and a </w:t>
      </w:r>
      <w:r w:rsidR="00360C28" w:rsidRPr="00E25B3A">
        <w:rPr>
          <w:rFonts w:ascii="Book Antiqua" w:hAnsi="Book Antiqua" w:cs="Arial"/>
          <w:sz w:val="24"/>
          <w:szCs w:val="24"/>
        </w:rPr>
        <w:t xml:space="preserve">transdermal scopolamine patch. </w:t>
      </w:r>
      <w:r w:rsidR="00EB3B87" w:rsidRPr="00E25B3A">
        <w:rPr>
          <w:rFonts w:ascii="Book Antiqua" w:hAnsi="Book Antiqua" w:cs="Arial"/>
          <w:sz w:val="24"/>
          <w:szCs w:val="24"/>
        </w:rPr>
        <w:t>S</w:t>
      </w:r>
      <w:r w:rsidR="0076541D" w:rsidRPr="00E25B3A">
        <w:rPr>
          <w:rFonts w:ascii="Book Antiqua" w:hAnsi="Book Antiqua" w:cs="Arial"/>
          <w:sz w:val="24"/>
          <w:szCs w:val="24"/>
        </w:rPr>
        <w:t xml:space="preserve">he continued to have increased nausea with vomiting after attempts at solid food ingestion and </w:t>
      </w:r>
      <w:r w:rsidR="00517E4D" w:rsidRPr="00E25B3A">
        <w:rPr>
          <w:rFonts w:ascii="Book Antiqua" w:hAnsi="Book Antiqua" w:cs="Arial"/>
          <w:sz w:val="24"/>
          <w:szCs w:val="24"/>
        </w:rPr>
        <w:t xml:space="preserve">had </w:t>
      </w:r>
      <w:r w:rsidR="00E74457" w:rsidRPr="00E25B3A">
        <w:rPr>
          <w:rFonts w:ascii="Book Antiqua" w:hAnsi="Book Antiqua" w:cs="Arial"/>
          <w:sz w:val="24"/>
          <w:szCs w:val="24"/>
        </w:rPr>
        <w:t xml:space="preserve">generally </w:t>
      </w:r>
      <w:r w:rsidR="0076541D" w:rsidRPr="00E25B3A">
        <w:rPr>
          <w:rFonts w:ascii="Book Antiqua" w:hAnsi="Book Antiqua" w:cs="Arial"/>
          <w:sz w:val="24"/>
          <w:szCs w:val="24"/>
        </w:rPr>
        <w:t xml:space="preserve">poor tolerance of even minimal volumes of </w:t>
      </w:r>
      <w:r w:rsidR="00C52099" w:rsidRPr="00E25B3A">
        <w:rPr>
          <w:rFonts w:ascii="Book Antiqua" w:hAnsi="Book Antiqua" w:cs="Arial"/>
          <w:sz w:val="24"/>
          <w:szCs w:val="24"/>
        </w:rPr>
        <w:t xml:space="preserve">ingested </w:t>
      </w:r>
      <w:r w:rsidR="00A05490" w:rsidRPr="00E25B3A">
        <w:rPr>
          <w:rFonts w:ascii="Book Antiqua" w:hAnsi="Book Antiqua" w:cs="Arial"/>
          <w:sz w:val="24"/>
          <w:szCs w:val="24"/>
        </w:rPr>
        <w:t>liquids.</w:t>
      </w:r>
    </w:p>
    <w:p w:rsidR="00D76E37" w:rsidRPr="00E25B3A" w:rsidRDefault="00D76E37" w:rsidP="00A05490">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 xml:space="preserve">Given the lack of efficacy of conventional </w:t>
      </w:r>
      <w:r w:rsidR="00EB3B87" w:rsidRPr="00E25B3A">
        <w:rPr>
          <w:rFonts w:ascii="Book Antiqua" w:hAnsi="Book Antiqua" w:cs="Arial"/>
          <w:sz w:val="24"/>
          <w:szCs w:val="24"/>
        </w:rPr>
        <w:t>approaches</w:t>
      </w:r>
      <w:r w:rsidRPr="00E25B3A">
        <w:rPr>
          <w:rFonts w:ascii="Book Antiqua" w:hAnsi="Book Antiqua" w:cs="Arial"/>
          <w:sz w:val="24"/>
          <w:szCs w:val="24"/>
        </w:rPr>
        <w:t xml:space="preserve">, she was started on mirtazapine 15 mg </w:t>
      </w:r>
      <w:r w:rsidR="0076541D" w:rsidRPr="00E25B3A">
        <w:rPr>
          <w:rFonts w:ascii="Book Antiqua" w:hAnsi="Book Antiqua" w:cs="Arial"/>
          <w:sz w:val="24"/>
          <w:szCs w:val="24"/>
        </w:rPr>
        <w:t xml:space="preserve">PO </w:t>
      </w:r>
      <w:r w:rsidRPr="00E25B3A">
        <w:rPr>
          <w:rFonts w:ascii="Book Antiqua" w:hAnsi="Book Antiqua" w:cs="Arial"/>
          <w:sz w:val="24"/>
          <w:szCs w:val="24"/>
        </w:rPr>
        <w:t>qhs</w:t>
      </w:r>
      <w:r w:rsidR="00E567E5" w:rsidRPr="00E25B3A">
        <w:rPr>
          <w:rFonts w:ascii="Book Antiqua" w:hAnsi="Book Antiqua" w:cs="Arial"/>
          <w:sz w:val="24"/>
          <w:szCs w:val="24"/>
        </w:rPr>
        <w:t>, in addition to the other agents as above</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Within </w:t>
      </w:r>
      <w:r w:rsidR="0076541D" w:rsidRPr="00E25B3A">
        <w:rPr>
          <w:rFonts w:ascii="Book Antiqua" w:hAnsi="Book Antiqua" w:cs="Arial"/>
          <w:sz w:val="24"/>
          <w:szCs w:val="24"/>
        </w:rPr>
        <w:t xml:space="preserve">a couple of </w:t>
      </w:r>
      <w:r w:rsidRPr="00E25B3A">
        <w:rPr>
          <w:rFonts w:ascii="Book Antiqua" w:hAnsi="Book Antiqua" w:cs="Arial"/>
          <w:sz w:val="24"/>
          <w:szCs w:val="24"/>
        </w:rPr>
        <w:lastRenderedPageBreak/>
        <w:t xml:space="preserve">days </w:t>
      </w:r>
      <w:r w:rsidR="0076541D" w:rsidRPr="00E25B3A">
        <w:rPr>
          <w:rFonts w:ascii="Book Antiqua" w:hAnsi="Book Antiqua" w:cs="Arial"/>
          <w:sz w:val="24"/>
          <w:szCs w:val="24"/>
        </w:rPr>
        <w:t xml:space="preserve">after </w:t>
      </w:r>
      <w:r w:rsidRPr="00E25B3A">
        <w:rPr>
          <w:rFonts w:ascii="Book Antiqua" w:hAnsi="Book Antiqua" w:cs="Arial"/>
          <w:sz w:val="24"/>
          <w:szCs w:val="24"/>
        </w:rPr>
        <w:t xml:space="preserve">starting </w:t>
      </w:r>
      <w:r w:rsidR="00E567E5" w:rsidRPr="00E25B3A">
        <w:rPr>
          <w:rFonts w:ascii="Book Antiqua" w:hAnsi="Book Antiqua" w:cs="Arial"/>
          <w:sz w:val="24"/>
          <w:szCs w:val="24"/>
        </w:rPr>
        <w:t xml:space="preserve">mirtazapine, </w:t>
      </w:r>
      <w:r w:rsidRPr="00E25B3A">
        <w:rPr>
          <w:rFonts w:ascii="Book Antiqua" w:hAnsi="Book Antiqua" w:cs="Arial"/>
          <w:sz w:val="24"/>
          <w:szCs w:val="24"/>
        </w:rPr>
        <w:t xml:space="preserve">she </w:t>
      </w:r>
      <w:r w:rsidR="00E74457" w:rsidRPr="00E25B3A">
        <w:rPr>
          <w:rFonts w:ascii="Book Antiqua" w:hAnsi="Book Antiqua" w:cs="Arial"/>
          <w:sz w:val="24"/>
          <w:szCs w:val="24"/>
        </w:rPr>
        <w:t xml:space="preserve">had a </w:t>
      </w:r>
      <w:r w:rsidRPr="00E25B3A">
        <w:rPr>
          <w:rFonts w:ascii="Book Antiqua" w:hAnsi="Book Antiqua" w:cs="Arial"/>
          <w:sz w:val="24"/>
          <w:szCs w:val="24"/>
        </w:rPr>
        <w:t xml:space="preserve">complete cessation of her vomiting and </w:t>
      </w:r>
      <w:r w:rsidR="00E74457" w:rsidRPr="00E25B3A">
        <w:rPr>
          <w:rFonts w:ascii="Book Antiqua" w:hAnsi="Book Antiqua" w:cs="Arial"/>
          <w:sz w:val="24"/>
          <w:szCs w:val="24"/>
        </w:rPr>
        <w:t xml:space="preserve">reported </w:t>
      </w:r>
      <w:r w:rsidR="0076541D" w:rsidRPr="00E25B3A">
        <w:rPr>
          <w:rFonts w:ascii="Book Antiqua" w:hAnsi="Book Antiqua" w:cs="Arial"/>
          <w:sz w:val="24"/>
          <w:szCs w:val="24"/>
        </w:rPr>
        <w:t xml:space="preserve">an improvement in nausea to </w:t>
      </w:r>
      <w:r w:rsidRPr="00E25B3A">
        <w:rPr>
          <w:rFonts w:ascii="Book Antiqua" w:hAnsi="Book Antiqua" w:cs="Arial"/>
          <w:sz w:val="24"/>
          <w:szCs w:val="24"/>
        </w:rPr>
        <w:t>5/10</w:t>
      </w:r>
      <w:r w:rsidR="0076541D" w:rsidRPr="00E25B3A">
        <w:rPr>
          <w:rFonts w:ascii="Book Antiqua" w:hAnsi="Book Antiqua" w:cs="Arial"/>
          <w:sz w:val="24"/>
          <w:szCs w:val="24"/>
        </w:rPr>
        <w:t xml:space="preserve"> in severity</w:t>
      </w:r>
      <w:r w:rsidRPr="00E25B3A">
        <w:rPr>
          <w:rFonts w:ascii="Book Antiqua" w:hAnsi="Book Antiqua" w:cs="Arial"/>
          <w:sz w:val="24"/>
          <w:szCs w:val="24"/>
        </w:rPr>
        <w:t xml:space="preserve">. </w:t>
      </w:r>
      <w:r w:rsidR="00E567E5" w:rsidRPr="00E25B3A">
        <w:rPr>
          <w:rFonts w:ascii="Book Antiqua" w:hAnsi="Book Antiqua" w:cs="Arial"/>
          <w:sz w:val="24"/>
          <w:szCs w:val="24"/>
        </w:rPr>
        <w:t>However, b</w:t>
      </w:r>
      <w:r w:rsidR="0076541D" w:rsidRPr="00E25B3A">
        <w:rPr>
          <w:rFonts w:ascii="Book Antiqua" w:hAnsi="Book Antiqua" w:cs="Arial"/>
          <w:sz w:val="24"/>
          <w:szCs w:val="24"/>
        </w:rPr>
        <w:t xml:space="preserve">ecause </w:t>
      </w:r>
      <w:r w:rsidR="00EE11D2" w:rsidRPr="00E25B3A">
        <w:rPr>
          <w:rFonts w:ascii="Book Antiqua" w:hAnsi="Book Antiqua" w:cs="Arial"/>
          <w:sz w:val="24"/>
          <w:szCs w:val="24"/>
        </w:rPr>
        <w:t xml:space="preserve">nausea </w:t>
      </w:r>
      <w:r w:rsidR="0076541D" w:rsidRPr="00E25B3A">
        <w:rPr>
          <w:rFonts w:ascii="Book Antiqua" w:hAnsi="Book Antiqua" w:cs="Arial"/>
          <w:sz w:val="24"/>
          <w:szCs w:val="24"/>
        </w:rPr>
        <w:t>still remained</w:t>
      </w:r>
      <w:r w:rsidR="00EE11D2" w:rsidRPr="00E25B3A">
        <w:rPr>
          <w:rFonts w:ascii="Book Antiqua" w:hAnsi="Book Antiqua" w:cs="Arial"/>
          <w:sz w:val="24"/>
          <w:szCs w:val="24"/>
        </w:rPr>
        <w:t xml:space="preserve"> and the patient still did not </w:t>
      </w:r>
      <w:r w:rsidR="00E567E5" w:rsidRPr="00E25B3A">
        <w:rPr>
          <w:rFonts w:ascii="Book Antiqua" w:hAnsi="Book Antiqua" w:cs="Arial"/>
          <w:sz w:val="24"/>
          <w:szCs w:val="24"/>
        </w:rPr>
        <w:t>tolerate significant oral intake</w:t>
      </w:r>
      <w:r w:rsidR="0076541D" w:rsidRPr="00E25B3A">
        <w:rPr>
          <w:rFonts w:ascii="Book Antiqua" w:hAnsi="Book Antiqua" w:cs="Arial"/>
          <w:sz w:val="24"/>
          <w:szCs w:val="24"/>
        </w:rPr>
        <w:t xml:space="preserve">, a </w:t>
      </w:r>
      <w:r w:rsidR="00EE11D2" w:rsidRPr="00E25B3A">
        <w:rPr>
          <w:rFonts w:ascii="Book Antiqua" w:hAnsi="Book Antiqua" w:cs="Arial"/>
          <w:sz w:val="24"/>
          <w:szCs w:val="24"/>
        </w:rPr>
        <w:t xml:space="preserve">standardized, </w:t>
      </w:r>
      <w:r w:rsidR="00F11DDB" w:rsidRPr="00E25B3A">
        <w:rPr>
          <w:rFonts w:ascii="Book Antiqua" w:hAnsi="Book Antiqua" w:cs="Arial"/>
          <w:sz w:val="24"/>
          <w:szCs w:val="24"/>
        </w:rPr>
        <w:t xml:space="preserve">4 </w:t>
      </w:r>
      <w:r w:rsidR="00A05490" w:rsidRPr="00E25B3A">
        <w:rPr>
          <w:rFonts w:ascii="Book Antiqua" w:hAnsi="Book Antiqua" w:cs="Arial"/>
          <w:sz w:val="24"/>
          <w:szCs w:val="24"/>
        </w:rPr>
        <w:t>h</w:t>
      </w:r>
      <w:r w:rsidR="00F11DDB" w:rsidRPr="00E25B3A">
        <w:rPr>
          <w:rFonts w:ascii="Book Antiqua" w:hAnsi="Book Antiqua" w:cs="Arial"/>
          <w:sz w:val="24"/>
          <w:szCs w:val="24"/>
        </w:rPr>
        <w:t xml:space="preserve"> </w:t>
      </w:r>
      <w:r w:rsidR="0076541D" w:rsidRPr="00E25B3A">
        <w:rPr>
          <w:rFonts w:ascii="Book Antiqua" w:hAnsi="Book Antiqua" w:cs="Arial"/>
          <w:sz w:val="24"/>
          <w:szCs w:val="24"/>
        </w:rPr>
        <w:t xml:space="preserve">solid-phase </w:t>
      </w:r>
      <w:r w:rsidRPr="00E25B3A">
        <w:rPr>
          <w:rFonts w:ascii="Book Antiqua" w:hAnsi="Book Antiqua" w:cs="Arial"/>
          <w:sz w:val="24"/>
          <w:szCs w:val="24"/>
        </w:rPr>
        <w:t xml:space="preserve">gastric emptying study was repeated </w:t>
      </w:r>
      <w:r w:rsidR="0076541D" w:rsidRPr="00E25B3A">
        <w:rPr>
          <w:rFonts w:ascii="Book Antiqua" w:hAnsi="Book Antiqua" w:cs="Arial"/>
          <w:sz w:val="24"/>
          <w:szCs w:val="24"/>
        </w:rPr>
        <w:t>to clarify the diagnosis</w:t>
      </w:r>
      <w:r w:rsidR="00F11DDB" w:rsidRPr="00E25B3A">
        <w:rPr>
          <w:rFonts w:ascii="Book Antiqua" w:hAnsi="Book Antiqua" w:cs="Arial"/>
          <w:sz w:val="24"/>
          <w:szCs w:val="24"/>
        </w:rPr>
        <w:t xml:space="preserve"> </w:t>
      </w:r>
      <w:r w:rsidR="00A05490" w:rsidRPr="00E25B3A">
        <w:rPr>
          <w:rFonts w:ascii="Book Antiqua" w:hAnsi="Book Antiqua" w:cs="Arial"/>
          <w:sz w:val="24"/>
          <w:szCs w:val="24"/>
        </w:rPr>
        <w:t xml:space="preserve">of gastroparesis. </w:t>
      </w:r>
      <w:r w:rsidR="009E682D" w:rsidRPr="00E25B3A">
        <w:rPr>
          <w:rFonts w:ascii="Book Antiqua" w:hAnsi="Book Antiqua" w:cs="Arial"/>
          <w:sz w:val="24"/>
          <w:szCs w:val="24"/>
        </w:rPr>
        <w:t xml:space="preserve">This study </w:t>
      </w:r>
      <w:r w:rsidR="00E567E5" w:rsidRPr="00E25B3A">
        <w:rPr>
          <w:rFonts w:ascii="Book Antiqua" w:hAnsi="Book Antiqua" w:cs="Arial"/>
          <w:sz w:val="24"/>
          <w:szCs w:val="24"/>
        </w:rPr>
        <w:t xml:space="preserve">was performed while she was using the </w:t>
      </w:r>
      <w:r w:rsidR="00360C28" w:rsidRPr="00E25B3A">
        <w:rPr>
          <w:rFonts w:ascii="Book Antiqua" w:hAnsi="Book Antiqua" w:cs="Arial"/>
          <w:sz w:val="24"/>
          <w:szCs w:val="24"/>
        </w:rPr>
        <w:t xml:space="preserve">transdermal scopolamine patch. </w:t>
      </w:r>
      <w:r w:rsidR="00E567E5" w:rsidRPr="00E25B3A">
        <w:rPr>
          <w:rFonts w:ascii="Book Antiqua" w:hAnsi="Book Antiqua" w:cs="Arial"/>
          <w:sz w:val="24"/>
          <w:szCs w:val="24"/>
        </w:rPr>
        <w:t xml:space="preserve">Interestingly, the study </w:t>
      </w:r>
      <w:r w:rsidR="00EE11D2" w:rsidRPr="00E25B3A">
        <w:rPr>
          <w:rFonts w:ascii="Book Antiqua" w:hAnsi="Book Antiqua" w:cs="Arial"/>
          <w:sz w:val="24"/>
          <w:szCs w:val="24"/>
        </w:rPr>
        <w:t xml:space="preserve">demonstrated some improvement in gastric emptying as compared to the </w:t>
      </w:r>
      <w:r w:rsidR="00E567E5" w:rsidRPr="00E25B3A">
        <w:rPr>
          <w:rFonts w:ascii="Book Antiqua" w:hAnsi="Book Antiqua" w:cs="Arial"/>
          <w:sz w:val="24"/>
          <w:szCs w:val="24"/>
        </w:rPr>
        <w:t xml:space="preserve">previous </w:t>
      </w:r>
      <w:r w:rsidR="00EE11D2" w:rsidRPr="00E25B3A">
        <w:rPr>
          <w:rFonts w:ascii="Book Antiqua" w:hAnsi="Book Antiqua" w:cs="Arial"/>
          <w:sz w:val="24"/>
          <w:szCs w:val="24"/>
        </w:rPr>
        <w:t>study obtained at the outside hospital, with a normalization of early phases of gastric emptying –</w:t>
      </w:r>
      <w:r w:rsidR="00F87CA0" w:rsidRPr="00E25B3A">
        <w:rPr>
          <w:rFonts w:ascii="Book Antiqua" w:hAnsi="Book Antiqua" w:cs="Arial"/>
          <w:sz w:val="24"/>
          <w:szCs w:val="24"/>
        </w:rPr>
        <w:t xml:space="preserve"> at </w:t>
      </w:r>
      <w:r w:rsidR="00EE11D2" w:rsidRPr="00E25B3A">
        <w:rPr>
          <w:rFonts w:ascii="Book Antiqua" w:hAnsi="Book Antiqua" w:cs="Arial"/>
          <w:sz w:val="24"/>
          <w:szCs w:val="24"/>
        </w:rPr>
        <w:t xml:space="preserve">2 </w:t>
      </w:r>
      <w:r w:rsidR="00A05490" w:rsidRPr="00E25B3A">
        <w:rPr>
          <w:rFonts w:ascii="Book Antiqua" w:hAnsi="Book Antiqua" w:cs="Arial"/>
          <w:sz w:val="24"/>
          <w:szCs w:val="24"/>
        </w:rPr>
        <w:t>h</w:t>
      </w:r>
      <w:r w:rsidR="00EE11D2" w:rsidRPr="00E25B3A">
        <w:rPr>
          <w:rFonts w:ascii="Book Antiqua" w:hAnsi="Book Antiqua" w:cs="Arial"/>
          <w:sz w:val="24"/>
          <w:szCs w:val="24"/>
        </w:rPr>
        <w:t>, there wa</w:t>
      </w:r>
      <w:r w:rsidR="00360C28" w:rsidRPr="00E25B3A">
        <w:rPr>
          <w:rFonts w:ascii="Book Antiqua" w:hAnsi="Book Antiqua" w:cs="Arial"/>
          <w:sz w:val="24"/>
          <w:szCs w:val="24"/>
        </w:rPr>
        <w:t xml:space="preserve">s 55% emptying (normal &gt; 40%). </w:t>
      </w:r>
      <w:r w:rsidR="00EE11D2" w:rsidRPr="00E25B3A">
        <w:rPr>
          <w:rFonts w:ascii="Book Antiqua" w:hAnsi="Book Antiqua" w:cs="Arial"/>
          <w:sz w:val="24"/>
          <w:szCs w:val="24"/>
        </w:rPr>
        <w:t>However, the same study stil</w:t>
      </w:r>
      <w:r w:rsidR="00EB3B87" w:rsidRPr="00E25B3A">
        <w:rPr>
          <w:rFonts w:ascii="Book Antiqua" w:hAnsi="Book Antiqua" w:cs="Arial"/>
          <w:sz w:val="24"/>
          <w:szCs w:val="24"/>
        </w:rPr>
        <w:t>l demonstrated persistent delay</w:t>
      </w:r>
      <w:r w:rsidR="00EE11D2" w:rsidRPr="00E25B3A">
        <w:rPr>
          <w:rFonts w:ascii="Book Antiqua" w:hAnsi="Book Antiqua" w:cs="Arial"/>
          <w:sz w:val="24"/>
          <w:szCs w:val="24"/>
        </w:rPr>
        <w:t xml:space="preserve"> in </w:t>
      </w:r>
      <w:r w:rsidR="00EB3B87" w:rsidRPr="00E25B3A">
        <w:rPr>
          <w:rFonts w:ascii="Book Antiqua" w:hAnsi="Book Antiqua" w:cs="Arial"/>
          <w:sz w:val="24"/>
          <w:szCs w:val="24"/>
        </w:rPr>
        <w:t xml:space="preserve">the </w:t>
      </w:r>
      <w:r w:rsidR="00EE11D2" w:rsidRPr="00E25B3A">
        <w:rPr>
          <w:rFonts w:ascii="Book Antiqua" w:hAnsi="Book Antiqua" w:cs="Arial"/>
          <w:sz w:val="24"/>
          <w:szCs w:val="24"/>
        </w:rPr>
        <w:t>later stages of gastric empt</w:t>
      </w:r>
      <w:r w:rsidR="00EB3B87" w:rsidRPr="00E25B3A">
        <w:rPr>
          <w:rFonts w:ascii="Book Antiqua" w:hAnsi="Book Antiqua" w:cs="Arial"/>
          <w:sz w:val="24"/>
          <w:szCs w:val="24"/>
        </w:rPr>
        <w:t>y</w:t>
      </w:r>
      <w:r w:rsidR="00EE11D2" w:rsidRPr="00E25B3A">
        <w:rPr>
          <w:rFonts w:ascii="Book Antiqua" w:hAnsi="Book Antiqua" w:cs="Arial"/>
          <w:sz w:val="24"/>
          <w:szCs w:val="24"/>
        </w:rPr>
        <w:t xml:space="preserve">ing, with </w:t>
      </w:r>
      <w:r w:rsidRPr="00E25B3A">
        <w:rPr>
          <w:rFonts w:ascii="Book Antiqua" w:hAnsi="Book Antiqua" w:cs="Arial"/>
          <w:sz w:val="24"/>
          <w:szCs w:val="24"/>
        </w:rPr>
        <w:t xml:space="preserve">a 3 </w:t>
      </w:r>
      <w:r w:rsidR="00A05490" w:rsidRPr="00E25B3A">
        <w:rPr>
          <w:rFonts w:ascii="Book Antiqua" w:hAnsi="Book Antiqua" w:cs="Arial"/>
          <w:sz w:val="24"/>
          <w:szCs w:val="24"/>
        </w:rPr>
        <w:t>h</w:t>
      </w:r>
      <w:r w:rsidRPr="00E25B3A">
        <w:rPr>
          <w:rFonts w:ascii="Book Antiqua" w:hAnsi="Book Antiqua" w:cs="Arial"/>
          <w:sz w:val="24"/>
          <w:szCs w:val="24"/>
        </w:rPr>
        <w:t xml:space="preserve"> emptying of 65% (normal</w:t>
      </w:r>
      <w:r w:rsidR="00A05490" w:rsidRPr="00E25B3A">
        <w:rPr>
          <w:rFonts w:ascii="Book Antiqua" w:hAnsi="Book Antiqua" w:cs="Arial" w:hint="eastAsia"/>
          <w:sz w:val="24"/>
          <w:szCs w:val="24"/>
          <w:lang w:eastAsia="zh-CN"/>
        </w:rPr>
        <w:t xml:space="preserve"> </w:t>
      </w:r>
      <w:r w:rsidRPr="00E25B3A">
        <w:rPr>
          <w:rFonts w:ascii="Book Antiqua" w:hAnsi="Book Antiqua" w:cs="Arial"/>
          <w:sz w:val="24"/>
          <w:szCs w:val="24"/>
        </w:rPr>
        <w:t>&gt;</w:t>
      </w:r>
      <w:r w:rsidR="00A05490" w:rsidRPr="00E25B3A">
        <w:rPr>
          <w:rFonts w:ascii="Book Antiqua" w:hAnsi="Book Antiqua" w:cs="Arial" w:hint="eastAsia"/>
          <w:sz w:val="24"/>
          <w:szCs w:val="24"/>
          <w:lang w:eastAsia="zh-CN"/>
        </w:rPr>
        <w:t xml:space="preserve"> </w:t>
      </w:r>
      <w:r w:rsidRPr="00E25B3A">
        <w:rPr>
          <w:rFonts w:ascii="Book Antiqua" w:hAnsi="Book Antiqua" w:cs="Arial"/>
          <w:sz w:val="24"/>
          <w:szCs w:val="24"/>
        </w:rPr>
        <w:t xml:space="preserve">70%) and 4 </w:t>
      </w:r>
      <w:r w:rsidR="00A05490" w:rsidRPr="00E25B3A">
        <w:rPr>
          <w:rFonts w:ascii="Book Antiqua" w:hAnsi="Book Antiqua" w:cs="Arial"/>
          <w:sz w:val="24"/>
          <w:szCs w:val="24"/>
        </w:rPr>
        <w:t>h</w:t>
      </w:r>
      <w:r w:rsidRPr="00E25B3A">
        <w:rPr>
          <w:rFonts w:ascii="Book Antiqua" w:hAnsi="Book Antiqua" w:cs="Arial"/>
          <w:sz w:val="24"/>
          <w:szCs w:val="24"/>
        </w:rPr>
        <w:t xml:space="preserve"> emptying </w:t>
      </w:r>
      <w:r w:rsidR="009E682D" w:rsidRPr="00E25B3A">
        <w:rPr>
          <w:rFonts w:ascii="Book Antiqua" w:hAnsi="Book Antiqua" w:cs="Arial"/>
          <w:sz w:val="24"/>
          <w:szCs w:val="24"/>
        </w:rPr>
        <w:t xml:space="preserve">of </w:t>
      </w:r>
      <w:r w:rsidRPr="00E25B3A">
        <w:rPr>
          <w:rFonts w:ascii="Book Antiqua" w:hAnsi="Book Antiqua" w:cs="Arial"/>
          <w:sz w:val="24"/>
          <w:szCs w:val="24"/>
        </w:rPr>
        <w:t>70% (normal</w:t>
      </w:r>
      <w:r w:rsidR="00A05490" w:rsidRPr="00E25B3A">
        <w:rPr>
          <w:rFonts w:ascii="Book Antiqua" w:hAnsi="Book Antiqua" w:cs="Arial" w:hint="eastAsia"/>
          <w:sz w:val="24"/>
          <w:szCs w:val="24"/>
          <w:lang w:eastAsia="zh-CN"/>
        </w:rPr>
        <w:t xml:space="preserve"> </w:t>
      </w:r>
      <w:r w:rsidRPr="00E25B3A">
        <w:rPr>
          <w:rFonts w:ascii="Book Antiqua" w:hAnsi="Book Antiqua" w:cs="Arial"/>
          <w:sz w:val="24"/>
          <w:szCs w:val="24"/>
        </w:rPr>
        <w:t>&gt;</w:t>
      </w:r>
      <w:r w:rsidR="00A05490" w:rsidRPr="00E25B3A">
        <w:rPr>
          <w:rFonts w:ascii="Book Antiqua" w:hAnsi="Book Antiqua" w:cs="Arial" w:hint="eastAsia"/>
          <w:sz w:val="24"/>
          <w:szCs w:val="24"/>
          <w:lang w:eastAsia="zh-CN"/>
        </w:rPr>
        <w:t xml:space="preserve"> </w:t>
      </w:r>
      <w:r w:rsidR="00360C28" w:rsidRPr="00E25B3A">
        <w:rPr>
          <w:rFonts w:ascii="Book Antiqua" w:hAnsi="Book Antiqua" w:cs="Arial"/>
          <w:sz w:val="24"/>
          <w:szCs w:val="24"/>
        </w:rPr>
        <w:t xml:space="preserve">90%). </w:t>
      </w:r>
      <w:r w:rsidR="009E682D" w:rsidRPr="00E25B3A">
        <w:rPr>
          <w:rFonts w:ascii="Book Antiqua" w:hAnsi="Book Antiqua" w:cs="Arial"/>
          <w:sz w:val="24"/>
          <w:szCs w:val="24"/>
        </w:rPr>
        <w:t xml:space="preserve">Given </w:t>
      </w:r>
      <w:r w:rsidR="00F87CA0" w:rsidRPr="00E25B3A">
        <w:rPr>
          <w:rFonts w:ascii="Book Antiqua" w:hAnsi="Book Antiqua" w:cs="Arial"/>
          <w:sz w:val="24"/>
          <w:szCs w:val="24"/>
        </w:rPr>
        <w:t xml:space="preserve">that there was </w:t>
      </w:r>
      <w:r w:rsidR="009E682D" w:rsidRPr="00E25B3A">
        <w:rPr>
          <w:rFonts w:ascii="Book Antiqua" w:hAnsi="Book Antiqua" w:cs="Arial"/>
          <w:sz w:val="24"/>
          <w:szCs w:val="24"/>
        </w:rPr>
        <w:t xml:space="preserve">some </w:t>
      </w:r>
      <w:r w:rsidR="00F87CA0" w:rsidRPr="00E25B3A">
        <w:rPr>
          <w:rFonts w:ascii="Book Antiqua" w:hAnsi="Book Antiqua" w:cs="Arial"/>
          <w:sz w:val="24"/>
          <w:szCs w:val="24"/>
        </w:rPr>
        <w:t xml:space="preserve">clinical </w:t>
      </w:r>
      <w:r w:rsidR="009E682D" w:rsidRPr="00E25B3A">
        <w:rPr>
          <w:rFonts w:ascii="Book Antiqua" w:hAnsi="Book Antiqua" w:cs="Arial"/>
          <w:sz w:val="24"/>
          <w:szCs w:val="24"/>
        </w:rPr>
        <w:t xml:space="preserve">improvement in symptoms with the lower dose of mirtazapine, the medication was </w:t>
      </w:r>
      <w:r w:rsidRPr="00E25B3A">
        <w:rPr>
          <w:rFonts w:ascii="Book Antiqua" w:hAnsi="Book Antiqua" w:cs="Arial"/>
          <w:sz w:val="24"/>
          <w:szCs w:val="24"/>
        </w:rPr>
        <w:t xml:space="preserve">increased to </w:t>
      </w:r>
      <w:r w:rsidR="009E682D" w:rsidRPr="00E25B3A">
        <w:rPr>
          <w:rFonts w:ascii="Book Antiqua" w:hAnsi="Book Antiqua" w:cs="Arial"/>
          <w:sz w:val="24"/>
          <w:szCs w:val="24"/>
        </w:rPr>
        <w:t>a dose of 30 mg</w:t>
      </w:r>
      <w:r w:rsidR="00360C28" w:rsidRPr="00E25B3A">
        <w:rPr>
          <w:rFonts w:ascii="Book Antiqua" w:hAnsi="Book Antiqua" w:cs="Arial"/>
          <w:sz w:val="24"/>
          <w:szCs w:val="24"/>
        </w:rPr>
        <w:t xml:space="preserve"> PO qhs. </w:t>
      </w:r>
      <w:r w:rsidR="00D1006A" w:rsidRPr="00E25B3A">
        <w:rPr>
          <w:rFonts w:ascii="Book Antiqua" w:hAnsi="Book Antiqua" w:cs="Arial"/>
          <w:sz w:val="24"/>
          <w:szCs w:val="24"/>
        </w:rPr>
        <w:t>There were no discernible side effects rep</w:t>
      </w:r>
      <w:r w:rsidR="00A05490" w:rsidRPr="00E25B3A">
        <w:rPr>
          <w:rFonts w:ascii="Book Antiqua" w:hAnsi="Book Antiqua" w:cs="Arial"/>
          <w:sz w:val="24"/>
          <w:szCs w:val="24"/>
        </w:rPr>
        <w:t xml:space="preserve">orted with the increased dose. </w:t>
      </w:r>
      <w:r w:rsidR="00E567E5" w:rsidRPr="00E25B3A">
        <w:rPr>
          <w:rFonts w:ascii="Book Antiqua" w:hAnsi="Book Antiqua" w:cs="Arial"/>
          <w:sz w:val="24"/>
          <w:szCs w:val="24"/>
        </w:rPr>
        <w:t>Within a couple of days, t</w:t>
      </w:r>
      <w:r w:rsidR="009E682D" w:rsidRPr="00E25B3A">
        <w:rPr>
          <w:rFonts w:ascii="Book Antiqua" w:hAnsi="Book Antiqua" w:cs="Arial"/>
          <w:sz w:val="24"/>
          <w:szCs w:val="24"/>
        </w:rPr>
        <w:t xml:space="preserve">he patient subsequently </w:t>
      </w:r>
      <w:r w:rsidRPr="00E25B3A">
        <w:rPr>
          <w:rFonts w:ascii="Book Antiqua" w:hAnsi="Book Antiqua" w:cs="Arial"/>
          <w:sz w:val="24"/>
          <w:szCs w:val="24"/>
        </w:rPr>
        <w:t xml:space="preserve">reported further improvement in nausea to 4/10 </w:t>
      </w:r>
      <w:r w:rsidR="009E682D" w:rsidRPr="00E25B3A">
        <w:rPr>
          <w:rFonts w:ascii="Book Antiqua" w:hAnsi="Book Antiqua" w:cs="Arial"/>
          <w:sz w:val="24"/>
          <w:szCs w:val="24"/>
        </w:rPr>
        <w:t>in severity</w:t>
      </w:r>
      <w:r w:rsidR="00C52099" w:rsidRPr="00E25B3A">
        <w:rPr>
          <w:rFonts w:ascii="Book Antiqua" w:hAnsi="Book Antiqua" w:cs="Arial"/>
          <w:sz w:val="24"/>
          <w:szCs w:val="24"/>
        </w:rPr>
        <w:t xml:space="preserve">, a level </w:t>
      </w:r>
      <w:r w:rsidR="009E682D" w:rsidRPr="00E25B3A">
        <w:rPr>
          <w:rFonts w:ascii="Book Antiqua" w:hAnsi="Book Antiqua" w:cs="Arial"/>
          <w:sz w:val="24"/>
          <w:szCs w:val="24"/>
        </w:rPr>
        <w:t xml:space="preserve">which was </w:t>
      </w:r>
      <w:r w:rsidR="00C52099" w:rsidRPr="00E25B3A">
        <w:rPr>
          <w:rFonts w:ascii="Book Antiqua" w:hAnsi="Book Antiqua" w:cs="Arial"/>
          <w:sz w:val="24"/>
          <w:szCs w:val="24"/>
        </w:rPr>
        <w:t xml:space="preserve">deemed </w:t>
      </w:r>
      <w:r w:rsidR="009E682D" w:rsidRPr="00E25B3A">
        <w:rPr>
          <w:rFonts w:ascii="Book Antiqua" w:hAnsi="Book Antiqua" w:cs="Arial"/>
          <w:sz w:val="24"/>
          <w:szCs w:val="24"/>
        </w:rPr>
        <w:t>tolerable</w:t>
      </w:r>
      <w:r w:rsidR="00C52099" w:rsidRPr="00E25B3A">
        <w:rPr>
          <w:rFonts w:ascii="Book Antiqua" w:hAnsi="Book Antiqua" w:cs="Arial"/>
          <w:sz w:val="24"/>
          <w:szCs w:val="24"/>
        </w:rPr>
        <w:t xml:space="preserve"> to her</w:t>
      </w:r>
      <w:r w:rsidR="00A05490" w:rsidRPr="00E25B3A">
        <w:rPr>
          <w:rFonts w:ascii="Book Antiqua" w:hAnsi="Book Antiqua" w:cs="Arial"/>
          <w:sz w:val="24"/>
          <w:szCs w:val="24"/>
        </w:rPr>
        <w:t xml:space="preserve">. </w:t>
      </w:r>
      <w:r w:rsidR="00E74457" w:rsidRPr="00E25B3A">
        <w:rPr>
          <w:rFonts w:ascii="Book Antiqua" w:hAnsi="Book Antiqua" w:cs="Arial"/>
          <w:sz w:val="24"/>
          <w:szCs w:val="24"/>
        </w:rPr>
        <w:t xml:space="preserve">She </w:t>
      </w:r>
      <w:r w:rsidRPr="00E25B3A">
        <w:rPr>
          <w:rFonts w:ascii="Book Antiqua" w:hAnsi="Book Antiqua" w:cs="Arial"/>
          <w:sz w:val="24"/>
          <w:szCs w:val="24"/>
        </w:rPr>
        <w:t xml:space="preserve">also experienced improved appetite and was able to </w:t>
      </w:r>
      <w:r w:rsidR="009E682D" w:rsidRPr="00E25B3A">
        <w:rPr>
          <w:rFonts w:ascii="Book Antiqua" w:hAnsi="Book Antiqua" w:cs="Arial"/>
          <w:sz w:val="24"/>
          <w:szCs w:val="24"/>
        </w:rPr>
        <w:t xml:space="preserve">drink larger volumes of liquids and </w:t>
      </w:r>
      <w:r w:rsidR="00C52099" w:rsidRPr="00E25B3A">
        <w:rPr>
          <w:rFonts w:ascii="Book Antiqua" w:hAnsi="Book Antiqua" w:cs="Arial"/>
          <w:sz w:val="24"/>
          <w:szCs w:val="24"/>
        </w:rPr>
        <w:t xml:space="preserve">to </w:t>
      </w:r>
      <w:r w:rsidR="00EB3B87" w:rsidRPr="00E25B3A">
        <w:rPr>
          <w:rFonts w:ascii="Book Antiqua" w:hAnsi="Book Antiqua" w:cs="Arial"/>
          <w:sz w:val="24"/>
          <w:szCs w:val="24"/>
        </w:rPr>
        <w:t xml:space="preserve">tolerate small volumes of soft </w:t>
      </w:r>
      <w:r w:rsidR="009E682D" w:rsidRPr="00E25B3A">
        <w:rPr>
          <w:rFonts w:ascii="Book Antiqua" w:hAnsi="Book Antiqua" w:cs="Arial"/>
          <w:sz w:val="24"/>
          <w:szCs w:val="24"/>
        </w:rPr>
        <w:t>food</w:t>
      </w:r>
      <w:r w:rsidR="00EB3B87" w:rsidRPr="00E25B3A">
        <w:rPr>
          <w:rFonts w:ascii="Book Antiqua" w:hAnsi="Book Antiqua" w:cs="Arial"/>
          <w:sz w:val="24"/>
          <w:szCs w:val="24"/>
        </w:rPr>
        <w:t>s</w:t>
      </w:r>
      <w:r w:rsidR="009E682D" w:rsidRPr="00E25B3A">
        <w:rPr>
          <w:rFonts w:ascii="Book Antiqua" w:hAnsi="Book Antiqua" w:cs="Arial"/>
          <w:sz w:val="24"/>
          <w:szCs w:val="24"/>
        </w:rPr>
        <w:t>.</w:t>
      </w:r>
      <w:r w:rsidR="00A05490" w:rsidRPr="00E25B3A">
        <w:rPr>
          <w:rFonts w:ascii="Book Antiqua" w:hAnsi="Book Antiqua" w:cs="Arial"/>
          <w:sz w:val="24"/>
          <w:szCs w:val="24"/>
        </w:rPr>
        <w:t xml:space="preserve"> </w:t>
      </w:r>
      <w:r w:rsidR="00E74457" w:rsidRPr="00E25B3A">
        <w:rPr>
          <w:rFonts w:ascii="Book Antiqua" w:hAnsi="Book Antiqua" w:cs="Arial"/>
          <w:sz w:val="24"/>
          <w:szCs w:val="24"/>
        </w:rPr>
        <w:t>Intravenous hydration was stopped</w:t>
      </w:r>
      <w:r w:rsidR="00EB3B87" w:rsidRPr="00E25B3A">
        <w:rPr>
          <w:rFonts w:ascii="Book Antiqua" w:hAnsi="Book Antiqua" w:cs="Arial"/>
          <w:sz w:val="24"/>
          <w:szCs w:val="24"/>
        </w:rPr>
        <w:t xml:space="preserve"> and she remained in stable condition</w:t>
      </w:r>
      <w:r w:rsidR="00A05490" w:rsidRPr="00E25B3A">
        <w:rPr>
          <w:rFonts w:ascii="Book Antiqua" w:hAnsi="Book Antiqua" w:cs="Arial"/>
          <w:sz w:val="24"/>
          <w:szCs w:val="24"/>
        </w:rPr>
        <w:t xml:space="preserve">. </w:t>
      </w:r>
      <w:r w:rsidRPr="00E25B3A">
        <w:rPr>
          <w:rFonts w:ascii="Book Antiqua" w:hAnsi="Book Antiqua" w:cs="Arial"/>
          <w:sz w:val="24"/>
          <w:szCs w:val="24"/>
        </w:rPr>
        <w:t xml:space="preserve">She was </w:t>
      </w:r>
      <w:r w:rsidR="00E74457" w:rsidRPr="00E25B3A">
        <w:rPr>
          <w:rFonts w:ascii="Book Antiqua" w:hAnsi="Book Antiqua" w:cs="Arial"/>
          <w:sz w:val="24"/>
          <w:szCs w:val="24"/>
        </w:rPr>
        <w:t xml:space="preserve">subsequently </w:t>
      </w:r>
      <w:r w:rsidRPr="00E25B3A">
        <w:rPr>
          <w:rFonts w:ascii="Book Antiqua" w:hAnsi="Book Antiqua" w:cs="Arial"/>
          <w:sz w:val="24"/>
          <w:szCs w:val="24"/>
        </w:rPr>
        <w:t xml:space="preserve">discharged home without readmission for the first time in </w:t>
      </w:r>
      <w:r w:rsidR="00A05490" w:rsidRPr="00E25B3A">
        <w:rPr>
          <w:rFonts w:ascii="Book Antiqua" w:hAnsi="Book Antiqua" w:cs="Arial"/>
          <w:sz w:val="24"/>
          <w:szCs w:val="24"/>
        </w:rPr>
        <w:t>3 mo</w:t>
      </w:r>
      <w:r w:rsidR="00EB3B87" w:rsidRPr="00E25B3A">
        <w:rPr>
          <w:rFonts w:ascii="Book Antiqua" w:hAnsi="Book Antiqua" w:cs="Arial"/>
          <w:sz w:val="24"/>
          <w:szCs w:val="24"/>
        </w:rPr>
        <w:t xml:space="preserve"> </w:t>
      </w:r>
      <w:r w:rsidR="00E74457" w:rsidRPr="00E25B3A">
        <w:rPr>
          <w:rFonts w:ascii="Book Antiqua" w:hAnsi="Book Antiqua" w:cs="Arial"/>
          <w:sz w:val="24"/>
          <w:szCs w:val="24"/>
        </w:rPr>
        <w:t xml:space="preserve">on a regimen </w:t>
      </w:r>
      <w:r w:rsidR="00517E4D" w:rsidRPr="00E25B3A">
        <w:rPr>
          <w:rFonts w:ascii="Book Antiqua" w:hAnsi="Book Antiqua" w:cs="Arial"/>
          <w:sz w:val="24"/>
          <w:szCs w:val="24"/>
        </w:rPr>
        <w:t xml:space="preserve">only </w:t>
      </w:r>
      <w:r w:rsidR="00E74457" w:rsidRPr="00E25B3A">
        <w:rPr>
          <w:rFonts w:ascii="Book Antiqua" w:hAnsi="Book Antiqua" w:cs="Arial"/>
          <w:sz w:val="24"/>
          <w:szCs w:val="24"/>
        </w:rPr>
        <w:t>including mirtazapine 30 mg PO qhs, clonazepam 1 mg PO BID,</w:t>
      </w:r>
      <w:r w:rsidR="00E567E5" w:rsidRPr="00E25B3A">
        <w:rPr>
          <w:rFonts w:ascii="Book Antiqua" w:hAnsi="Book Antiqua" w:cs="Arial"/>
          <w:sz w:val="24"/>
          <w:szCs w:val="24"/>
        </w:rPr>
        <w:t xml:space="preserve"> </w:t>
      </w:r>
      <w:r w:rsidR="00A05490" w:rsidRPr="00E25B3A">
        <w:rPr>
          <w:rFonts w:ascii="Book Antiqua" w:hAnsi="Book Antiqua" w:cs="Arial"/>
          <w:sz w:val="24"/>
          <w:szCs w:val="24"/>
        </w:rPr>
        <w:t xml:space="preserve">and ondansetron PRN. </w:t>
      </w:r>
      <w:r w:rsidRPr="00E25B3A">
        <w:rPr>
          <w:rFonts w:ascii="Book Antiqua" w:hAnsi="Book Antiqua" w:cs="Arial"/>
          <w:sz w:val="24"/>
          <w:szCs w:val="24"/>
        </w:rPr>
        <w:t xml:space="preserve">While </w:t>
      </w:r>
      <w:r w:rsidR="008A3225" w:rsidRPr="00E25B3A">
        <w:rPr>
          <w:rFonts w:ascii="Book Antiqua" w:hAnsi="Book Antiqua" w:cs="Arial"/>
          <w:sz w:val="24"/>
          <w:szCs w:val="24"/>
        </w:rPr>
        <w:t xml:space="preserve">nocturnal </w:t>
      </w:r>
      <w:r w:rsidRPr="00E25B3A">
        <w:rPr>
          <w:rFonts w:ascii="Book Antiqua" w:hAnsi="Book Antiqua" w:cs="Arial"/>
          <w:sz w:val="24"/>
          <w:szCs w:val="24"/>
        </w:rPr>
        <w:t>nasojejunal feeding was continued over the ensuing 6 w</w:t>
      </w:r>
      <w:r w:rsidR="00A05490" w:rsidRPr="00E25B3A">
        <w:rPr>
          <w:rFonts w:ascii="Book Antiqua" w:hAnsi="Book Antiqua" w:cs="Arial" w:hint="eastAsia"/>
          <w:sz w:val="24"/>
          <w:szCs w:val="24"/>
          <w:lang w:eastAsia="zh-CN"/>
        </w:rPr>
        <w:t>k</w:t>
      </w:r>
      <w:r w:rsidRPr="00E25B3A">
        <w:rPr>
          <w:rFonts w:ascii="Book Antiqua" w:hAnsi="Book Antiqua" w:cs="Arial"/>
          <w:sz w:val="24"/>
          <w:szCs w:val="24"/>
        </w:rPr>
        <w:t>, this therapy was ultimately discontinued</w:t>
      </w:r>
      <w:r w:rsidR="00E567E5" w:rsidRPr="00E25B3A">
        <w:rPr>
          <w:rFonts w:ascii="Book Antiqua" w:hAnsi="Book Antiqua" w:cs="Arial"/>
          <w:sz w:val="24"/>
          <w:szCs w:val="24"/>
        </w:rPr>
        <w:t xml:space="preserve"> because t</w:t>
      </w:r>
      <w:r w:rsidRPr="00E25B3A">
        <w:rPr>
          <w:rFonts w:ascii="Book Antiqua" w:hAnsi="Book Antiqua" w:cs="Arial"/>
          <w:sz w:val="24"/>
          <w:szCs w:val="24"/>
        </w:rPr>
        <w:t xml:space="preserve">he patient </w:t>
      </w:r>
      <w:r w:rsidR="009E682D" w:rsidRPr="00E25B3A">
        <w:rPr>
          <w:rFonts w:ascii="Book Antiqua" w:hAnsi="Book Antiqua" w:cs="Arial"/>
          <w:sz w:val="24"/>
          <w:szCs w:val="24"/>
        </w:rPr>
        <w:t xml:space="preserve">had </w:t>
      </w:r>
      <w:r w:rsidR="00E567E5" w:rsidRPr="00E25B3A">
        <w:rPr>
          <w:rFonts w:ascii="Book Antiqua" w:hAnsi="Book Antiqua" w:cs="Arial"/>
          <w:sz w:val="24"/>
          <w:szCs w:val="24"/>
        </w:rPr>
        <w:t xml:space="preserve">continued to improve </w:t>
      </w:r>
      <w:r w:rsidRPr="00E25B3A">
        <w:rPr>
          <w:rFonts w:ascii="Book Antiqua" w:hAnsi="Book Antiqua" w:cs="Arial"/>
          <w:sz w:val="24"/>
          <w:szCs w:val="24"/>
        </w:rPr>
        <w:t xml:space="preserve">with no episodes of vomiting, </w:t>
      </w:r>
      <w:r w:rsidR="009E682D" w:rsidRPr="00E25B3A">
        <w:rPr>
          <w:rFonts w:ascii="Book Antiqua" w:hAnsi="Book Antiqua" w:cs="Arial"/>
          <w:sz w:val="24"/>
          <w:szCs w:val="24"/>
        </w:rPr>
        <w:t xml:space="preserve">generally </w:t>
      </w:r>
      <w:r w:rsidRPr="00E25B3A">
        <w:rPr>
          <w:rFonts w:ascii="Book Antiqua" w:hAnsi="Book Antiqua" w:cs="Arial"/>
          <w:sz w:val="24"/>
          <w:szCs w:val="24"/>
        </w:rPr>
        <w:t xml:space="preserve">improved nausea, </w:t>
      </w:r>
      <w:r w:rsidR="00F11DDB" w:rsidRPr="00E25B3A">
        <w:rPr>
          <w:rFonts w:ascii="Book Antiqua" w:hAnsi="Book Antiqua" w:cs="Arial"/>
          <w:sz w:val="24"/>
          <w:szCs w:val="24"/>
        </w:rPr>
        <w:t xml:space="preserve">further improvements in </w:t>
      </w:r>
      <w:r w:rsidRPr="00E25B3A">
        <w:rPr>
          <w:rFonts w:ascii="Book Antiqua" w:hAnsi="Book Antiqua" w:cs="Arial"/>
          <w:sz w:val="24"/>
          <w:szCs w:val="24"/>
        </w:rPr>
        <w:t>oral intake</w:t>
      </w:r>
      <w:r w:rsidR="009E682D" w:rsidRPr="00E25B3A">
        <w:rPr>
          <w:rFonts w:ascii="Book Antiqua" w:hAnsi="Book Antiqua" w:cs="Arial"/>
          <w:sz w:val="24"/>
          <w:szCs w:val="24"/>
        </w:rPr>
        <w:t xml:space="preserve"> (including </w:t>
      </w:r>
      <w:r w:rsidR="00F11DDB" w:rsidRPr="00E25B3A">
        <w:rPr>
          <w:rFonts w:ascii="Book Antiqua" w:hAnsi="Book Antiqua" w:cs="Arial"/>
          <w:sz w:val="24"/>
          <w:szCs w:val="24"/>
        </w:rPr>
        <w:t xml:space="preserve">some tolerance of </w:t>
      </w:r>
      <w:r w:rsidR="009E682D" w:rsidRPr="00E25B3A">
        <w:rPr>
          <w:rFonts w:ascii="Book Antiqua" w:hAnsi="Book Antiqua" w:cs="Arial"/>
          <w:sz w:val="24"/>
          <w:szCs w:val="24"/>
        </w:rPr>
        <w:t>solid foods)</w:t>
      </w:r>
      <w:r w:rsidRPr="00E25B3A">
        <w:rPr>
          <w:rFonts w:ascii="Book Antiqua" w:hAnsi="Book Antiqua" w:cs="Arial"/>
          <w:sz w:val="24"/>
          <w:szCs w:val="24"/>
        </w:rPr>
        <w:t>, and weight gain</w:t>
      </w:r>
      <w:r w:rsidR="00E74457" w:rsidRPr="00E25B3A">
        <w:rPr>
          <w:rFonts w:ascii="Book Antiqua" w:hAnsi="Book Antiqua" w:cs="Arial"/>
          <w:sz w:val="24"/>
          <w:szCs w:val="24"/>
        </w:rPr>
        <w:t xml:space="preserve"> near to her prior baseline</w:t>
      </w:r>
      <w:r w:rsidRPr="00E25B3A">
        <w:rPr>
          <w:rFonts w:ascii="Book Antiqua" w:hAnsi="Book Antiqua" w:cs="Arial"/>
          <w:sz w:val="24"/>
          <w:szCs w:val="24"/>
        </w:rPr>
        <w:t>.</w:t>
      </w:r>
      <w:r w:rsidR="008A3225" w:rsidRPr="00E25B3A">
        <w:rPr>
          <w:rFonts w:ascii="Book Antiqua" w:hAnsi="Book Antiqua" w:cs="Arial"/>
          <w:sz w:val="24"/>
          <w:szCs w:val="24"/>
        </w:rPr>
        <w:t xml:space="preserve"> </w:t>
      </w:r>
    </w:p>
    <w:p w:rsidR="008A3225" w:rsidRPr="00E25B3A" w:rsidRDefault="008A3225" w:rsidP="0097748F">
      <w:pPr>
        <w:spacing w:after="0" w:line="360" w:lineRule="auto"/>
        <w:jc w:val="both"/>
        <w:rPr>
          <w:rFonts w:ascii="Book Antiqua" w:hAnsi="Book Antiqua" w:cs="Arial"/>
          <w:caps/>
          <w:sz w:val="24"/>
          <w:szCs w:val="24"/>
        </w:rPr>
      </w:pPr>
    </w:p>
    <w:p w:rsidR="00D76E37" w:rsidRPr="00E25B3A" w:rsidRDefault="00725C2B" w:rsidP="0097748F">
      <w:pPr>
        <w:spacing w:after="0" w:line="360" w:lineRule="auto"/>
        <w:jc w:val="both"/>
        <w:rPr>
          <w:rFonts w:ascii="Book Antiqua" w:hAnsi="Book Antiqua" w:cs="Arial"/>
          <w:b/>
          <w:caps/>
          <w:sz w:val="24"/>
          <w:szCs w:val="24"/>
          <w:lang w:eastAsia="zh-CN"/>
        </w:rPr>
      </w:pPr>
      <w:r w:rsidRPr="00E25B3A">
        <w:rPr>
          <w:rFonts w:ascii="Book Antiqua" w:hAnsi="Book Antiqua" w:cs="Arial"/>
          <w:b/>
          <w:caps/>
          <w:sz w:val="24"/>
          <w:szCs w:val="24"/>
        </w:rPr>
        <w:t>Discussion</w:t>
      </w:r>
    </w:p>
    <w:p w:rsidR="00817587" w:rsidRPr="00E25B3A" w:rsidRDefault="00D76E37" w:rsidP="0097748F">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 xml:space="preserve">To </w:t>
      </w:r>
      <w:r w:rsidR="009E682D" w:rsidRPr="00E25B3A">
        <w:rPr>
          <w:rFonts w:ascii="Book Antiqua" w:hAnsi="Book Antiqua" w:cs="Arial"/>
          <w:sz w:val="24"/>
          <w:szCs w:val="24"/>
        </w:rPr>
        <w:t xml:space="preserve">our knowledge, </w:t>
      </w:r>
      <w:r w:rsidRPr="00E25B3A">
        <w:rPr>
          <w:rFonts w:ascii="Book Antiqua" w:hAnsi="Book Antiqua" w:cs="Arial"/>
          <w:sz w:val="24"/>
          <w:szCs w:val="24"/>
        </w:rPr>
        <w:t xml:space="preserve">this is the first report of mirtazapine </w:t>
      </w:r>
      <w:r w:rsidR="00E74457" w:rsidRPr="00E25B3A">
        <w:rPr>
          <w:rFonts w:ascii="Book Antiqua" w:hAnsi="Book Antiqua" w:cs="Arial"/>
          <w:sz w:val="24"/>
          <w:szCs w:val="24"/>
        </w:rPr>
        <w:t xml:space="preserve">successfully used </w:t>
      </w:r>
      <w:r w:rsidRPr="00E25B3A">
        <w:rPr>
          <w:rFonts w:ascii="Book Antiqua" w:hAnsi="Book Antiqua" w:cs="Arial"/>
          <w:sz w:val="24"/>
          <w:szCs w:val="24"/>
        </w:rPr>
        <w:t xml:space="preserve">to treat symptoms of post-infectious gastroparesis. A previous report </w:t>
      </w:r>
      <w:r w:rsidR="009E682D" w:rsidRPr="00E25B3A">
        <w:rPr>
          <w:rFonts w:ascii="Book Antiqua" w:hAnsi="Book Antiqua" w:cs="Arial"/>
          <w:sz w:val="24"/>
          <w:szCs w:val="24"/>
        </w:rPr>
        <w:t xml:space="preserve">documented </w:t>
      </w:r>
      <w:r w:rsidRPr="00E25B3A">
        <w:rPr>
          <w:rFonts w:ascii="Book Antiqua" w:hAnsi="Book Antiqua" w:cs="Arial"/>
          <w:sz w:val="24"/>
          <w:szCs w:val="24"/>
        </w:rPr>
        <w:t xml:space="preserve">the </w:t>
      </w:r>
      <w:r w:rsidR="009E682D" w:rsidRPr="00E25B3A">
        <w:rPr>
          <w:rFonts w:ascii="Book Antiqua" w:hAnsi="Book Antiqua" w:cs="Arial"/>
          <w:sz w:val="24"/>
          <w:szCs w:val="24"/>
        </w:rPr>
        <w:t xml:space="preserve">successful </w:t>
      </w:r>
      <w:r w:rsidRPr="00E25B3A">
        <w:rPr>
          <w:rFonts w:ascii="Book Antiqua" w:hAnsi="Book Antiqua" w:cs="Arial"/>
          <w:sz w:val="24"/>
          <w:szCs w:val="24"/>
        </w:rPr>
        <w:t xml:space="preserve">use of mirtazapine in a patient with treatment-refractory diabetic </w:t>
      </w:r>
      <w:proofErr w:type="spellStart"/>
      <w:proofErr w:type="gramStart"/>
      <w:r w:rsidRPr="00E25B3A">
        <w:rPr>
          <w:rFonts w:ascii="Book Antiqua" w:hAnsi="Book Antiqua" w:cs="Arial"/>
          <w:sz w:val="24"/>
          <w:szCs w:val="24"/>
        </w:rPr>
        <w:lastRenderedPageBreak/>
        <w:t>gastroparesis</w:t>
      </w:r>
      <w:proofErr w:type="spellEnd"/>
      <w:r w:rsidRPr="00E25B3A">
        <w:rPr>
          <w:rFonts w:ascii="Book Antiqua" w:hAnsi="Book Antiqua" w:cs="Arial"/>
          <w:sz w:val="24"/>
          <w:szCs w:val="24"/>
          <w:vertAlign w:val="superscript"/>
        </w:rPr>
        <w:t>[</w:t>
      </w:r>
      <w:proofErr w:type="gramEnd"/>
      <w:r w:rsidR="00D34247" w:rsidRPr="00E25B3A">
        <w:rPr>
          <w:rFonts w:ascii="Book Antiqua" w:hAnsi="Book Antiqua" w:cs="Arial"/>
          <w:sz w:val="24"/>
          <w:szCs w:val="24"/>
          <w:vertAlign w:val="superscript"/>
        </w:rPr>
        <w:t>9</w:t>
      </w:r>
      <w:r w:rsidRPr="00E25B3A">
        <w:rPr>
          <w:rFonts w:ascii="Book Antiqua" w:hAnsi="Book Antiqua" w:cs="Arial"/>
          <w:sz w:val="24"/>
          <w:szCs w:val="24"/>
          <w:vertAlign w:val="superscript"/>
        </w:rPr>
        <w:t>]</w:t>
      </w:r>
      <w:r w:rsidR="00D40B51" w:rsidRPr="00E25B3A">
        <w:rPr>
          <w:rFonts w:ascii="Book Antiqua" w:hAnsi="Book Antiqua" w:cs="Arial"/>
          <w:sz w:val="24"/>
          <w:szCs w:val="24"/>
        </w:rPr>
        <w:t>.</w:t>
      </w:r>
      <w:r w:rsidRPr="00E25B3A">
        <w:rPr>
          <w:rFonts w:ascii="Book Antiqua" w:hAnsi="Book Antiqua" w:cs="Arial"/>
          <w:sz w:val="24"/>
          <w:szCs w:val="24"/>
        </w:rPr>
        <w:t xml:space="preserve"> </w:t>
      </w:r>
      <w:r w:rsidR="00E74457" w:rsidRPr="00E25B3A">
        <w:rPr>
          <w:rFonts w:ascii="Book Antiqua" w:hAnsi="Book Antiqua" w:cs="Arial"/>
          <w:sz w:val="24"/>
          <w:szCs w:val="24"/>
        </w:rPr>
        <w:t>M</w:t>
      </w:r>
      <w:r w:rsidR="009E682D" w:rsidRPr="00E25B3A">
        <w:rPr>
          <w:rFonts w:ascii="Book Antiqua" w:hAnsi="Book Antiqua" w:cs="Arial"/>
          <w:sz w:val="24"/>
          <w:szCs w:val="24"/>
        </w:rPr>
        <w:t xml:space="preserve">irtazapine has well documented efficacy in managing symptoms of nausea and vomiting in other clinical contexts, such as </w:t>
      </w:r>
      <w:r w:rsidR="0088737D" w:rsidRPr="00E25B3A">
        <w:rPr>
          <w:rFonts w:ascii="Book Antiqua" w:hAnsi="Book Antiqua" w:cs="Arial"/>
          <w:sz w:val="24"/>
          <w:szCs w:val="24"/>
        </w:rPr>
        <w:t xml:space="preserve">in cancer </w:t>
      </w:r>
      <w:proofErr w:type="gramStart"/>
      <w:r w:rsidR="0088737D" w:rsidRPr="00E25B3A">
        <w:rPr>
          <w:rFonts w:ascii="Book Antiqua" w:hAnsi="Book Antiqua" w:cs="Arial"/>
          <w:sz w:val="24"/>
          <w:szCs w:val="24"/>
        </w:rPr>
        <w:t>chemotherapy</w:t>
      </w:r>
      <w:r w:rsidR="0088737D" w:rsidRPr="00E25B3A">
        <w:rPr>
          <w:rFonts w:ascii="Book Antiqua" w:hAnsi="Book Antiqua" w:cs="Arial"/>
          <w:sz w:val="24"/>
          <w:szCs w:val="24"/>
          <w:vertAlign w:val="superscript"/>
        </w:rPr>
        <w:t>[</w:t>
      </w:r>
      <w:proofErr w:type="gramEnd"/>
      <w:r w:rsidR="0088737D"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0</w:t>
      </w:r>
      <w:r w:rsidR="0088737D" w:rsidRPr="00E25B3A">
        <w:rPr>
          <w:rFonts w:ascii="Book Antiqua" w:hAnsi="Book Antiqua" w:cs="Arial"/>
          <w:sz w:val="24"/>
          <w:szCs w:val="24"/>
          <w:vertAlign w:val="superscript"/>
        </w:rPr>
        <w:t>]</w:t>
      </w:r>
      <w:r w:rsidR="0088737D" w:rsidRPr="00E25B3A">
        <w:rPr>
          <w:rFonts w:ascii="Book Antiqua" w:hAnsi="Book Antiqua" w:cs="Arial"/>
          <w:sz w:val="24"/>
          <w:szCs w:val="24"/>
        </w:rPr>
        <w:t xml:space="preserve"> and in perioperative settings</w:t>
      </w:r>
      <w:r w:rsidR="0088737D" w:rsidRPr="00E25B3A">
        <w:rPr>
          <w:rFonts w:ascii="Book Antiqua" w:hAnsi="Book Antiqua" w:cs="Arial"/>
          <w:sz w:val="24"/>
          <w:szCs w:val="24"/>
          <w:vertAlign w:val="superscript"/>
        </w:rPr>
        <w:t>[</w:t>
      </w:r>
      <w:r w:rsidR="005B1E32" w:rsidRPr="00E25B3A">
        <w:rPr>
          <w:rFonts w:ascii="Book Antiqua" w:hAnsi="Book Antiqua" w:cs="Arial"/>
          <w:sz w:val="24"/>
          <w:szCs w:val="24"/>
          <w:vertAlign w:val="superscript"/>
        </w:rPr>
        <w:t>11,12</w:t>
      </w:r>
      <w:r w:rsidR="0088737D" w:rsidRPr="00E25B3A">
        <w:rPr>
          <w:rFonts w:ascii="Book Antiqua" w:hAnsi="Book Antiqua" w:cs="Arial"/>
          <w:sz w:val="24"/>
          <w:szCs w:val="24"/>
          <w:vertAlign w:val="superscript"/>
        </w:rPr>
        <w:t>]</w:t>
      </w:r>
      <w:r w:rsidR="00D40B51" w:rsidRPr="00E25B3A">
        <w:rPr>
          <w:rFonts w:ascii="Book Antiqua" w:hAnsi="Book Antiqua" w:cs="Arial"/>
          <w:sz w:val="24"/>
          <w:szCs w:val="24"/>
        </w:rPr>
        <w:t xml:space="preserve">. </w:t>
      </w:r>
      <w:r w:rsidR="004D0ADA" w:rsidRPr="00E25B3A">
        <w:rPr>
          <w:rFonts w:ascii="Book Antiqua" w:hAnsi="Book Antiqua" w:cs="Arial"/>
          <w:sz w:val="24"/>
          <w:szCs w:val="24"/>
        </w:rPr>
        <w:t>T</w:t>
      </w:r>
      <w:r w:rsidR="00C52099" w:rsidRPr="00E25B3A">
        <w:rPr>
          <w:rFonts w:ascii="Book Antiqua" w:hAnsi="Book Antiqua" w:cs="Arial"/>
          <w:sz w:val="24"/>
          <w:szCs w:val="24"/>
        </w:rPr>
        <w:t xml:space="preserve">herefore, we felt </w:t>
      </w:r>
      <w:r w:rsidR="004D0ADA" w:rsidRPr="00E25B3A">
        <w:rPr>
          <w:rFonts w:ascii="Book Antiqua" w:hAnsi="Book Antiqua" w:cs="Arial"/>
          <w:sz w:val="24"/>
          <w:szCs w:val="24"/>
        </w:rPr>
        <w:t xml:space="preserve">mirtazapine </w:t>
      </w:r>
      <w:r w:rsidR="00817587" w:rsidRPr="00E25B3A">
        <w:rPr>
          <w:rFonts w:ascii="Book Antiqua" w:hAnsi="Book Antiqua" w:cs="Arial"/>
          <w:sz w:val="24"/>
          <w:szCs w:val="24"/>
        </w:rPr>
        <w:t xml:space="preserve">could be an effective medication for the treatment of similar symptoms related to </w:t>
      </w:r>
      <w:proofErr w:type="spellStart"/>
      <w:r w:rsidR="00817587" w:rsidRPr="00E25B3A">
        <w:rPr>
          <w:rFonts w:ascii="Book Antiqua" w:hAnsi="Book Antiqua" w:cs="Arial"/>
          <w:sz w:val="24"/>
          <w:szCs w:val="24"/>
        </w:rPr>
        <w:t>gastropare</w:t>
      </w:r>
      <w:r w:rsidR="00D40B51" w:rsidRPr="00E25B3A">
        <w:rPr>
          <w:rFonts w:ascii="Book Antiqua" w:hAnsi="Book Antiqua" w:cs="Arial"/>
          <w:sz w:val="24"/>
          <w:szCs w:val="24"/>
        </w:rPr>
        <w:t>sis</w:t>
      </w:r>
      <w:proofErr w:type="spellEnd"/>
      <w:r w:rsidR="00D40B51" w:rsidRPr="00E25B3A">
        <w:rPr>
          <w:rFonts w:ascii="Book Antiqua" w:hAnsi="Book Antiqua" w:cs="Arial"/>
          <w:sz w:val="24"/>
          <w:szCs w:val="24"/>
        </w:rPr>
        <w:t>.</w:t>
      </w:r>
    </w:p>
    <w:p w:rsidR="00107300" w:rsidRPr="00E25B3A" w:rsidRDefault="00D76E37" w:rsidP="00D40B51">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 xml:space="preserve">Mirtazapine is a unique antidepressant that is </w:t>
      </w:r>
      <w:r w:rsidR="00E74457" w:rsidRPr="00E25B3A">
        <w:rPr>
          <w:rFonts w:ascii="Book Antiqua" w:hAnsi="Book Antiqua" w:cs="Arial"/>
          <w:sz w:val="24"/>
          <w:szCs w:val="24"/>
        </w:rPr>
        <w:t xml:space="preserve">currently </w:t>
      </w:r>
      <w:r w:rsidRPr="00E25B3A">
        <w:rPr>
          <w:rFonts w:ascii="Book Antiqua" w:hAnsi="Book Antiqua" w:cs="Arial"/>
          <w:sz w:val="24"/>
          <w:szCs w:val="24"/>
        </w:rPr>
        <w:t xml:space="preserve">approved for use in the treatment of major depression. It </w:t>
      </w:r>
      <w:r w:rsidR="0088737D" w:rsidRPr="00E25B3A">
        <w:rPr>
          <w:rFonts w:ascii="Book Antiqua" w:hAnsi="Book Antiqua" w:cs="Arial"/>
          <w:sz w:val="24"/>
          <w:szCs w:val="24"/>
        </w:rPr>
        <w:t xml:space="preserve">specifically </w:t>
      </w:r>
      <w:r w:rsidRPr="00E25B3A">
        <w:rPr>
          <w:rFonts w:ascii="Book Antiqua" w:hAnsi="Book Antiqua" w:cs="Arial"/>
          <w:sz w:val="24"/>
          <w:szCs w:val="24"/>
        </w:rPr>
        <w:t xml:space="preserve">blocks </w:t>
      </w:r>
      <w:r w:rsidR="00375215" w:rsidRPr="00E25B3A">
        <w:rPr>
          <w:rFonts w:ascii="Book Antiqua" w:hAnsi="Book Antiqua" w:cs="Arial"/>
          <w:sz w:val="24"/>
          <w:szCs w:val="24"/>
        </w:rPr>
        <w:t xml:space="preserve">histamine </w:t>
      </w:r>
      <w:proofErr w:type="gramStart"/>
      <w:r w:rsidR="00375215" w:rsidRPr="00E25B3A">
        <w:rPr>
          <w:rFonts w:ascii="Book Antiqua" w:hAnsi="Book Antiqua" w:cs="Arial"/>
          <w:sz w:val="24"/>
          <w:szCs w:val="24"/>
        </w:rPr>
        <w:t>H1</w:t>
      </w:r>
      <w:r w:rsidR="00375215" w:rsidRPr="00E25B3A">
        <w:rPr>
          <w:rFonts w:ascii="Book Antiqua" w:hAnsi="Book Antiqua" w:cs="Arial"/>
          <w:sz w:val="24"/>
          <w:szCs w:val="24"/>
          <w:vertAlign w:val="superscript"/>
        </w:rPr>
        <w:t>[</w:t>
      </w:r>
      <w:proofErr w:type="gramEnd"/>
      <w:r w:rsidR="00375215"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3</w:t>
      </w:r>
      <w:r w:rsidR="00375215" w:rsidRPr="00E25B3A">
        <w:rPr>
          <w:rFonts w:ascii="Book Antiqua" w:hAnsi="Book Antiqua" w:cs="Arial"/>
          <w:sz w:val="24"/>
          <w:szCs w:val="24"/>
          <w:vertAlign w:val="superscript"/>
        </w:rPr>
        <w:t>]</w:t>
      </w:r>
      <w:r w:rsidR="00375215" w:rsidRPr="00E25B3A">
        <w:rPr>
          <w:rFonts w:ascii="Book Antiqua" w:hAnsi="Book Antiqua" w:cs="Arial"/>
          <w:sz w:val="24"/>
          <w:szCs w:val="24"/>
        </w:rPr>
        <w:t xml:space="preserve"> and </w:t>
      </w:r>
      <w:r w:rsidRPr="00E25B3A">
        <w:rPr>
          <w:rFonts w:ascii="Book Antiqua" w:hAnsi="Book Antiqua" w:cs="Arial"/>
          <w:sz w:val="24"/>
          <w:szCs w:val="24"/>
        </w:rPr>
        <w:t xml:space="preserve">serotonin 5-HT2A, 5-HT2C, </w:t>
      </w:r>
      <w:r w:rsidR="0088737D" w:rsidRPr="00E25B3A">
        <w:rPr>
          <w:rFonts w:ascii="Book Antiqua" w:hAnsi="Book Antiqua" w:cs="Arial"/>
          <w:sz w:val="24"/>
          <w:szCs w:val="24"/>
        </w:rPr>
        <w:t xml:space="preserve">and </w:t>
      </w:r>
      <w:r w:rsidRPr="00E25B3A">
        <w:rPr>
          <w:rFonts w:ascii="Book Antiqua" w:hAnsi="Book Antiqua" w:cs="Arial"/>
          <w:sz w:val="24"/>
          <w:szCs w:val="24"/>
        </w:rPr>
        <w:t>5-HT3</w:t>
      </w:r>
      <w:r w:rsidR="0088737D" w:rsidRPr="00E25B3A">
        <w:rPr>
          <w:rFonts w:ascii="Book Antiqua" w:hAnsi="Book Antiqua" w:cs="Arial"/>
          <w:sz w:val="24"/>
          <w:szCs w:val="24"/>
        </w:rPr>
        <w:t xml:space="preserve"> receptors, </w:t>
      </w:r>
      <w:r w:rsidRPr="00E25B3A">
        <w:rPr>
          <w:rFonts w:ascii="Book Antiqua" w:hAnsi="Book Antiqua" w:cs="Arial"/>
          <w:sz w:val="24"/>
          <w:szCs w:val="24"/>
        </w:rPr>
        <w:t>and stimulates 5-HT1A receptors</w:t>
      </w:r>
      <w:r w:rsidR="00375215"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4</w:t>
      </w:r>
      <w:r w:rsidR="00375215" w:rsidRPr="00E25B3A">
        <w:rPr>
          <w:rFonts w:ascii="Book Antiqua" w:hAnsi="Book Antiqua" w:cs="Arial"/>
          <w:sz w:val="24"/>
          <w:szCs w:val="24"/>
          <w:vertAlign w:val="superscript"/>
        </w:rPr>
        <w:t>]</w:t>
      </w:r>
      <w:r w:rsidR="004D0ADA" w:rsidRPr="00E25B3A">
        <w:rPr>
          <w:rFonts w:ascii="Book Antiqua" w:hAnsi="Book Antiqua" w:cs="Arial"/>
          <w:sz w:val="24"/>
          <w:szCs w:val="24"/>
        </w:rPr>
        <w:t xml:space="preserve"> </w:t>
      </w:r>
      <w:r w:rsidR="00C5295B" w:rsidRPr="00E25B3A">
        <w:rPr>
          <w:rFonts w:ascii="Book Antiqua" w:hAnsi="Book Antiqua" w:cs="Arial"/>
          <w:sz w:val="24"/>
          <w:szCs w:val="24"/>
        </w:rPr>
        <w:t xml:space="preserve">both peripherally and </w:t>
      </w:r>
      <w:r w:rsidR="00360C28" w:rsidRPr="00E25B3A">
        <w:rPr>
          <w:rFonts w:ascii="Book Antiqua" w:hAnsi="Book Antiqua" w:cs="Arial"/>
          <w:sz w:val="24"/>
          <w:szCs w:val="24"/>
        </w:rPr>
        <w:t xml:space="preserve">in the central nervous system. </w:t>
      </w:r>
      <w:r w:rsidRPr="00E25B3A">
        <w:rPr>
          <w:rFonts w:ascii="Book Antiqua" w:hAnsi="Book Antiqua" w:cs="Arial"/>
          <w:sz w:val="24"/>
          <w:szCs w:val="24"/>
        </w:rPr>
        <w:t>Stimulation of 5-HT1A receptors is believ</w:t>
      </w:r>
      <w:r w:rsidR="00375215" w:rsidRPr="00E25B3A">
        <w:rPr>
          <w:rFonts w:ascii="Book Antiqua" w:hAnsi="Book Antiqua" w:cs="Arial"/>
          <w:sz w:val="24"/>
          <w:szCs w:val="24"/>
        </w:rPr>
        <w:t xml:space="preserve">ed to be responsible </w:t>
      </w:r>
      <w:r w:rsidRPr="00E25B3A">
        <w:rPr>
          <w:rFonts w:ascii="Book Antiqua" w:hAnsi="Book Antiqua" w:cs="Arial"/>
          <w:sz w:val="24"/>
          <w:szCs w:val="24"/>
        </w:rPr>
        <w:t>for its antidepressant and anxiolytic effects, whereas blocka</w:t>
      </w:r>
      <w:r w:rsidR="00E74457" w:rsidRPr="00E25B3A">
        <w:rPr>
          <w:rFonts w:ascii="Book Antiqua" w:hAnsi="Book Antiqua" w:cs="Arial"/>
          <w:sz w:val="24"/>
          <w:szCs w:val="24"/>
        </w:rPr>
        <w:t>de</w:t>
      </w:r>
      <w:r w:rsidRPr="00E25B3A">
        <w:rPr>
          <w:rFonts w:ascii="Book Antiqua" w:hAnsi="Book Antiqua" w:cs="Arial"/>
          <w:sz w:val="24"/>
          <w:szCs w:val="24"/>
        </w:rPr>
        <w:t xml:space="preserve"> of </w:t>
      </w:r>
      <w:r w:rsidR="00375215" w:rsidRPr="00E25B3A">
        <w:rPr>
          <w:rFonts w:ascii="Book Antiqua" w:hAnsi="Book Antiqua" w:cs="Arial"/>
          <w:sz w:val="24"/>
          <w:szCs w:val="24"/>
        </w:rPr>
        <w:t xml:space="preserve">H1, </w:t>
      </w:r>
      <w:r w:rsidRPr="00E25B3A">
        <w:rPr>
          <w:rFonts w:ascii="Book Antiqua" w:hAnsi="Book Antiqua" w:cs="Arial"/>
          <w:sz w:val="24"/>
          <w:szCs w:val="24"/>
        </w:rPr>
        <w:t xml:space="preserve">5-HT2A and 5-HT2C </w:t>
      </w:r>
      <w:r w:rsidR="00375215" w:rsidRPr="00E25B3A">
        <w:rPr>
          <w:rFonts w:ascii="Book Antiqua" w:hAnsi="Book Antiqua" w:cs="Arial"/>
          <w:sz w:val="24"/>
          <w:szCs w:val="24"/>
        </w:rPr>
        <w:t xml:space="preserve">receptors </w:t>
      </w:r>
      <w:r w:rsidRPr="00E25B3A">
        <w:rPr>
          <w:rFonts w:ascii="Book Antiqua" w:hAnsi="Book Antiqua" w:cs="Arial"/>
          <w:sz w:val="24"/>
          <w:szCs w:val="24"/>
        </w:rPr>
        <w:t xml:space="preserve">may </w:t>
      </w:r>
      <w:r w:rsidR="006E2BF8" w:rsidRPr="00E25B3A">
        <w:rPr>
          <w:rFonts w:ascii="Book Antiqua" w:hAnsi="Book Antiqua" w:cs="Arial"/>
          <w:sz w:val="24"/>
          <w:szCs w:val="24"/>
        </w:rPr>
        <w:t xml:space="preserve">also </w:t>
      </w:r>
      <w:r w:rsidRPr="00E25B3A">
        <w:rPr>
          <w:rFonts w:ascii="Book Antiqua" w:hAnsi="Book Antiqua" w:cs="Arial"/>
          <w:sz w:val="24"/>
          <w:szCs w:val="24"/>
        </w:rPr>
        <w:t xml:space="preserve">relate to </w:t>
      </w:r>
      <w:r w:rsidR="0088737D" w:rsidRPr="00E25B3A">
        <w:rPr>
          <w:rFonts w:ascii="Book Antiqua" w:hAnsi="Book Antiqua" w:cs="Arial"/>
          <w:sz w:val="24"/>
          <w:szCs w:val="24"/>
        </w:rPr>
        <w:t xml:space="preserve">some </w:t>
      </w:r>
      <w:r w:rsidR="006E2BF8" w:rsidRPr="00E25B3A">
        <w:rPr>
          <w:rFonts w:ascii="Book Antiqua" w:hAnsi="Book Antiqua" w:cs="Arial"/>
          <w:sz w:val="24"/>
          <w:szCs w:val="24"/>
        </w:rPr>
        <w:t xml:space="preserve">of </w:t>
      </w:r>
      <w:r w:rsidRPr="00E25B3A">
        <w:rPr>
          <w:rFonts w:ascii="Book Antiqua" w:hAnsi="Book Antiqua" w:cs="Arial"/>
          <w:sz w:val="24"/>
          <w:szCs w:val="24"/>
        </w:rPr>
        <w:t xml:space="preserve">its anxiolytic and sedating </w:t>
      </w:r>
      <w:proofErr w:type="gramStart"/>
      <w:r w:rsidRPr="00E25B3A">
        <w:rPr>
          <w:rFonts w:ascii="Book Antiqua" w:hAnsi="Book Antiqua" w:cs="Arial"/>
          <w:sz w:val="24"/>
          <w:szCs w:val="24"/>
        </w:rPr>
        <w:t>effects</w:t>
      </w:r>
      <w:r w:rsidRPr="00E25B3A">
        <w:rPr>
          <w:rFonts w:ascii="Book Antiqua" w:hAnsi="Book Antiqua" w:cs="Arial"/>
          <w:sz w:val="24"/>
          <w:szCs w:val="24"/>
          <w:vertAlign w:val="superscript"/>
        </w:rPr>
        <w:t>[</w:t>
      </w:r>
      <w:proofErr w:type="gramEnd"/>
      <w:r w:rsidR="005B1E32" w:rsidRPr="00E25B3A">
        <w:rPr>
          <w:rFonts w:ascii="Book Antiqua" w:hAnsi="Book Antiqua" w:cs="Arial"/>
          <w:sz w:val="24"/>
          <w:szCs w:val="24"/>
          <w:vertAlign w:val="superscript"/>
        </w:rPr>
        <w:t>13</w:t>
      </w:r>
      <w:r w:rsidR="00D40B51" w:rsidRPr="00E25B3A">
        <w:rPr>
          <w:rFonts w:ascii="Book Antiqua" w:hAnsi="Book Antiqua" w:cs="Arial" w:hint="eastAsia"/>
          <w:sz w:val="24"/>
          <w:szCs w:val="24"/>
          <w:vertAlign w:val="superscript"/>
          <w:lang w:eastAsia="zh-CN"/>
        </w:rPr>
        <w:t>,</w:t>
      </w:r>
      <w:r w:rsidR="005B1E32" w:rsidRPr="00E25B3A">
        <w:rPr>
          <w:rFonts w:ascii="Book Antiqua" w:hAnsi="Book Antiqua" w:cs="Arial"/>
          <w:sz w:val="24"/>
          <w:szCs w:val="24"/>
          <w:vertAlign w:val="superscript"/>
        </w:rPr>
        <w:t>14</w:t>
      </w:r>
      <w:r w:rsidRPr="00E25B3A">
        <w:rPr>
          <w:rFonts w:ascii="Book Antiqua" w:hAnsi="Book Antiqua" w:cs="Arial"/>
          <w:sz w:val="24"/>
          <w:szCs w:val="24"/>
          <w:vertAlign w:val="superscript"/>
        </w:rPr>
        <w:t>]</w:t>
      </w:r>
      <w:r w:rsidR="00D40B51" w:rsidRPr="00E25B3A">
        <w:rPr>
          <w:rFonts w:ascii="Book Antiqua" w:hAnsi="Book Antiqua" w:cs="Arial"/>
          <w:sz w:val="24"/>
          <w:szCs w:val="24"/>
        </w:rPr>
        <w:t xml:space="preserve">. </w:t>
      </w:r>
      <w:r w:rsidR="00E55042" w:rsidRPr="00E25B3A">
        <w:rPr>
          <w:rFonts w:ascii="Book Antiqua" w:hAnsi="Book Antiqua" w:cs="Arial"/>
          <w:sz w:val="24"/>
          <w:szCs w:val="24"/>
        </w:rPr>
        <w:t xml:space="preserve">Mirtazapine’s impact on central neural systems involved in </w:t>
      </w:r>
      <w:r w:rsidR="00107300" w:rsidRPr="00E25B3A">
        <w:rPr>
          <w:rFonts w:ascii="Book Antiqua" w:hAnsi="Book Antiqua" w:cs="Arial"/>
          <w:sz w:val="24"/>
          <w:szCs w:val="24"/>
        </w:rPr>
        <w:t xml:space="preserve">mood </w:t>
      </w:r>
      <w:r w:rsidR="00E55042" w:rsidRPr="00E25B3A">
        <w:rPr>
          <w:rFonts w:ascii="Book Antiqua" w:hAnsi="Book Antiqua" w:cs="Arial"/>
          <w:sz w:val="24"/>
          <w:szCs w:val="24"/>
        </w:rPr>
        <w:t xml:space="preserve">regulation </w:t>
      </w:r>
      <w:r w:rsidR="00107300" w:rsidRPr="00E25B3A">
        <w:rPr>
          <w:rFonts w:ascii="Book Antiqua" w:hAnsi="Book Antiqua" w:cs="Arial"/>
          <w:sz w:val="24"/>
          <w:szCs w:val="24"/>
        </w:rPr>
        <w:t>could have contributed to symptom improvement</w:t>
      </w:r>
      <w:r w:rsidR="00F96A36" w:rsidRPr="00E25B3A">
        <w:rPr>
          <w:rFonts w:ascii="Book Antiqua" w:hAnsi="Book Antiqua" w:cs="Arial"/>
          <w:sz w:val="24"/>
          <w:szCs w:val="24"/>
        </w:rPr>
        <w:t xml:space="preserve"> in this case. While our</w:t>
      </w:r>
      <w:r w:rsidR="00F96A36" w:rsidRPr="00E25B3A">
        <w:rPr>
          <w:rFonts w:ascii="Book Antiqua" w:hAnsi="Book Antiqua" w:cs="Arial" w:hint="eastAsia"/>
          <w:sz w:val="24"/>
          <w:szCs w:val="24"/>
          <w:lang w:eastAsia="zh-CN"/>
        </w:rPr>
        <w:t xml:space="preserve"> </w:t>
      </w:r>
      <w:r w:rsidR="00E55042" w:rsidRPr="00E25B3A">
        <w:rPr>
          <w:rFonts w:ascii="Book Antiqua" w:hAnsi="Book Antiqua" w:cs="Arial"/>
          <w:sz w:val="24"/>
          <w:szCs w:val="24"/>
        </w:rPr>
        <w:t xml:space="preserve">patient did not have any overt depression or anxiety disorder, some degree of </w:t>
      </w:r>
      <w:r w:rsidR="00E74457" w:rsidRPr="00E25B3A">
        <w:rPr>
          <w:rFonts w:ascii="Book Antiqua" w:hAnsi="Book Antiqua" w:cs="Arial"/>
          <w:sz w:val="24"/>
          <w:szCs w:val="24"/>
        </w:rPr>
        <w:t xml:space="preserve">dysregulated </w:t>
      </w:r>
      <w:r w:rsidR="00E55042" w:rsidRPr="00E25B3A">
        <w:rPr>
          <w:rFonts w:ascii="Book Antiqua" w:hAnsi="Book Antiqua" w:cs="Arial"/>
          <w:sz w:val="24"/>
          <w:szCs w:val="24"/>
        </w:rPr>
        <w:t xml:space="preserve">mood in the context of prolonged and repeated hospitalizations could have </w:t>
      </w:r>
      <w:r w:rsidR="005B1E32" w:rsidRPr="00E25B3A">
        <w:rPr>
          <w:rFonts w:ascii="Book Antiqua" w:hAnsi="Book Antiqua" w:cs="Arial"/>
          <w:sz w:val="24"/>
          <w:szCs w:val="24"/>
        </w:rPr>
        <w:t xml:space="preserve">influenced </w:t>
      </w:r>
      <w:r w:rsidR="00E55042" w:rsidRPr="00E25B3A">
        <w:rPr>
          <w:rFonts w:ascii="Book Antiqua" w:hAnsi="Book Antiqua" w:cs="Arial"/>
          <w:sz w:val="24"/>
          <w:szCs w:val="24"/>
        </w:rPr>
        <w:t>the perceived severity of symptoms.</w:t>
      </w:r>
      <w:r w:rsidR="005B1E32" w:rsidRPr="00E25B3A">
        <w:rPr>
          <w:rFonts w:ascii="Book Antiqua" w:hAnsi="Book Antiqua" w:cs="Arial"/>
          <w:sz w:val="24"/>
          <w:szCs w:val="24"/>
        </w:rPr>
        <w:t xml:space="preserve"> </w:t>
      </w:r>
    </w:p>
    <w:p w:rsidR="00C5295B" w:rsidRPr="00E25B3A" w:rsidRDefault="00375215" w:rsidP="00F96A36">
      <w:pPr>
        <w:spacing w:after="0" w:line="360" w:lineRule="auto"/>
        <w:ind w:firstLineChars="200" w:firstLine="480"/>
        <w:jc w:val="both"/>
        <w:rPr>
          <w:rFonts w:ascii="Book Antiqua" w:hAnsi="Book Antiqua" w:cs="Arial"/>
          <w:sz w:val="24"/>
          <w:szCs w:val="24"/>
          <w:lang w:eastAsia="zh-CN"/>
        </w:rPr>
      </w:pPr>
      <w:r w:rsidRPr="00E25B3A">
        <w:rPr>
          <w:rFonts w:ascii="Book Antiqua" w:hAnsi="Book Antiqua" w:cs="Arial"/>
          <w:sz w:val="24"/>
          <w:szCs w:val="24"/>
        </w:rPr>
        <w:t xml:space="preserve">Mirtazapine blocks </w:t>
      </w:r>
      <w:r w:rsidR="00D76E37" w:rsidRPr="00E25B3A">
        <w:rPr>
          <w:rFonts w:ascii="Book Antiqua" w:hAnsi="Book Antiqua" w:cs="Arial"/>
          <w:sz w:val="24"/>
          <w:szCs w:val="24"/>
        </w:rPr>
        <w:t xml:space="preserve">5-HT3 receptors </w:t>
      </w:r>
      <w:r w:rsidRPr="00E25B3A">
        <w:rPr>
          <w:rFonts w:ascii="Book Antiqua" w:hAnsi="Book Antiqua" w:cs="Arial"/>
          <w:sz w:val="24"/>
          <w:szCs w:val="24"/>
        </w:rPr>
        <w:t xml:space="preserve">with similar efficacy to </w:t>
      </w:r>
      <w:proofErr w:type="gramStart"/>
      <w:r w:rsidRPr="00E25B3A">
        <w:rPr>
          <w:rFonts w:ascii="Book Antiqua" w:hAnsi="Book Antiqua" w:cs="Arial"/>
          <w:sz w:val="24"/>
          <w:szCs w:val="24"/>
        </w:rPr>
        <w:t>ondansetron</w:t>
      </w:r>
      <w:r w:rsidRPr="00E25B3A">
        <w:rPr>
          <w:rFonts w:ascii="Book Antiqua" w:hAnsi="Book Antiqua" w:cs="Arial"/>
          <w:sz w:val="24"/>
          <w:szCs w:val="24"/>
          <w:vertAlign w:val="superscript"/>
        </w:rPr>
        <w:t>[</w:t>
      </w:r>
      <w:proofErr w:type="gramEnd"/>
      <w:r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0</w:t>
      </w:r>
      <w:r w:rsidRPr="00E25B3A">
        <w:rPr>
          <w:rFonts w:ascii="Book Antiqua" w:hAnsi="Book Antiqua" w:cs="Arial"/>
          <w:sz w:val="24"/>
          <w:szCs w:val="24"/>
          <w:vertAlign w:val="superscript"/>
        </w:rPr>
        <w:t>]</w:t>
      </w:r>
      <w:r w:rsidRPr="00E25B3A">
        <w:rPr>
          <w:rFonts w:ascii="Book Antiqua" w:hAnsi="Book Antiqua" w:cs="Arial"/>
          <w:sz w:val="24"/>
          <w:szCs w:val="24"/>
        </w:rPr>
        <w:t xml:space="preserve">, and </w:t>
      </w:r>
      <w:r w:rsidR="00817587" w:rsidRPr="00E25B3A">
        <w:rPr>
          <w:rFonts w:ascii="Book Antiqua" w:hAnsi="Book Antiqua" w:cs="Arial"/>
          <w:sz w:val="24"/>
          <w:szCs w:val="24"/>
        </w:rPr>
        <w:t xml:space="preserve">this mechanism </w:t>
      </w:r>
      <w:r w:rsidR="00D76E37" w:rsidRPr="00E25B3A">
        <w:rPr>
          <w:rFonts w:ascii="Book Antiqua" w:hAnsi="Book Antiqua" w:cs="Arial"/>
          <w:sz w:val="24"/>
          <w:szCs w:val="24"/>
        </w:rPr>
        <w:t xml:space="preserve">may </w:t>
      </w:r>
      <w:r w:rsidR="00817587" w:rsidRPr="00E25B3A">
        <w:rPr>
          <w:rFonts w:ascii="Book Antiqua" w:hAnsi="Book Antiqua" w:cs="Arial"/>
          <w:sz w:val="24"/>
          <w:szCs w:val="24"/>
        </w:rPr>
        <w:t xml:space="preserve">have contributed to the </w:t>
      </w:r>
      <w:r w:rsidR="00D76E37" w:rsidRPr="00E25B3A">
        <w:rPr>
          <w:rFonts w:ascii="Book Antiqua" w:hAnsi="Book Antiqua" w:cs="Arial"/>
          <w:sz w:val="24"/>
          <w:szCs w:val="24"/>
        </w:rPr>
        <w:t xml:space="preserve">anti-emetic </w:t>
      </w:r>
      <w:r w:rsidR="00817587" w:rsidRPr="00E25B3A">
        <w:rPr>
          <w:rFonts w:ascii="Book Antiqua" w:hAnsi="Book Antiqua" w:cs="Arial"/>
          <w:sz w:val="24"/>
          <w:szCs w:val="24"/>
        </w:rPr>
        <w:t xml:space="preserve">effects </w:t>
      </w:r>
      <w:r w:rsidR="00D76E37" w:rsidRPr="00E25B3A">
        <w:rPr>
          <w:rFonts w:ascii="Book Antiqua" w:hAnsi="Book Antiqua" w:cs="Arial"/>
          <w:sz w:val="24"/>
          <w:szCs w:val="24"/>
        </w:rPr>
        <w:t xml:space="preserve">observed in the present case. However, </w:t>
      </w:r>
      <w:r w:rsidR="00C5295B" w:rsidRPr="00E25B3A">
        <w:rPr>
          <w:rFonts w:ascii="Book Antiqua" w:hAnsi="Book Antiqua" w:cs="Arial"/>
          <w:sz w:val="24"/>
          <w:szCs w:val="24"/>
        </w:rPr>
        <w:t xml:space="preserve">5HT-3 receptor blockade </w:t>
      </w:r>
      <w:r w:rsidR="006E2BF8" w:rsidRPr="00E25B3A">
        <w:rPr>
          <w:rFonts w:ascii="Book Antiqua" w:hAnsi="Book Antiqua" w:cs="Arial"/>
          <w:sz w:val="24"/>
          <w:szCs w:val="24"/>
        </w:rPr>
        <w:t xml:space="preserve">alone </w:t>
      </w:r>
      <w:r w:rsidR="00817587" w:rsidRPr="00E25B3A">
        <w:rPr>
          <w:rFonts w:ascii="Book Antiqua" w:hAnsi="Book Antiqua" w:cs="Arial"/>
          <w:sz w:val="24"/>
          <w:szCs w:val="24"/>
        </w:rPr>
        <w:t xml:space="preserve">was </w:t>
      </w:r>
      <w:r w:rsidR="00D76E37" w:rsidRPr="00E25B3A">
        <w:rPr>
          <w:rFonts w:ascii="Book Antiqua" w:hAnsi="Book Antiqua" w:cs="Arial"/>
          <w:sz w:val="24"/>
          <w:szCs w:val="24"/>
        </w:rPr>
        <w:t xml:space="preserve">unlikely the </w:t>
      </w:r>
      <w:r w:rsidRPr="00E25B3A">
        <w:rPr>
          <w:rFonts w:ascii="Book Antiqua" w:hAnsi="Book Antiqua" w:cs="Arial"/>
          <w:sz w:val="24"/>
          <w:szCs w:val="24"/>
        </w:rPr>
        <w:t xml:space="preserve">primary </w:t>
      </w:r>
      <w:r w:rsidR="00D76E37" w:rsidRPr="00E25B3A">
        <w:rPr>
          <w:rFonts w:ascii="Book Antiqua" w:hAnsi="Book Antiqua" w:cs="Arial"/>
          <w:sz w:val="24"/>
          <w:szCs w:val="24"/>
        </w:rPr>
        <w:t>mechanism</w:t>
      </w:r>
      <w:r w:rsidRPr="00E25B3A">
        <w:rPr>
          <w:rFonts w:ascii="Book Antiqua" w:hAnsi="Book Antiqua" w:cs="Arial"/>
          <w:sz w:val="24"/>
          <w:szCs w:val="24"/>
        </w:rPr>
        <w:t xml:space="preserve"> driving this patient’s clinical improvement</w:t>
      </w:r>
      <w:r w:rsidR="00D76E37" w:rsidRPr="00E25B3A">
        <w:rPr>
          <w:rFonts w:ascii="Book Antiqua" w:hAnsi="Book Antiqua" w:cs="Arial"/>
          <w:sz w:val="24"/>
          <w:szCs w:val="24"/>
        </w:rPr>
        <w:t xml:space="preserve">, given that </w:t>
      </w:r>
      <w:r w:rsidR="00817587" w:rsidRPr="00E25B3A">
        <w:rPr>
          <w:rFonts w:ascii="Book Antiqua" w:hAnsi="Book Antiqua" w:cs="Arial"/>
          <w:sz w:val="24"/>
          <w:szCs w:val="24"/>
        </w:rPr>
        <w:t xml:space="preserve">high doses of </w:t>
      </w:r>
      <w:r w:rsidR="006E2BF8" w:rsidRPr="00E25B3A">
        <w:rPr>
          <w:rFonts w:ascii="Book Antiqua" w:hAnsi="Book Antiqua" w:cs="Arial"/>
          <w:sz w:val="24"/>
          <w:szCs w:val="24"/>
        </w:rPr>
        <w:t xml:space="preserve">intravenous </w:t>
      </w:r>
      <w:r w:rsidR="00D76E37" w:rsidRPr="00E25B3A">
        <w:rPr>
          <w:rFonts w:ascii="Book Antiqua" w:hAnsi="Book Antiqua" w:cs="Arial"/>
          <w:sz w:val="24"/>
          <w:szCs w:val="24"/>
        </w:rPr>
        <w:t>o</w:t>
      </w:r>
      <w:r w:rsidR="0088737D" w:rsidRPr="00E25B3A">
        <w:rPr>
          <w:rFonts w:ascii="Book Antiqua" w:hAnsi="Book Antiqua" w:cs="Arial"/>
          <w:sz w:val="24"/>
          <w:szCs w:val="24"/>
        </w:rPr>
        <w:t>n</w:t>
      </w:r>
      <w:r w:rsidR="00D76E37" w:rsidRPr="00E25B3A">
        <w:rPr>
          <w:rFonts w:ascii="Book Antiqua" w:hAnsi="Book Antiqua" w:cs="Arial"/>
          <w:sz w:val="24"/>
          <w:szCs w:val="24"/>
        </w:rPr>
        <w:t>d</w:t>
      </w:r>
      <w:r w:rsidR="00C5295B" w:rsidRPr="00E25B3A">
        <w:rPr>
          <w:rFonts w:ascii="Book Antiqua" w:hAnsi="Book Antiqua" w:cs="Arial"/>
          <w:sz w:val="24"/>
          <w:szCs w:val="24"/>
        </w:rPr>
        <w:t>a</w:t>
      </w:r>
      <w:r w:rsidR="00D76E37" w:rsidRPr="00E25B3A">
        <w:rPr>
          <w:rFonts w:ascii="Book Antiqua" w:hAnsi="Book Antiqua" w:cs="Arial"/>
          <w:sz w:val="24"/>
          <w:szCs w:val="24"/>
        </w:rPr>
        <w:t xml:space="preserve">nsetron </w:t>
      </w:r>
      <w:r w:rsidR="006E2BF8" w:rsidRPr="00E25B3A">
        <w:rPr>
          <w:rFonts w:ascii="Book Antiqua" w:hAnsi="Book Antiqua" w:cs="Arial"/>
          <w:sz w:val="24"/>
          <w:szCs w:val="24"/>
        </w:rPr>
        <w:t>h</w:t>
      </w:r>
      <w:r w:rsidR="00D76E37" w:rsidRPr="00E25B3A">
        <w:rPr>
          <w:rFonts w:ascii="Book Antiqua" w:hAnsi="Book Antiqua" w:cs="Arial"/>
          <w:sz w:val="24"/>
          <w:szCs w:val="24"/>
        </w:rPr>
        <w:t xml:space="preserve">ad not been </w:t>
      </w:r>
      <w:r w:rsidR="006E2BF8" w:rsidRPr="00E25B3A">
        <w:rPr>
          <w:rFonts w:ascii="Book Antiqua" w:hAnsi="Book Antiqua" w:cs="Arial"/>
          <w:sz w:val="24"/>
          <w:szCs w:val="24"/>
        </w:rPr>
        <w:t xml:space="preserve">particularly </w:t>
      </w:r>
      <w:r w:rsidR="00D76E37" w:rsidRPr="00E25B3A">
        <w:rPr>
          <w:rFonts w:ascii="Book Antiqua" w:hAnsi="Book Antiqua" w:cs="Arial"/>
          <w:sz w:val="24"/>
          <w:szCs w:val="24"/>
        </w:rPr>
        <w:t>effective.</w:t>
      </w:r>
      <w:r w:rsidRPr="00E25B3A">
        <w:rPr>
          <w:rFonts w:ascii="Book Antiqua" w:hAnsi="Book Antiqua" w:cs="Arial"/>
          <w:sz w:val="24"/>
          <w:szCs w:val="24"/>
        </w:rPr>
        <w:t xml:space="preserve"> </w:t>
      </w:r>
      <w:r w:rsidR="00C5295B" w:rsidRPr="00E25B3A">
        <w:rPr>
          <w:rFonts w:ascii="Book Antiqua" w:hAnsi="Book Antiqua" w:cs="Arial"/>
          <w:sz w:val="24"/>
          <w:szCs w:val="24"/>
        </w:rPr>
        <w:t>Furthermore, while we observed mildly improved gastric emptying following the administration of a lower dose of mirtazapine, symptoms of nausea and general intolerance to oral intake still persisted</w:t>
      </w:r>
      <w:r w:rsidR="00E55042" w:rsidRPr="00E25B3A">
        <w:rPr>
          <w:rFonts w:ascii="Book Antiqua" w:hAnsi="Book Antiqua" w:cs="Arial"/>
          <w:sz w:val="24"/>
          <w:szCs w:val="24"/>
        </w:rPr>
        <w:t xml:space="preserve"> at that time</w:t>
      </w:r>
      <w:r w:rsidR="00F96A36" w:rsidRPr="00E25B3A">
        <w:rPr>
          <w:rFonts w:ascii="Book Antiqua" w:hAnsi="Book Antiqua" w:cs="Arial"/>
          <w:sz w:val="24"/>
          <w:szCs w:val="24"/>
        </w:rPr>
        <w:t xml:space="preserve">. </w:t>
      </w:r>
      <w:r w:rsidR="00C5295B" w:rsidRPr="00E25B3A">
        <w:rPr>
          <w:rFonts w:ascii="Book Antiqua" w:hAnsi="Book Antiqua" w:cs="Arial"/>
          <w:sz w:val="24"/>
          <w:szCs w:val="24"/>
        </w:rPr>
        <w:t xml:space="preserve">This observation fits with the generally poor correlation of gastroparesis symptom severity with the degree of delay in gastric </w:t>
      </w:r>
      <w:proofErr w:type="gramStart"/>
      <w:r w:rsidR="00C5295B" w:rsidRPr="00E25B3A">
        <w:rPr>
          <w:rFonts w:ascii="Book Antiqua" w:hAnsi="Book Antiqua" w:cs="Arial"/>
          <w:sz w:val="24"/>
          <w:szCs w:val="24"/>
        </w:rPr>
        <w:t>emptying</w:t>
      </w:r>
      <w:r w:rsidR="00C5295B" w:rsidRPr="00E25B3A">
        <w:rPr>
          <w:rFonts w:ascii="Book Antiqua" w:hAnsi="Book Antiqua" w:cs="Arial"/>
          <w:sz w:val="24"/>
          <w:szCs w:val="24"/>
          <w:vertAlign w:val="superscript"/>
        </w:rPr>
        <w:t>[</w:t>
      </w:r>
      <w:proofErr w:type="gramEnd"/>
      <w:r w:rsidR="00AF2EDF"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5</w:t>
      </w:r>
      <w:r w:rsidR="00AF2EDF" w:rsidRPr="00E25B3A">
        <w:rPr>
          <w:rFonts w:ascii="Book Antiqua" w:hAnsi="Book Antiqua" w:cs="Arial"/>
          <w:sz w:val="24"/>
          <w:szCs w:val="24"/>
          <w:vertAlign w:val="superscript"/>
        </w:rPr>
        <w:t>]</w:t>
      </w:r>
      <w:r w:rsidR="00F96A36" w:rsidRPr="00E25B3A">
        <w:rPr>
          <w:rFonts w:ascii="Book Antiqua" w:hAnsi="Book Antiqua" w:cs="Arial"/>
          <w:sz w:val="24"/>
          <w:szCs w:val="24"/>
        </w:rPr>
        <w:t xml:space="preserve">. </w:t>
      </w:r>
      <w:r w:rsidR="006E2BF8" w:rsidRPr="00E25B3A">
        <w:rPr>
          <w:rFonts w:ascii="Book Antiqua" w:hAnsi="Book Antiqua" w:cs="Arial"/>
          <w:sz w:val="24"/>
          <w:szCs w:val="24"/>
        </w:rPr>
        <w:t xml:space="preserve">Therefore, </w:t>
      </w:r>
      <w:r w:rsidR="004D0ADA" w:rsidRPr="00E25B3A">
        <w:rPr>
          <w:rFonts w:ascii="Book Antiqua" w:hAnsi="Book Antiqua" w:cs="Arial"/>
          <w:sz w:val="24"/>
          <w:szCs w:val="24"/>
        </w:rPr>
        <w:t>it is unlikely that the beneficial effects of the medication were driven by improved gastric emptying</w:t>
      </w:r>
      <w:r w:rsidR="00E55042" w:rsidRPr="00E25B3A">
        <w:rPr>
          <w:rFonts w:ascii="Book Antiqua" w:hAnsi="Book Antiqua" w:cs="Arial"/>
          <w:sz w:val="24"/>
          <w:szCs w:val="24"/>
        </w:rPr>
        <w:t xml:space="preserve"> per se</w:t>
      </w:r>
      <w:r w:rsidR="00F96A36" w:rsidRPr="00E25B3A">
        <w:rPr>
          <w:rFonts w:ascii="Book Antiqua" w:hAnsi="Book Antiqua" w:cs="Arial"/>
          <w:sz w:val="24"/>
          <w:szCs w:val="24"/>
        </w:rPr>
        <w:t xml:space="preserve">. </w:t>
      </w:r>
    </w:p>
    <w:p w:rsidR="00817587" w:rsidRPr="00E25B3A" w:rsidRDefault="00375215" w:rsidP="00F96A36">
      <w:pPr>
        <w:spacing w:after="0" w:line="360" w:lineRule="auto"/>
        <w:ind w:firstLineChars="200" w:firstLine="480"/>
        <w:jc w:val="both"/>
        <w:rPr>
          <w:rFonts w:ascii="Book Antiqua" w:hAnsi="Book Antiqua" w:cs="Arial"/>
          <w:sz w:val="24"/>
          <w:szCs w:val="24"/>
          <w:lang w:eastAsia="zh-CN"/>
        </w:rPr>
      </w:pPr>
      <w:r w:rsidRPr="00E25B3A">
        <w:rPr>
          <w:rFonts w:ascii="Book Antiqua" w:hAnsi="Book Antiqua" w:cs="Arial"/>
          <w:sz w:val="24"/>
          <w:szCs w:val="24"/>
        </w:rPr>
        <w:t xml:space="preserve">Interestingly, </w:t>
      </w:r>
      <w:r w:rsidR="006E2BF8" w:rsidRPr="00E25B3A">
        <w:rPr>
          <w:rFonts w:ascii="Book Antiqua" w:hAnsi="Book Antiqua" w:cs="Arial"/>
          <w:sz w:val="24"/>
          <w:szCs w:val="24"/>
        </w:rPr>
        <w:t xml:space="preserve">receptive </w:t>
      </w:r>
      <w:proofErr w:type="spellStart"/>
      <w:r w:rsidR="00AF2EDF" w:rsidRPr="00E25B3A">
        <w:rPr>
          <w:rFonts w:ascii="Book Antiqua" w:hAnsi="Book Antiqua" w:cs="Arial"/>
          <w:sz w:val="24"/>
          <w:szCs w:val="24"/>
        </w:rPr>
        <w:t>fundic</w:t>
      </w:r>
      <w:proofErr w:type="spellEnd"/>
      <w:r w:rsidR="00AF2EDF" w:rsidRPr="00E25B3A">
        <w:rPr>
          <w:rFonts w:ascii="Book Antiqua" w:hAnsi="Book Antiqua" w:cs="Arial"/>
          <w:sz w:val="24"/>
          <w:szCs w:val="24"/>
        </w:rPr>
        <w:t xml:space="preserve"> relaxation</w:t>
      </w:r>
      <w:r w:rsidR="00BA7FEB" w:rsidRPr="00E25B3A">
        <w:rPr>
          <w:rFonts w:ascii="Book Antiqua" w:hAnsi="Book Antiqua" w:cs="Arial"/>
          <w:sz w:val="24"/>
          <w:szCs w:val="24"/>
        </w:rPr>
        <w:t xml:space="preserve">, a process largely controlled by the </w:t>
      </w:r>
      <w:r w:rsidR="00C5295B" w:rsidRPr="00E25B3A">
        <w:rPr>
          <w:rFonts w:ascii="Book Antiqua" w:hAnsi="Book Antiqua" w:cs="Arial"/>
          <w:sz w:val="24"/>
          <w:szCs w:val="24"/>
        </w:rPr>
        <w:t xml:space="preserve">activity of </w:t>
      </w:r>
      <w:r w:rsidRPr="00E25B3A">
        <w:rPr>
          <w:rFonts w:ascii="Book Antiqua" w:hAnsi="Book Antiqua" w:cs="Arial"/>
          <w:sz w:val="24"/>
          <w:szCs w:val="24"/>
        </w:rPr>
        <w:t>nitrergic neurons</w:t>
      </w:r>
      <w:r w:rsidR="00E74457" w:rsidRPr="00E25B3A">
        <w:rPr>
          <w:rFonts w:ascii="Book Antiqua" w:hAnsi="Book Antiqua" w:cs="Arial"/>
          <w:sz w:val="24"/>
          <w:szCs w:val="24"/>
        </w:rPr>
        <w:t xml:space="preserve">, is influenced by the stimulation </w:t>
      </w:r>
      <w:r w:rsidR="006E2BF8" w:rsidRPr="00E25B3A">
        <w:rPr>
          <w:rFonts w:ascii="Book Antiqua" w:hAnsi="Book Antiqua" w:cs="Arial"/>
          <w:sz w:val="24"/>
          <w:szCs w:val="24"/>
        </w:rPr>
        <w:t xml:space="preserve">of </w:t>
      </w:r>
      <w:r w:rsidR="00C5295B" w:rsidRPr="00E25B3A">
        <w:rPr>
          <w:rFonts w:ascii="Book Antiqua" w:hAnsi="Book Antiqua" w:cs="Arial"/>
          <w:sz w:val="24"/>
          <w:szCs w:val="24"/>
        </w:rPr>
        <w:t xml:space="preserve">5-HT1A </w:t>
      </w:r>
      <w:proofErr w:type="gramStart"/>
      <w:r w:rsidR="004D0ADA" w:rsidRPr="00E25B3A">
        <w:rPr>
          <w:rFonts w:ascii="Book Antiqua" w:hAnsi="Book Antiqua" w:cs="Arial"/>
          <w:sz w:val="24"/>
          <w:szCs w:val="24"/>
        </w:rPr>
        <w:t>receptors</w:t>
      </w:r>
      <w:r w:rsidR="004D0ADA" w:rsidRPr="00E25B3A">
        <w:rPr>
          <w:rFonts w:ascii="Book Antiqua" w:hAnsi="Book Antiqua" w:cs="Arial"/>
          <w:sz w:val="24"/>
          <w:szCs w:val="24"/>
          <w:vertAlign w:val="superscript"/>
        </w:rPr>
        <w:t>[</w:t>
      </w:r>
      <w:proofErr w:type="gramEnd"/>
      <w:r w:rsidR="004D0ADA"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6</w:t>
      </w:r>
      <w:r w:rsidR="004D0ADA" w:rsidRPr="00E25B3A">
        <w:rPr>
          <w:rFonts w:ascii="Book Antiqua" w:hAnsi="Book Antiqua" w:cs="Arial"/>
          <w:sz w:val="24"/>
          <w:szCs w:val="24"/>
          <w:vertAlign w:val="superscript"/>
        </w:rPr>
        <w:t>]</w:t>
      </w:r>
      <w:r w:rsidR="00F96A36" w:rsidRPr="00E25B3A">
        <w:rPr>
          <w:rFonts w:ascii="Book Antiqua" w:hAnsi="Book Antiqua" w:cs="Arial"/>
          <w:sz w:val="24"/>
          <w:szCs w:val="24"/>
        </w:rPr>
        <w:t xml:space="preserve">. </w:t>
      </w:r>
      <w:r w:rsidR="004D0ADA" w:rsidRPr="00E25B3A">
        <w:rPr>
          <w:rFonts w:ascii="Book Antiqua" w:hAnsi="Book Antiqua" w:cs="Arial"/>
          <w:sz w:val="24"/>
          <w:szCs w:val="24"/>
        </w:rPr>
        <w:t xml:space="preserve">Selective 5-HT1A receptor </w:t>
      </w:r>
      <w:proofErr w:type="spellStart"/>
      <w:r w:rsidR="004D0ADA" w:rsidRPr="00E25B3A">
        <w:rPr>
          <w:rFonts w:ascii="Book Antiqua" w:hAnsi="Book Antiqua" w:cs="Arial"/>
          <w:sz w:val="24"/>
          <w:szCs w:val="24"/>
        </w:rPr>
        <w:t>agonism</w:t>
      </w:r>
      <w:proofErr w:type="spellEnd"/>
      <w:r w:rsidR="004D0ADA" w:rsidRPr="00E25B3A">
        <w:rPr>
          <w:rFonts w:ascii="Book Antiqua" w:hAnsi="Book Antiqua" w:cs="Arial"/>
          <w:sz w:val="24"/>
          <w:szCs w:val="24"/>
        </w:rPr>
        <w:t xml:space="preserve"> using the agent buspirone has been shown to dose-</w:t>
      </w:r>
      <w:r w:rsidR="004D0ADA" w:rsidRPr="00E25B3A">
        <w:rPr>
          <w:rFonts w:ascii="Book Antiqua" w:hAnsi="Book Antiqua" w:cs="Arial"/>
          <w:sz w:val="24"/>
          <w:szCs w:val="24"/>
        </w:rPr>
        <w:lastRenderedPageBreak/>
        <w:t>dependently</w:t>
      </w:r>
      <w:r w:rsidR="00C52099" w:rsidRPr="00E25B3A">
        <w:rPr>
          <w:rFonts w:ascii="Book Antiqua" w:hAnsi="Book Antiqua" w:cs="Arial"/>
          <w:sz w:val="24"/>
          <w:szCs w:val="24"/>
        </w:rPr>
        <w:t xml:space="preserve"> and acutely</w:t>
      </w:r>
      <w:r w:rsidR="004D0ADA" w:rsidRPr="00E25B3A">
        <w:rPr>
          <w:rFonts w:ascii="Book Antiqua" w:hAnsi="Book Antiqua" w:cs="Arial"/>
          <w:sz w:val="24"/>
          <w:szCs w:val="24"/>
        </w:rPr>
        <w:t xml:space="preserve"> increase gastric accommodation in healthy </w:t>
      </w:r>
      <w:proofErr w:type="gramStart"/>
      <w:r w:rsidR="004D0ADA" w:rsidRPr="00E25B3A">
        <w:rPr>
          <w:rFonts w:ascii="Book Antiqua" w:hAnsi="Book Antiqua" w:cs="Arial"/>
          <w:sz w:val="24"/>
          <w:szCs w:val="24"/>
        </w:rPr>
        <w:t>subjects</w:t>
      </w:r>
      <w:r w:rsidR="004D0ADA" w:rsidRPr="00E25B3A">
        <w:rPr>
          <w:rFonts w:ascii="Book Antiqua" w:hAnsi="Book Antiqua" w:cs="Arial"/>
          <w:sz w:val="24"/>
          <w:szCs w:val="24"/>
          <w:vertAlign w:val="superscript"/>
        </w:rPr>
        <w:t>[</w:t>
      </w:r>
      <w:proofErr w:type="gramEnd"/>
      <w:r w:rsidR="004D0ADA"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6</w:t>
      </w:r>
      <w:r w:rsidR="004D0ADA" w:rsidRPr="00E25B3A">
        <w:rPr>
          <w:rFonts w:ascii="Book Antiqua" w:hAnsi="Book Antiqua" w:cs="Arial"/>
          <w:sz w:val="24"/>
          <w:szCs w:val="24"/>
          <w:vertAlign w:val="superscript"/>
        </w:rPr>
        <w:t>]</w:t>
      </w:r>
      <w:r w:rsidR="00F96A36" w:rsidRPr="00E25B3A">
        <w:rPr>
          <w:rFonts w:ascii="Book Antiqua" w:hAnsi="Book Antiqua" w:cs="Arial"/>
          <w:sz w:val="24"/>
          <w:szCs w:val="24"/>
        </w:rPr>
        <w:t>.</w:t>
      </w:r>
      <w:r w:rsidR="00BA7FEB" w:rsidRPr="00E25B3A">
        <w:rPr>
          <w:rFonts w:ascii="Book Antiqua" w:hAnsi="Book Antiqua" w:cs="Arial"/>
          <w:sz w:val="24"/>
          <w:szCs w:val="24"/>
        </w:rPr>
        <w:t xml:space="preserve"> This mechanism also operates in </w:t>
      </w:r>
      <w:r w:rsidR="004D0ADA" w:rsidRPr="00E25B3A">
        <w:rPr>
          <w:rFonts w:ascii="Book Antiqua" w:hAnsi="Book Antiqua" w:cs="Arial"/>
          <w:sz w:val="24"/>
          <w:szCs w:val="24"/>
        </w:rPr>
        <w:t>those with functional dyspepsia</w:t>
      </w:r>
      <w:r w:rsidR="00BA7FEB" w:rsidRPr="00E25B3A">
        <w:rPr>
          <w:rFonts w:ascii="Book Antiqua" w:hAnsi="Book Antiqua" w:cs="Arial"/>
          <w:sz w:val="24"/>
          <w:szCs w:val="24"/>
        </w:rPr>
        <w:t xml:space="preserve">, and buspirone can improve symptoms </w:t>
      </w:r>
      <w:r w:rsidR="00E74457" w:rsidRPr="00E25B3A">
        <w:rPr>
          <w:rFonts w:ascii="Book Antiqua" w:hAnsi="Book Antiqua" w:cs="Arial"/>
          <w:sz w:val="24"/>
          <w:szCs w:val="24"/>
        </w:rPr>
        <w:t xml:space="preserve">in this patient </w:t>
      </w:r>
      <w:proofErr w:type="gramStart"/>
      <w:r w:rsidR="00E74457" w:rsidRPr="00E25B3A">
        <w:rPr>
          <w:rFonts w:ascii="Book Antiqua" w:hAnsi="Book Antiqua" w:cs="Arial"/>
          <w:sz w:val="24"/>
          <w:szCs w:val="24"/>
        </w:rPr>
        <w:t>population</w:t>
      </w:r>
      <w:r w:rsidR="004D0ADA" w:rsidRPr="00E25B3A">
        <w:rPr>
          <w:rFonts w:ascii="Book Antiqua" w:hAnsi="Book Antiqua" w:cs="Arial"/>
          <w:sz w:val="24"/>
          <w:szCs w:val="24"/>
          <w:vertAlign w:val="superscript"/>
        </w:rPr>
        <w:t>[</w:t>
      </w:r>
      <w:proofErr w:type="gramEnd"/>
      <w:r w:rsidR="004D0ADA" w:rsidRPr="00E25B3A">
        <w:rPr>
          <w:rFonts w:ascii="Book Antiqua" w:hAnsi="Book Antiqua" w:cs="Arial"/>
          <w:sz w:val="24"/>
          <w:szCs w:val="24"/>
          <w:vertAlign w:val="superscript"/>
        </w:rPr>
        <w:t>1</w:t>
      </w:r>
      <w:r w:rsidR="005B1E32" w:rsidRPr="00E25B3A">
        <w:rPr>
          <w:rFonts w:ascii="Book Antiqua" w:hAnsi="Book Antiqua" w:cs="Arial"/>
          <w:sz w:val="24"/>
          <w:szCs w:val="24"/>
          <w:vertAlign w:val="superscript"/>
        </w:rPr>
        <w:t>7</w:t>
      </w:r>
      <w:r w:rsidR="004D0ADA" w:rsidRPr="00E25B3A">
        <w:rPr>
          <w:rFonts w:ascii="Book Antiqua" w:hAnsi="Book Antiqua" w:cs="Arial"/>
          <w:sz w:val="24"/>
          <w:szCs w:val="24"/>
          <w:vertAlign w:val="superscript"/>
        </w:rPr>
        <w:t>]</w:t>
      </w:r>
      <w:r w:rsidR="00F96A36" w:rsidRPr="00E25B3A">
        <w:rPr>
          <w:rFonts w:ascii="Book Antiqua" w:hAnsi="Book Antiqua" w:cs="Arial"/>
          <w:sz w:val="24"/>
          <w:szCs w:val="24"/>
        </w:rPr>
        <w:t>.</w:t>
      </w:r>
      <w:r w:rsidR="004D0ADA" w:rsidRPr="00E25B3A">
        <w:rPr>
          <w:rFonts w:ascii="Book Antiqua" w:hAnsi="Book Antiqua" w:cs="Arial"/>
          <w:sz w:val="24"/>
          <w:szCs w:val="24"/>
        </w:rPr>
        <w:t xml:space="preserve"> Improved </w:t>
      </w:r>
      <w:r w:rsidR="00AF2EDF" w:rsidRPr="00E25B3A">
        <w:rPr>
          <w:rFonts w:ascii="Book Antiqua" w:hAnsi="Book Antiqua" w:cs="Arial"/>
          <w:sz w:val="24"/>
          <w:szCs w:val="24"/>
        </w:rPr>
        <w:t>gastric accommodation would be predicted to allow for larger ingested volumes of liquids or solid food</w:t>
      </w:r>
      <w:r w:rsidR="00F96A36" w:rsidRPr="00E25B3A">
        <w:rPr>
          <w:rFonts w:ascii="Book Antiqua" w:hAnsi="Book Antiqua" w:cs="Arial"/>
          <w:sz w:val="24"/>
          <w:szCs w:val="24"/>
        </w:rPr>
        <w:t xml:space="preserve">. </w:t>
      </w:r>
      <w:r w:rsidR="00B07C42" w:rsidRPr="00E25B3A">
        <w:rPr>
          <w:rFonts w:ascii="Book Antiqua" w:hAnsi="Book Antiqua" w:cs="Arial"/>
          <w:sz w:val="24"/>
          <w:szCs w:val="24"/>
        </w:rPr>
        <w:t>G</w:t>
      </w:r>
      <w:r w:rsidR="006E2BF8" w:rsidRPr="00E25B3A">
        <w:rPr>
          <w:rFonts w:ascii="Book Antiqua" w:hAnsi="Book Antiqua" w:cs="Arial"/>
          <w:sz w:val="24"/>
          <w:szCs w:val="24"/>
        </w:rPr>
        <w:t>astric wall tone influence</w:t>
      </w:r>
      <w:r w:rsidR="00BA7FEB" w:rsidRPr="00E25B3A">
        <w:rPr>
          <w:rFonts w:ascii="Book Antiqua" w:hAnsi="Book Antiqua" w:cs="Arial"/>
          <w:sz w:val="24"/>
          <w:szCs w:val="24"/>
        </w:rPr>
        <w:t>s</w:t>
      </w:r>
      <w:r w:rsidR="006E2BF8" w:rsidRPr="00E25B3A">
        <w:rPr>
          <w:rFonts w:ascii="Book Antiqua" w:hAnsi="Book Antiqua" w:cs="Arial"/>
          <w:sz w:val="24"/>
          <w:szCs w:val="24"/>
        </w:rPr>
        <w:t xml:space="preserve"> intragastric pressure</w:t>
      </w:r>
      <w:r w:rsidR="00B07C42" w:rsidRPr="00E25B3A">
        <w:rPr>
          <w:rFonts w:ascii="Book Antiqua" w:hAnsi="Book Antiqua" w:cs="Arial"/>
          <w:sz w:val="24"/>
          <w:szCs w:val="24"/>
        </w:rPr>
        <w:t>s</w:t>
      </w:r>
      <w:r w:rsidR="006E2BF8" w:rsidRPr="00E25B3A">
        <w:rPr>
          <w:rFonts w:ascii="Book Antiqua" w:hAnsi="Book Antiqua" w:cs="Arial"/>
          <w:sz w:val="24"/>
          <w:szCs w:val="24"/>
        </w:rPr>
        <w:t xml:space="preserve"> and may </w:t>
      </w:r>
      <w:r w:rsidR="00517E4D" w:rsidRPr="00E25B3A">
        <w:rPr>
          <w:rFonts w:ascii="Book Antiqua" w:hAnsi="Book Antiqua" w:cs="Arial"/>
          <w:sz w:val="24"/>
          <w:szCs w:val="24"/>
        </w:rPr>
        <w:t>drive</w:t>
      </w:r>
      <w:r w:rsidR="006E2BF8" w:rsidRPr="00E25B3A">
        <w:rPr>
          <w:rFonts w:ascii="Book Antiqua" w:hAnsi="Book Antiqua" w:cs="Arial"/>
          <w:sz w:val="24"/>
          <w:szCs w:val="24"/>
        </w:rPr>
        <w:t xml:space="preserve"> the percept</w:t>
      </w:r>
      <w:r w:rsidR="00517E4D" w:rsidRPr="00E25B3A">
        <w:rPr>
          <w:rFonts w:ascii="Book Antiqua" w:hAnsi="Book Antiqua" w:cs="Arial"/>
          <w:sz w:val="24"/>
          <w:szCs w:val="24"/>
        </w:rPr>
        <w:t>ion</w:t>
      </w:r>
      <w:r w:rsidR="006E2BF8" w:rsidRPr="00E25B3A">
        <w:rPr>
          <w:rFonts w:ascii="Book Antiqua" w:hAnsi="Book Antiqua" w:cs="Arial"/>
          <w:sz w:val="24"/>
          <w:szCs w:val="24"/>
        </w:rPr>
        <w:t xml:space="preserve"> of nausea </w:t>
      </w:r>
      <w:r w:rsidR="00A05490" w:rsidRPr="00E25B3A">
        <w:rPr>
          <w:rFonts w:ascii="Book Antiqua" w:hAnsi="Book Antiqua" w:cs="Arial"/>
          <w:i/>
          <w:sz w:val="24"/>
          <w:szCs w:val="24"/>
        </w:rPr>
        <w:t>via</w:t>
      </w:r>
      <w:r w:rsidR="006E2BF8" w:rsidRPr="00E25B3A">
        <w:rPr>
          <w:rFonts w:ascii="Book Antiqua" w:hAnsi="Book Antiqua" w:cs="Arial"/>
          <w:sz w:val="24"/>
          <w:szCs w:val="24"/>
        </w:rPr>
        <w:t xml:space="preserve"> </w:t>
      </w:r>
      <w:r w:rsidR="00BA7FEB" w:rsidRPr="00E25B3A">
        <w:rPr>
          <w:rFonts w:ascii="Book Antiqua" w:hAnsi="Book Antiqua" w:cs="Arial"/>
          <w:sz w:val="24"/>
          <w:szCs w:val="24"/>
        </w:rPr>
        <w:t xml:space="preserve">increased </w:t>
      </w:r>
      <w:r w:rsidR="00F96A36" w:rsidRPr="00E25B3A">
        <w:rPr>
          <w:rFonts w:ascii="Book Antiqua" w:hAnsi="Book Antiqua" w:cs="Arial"/>
          <w:sz w:val="24"/>
          <w:szCs w:val="24"/>
        </w:rPr>
        <w:t xml:space="preserve">vagal afferent activity. </w:t>
      </w:r>
      <w:r w:rsidR="00AF2EDF" w:rsidRPr="00E25B3A">
        <w:rPr>
          <w:rFonts w:ascii="Book Antiqua" w:hAnsi="Book Antiqua" w:cs="Arial"/>
          <w:sz w:val="24"/>
          <w:szCs w:val="24"/>
        </w:rPr>
        <w:t xml:space="preserve">While mirtazapine has not been studied in this </w:t>
      </w:r>
      <w:r w:rsidR="00BA7FEB" w:rsidRPr="00E25B3A">
        <w:rPr>
          <w:rFonts w:ascii="Book Antiqua" w:hAnsi="Book Antiqua" w:cs="Arial"/>
          <w:sz w:val="24"/>
          <w:szCs w:val="24"/>
        </w:rPr>
        <w:t xml:space="preserve">specific </w:t>
      </w:r>
      <w:r w:rsidR="00AF2EDF" w:rsidRPr="00E25B3A">
        <w:rPr>
          <w:rFonts w:ascii="Book Antiqua" w:hAnsi="Book Antiqua" w:cs="Arial"/>
          <w:sz w:val="24"/>
          <w:szCs w:val="24"/>
        </w:rPr>
        <w:t>context, it</w:t>
      </w:r>
      <w:r w:rsidR="00BA7FEB" w:rsidRPr="00E25B3A">
        <w:rPr>
          <w:rFonts w:ascii="Book Antiqua" w:hAnsi="Book Antiqua" w:cs="Arial"/>
          <w:sz w:val="24"/>
          <w:szCs w:val="24"/>
        </w:rPr>
        <w:t xml:space="preserve">s shared pharmacology with buspirone implicates </w:t>
      </w:r>
      <w:r w:rsidR="00AF2EDF" w:rsidRPr="00E25B3A">
        <w:rPr>
          <w:rFonts w:ascii="Book Antiqua" w:hAnsi="Book Antiqua" w:cs="Arial"/>
          <w:sz w:val="24"/>
          <w:szCs w:val="24"/>
        </w:rPr>
        <w:t xml:space="preserve">improved gastric accommodation </w:t>
      </w:r>
      <w:r w:rsidR="00A05490" w:rsidRPr="00E25B3A">
        <w:rPr>
          <w:rFonts w:ascii="Book Antiqua" w:hAnsi="Book Antiqua" w:cs="Arial"/>
          <w:i/>
          <w:sz w:val="24"/>
          <w:szCs w:val="24"/>
        </w:rPr>
        <w:t>via</w:t>
      </w:r>
      <w:r w:rsidR="00BE1554" w:rsidRPr="00E25B3A">
        <w:rPr>
          <w:rFonts w:ascii="Book Antiqua" w:hAnsi="Book Antiqua" w:cs="Arial"/>
          <w:sz w:val="24"/>
          <w:szCs w:val="24"/>
        </w:rPr>
        <w:t xml:space="preserve"> </w:t>
      </w:r>
      <w:r w:rsidR="00AF2EDF" w:rsidRPr="00E25B3A">
        <w:rPr>
          <w:rFonts w:ascii="Book Antiqua" w:hAnsi="Book Antiqua" w:cs="Arial"/>
          <w:sz w:val="24"/>
          <w:szCs w:val="24"/>
        </w:rPr>
        <w:t xml:space="preserve">stimulation of 5-HT1A receptors </w:t>
      </w:r>
      <w:r w:rsidR="00BA7FEB" w:rsidRPr="00E25B3A">
        <w:rPr>
          <w:rFonts w:ascii="Book Antiqua" w:hAnsi="Book Antiqua" w:cs="Arial"/>
          <w:sz w:val="24"/>
          <w:szCs w:val="24"/>
        </w:rPr>
        <w:t xml:space="preserve">as a </w:t>
      </w:r>
      <w:r w:rsidR="00B07C42" w:rsidRPr="00E25B3A">
        <w:rPr>
          <w:rFonts w:ascii="Book Antiqua" w:hAnsi="Book Antiqua" w:cs="Arial"/>
          <w:sz w:val="24"/>
          <w:szCs w:val="24"/>
        </w:rPr>
        <w:t xml:space="preserve">potential </w:t>
      </w:r>
      <w:r w:rsidR="00BA7FEB" w:rsidRPr="00E25B3A">
        <w:rPr>
          <w:rFonts w:ascii="Book Antiqua" w:hAnsi="Book Antiqua" w:cs="Arial"/>
          <w:sz w:val="24"/>
          <w:szCs w:val="24"/>
        </w:rPr>
        <w:t xml:space="preserve">mechanism that </w:t>
      </w:r>
      <w:r w:rsidR="00AF2EDF" w:rsidRPr="00E25B3A">
        <w:rPr>
          <w:rFonts w:ascii="Book Antiqua" w:hAnsi="Book Antiqua" w:cs="Arial"/>
          <w:sz w:val="24"/>
          <w:szCs w:val="24"/>
        </w:rPr>
        <w:t xml:space="preserve">could account for some of the </w:t>
      </w:r>
      <w:r w:rsidR="008A3225" w:rsidRPr="00E25B3A">
        <w:rPr>
          <w:rFonts w:ascii="Book Antiqua" w:hAnsi="Book Antiqua" w:cs="Arial"/>
          <w:sz w:val="24"/>
          <w:szCs w:val="24"/>
        </w:rPr>
        <w:t xml:space="preserve">clinical improvement seen </w:t>
      </w:r>
      <w:r w:rsidR="00360C28" w:rsidRPr="00E25B3A">
        <w:rPr>
          <w:rFonts w:ascii="Book Antiqua" w:hAnsi="Book Antiqua" w:cs="Arial"/>
          <w:sz w:val="24"/>
          <w:szCs w:val="24"/>
        </w:rPr>
        <w:t xml:space="preserve">in our patient. </w:t>
      </w:r>
      <w:r w:rsidR="00AF2EDF" w:rsidRPr="00E25B3A">
        <w:rPr>
          <w:rFonts w:ascii="Book Antiqua" w:hAnsi="Book Antiqua" w:cs="Arial"/>
          <w:sz w:val="24"/>
          <w:szCs w:val="24"/>
        </w:rPr>
        <w:t xml:space="preserve">Finally, given </w:t>
      </w:r>
      <w:r w:rsidR="00D76E37" w:rsidRPr="00E25B3A">
        <w:rPr>
          <w:rFonts w:ascii="Book Antiqua" w:hAnsi="Book Antiqua" w:cs="Arial"/>
          <w:sz w:val="24"/>
          <w:szCs w:val="24"/>
        </w:rPr>
        <w:t>the pleotropic pharmacol</w:t>
      </w:r>
      <w:r w:rsidR="00BE1554" w:rsidRPr="00E25B3A">
        <w:rPr>
          <w:rFonts w:ascii="Book Antiqua" w:hAnsi="Book Antiqua" w:cs="Arial"/>
          <w:sz w:val="24"/>
          <w:szCs w:val="24"/>
        </w:rPr>
        <w:t xml:space="preserve">ogical effects of </w:t>
      </w:r>
      <w:r w:rsidR="00BA7FEB" w:rsidRPr="00E25B3A">
        <w:rPr>
          <w:rFonts w:ascii="Book Antiqua" w:hAnsi="Book Antiqua" w:cs="Arial"/>
          <w:sz w:val="24"/>
          <w:szCs w:val="24"/>
        </w:rPr>
        <w:t>mirtazapine</w:t>
      </w:r>
      <w:r w:rsidR="00D76E37" w:rsidRPr="00E25B3A">
        <w:rPr>
          <w:rFonts w:ascii="Book Antiqua" w:hAnsi="Book Antiqua" w:cs="Arial"/>
          <w:sz w:val="24"/>
          <w:szCs w:val="24"/>
        </w:rPr>
        <w:t xml:space="preserve">, it </w:t>
      </w:r>
      <w:r w:rsidR="00BE1554" w:rsidRPr="00E25B3A">
        <w:rPr>
          <w:rFonts w:ascii="Book Antiqua" w:hAnsi="Book Antiqua" w:cs="Arial"/>
          <w:sz w:val="24"/>
          <w:szCs w:val="24"/>
        </w:rPr>
        <w:t xml:space="preserve">is possible that </w:t>
      </w:r>
      <w:r w:rsidR="00BA7FEB" w:rsidRPr="00E25B3A">
        <w:rPr>
          <w:rFonts w:ascii="Book Antiqua" w:hAnsi="Book Antiqua" w:cs="Arial"/>
          <w:sz w:val="24"/>
          <w:szCs w:val="24"/>
        </w:rPr>
        <w:t xml:space="preserve">its </w:t>
      </w:r>
      <w:r w:rsidR="00D76E37" w:rsidRPr="00E25B3A">
        <w:rPr>
          <w:rFonts w:ascii="Book Antiqua" w:hAnsi="Book Antiqua" w:cs="Arial"/>
          <w:sz w:val="24"/>
          <w:szCs w:val="24"/>
        </w:rPr>
        <w:t xml:space="preserve">therapeutic </w:t>
      </w:r>
      <w:r w:rsidR="00BA7FEB" w:rsidRPr="00E25B3A">
        <w:rPr>
          <w:rFonts w:ascii="Book Antiqua" w:hAnsi="Book Antiqua" w:cs="Arial"/>
          <w:sz w:val="24"/>
          <w:szCs w:val="24"/>
        </w:rPr>
        <w:t xml:space="preserve">effect </w:t>
      </w:r>
      <w:r w:rsidR="00BE1554" w:rsidRPr="00E25B3A">
        <w:rPr>
          <w:rFonts w:ascii="Book Antiqua" w:hAnsi="Book Antiqua" w:cs="Arial"/>
          <w:sz w:val="24"/>
          <w:szCs w:val="24"/>
        </w:rPr>
        <w:t xml:space="preserve">could also be </w:t>
      </w:r>
      <w:r w:rsidR="00D76E37" w:rsidRPr="00E25B3A">
        <w:rPr>
          <w:rFonts w:ascii="Book Antiqua" w:hAnsi="Book Antiqua" w:cs="Arial"/>
          <w:sz w:val="24"/>
          <w:szCs w:val="24"/>
        </w:rPr>
        <w:t xml:space="preserve">mediated by </w:t>
      </w:r>
      <w:r w:rsidR="00BA7FEB" w:rsidRPr="00E25B3A">
        <w:rPr>
          <w:rFonts w:ascii="Book Antiqua" w:hAnsi="Book Antiqua" w:cs="Arial"/>
          <w:sz w:val="24"/>
          <w:szCs w:val="24"/>
        </w:rPr>
        <w:t xml:space="preserve">an </w:t>
      </w:r>
      <w:r w:rsidR="00D76E37" w:rsidRPr="00E25B3A">
        <w:rPr>
          <w:rFonts w:ascii="Book Antiqua" w:hAnsi="Book Antiqua" w:cs="Arial"/>
          <w:sz w:val="24"/>
          <w:szCs w:val="24"/>
        </w:rPr>
        <w:t xml:space="preserve">impact on </w:t>
      </w:r>
      <w:r w:rsidR="00BE1554" w:rsidRPr="00E25B3A">
        <w:rPr>
          <w:rFonts w:ascii="Book Antiqua" w:hAnsi="Book Antiqua" w:cs="Arial"/>
          <w:sz w:val="24"/>
          <w:szCs w:val="24"/>
        </w:rPr>
        <w:t xml:space="preserve">multiple </w:t>
      </w:r>
      <w:r w:rsidR="00D76E37" w:rsidRPr="00E25B3A">
        <w:rPr>
          <w:rFonts w:ascii="Book Antiqua" w:hAnsi="Book Antiqua" w:cs="Arial"/>
          <w:sz w:val="24"/>
          <w:szCs w:val="24"/>
        </w:rPr>
        <w:t>central neural systems important for the generation of the percept of nausea</w:t>
      </w:r>
      <w:r w:rsidR="00BE1554" w:rsidRPr="00E25B3A">
        <w:rPr>
          <w:rFonts w:ascii="Book Antiqua" w:hAnsi="Book Antiqua" w:cs="Arial"/>
          <w:sz w:val="24"/>
          <w:szCs w:val="24"/>
        </w:rPr>
        <w:t>, autonomic sensorimotor integration</w:t>
      </w:r>
      <w:r w:rsidR="004D0ADA" w:rsidRPr="00E25B3A">
        <w:rPr>
          <w:rFonts w:ascii="Book Antiqua" w:hAnsi="Book Antiqua" w:cs="Arial"/>
          <w:sz w:val="24"/>
          <w:szCs w:val="24"/>
        </w:rPr>
        <w:t xml:space="preserve"> important for stomach </w:t>
      </w:r>
      <w:r w:rsidR="004E3EB7" w:rsidRPr="00E25B3A">
        <w:rPr>
          <w:rFonts w:ascii="Book Antiqua" w:hAnsi="Book Antiqua" w:cs="Arial"/>
          <w:sz w:val="24"/>
          <w:szCs w:val="24"/>
        </w:rPr>
        <w:t>motility and sensation</w:t>
      </w:r>
      <w:r w:rsidR="00BE1554" w:rsidRPr="00E25B3A">
        <w:rPr>
          <w:rFonts w:ascii="Book Antiqua" w:hAnsi="Book Antiqua" w:cs="Arial"/>
          <w:sz w:val="24"/>
          <w:szCs w:val="24"/>
        </w:rPr>
        <w:t>, and the central regulation of appetite</w:t>
      </w:r>
      <w:r w:rsidR="00F96A36" w:rsidRPr="00E25B3A">
        <w:rPr>
          <w:rFonts w:ascii="Book Antiqua" w:hAnsi="Book Antiqua" w:cs="Arial"/>
          <w:sz w:val="24"/>
          <w:szCs w:val="24"/>
        </w:rPr>
        <w:t>.</w:t>
      </w:r>
      <w:r w:rsidR="00817587" w:rsidRPr="00E25B3A">
        <w:rPr>
          <w:rFonts w:ascii="Book Antiqua" w:hAnsi="Book Antiqua" w:cs="Arial"/>
          <w:sz w:val="24"/>
          <w:szCs w:val="24"/>
        </w:rPr>
        <w:t xml:space="preserve"> </w:t>
      </w:r>
      <w:r w:rsidR="004D0ADA" w:rsidRPr="00E25B3A">
        <w:rPr>
          <w:rFonts w:ascii="Book Antiqua" w:hAnsi="Book Antiqua" w:cs="Arial"/>
          <w:sz w:val="24"/>
          <w:szCs w:val="24"/>
        </w:rPr>
        <w:t xml:space="preserve">Thus, </w:t>
      </w:r>
      <w:r w:rsidR="00BA7FEB" w:rsidRPr="00E25B3A">
        <w:rPr>
          <w:rFonts w:ascii="Book Antiqua" w:hAnsi="Book Antiqua" w:cs="Arial"/>
          <w:sz w:val="24"/>
          <w:szCs w:val="24"/>
        </w:rPr>
        <w:t xml:space="preserve">it is clear that </w:t>
      </w:r>
      <w:r w:rsidR="004D0ADA" w:rsidRPr="00E25B3A">
        <w:rPr>
          <w:rFonts w:ascii="Book Antiqua" w:hAnsi="Book Antiqua" w:cs="Arial"/>
          <w:sz w:val="24"/>
          <w:szCs w:val="24"/>
        </w:rPr>
        <w:t xml:space="preserve">mirtazapine </w:t>
      </w:r>
      <w:r w:rsidR="00BA7FEB" w:rsidRPr="00E25B3A">
        <w:rPr>
          <w:rFonts w:ascii="Book Antiqua" w:hAnsi="Book Antiqua" w:cs="Arial"/>
          <w:sz w:val="24"/>
          <w:szCs w:val="24"/>
        </w:rPr>
        <w:t xml:space="preserve">could be beneficial </w:t>
      </w:r>
      <w:r w:rsidR="004D0ADA" w:rsidRPr="00E25B3A">
        <w:rPr>
          <w:rFonts w:ascii="Book Antiqua" w:hAnsi="Book Antiqua" w:cs="Arial"/>
          <w:sz w:val="24"/>
          <w:szCs w:val="24"/>
        </w:rPr>
        <w:t xml:space="preserve">through </w:t>
      </w:r>
      <w:r w:rsidR="00360C28" w:rsidRPr="00E25B3A">
        <w:rPr>
          <w:rFonts w:ascii="Book Antiqua" w:hAnsi="Book Antiqua" w:cs="Arial"/>
          <w:sz w:val="24"/>
          <w:szCs w:val="24"/>
        </w:rPr>
        <w:t xml:space="preserve">multiple potential mechanisms. </w:t>
      </w:r>
      <w:r w:rsidR="008A3225" w:rsidRPr="00E25B3A">
        <w:rPr>
          <w:rFonts w:ascii="Book Antiqua" w:hAnsi="Book Antiqua" w:cs="Arial"/>
          <w:sz w:val="24"/>
          <w:szCs w:val="24"/>
        </w:rPr>
        <w:t>However, r</w:t>
      </w:r>
      <w:r w:rsidR="006E2BF8" w:rsidRPr="00E25B3A">
        <w:rPr>
          <w:rFonts w:ascii="Book Antiqua" w:hAnsi="Book Antiqua" w:cs="Arial"/>
          <w:sz w:val="24"/>
          <w:szCs w:val="24"/>
        </w:rPr>
        <w:t>egardless of mechanism, t</w:t>
      </w:r>
      <w:r w:rsidR="00817587" w:rsidRPr="00E25B3A">
        <w:rPr>
          <w:rFonts w:ascii="Book Antiqua" w:hAnsi="Book Antiqua" w:cs="Arial"/>
          <w:sz w:val="24"/>
          <w:szCs w:val="24"/>
        </w:rPr>
        <w:t xml:space="preserve">he dramatic improvement in this patient’s symptoms after the initiation of </w:t>
      </w:r>
      <w:r w:rsidR="00EB3B87" w:rsidRPr="00E25B3A">
        <w:rPr>
          <w:rFonts w:ascii="Book Antiqua" w:hAnsi="Book Antiqua" w:cs="Arial"/>
          <w:sz w:val="24"/>
          <w:szCs w:val="24"/>
        </w:rPr>
        <w:t>mirtazapine</w:t>
      </w:r>
      <w:r w:rsidR="00817587" w:rsidRPr="00E25B3A">
        <w:rPr>
          <w:rFonts w:ascii="Book Antiqua" w:hAnsi="Book Antiqua" w:cs="Arial"/>
          <w:sz w:val="24"/>
          <w:szCs w:val="24"/>
        </w:rPr>
        <w:t xml:space="preserve"> suggests that this medication may be an effective treatment for severe g</w:t>
      </w:r>
      <w:r w:rsidR="00F96A36" w:rsidRPr="00E25B3A">
        <w:rPr>
          <w:rFonts w:ascii="Book Antiqua" w:hAnsi="Book Antiqua" w:cs="Arial"/>
          <w:sz w:val="24"/>
          <w:szCs w:val="24"/>
        </w:rPr>
        <w:t xml:space="preserve">astroparesis-related symptoms. </w:t>
      </w:r>
    </w:p>
    <w:p w:rsidR="00B07C42" w:rsidRPr="00E25B3A" w:rsidRDefault="00B07C42" w:rsidP="00F96A36">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While the current case is confounded by the concurrent use of other medications (benzodiazepine</w:t>
      </w:r>
      <w:r w:rsidR="008A3225" w:rsidRPr="00E25B3A">
        <w:rPr>
          <w:rFonts w:ascii="Book Antiqua" w:hAnsi="Book Antiqua" w:cs="Arial"/>
          <w:sz w:val="24"/>
          <w:szCs w:val="24"/>
        </w:rPr>
        <w:t xml:space="preserve">, </w:t>
      </w:r>
      <w:r w:rsidRPr="00E25B3A">
        <w:rPr>
          <w:rFonts w:ascii="Book Antiqua" w:hAnsi="Book Antiqua" w:cs="Arial"/>
          <w:sz w:val="24"/>
          <w:szCs w:val="24"/>
        </w:rPr>
        <w:t>5-HT3 antagonist</w:t>
      </w:r>
      <w:r w:rsidR="008A3225" w:rsidRPr="00E25B3A">
        <w:rPr>
          <w:rFonts w:ascii="Book Antiqua" w:hAnsi="Book Antiqua" w:cs="Arial"/>
          <w:sz w:val="24"/>
          <w:szCs w:val="24"/>
        </w:rPr>
        <w:t>, and anti-cholinergic</w:t>
      </w:r>
      <w:r w:rsidR="00517E4D" w:rsidRPr="00E25B3A">
        <w:rPr>
          <w:rFonts w:ascii="Book Antiqua" w:hAnsi="Book Antiqua" w:cs="Arial"/>
          <w:sz w:val="24"/>
          <w:szCs w:val="24"/>
        </w:rPr>
        <w:t xml:space="preserve"> agents</w:t>
      </w:r>
      <w:r w:rsidRPr="00E25B3A">
        <w:rPr>
          <w:rFonts w:ascii="Book Antiqua" w:hAnsi="Book Antiqua" w:cs="Arial"/>
          <w:sz w:val="24"/>
          <w:szCs w:val="24"/>
        </w:rPr>
        <w:t xml:space="preserve">), these other medications had been used for a week or more with </w:t>
      </w:r>
      <w:r w:rsidR="00360C28" w:rsidRPr="00E25B3A">
        <w:rPr>
          <w:rFonts w:ascii="Book Antiqua" w:hAnsi="Book Antiqua" w:cs="Arial"/>
          <w:sz w:val="24"/>
          <w:szCs w:val="24"/>
        </w:rPr>
        <w:t xml:space="preserve">only modest clinical benefits. </w:t>
      </w:r>
      <w:r w:rsidRPr="00E25B3A">
        <w:rPr>
          <w:rFonts w:ascii="Book Antiqua" w:hAnsi="Book Antiqua" w:cs="Arial"/>
          <w:sz w:val="24"/>
          <w:szCs w:val="24"/>
        </w:rPr>
        <w:t>The significant improvement in both the nature and severity of the symptoms after only two doses of mirtazapine would suggest that mirtazapine was primarily respon</w:t>
      </w:r>
      <w:r w:rsidR="00360C28" w:rsidRPr="00E25B3A">
        <w:rPr>
          <w:rFonts w:ascii="Book Antiqua" w:hAnsi="Book Antiqua" w:cs="Arial"/>
          <w:sz w:val="24"/>
          <w:szCs w:val="24"/>
        </w:rPr>
        <w:t xml:space="preserve">sible for the clinical effect. </w:t>
      </w:r>
      <w:r w:rsidRPr="00E25B3A">
        <w:rPr>
          <w:rFonts w:ascii="Book Antiqua" w:hAnsi="Book Antiqua" w:cs="Arial"/>
          <w:sz w:val="24"/>
          <w:szCs w:val="24"/>
        </w:rPr>
        <w:t>Secondly, while post-viral gastroparesis symptoms can improve as a part of the natural history of the illness, symptoms tend to</w:t>
      </w:r>
      <w:r w:rsidR="00360C28" w:rsidRPr="00E25B3A">
        <w:rPr>
          <w:rFonts w:ascii="Book Antiqua" w:hAnsi="Book Antiqua" w:cs="Arial"/>
          <w:sz w:val="24"/>
          <w:szCs w:val="24"/>
        </w:rPr>
        <w:t xml:space="preserve"> last at least several months. </w:t>
      </w:r>
      <w:r w:rsidRPr="00E25B3A">
        <w:rPr>
          <w:rFonts w:ascii="Book Antiqua" w:hAnsi="Book Antiqua" w:cs="Arial"/>
          <w:sz w:val="24"/>
          <w:szCs w:val="24"/>
        </w:rPr>
        <w:t xml:space="preserve">This patient’s symptoms were durable for nearly </w:t>
      </w:r>
      <w:r w:rsidR="00A05490" w:rsidRPr="00E25B3A">
        <w:rPr>
          <w:rFonts w:ascii="Book Antiqua" w:hAnsi="Book Antiqua" w:cs="Arial"/>
          <w:sz w:val="24"/>
          <w:szCs w:val="24"/>
        </w:rPr>
        <w:t>3 mo</w:t>
      </w:r>
      <w:r w:rsidRPr="00E25B3A">
        <w:rPr>
          <w:rFonts w:ascii="Book Antiqua" w:hAnsi="Book Antiqua" w:cs="Arial"/>
          <w:sz w:val="24"/>
          <w:szCs w:val="24"/>
        </w:rPr>
        <w:t xml:space="preserve"> and refractory to standard therapies at th</w:t>
      </w:r>
      <w:r w:rsidR="00F96A36" w:rsidRPr="00E25B3A">
        <w:rPr>
          <w:rFonts w:ascii="Book Antiqua" w:hAnsi="Book Antiqua" w:cs="Arial"/>
          <w:sz w:val="24"/>
          <w:szCs w:val="24"/>
        </w:rPr>
        <w:t>e time mirtazapine was started.</w:t>
      </w:r>
      <w:r w:rsidRPr="00E25B3A">
        <w:rPr>
          <w:rFonts w:ascii="Book Antiqua" w:hAnsi="Book Antiqua" w:cs="Arial"/>
          <w:sz w:val="24"/>
          <w:szCs w:val="24"/>
        </w:rPr>
        <w:t xml:space="preserve"> It appears quite unlikely that her illness </w:t>
      </w:r>
      <w:r w:rsidR="008A3225" w:rsidRPr="00E25B3A">
        <w:rPr>
          <w:rFonts w:ascii="Book Antiqua" w:hAnsi="Book Antiqua" w:cs="Arial"/>
          <w:sz w:val="24"/>
          <w:szCs w:val="24"/>
        </w:rPr>
        <w:t xml:space="preserve">spontaneously </w:t>
      </w:r>
      <w:r w:rsidRPr="00E25B3A">
        <w:rPr>
          <w:rFonts w:ascii="Book Antiqua" w:hAnsi="Book Antiqua" w:cs="Arial"/>
          <w:sz w:val="24"/>
          <w:szCs w:val="24"/>
        </w:rPr>
        <w:t xml:space="preserve">improved in the days during </w:t>
      </w:r>
      <w:r w:rsidR="00F96A36" w:rsidRPr="00E25B3A">
        <w:rPr>
          <w:rFonts w:ascii="Book Antiqua" w:hAnsi="Book Antiqua" w:cs="Arial"/>
          <w:sz w:val="24"/>
          <w:szCs w:val="24"/>
        </w:rPr>
        <w:t xml:space="preserve">which mirtazapine was started. </w:t>
      </w:r>
      <w:r w:rsidRPr="00E25B3A">
        <w:rPr>
          <w:rFonts w:ascii="Book Antiqua" w:hAnsi="Book Antiqua" w:cs="Arial"/>
          <w:sz w:val="24"/>
          <w:szCs w:val="24"/>
        </w:rPr>
        <w:t xml:space="preserve">Also, the fact that symptoms </w:t>
      </w:r>
      <w:r w:rsidR="00807828" w:rsidRPr="00E25B3A">
        <w:rPr>
          <w:rFonts w:ascii="Book Antiqua" w:hAnsi="Book Antiqua" w:cs="Arial"/>
          <w:sz w:val="24"/>
          <w:szCs w:val="24"/>
        </w:rPr>
        <w:t xml:space="preserve">were </w:t>
      </w:r>
      <w:r w:rsidR="008A3225" w:rsidRPr="00E25B3A">
        <w:rPr>
          <w:rFonts w:ascii="Book Antiqua" w:hAnsi="Book Antiqua" w:cs="Arial"/>
          <w:sz w:val="24"/>
          <w:szCs w:val="24"/>
        </w:rPr>
        <w:t xml:space="preserve">only partially </w:t>
      </w:r>
      <w:r w:rsidRPr="00E25B3A">
        <w:rPr>
          <w:rFonts w:ascii="Book Antiqua" w:hAnsi="Book Antiqua" w:cs="Arial"/>
          <w:sz w:val="24"/>
          <w:szCs w:val="24"/>
        </w:rPr>
        <w:t>improved</w:t>
      </w:r>
      <w:r w:rsidR="00807828" w:rsidRPr="00E25B3A">
        <w:rPr>
          <w:rFonts w:ascii="Book Antiqua" w:hAnsi="Book Antiqua" w:cs="Arial"/>
          <w:sz w:val="24"/>
          <w:szCs w:val="24"/>
        </w:rPr>
        <w:t xml:space="preserve"> on mirtazapine</w:t>
      </w:r>
      <w:r w:rsidRPr="00E25B3A">
        <w:rPr>
          <w:rFonts w:ascii="Book Antiqua" w:hAnsi="Book Antiqua" w:cs="Arial"/>
          <w:sz w:val="24"/>
          <w:szCs w:val="24"/>
        </w:rPr>
        <w:t xml:space="preserve">, </w:t>
      </w:r>
      <w:r w:rsidR="00807828" w:rsidRPr="00E25B3A">
        <w:rPr>
          <w:rFonts w:ascii="Book Antiqua" w:hAnsi="Book Antiqua" w:cs="Arial"/>
          <w:sz w:val="24"/>
          <w:szCs w:val="24"/>
        </w:rPr>
        <w:t xml:space="preserve">would argue against a spontaneous remission of the underlying gastroparesis. </w:t>
      </w:r>
    </w:p>
    <w:p w:rsidR="00517E4D" w:rsidRPr="00E25B3A" w:rsidRDefault="00517E4D" w:rsidP="0097748F">
      <w:pPr>
        <w:spacing w:after="0" w:line="360" w:lineRule="auto"/>
        <w:jc w:val="both"/>
        <w:rPr>
          <w:rFonts w:ascii="Book Antiqua" w:hAnsi="Book Antiqua" w:cs="Arial"/>
          <w:b/>
          <w:sz w:val="24"/>
          <w:szCs w:val="24"/>
        </w:rPr>
      </w:pPr>
    </w:p>
    <w:p w:rsidR="00517E4D" w:rsidRPr="00E25B3A" w:rsidRDefault="00517E4D" w:rsidP="0097748F">
      <w:pPr>
        <w:spacing w:after="0" w:line="360" w:lineRule="auto"/>
        <w:jc w:val="both"/>
        <w:rPr>
          <w:rFonts w:ascii="Book Antiqua" w:hAnsi="Book Antiqua" w:cs="Arial"/>
          <w:b/>
          <w:sz w:val="24"/>
          <w:szCs w:val="24"/>
        </w:rPr>
      </w:pPr>
    </w:p>
    <w:p w:rsidR="00D76E37" w:rsidRPr="00E25B3A" w:rsidRDefault="00D76E37" w:rsidP="00F96A36">
      <w:pPr>
        <w:spacing w:after="0" w:line="360" w:lineRule="auto"/>
        <w:ind w:firstLineChars="200" w:firstLine="480"/>
        <w:jc w:val="both"/>
        <w:rPr>
          <w:rFonts w:ascii="Book Antiqua" w:hAnsi="Book Antiqua" w:cs="Arial"/>
          <w:sz w:val="24"/>
          <w:szCs w:val="24"/>
        </w:rPr>
      </w:pPr>
      <w:r w:rsidRPr="00E25B3A">
        <w:rPr>
          <w:rFonts w:ascii="Book Antiqua" w:hAnsi="Book Antiqua" w:cs="Arial"/>
          <w:sz w:val="24"/>
          <w:szCs w:val="24"/>
        </w:rPr>
        <w:t xml:space="preserve">Treatment for post-infectious gastroparesis can be challenging because symptoms are often severe and </w:t>
      </w:r>
      <w:r w:rsidR="00817587" w:rsidRPr="00E25B3A">
        <w:rPr>
          <w:rFonts w:ascii="Book Antiqua" w:hAnsi="Book Antiqua" w:cs="Arial"/>
          <w:sz w:val="24"/>
          <w:szCs w:val="24"/>
        </w:rPr>
        <w:t>conventional t</w:t>
      </w:r>
      <w:r w:rsidR="00F96A36" w:rsidRPr="00E25B3A">
        <w:rPr>
          <w:rFonts w:ascii="Book Antiqua" w:hAnsi="Book Antiqua" w:cs="Arial"/>
          <w:sz w:val="24"/>
          <w:szCs w:val="24"/>
        </w:rPr>
        <w:t xml:space="preserve">herapies may not be effective. </w:t>
      </w:r>
      <w:r w:rsidR="00817587" w:rsidRPr="00E25B3A">
        <w:rPr>
          <w:rFonts w:ascii="Book Antiqua" w:hAnsi="Book Antiqua" w:cs="Arial"/>
          <w:sz w:val="24"/>
          <w:szCs w:val="24"/>
        </w:rPr>
        <w:t xml:space="preserve">We report a case of patient </w:t>
      </w:r>
      <w:r w:rsidR="00807828" w:rsidRPr="00E25B3A">
        <w:rPr>
          <w:rFonts w:ascii="Book Antiqua" w:hAnsi="Book Antiqua" w:cs="Arial"/>
          <w:sz w:val="24"/>
          <w:szCs w:val="24"/>
        </w:rPr>
        <w:t xml:space="preserve">with post-infectious gastroparesis who had </w:t>
      </w:r>
      <w:r w:rsidR="00817587" w:rsidRPr="00E25B3A">
        <w:rPr>
          <w:rFonts w:ascii="Book Antiqua" w:hAnsi="Book Antiqua" w:cs="Arial"/>
          <w:sz w:val="24"/>
          <w:szCs w:val="24"/>
        </w:rPr>
        <w:t>an excellent clinical improveme</w:t>
      </w:r>
      <w:r w:rsidR="00F96A36" w:rsidRPr="00E25B3A">
        <w:rPr>
          <w:rFonts w:ascii="Book Antiqua" w:hAnsi="Book Antiqua" w:cs="Arial"/>
          <w:sz w:val="24"/>
          <w:szCs w:val="24"/>
        </w:rPr>
        <w:t xml:space="preserve">nt after starting mirtazapine. </w:t>
      </w:r>
      <w:r w:rsidR="006E2BF8" w:rsidRPr="00E25B3A">
        <w:rPr>
          <w:rFonts w:ascii="Book Antiqua" w:hAnsi="Book Antiqua" w:cs="Arial"/>
          <w:sz w:val="24"/>
          <w:szCs w:val="24"/>
        </w:rPr>
        <w:t xml:space="preserve">The specific mechanism driving this response </w:t>
      </w:r>
      <w:r w:rsidR="00517E4D" w:rsidRPr="00E25B3A">
        <w:rPr>
          <w:rFonts w:ascii="Book Antiqua" w:hAnsi="Book Antiqua" w:cs="Arial"/>
          <w:sz w:val="24"/>
          <w:szCs w:val="24"/>
        </w:rPr>
        <w:t xml:space="preserve">remains to be </w:t>
      </w:r>
      <w:r w:rsidR="00BA7FEB" w:rsidRPr="00E25B3A">
        <w:rPr>
          <w:rFonts w:ascii="Book Antiqua" w:hAnsi="Book Antiqua" w:cs="Arial"/>
          <w:sz w:val="24"/>
          <w:szCs w:val="24"/>
        </w:rPr>
        <w:t>clarified</w:t>
      </w:r>
      <w:r w:rsidR="00517E4D" w:rsidRPr="00E25B3A">
        <w:rPr>
          <w:rFonts w:ascii="Book Antiqua" w:hAnsi="Book Antiqua" w:cs="Arial"/>
          <w:sz w:val="24"/>
          <w:szCs w:val="24"/>
        </w:rPr>
        <w:t xml:space="preserve">, but mirtazapine could exert a therapeutic effect on nausea and vomiting </w:t>
      </w:r>
      <w:r w:rsidR="00A05490" w:rsidRPr="00E25B3A">
        <w:rPr>
          <w:rFonts w:ascii="Book Antiqua" w:hAnsi="Book Antiqua" w:cs="Arial"/>
          <w:i/>
          <w:sz w:val="24"/>
          <w:szCs w:val="24"/>
        </w:rPr>
        <w:t>via</w:t>
      </w:r>
      <w:r w:rsidR="00517E4D" w:rsidRPr="00E25B3A">
        <w:rPr>
          <w:rFonts w:ascii="Book Antiqua" w:hAnsi="Book Antiqua" w:cs="Arial"/>
          <w:sz w:val="24"/>
          <w:szCs w:val="24"/>
        </w:rPr>
        <w:t xml:space="preserve"> 5-HT1 receptor </w:t>
      </w:r>
      <w:proofErr w:type="spellStart"/>
      <w:r w:rsidR="00517E4D" w:rsidRPr="00E25B3A">
        <w:rPr>
          <w:rFonts w:ascii="Book Antiqua" w:hAnsi="Book Antiqua" w:cs="Arial"/>
          <w:sz w:val="24"/>
          <w:szCs w:val="24"/>
        </w:rPr>
        <w:t>agonism</w:t>
      </w:r>
      <w:proofErr w:type="spellEnd"/>
      <w:r w:rsidR="00F96A36" w:rsidRPr="00E25B3A">
        <w:rPr>
          <w:rFonts w:ascii="Book Antiqua" w:hAnsi="Book Antiqua" w:cs="Arial"/>
          <w:sz w:val="24"/>
          <w:szCs w:val="24"/>
        </w:rPr>
        <w:t xml:space="preserve">. </w:t>
      </w:r>
      <w:r w:rsidR="00517E4D" w:rsidRPr="00E25B3A">
        <w:rPr>
          <w:rFonts w:ascii="Book Antiqua" w:hAnsi="Book Antiqua" w:cs="Arial"/>
          <w:sz w:val="24"/>
          <w:szCs w:val="24"/>
        </w:rPr>
        <w:t>M</w:t>
      </w:r>
      <w:r w:rsidRPr="00E25B3A">
        <w:rPr>
          <w:rFonts w:ascii="Book Antiqua" w:hAnsi="Book Antiqua" w:cs="Arial"/>
          <w:sz w:val="24"/>
          <w:szCs w:val="24"/>
        </w:rPr>
        <w:t xml:space="preserve">irtazapine </w:t>
      </w:r>
      <w:r w:rsidR="00817587" w:rsidRPr="00E25B3A">
        <w:rPr>
          <w:rFonts w:ascii="Book Antiqua" w:hAnsi="Book Antiqua" w:cs="Arial"/>
          <w:sz w:val="24"/>
          <w:szCs w:val="24"/>
        </w:rPr>
        <w:t xml:space="preserve">could </w:t>
      </w:r>
      <w:r w:rsidRPr="00E25B3A">
        <w:rPr>
          <w:rFonts w:ascii="Book Antiqua" w:hAnsi="Book Antiqua" w:cs="Arial"/>
          <w:sz w:val="24"/>
          <w:szCs w:val="24"/>
        </w:rPr>
        <w:t>represent an effective</w:t>
      </w:r>
      <w:r w:rsidR="006E2BF8" w:rsidRPr="00E25B3A">
        <w:rPr>
          <w:rFonts w:ascii="Book Antiqua" w:hAnsi="Book Antiqua" w:cs="Arial"/>
          <w:sz w:val="24"/>
          <w:szCs w:val="24"/>
        </w:rPr>
        <w:t>,</w:t>
      </w:r>
      <w:r w:rsidRPr="00E25B3A">
        <w:rPr>
          <w:rFonts w:ascii="Book Antiqua" w:hAnsi="Book Antiqua" w:cs="Arial"/>
          <w:sz w:val="24"/>
          <w:szCs w:val="24"/>
        </w:rPr>
        <w:t xml:space="preserve"> alternative treatment for patients </w:t>
      </w:r>
      <w:r w:rsidR="006E2BF8" w:rsidRPr="00E25B3A">
        <w:rPr>
          <w:rFonts w:ascii="Book Antiqua" w:hAnsi="Book Antiqua" w:cs="Arial"/>
          <w:sz w:val="24"/>
          <w:szCs w:val="24"/>
        </w:rPr>
        <w:t xml:space="preserve">with gastroparesis </w:t>
      </w:r>
      <w:r w:rsidRPr="00E25B3A">
        <w:rPr>
          <w:rFonts w:ascii="Book Antiqua" w:hAnsi="Book Antiqua" w:cs="Arial"/>
          <w:sz w:val="24"/>
          <w:szCs w:val="24"/>
        </w:rPr>
        <w:t>who are refractory to conventional prokinetic and anti-emetic</w:t>
      </w:r>
      <w:r w:rsidR="00817587" w:rsidRPr="00E25B3A">
        <w:rPr>
          <w:rFonts w:ascii="Book Antiqua" w:hAnsi="Book Antiqua" w:cs="Arial"/>
          <w:sz w:val="24"/>
          <w:szCs w:val="24"/>
        </w:rPr>
        <w:t xml:space="preserve"> medications</w:t>
      </w:r>
      <w:r w:rsidRPr="00E25B3A">
        <w:rPr>
          <w:rFonts w:ascii="Book Antiqua" w:hAnsi="Book Antiqua" w:cs="Arial"/>
          <w:sz w:val="24"/>
          <w:szCs w:val="24"/>
        </w:rPr>
        <w:t>.</w:t>
      </w:r>
    </w:p>
    <w:p w:rsidR="00EC2862" w:rsidRPr="00E25B3A" w:rsidRDefault="00D76E37" w:rsidP="0097748F">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 xml:space="preserve"> </w:t>
      </w:r>
    </w:p>
    <w:p w:rsidR="005E1073" w:rsidRPr="00E25B3A" w:rsidRDefault="005E1073" w:rsidP="005E1073">
      <w:pPr>
        <w:spacing w:after="0" w:line="360" w:lineRule="auto"/>
        <w:jc w:val="both"/>
        <w:rPr>
          <w:rFonts w:ascii="Book Antiqua" w:hAnsi="Book Antiqua" w:cs="Arial"/>
          <w:b/>
          <w:sz w:val="24"/>
          <w:szCs w:val="24"/>
        </w:rPr>
      </w:pPr>
      <w:r w:rsidRPr="00E25B3A">
        <w:rPr>
          <w:rFonts w:ascii="Book Antiqua" w:hAnsi="Book Antiqua" w:cs="Arial"/>
          <w:b/>
          <w:sz w:val="24"/>
          <w:szCs w:val="24"/>
        </w:rPr>
        <w:t>COMMENTS</w:t>
      </w:r>
    </w:p>
    <w:p w:rsidR="00AF038E"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Case characteristics</w:t>
      </w:r>
    </w:p>
    <w:p w:rsidR="005E1073" w:rsidRPr="00E25B3A" w:rsidRDefault="005E1073" w:rsidP="005E1073">
      <w:pPr>
        <w:spacing w:after="0" w:line="360" w:lineRule="auto"/>
        <w:jc w:val="both"/>
        <w:rPr>
          <w:rFonts w:ascii="Book Antiqua" w:hAnsi="Book Antiqua" w:cs="Arial"/>
          <w:sz w:val="24"/>
          <w:szCs w:val="24"/>
        </w:rPr>
      </w:pPr>
      <w:r w:rsidRPr="00E25B3A">
        <w:rPr>
          <w:rFonts w:ascii="Book Antiqua" w:hAnsi="Book Antiqua" w:cs="Arial"/>
          <w:sz w:val="24"/>
          <w:szCs w:val="24"/>
        </w:rPr>
        <w:t xml:space="preserve">A 34 year-old woman with no major past medical history presented with two months of intractable nausea and vomiting. </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Differential diagnosis</w:t>
      </w:r>
    </w:p>
    <w:p w:rsidR="005E1073" w:rsidRPr="00E25B3A" w:rsidRDefault="005E1073" w:rsidP="005E1073">
      <w:pPr>
        <w:spacing w:after="0" w:line="360" w:lineRule="auto"/>
        <w:jc w:val="both"/>
        <w:rPr>
          <w:rFonts w:ascii="Book Antiqua" w:hAnsi="Book Antiqua" w:cs="Arial"/>
          <w:sz w:val="24"/>
          <w:szCs w:val="24"/>
        </w:rPr>
      </w:pPr>
      <w:proofErr w:type="spellStart"/>
      <w:r w:rsidRPr="00E25B3A">
        <w:rPr>
          <w:rFonts w:ascii="Book Antiqua" w:hAnsi="Book Antiqua" w:cs="Arial"/>
          <w:sz w:val="24"/>
          <w:szCs w:val="24"/>
        </w:rPr>
        <w:t>Gastroparesis</w:t>
      </w:r>
      <w:proofErr w:type="spellEnd"/>
      <w:r w:rsidRPr="00E25B3A">
        <w:rPr>
          <w:rFonts w:ascii="Book Antiqua" w:hAnsi="Book Antiqua" w:cs="Arial"/>
          <w:sz w:val="24"/>
          <w:szCs w:val="24"/>
        </w:rPr>
        <w:t>, functional dyspepsia, chronic idiopathic nausea</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Laboratory diagnosis</w:t>
      </w:r>
    </w:p>
    <w:p w:rsidR="005E1073" w:rsidRPr="00E25B3A" w:rsidRDefault="005E1073" w:rsidP="005E1073">
      <w:pPr>
        <w:spacing w:after="0" w:line="360" w:lineRule="auto"/>
        <w:jc w:val="both"/>
        <w:rPr>
          <w:rFonts w:ascii="Book Antiqua" w:hAnsi="Book Antiqua" w:cs="Arial"/>
          <w:sz w:val="24"/>
          <w:szCs w:val="24"/>
        </w:rPr>
      </w:pPr>
      <w:r w:rsidRPr="00E25B3A">
        <w:rPr>
          <w:rFonts w:ascii="Book Antiqua" w:hAnsi="Book Antiqua" w:cs="Arial"/>
          <w:sz w:val="24"/>
          <w:szCs w:val="24"/>
        </w:rPr>
        <w:t xml:space="preserve">On initial presentation, the patient had a K 3.2 </w:t>
      </w:r>
      <w:proofErr w:type="spellStart"/>
      <w:r w:rsidRPr="00E25B3A">
        <w:rPr>
          <w:rFonts w:ascii="Book Antiqua" w:hAnsi="Book Antiqua" w:cs="Arial"/>
          <w:sz w:val="24"/>
          <w:szCs w:val="24"/>
        </w:rPr>
        <w:t>m</w:t>
      </w:r>
      <w:r w:rsidR="00527291" w:rsidRPr="00E25B3A">
        <w:rPr>
          <w:rFonts w:ascii="Book Antiqua" w:hAnsi="Book Antiqua" w:cs="Arial" w:hint="eastAsia"/>
          <w:sz w:val="24"/>
          <w:szCs w:val="24"/>
          <w:lang w:eastAsia="zh-CN"/>
        </w:rPr>
        <w:t>m</w:t>
      </w:r>
      <w:r w:rsidRPr="00E25B3A">
        <w:rPr>
          <w:rFonts w:ascii="Book Antiqua" w:hAnsi="Book Antiqua" w:cs="Arial"/>
          <w:sz w:val="24"/>
          <w:szCs w:val="24"/>
        </w:rPr>
        <w:t>ol</w:t>
      </w:r>
      <w:proofErr w:type="spellEnd"/>
      <w:r w:rsidRPr="00E25B3A">
        <w:rPr>
          <w:rFonts w:ascii="Book Antiqua" w:hAnsi="Book Antiqua" w:cs="Arial"/>
          <w:sz w:val="24"/>
          <w:szCs w:val="24"/>
        </w:rPr>
        <w:t>/</w:t>
      </w:r>
      <w:proofErr w:type="spellStart"/>
      <w:r w:rsidRPr="00E25B3A">
        <w:rPr>
          <w:rFonts w:ascii="Book Antiqua" w:hAnsi="Book Antiqua" w:cs="Arial"/>
          <w:sz w:val="24"/>
          <w:szCs w:val="24"/>
        </w:rPr>
        <w:t>dL</w:t>
      </w:r>
      <w:proofErr w:type="spellEnd"/>
      <w:r w:rsidRPr="00E25B3A">
        <w:rPr>
          <w:rFonts w:ascii="Book Antiqua" w:hAnsi="Book Antiqua" w:cs="Arial"/>
          <w:sz w:val="24"/>
          <w:szCs w:val="24"/>
        </w:rPr>
        <w:t xml:space="preserve"> with a slight anion gap acidosis of </w:t>
      </w:r>
      <w:proofErr w:type="gramStart"/>
      <w:r w:rsidRPr="00E25B3A">
        <w:rPr>
          <w:rFonts w:ascii="Book Antiqua" w:hAnsi="Book Antiqua" w:cs="Arial"/>
          <w:sz w:val="24"/>
          <w:szCs w:val="24"/>
        </w:rPr>
        <w:t xml:space="preserve">16 </w:t>
      </w:r>
      <w:proofErr w:type="spellStart"/>
      <w:r w:rsidRPr="00E25B3A">
        <w:rPr>
          <w:rFonts w:ascii="Book Antiqua" w:hAnsi="Book Antiqua" w:cs="Arial"/>
          <w:sz w:val="24"/>
          <w:szCs w:val="24"/>
        </w:rPr>
        <w:t>mEq</w:t>
      </w:r>
      <w:proofErr w:type="spellEnd"/>
      <w:r w:rsidRPr="00E25B3A">
        <w:rPr>
          <w:rFonts w:ascii="Book Antiqua" w:hAnsi="Book Antiqua" w:cs="Arial"/>
          <w:sz w:val="24"/>
          <w:szCs w:val="24"/>
        </w:rPr>
        <w:t>/L</w:t>
      </w:r>
      <w:proofErr w:type="gramEnd"/>
      <w:r w:rsidRPr="00E25B3A">
        <w:rPr>
          <w:rFonts w:ascii="Book Antiqua" w:hAnsi="Book Antiqua" w:cs="Arial"/>
          <w:sz w:val="24"/>
          <w:szCs w:val="24"/>
        </w:rPr>
        <w:t xml:space="preserve"> and 2+ </w:t>
      </w:r>
      <w:proofErr w:type="spellStart"/>
      <w:r w:rsidRPr="00E25B3A">
        <w:rPr>
          <w:rFonts w:ascii="Book Antiqua" w:hAnsi="Book Antiqua" w:cs="Arial"/>
          <w:sz w:val="24"/>
          <w:szCs w:val="24"/>
        </w:rPr>
        <w:t>ketonuria</w:t>
      </w:r>
      <w:proofErr w:type="spellEnd"/>
      <w:r w:rsidRPr="00E25B3A">
        <w:rPr>
          <w:rFonts w:ascii="Book Antiqua" w:hAnsi="Book Antiqua" w:cs="Arial"/>
          <w:sz w:val="24"/>
          <w:szCs w:val="24"/>
        </w:rPr>
        <w:t xml:space="preserve">; otherwise, CBC and liver function tests were within normal limits. </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Imaging diagnosis</w:t>
      </w:r>
      <w:r w:rsidRPr="00E25B3A">
        <w:rPr>
          <w:rFonts w:ascii="Book Antiqua" w:hAnsi="Book Antiqua" w:cs="Arial"/>
          <w:b/>
          <w:sz w:val="24"/>
          <w:szCs w:val="24"/>
        </w:rPr>
        <w:t xml:space="preserve"> </w:t>
      </w:r>
    </w:p>
    <w:p w:rsidR="005E1073" w:rsidRPr="00E25B3A" w:rsidRDefault="005E1073" w:rsidP="005E1073">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A 4-</w:t>
      </w:r>
      <w:r w:rsidR="00A05490" w:rsidRPr="00E25B3A">
        <w:rPr>
          <w:rFonts w:ascii="Book Antiqua" w:hAnsi="Book Antiqua" w:cs="Arial"/>
          <w:sz w:val="24"/>
          <w:szCs w:val="24"/>
        </w:rPr>
        <w:t>h</w:t>
      </w:r>
      <w:r w:rsidRPr="00E25B3A">
        <w:rPr>
          <w:rFonts w:ascii="Book Antiqua" w:hAnsi="Book Antiqua" w:cs="Arial"/>
          <w:sz w:val="24"/>
          <w:szCs w:val="24"/>
        </w:rPr>
        <w:t xml:space="preserve"> solid phase gastric emptying scan was obtained at our </w:t>
      </w:r>
      <w:proofErr w:type="spellStart"/>
      <w:r w:rsidRPr="00E25B3A">
        <w:rPr>
          <w:rFonts w:ascii="Book Antiqua" w:hAnsi="Book Antiqua" w:cs="Arial"/>
          <w:sz w:val="24"/>
          <w:szCs w:val="24"/>
        </w:rPr>
        <w:t>instituation</w:t>
      </w:r>
      <w:proofErr w:type="spellEnd"/>
      <w:r w:rsidRPr="00E25B3A">
        <w:rPr>
          <w:rFonts w:ascii="Book Antiqua" w:hAnsi="Book Antiqua" w:cs="Arial"/>
          <w:sz w:val="24"/>
          <w:szCs w:val="24"/>
        </w:rPr>
        <w:t xml:space="preserve">, using the ingestion of 1.06 </w:t>
      </w:r>
      <w:proofErr w:type="spellStart"/>
      <w:r w:rsidRPr="00E25B3A">
        <w:rPr>
          <w:rFonts w:ascii="Book Antiqua" w:hAnsi="Book Antiqua" w:cs="Arial"/>
          <w:sz w:val="24"/>
          <w:szCs w:val="24"/>
        </w:rPr>
        <w:t>mCi</w:t>
      </w:r>
      <w:proofErr w:type="spellEnd"/>
      <w:r w:rsidRPr="00E25B3A">
        <w:rPr>
          <w:rFonts w:ascii="Book Antiqua" w:hAnsi="Book Antiqua" w:cs="Arial"/>
          <w:sz w:val="24"/>
          <w:szCs w:val="24"/>
        </w:rPr>
        <w:t xml:space="preserve"> of Tc-99m sulfur collide mixed with a solid meal.</w:t>
      </w:r>
      <w:r w:rsidR="008C4CD3" w:rsidRPr="00E25B3A">
        <w:rPr>
          <w:rFonts w:ascii="Book Antiqua" w:hAnsi="Book Antiqua" w:cs="Arial"/>
          <w:sz w:val="24"/>
          <w:szCs w:val="24"/>
        </w:rPr>
        <w:t xml:space="preserve"> </w:t>
      </w:r>
      <w:r w:rsidRPr="00E25B3A">
        <w:rPr>
          <w:rFonts w:ascii="Book Antiqua" w:hAnsi="Book Antiqua" w:cs="Arial"/>
          <w:sz w:val="24"/>
          <w:szCs w:val="24"/>
        </w:rPr>
        <w:t>This demonstrated a delay in emptying at the 3- and 4-</w:t>
      </w:r>
      <w:r w:rsidR="00A05490" w:rsidRPr="00E25B3A">
        <w:rPr>
          <w:rFonts w:ascii="Book Antiqua" w:hAnsi="Book Antiqua" w:cs="Arial"/>
          <w:sz w:val="24"/>
          <w:szCs w:val="24"/>
        </w:rPr>
        <w:t>h</w:t>
      </w:r>
      <w:r w:rsidR="008C4CD3" w:rsidRPr="00E25B3A">
        <w:rPr>
          <w:rFonts w:ascii="Book Antiqua" w:hAnsi="Book Antiqua" w:cs="Arial"/>
          <w:sz w:val="24"/>
          <w:szCs w:val="24"/>
        </w:rPr>
        <w:t xml:space="preserve"> time points.</w:t>
      </w:r>
    </w:p>
    <w:p w:rsidR="005E1073" w:rsidRPr="00E25B3A" w:rsidRDefault="005E1073" w:rsidP="005E1073">
      <w:pPr>
        <w:spacing w:after="0" w:line="360" w:lineRule="auto"/>
        <w:jc w:val="both"/>
        <w:rPr>
          <w:rFonts w:ascii="Book Antiqua" w:hAnsi="Book Antiqua" w:cs="Arial"/>
          <w:sz w:val="24"/>
          <w:szCs w:val="24"/>
          <w:lang w:eastAsia="zh-CN"/>
        </w:rPr>
      </w:pPr>
    </w:p>
    <w:p w:rsidR="008C4CD3" w:rsidRPr="00E25B3A" w:rsidRDefault="008C4CD3" w:rsidP="005E1073">
      <w:pPr>
        <w:spacing w:after="0" w:line="360" w:lineRule="auto"/>
        <w:jc w:val="both"/>
        <w:rPr>
          <w:rFonts w:ascii="Book Antiqua" w:hAnsi="Book Antiqua" w:cs="Arial"/>
          <w:b/>
          <w:i/>
          <w:sz w:val="24"/>
          <w:szCs w:val="24"/>
          <w:lang w:eastAsia="zh-CN"/>
        </w:rPr>
      </w:pPr>
      <w:r w:rsidRPr="00E25B3A">
        <w:rPr>
          <w:rFonts w:ascii="Book Antiqua" w:hAnsi="Book Antiqua" w:cs="Arial"/>
          <w:b/>
          <w:i/>
          <w:sz w:val="24"/>
          <w:szCs w:val="24"/>
        </w:rPr>
        <w:lastRenderedPageBreak/>
        <w:t>Treatment</w:t>
      </w:r>
    </w:p>
    <w:p w:rsidR="005E1073" w:rsidRPr="00E25B3A" w:rsidRDefault="005E1073" w:rsidP="005E1073">
      <w:pPr>
        <w:spacing w:after="0" w:line="360" w:lineRule="auto"/>
        <w:jc w:val="both"/>
        <w:rPr>
          <w:rFonts w:ascii="Book Antiqua" w:hAnsi="Book Antiqua" w:cs="Arial"/>
          <w:sz w:val="24"/>
          <w:szCs w:val="24"/>
        </w:rPr>
      </w:pPr>
      <w:r w:rsidRPr="00E25B3A">
        <w:rPr>
          <w:rFonts w:ascii="Book Antiqua" w:hAnsi="Book Antiqua" w:cs="Arial"/>
          <w:sz w:val="24"/>
          <w:szCs w:val="24"/>
        </w:rPr>
        <w:t xml:space="preserve">Along with stable doses of clonazepam, </w:t>
      </w:r>
      <w:proofErr w:type="spellStart"/>
      <w:r w:rsidRPr="00E25B3A">
        <w:rPr>
          <w:rFonts w:ascii="Book Antiqua" w:hAnsi="Book Antiqua" w:cs="Arial"/>
          <w:sz w:val="24"/>
          <w:szCs w:val="24"/>
        </w:rPr>
        <w:t>ondansetron</w:t>
      </w:r>
      <w:proofErr w:type="spellEnd"/>
      <w:r w:rsidRPr="00E25B3A">
        <w:rPr>
          <w:rFonts w:ascii="Book Antiqua" w:hAnsi="Book Antiqua" w:cs="Arial"/>
          <w:sz w:val="24"/>
          <w:szCs w:val="24"/>
        </w:rPr>
        <w:t xml:space="preserve">, and scopolamine, the patient was then treated with mirtazapine 15 mg PO </w:t>
      </w:r>
      <w:proofErr w:type="spellStart"/>
      <w:r w:rsidRPr="00E25B3A">
        <w:rPr>
          <w:rFonts w:ascii="Book Antiqua" w:hAnsi="Book Antiqua" w:cs="Arial"/>
          <w:sz w:val="24"/>
          <w:szCs w:val="24"/>
        </w:rPr>
        <w:t>qhs</w:t>
      </w:r>
      <w:proofErr w:type="spellEnd"/>
      <w:r w:rsidRPr="00E25B3A">
        <w:rPr>
          <w:rFonts w:ascii="Book Antiqua" w:hAnsi="Book Antiqua" w:cs="Arial"/>
          <w:sz w:val="24"/>
          <w:szCs w:val="24"/>
        </w:rPr>
        <w:t xml:space="preserve">, with the dose increased to 30 mg PO </w:t>
      </w:r>
      <w:proofErr w:type="spellStart"/>
      <w:r w:rsidRPr="00E25B3A">
        <w:rPr>
          <w:rFonts w:ascii="Book Antiqua" w:hAnsi="Book Antiqua" w:cs="Arial"/>
          <w:sz w:val="24"/>
          <w:szCs w:val="24"/>
        </w:rPr>
        <w:t>qhs</w:t>
      </w:r>
      <w:proofErr w:type="spellEnd"/>
      <w:r w:rsidRPr="00E25B3A">
        <w:rPr>
          <w:rFonts w:ascii="Book Antiqua" w:hAnsi="Book Antiqua" w:cs="Arial"/>
          <w:sz w:val="24"/>
          <w:szCs w:val="24"/>
        </w:rPr>
        <w:t xml:space="preserve"> after several days.</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Related</w:t>
      </w:r>
      <w:r w:rsidR="008C4CD3" w:rsidRPr="00E25B3A">
        <w:rPr>
          <w:rFonts w:ascii="Book Antiqua" w:hAnsi="Book Antiqua" w:cs="Arial"/>
          <w:b/>
          <w:i/>
          <w:sz w:val="24"/>
          <w:szCs w:val="24"/>
        </w:rPr>
        <w:t xml:space="preserve"> re</w:t>
      </w:r>
      <w:r w:rsidRPr="00E25B3A">
        <w:rPr>
          <w:rFonts w:ascii="Book Antiqua" w:hAnsi="Book Antiqua" w:cs="Arial"/>
          <w:b/>
          <w:i/>
          <w:sz w:val="24"/>
          <w:szCs w:val="24"/>
        </w:rPr>
        <w:t>ports</w:t>
      </w:r>
      <w:r w:rsidRPr="00E25B3A">
        <w:rPr>
          <w:rFonts w:ascii="Book Antiqua" w:hAnsi="Book Antiqua" w:cs="Arial"/>
          <w:b/>
          <w:sz w:val="24"/>
          <w:szCs w:val="24"/>
        </w:rPr>
        <w:t xml:space="preserve"> </w:t>
      </w:r>
    </w:p>
    <w:p w:rsidR="005E1073" w:rsidRPr="00E25B3A" w:rsidRDefault="005E1073" w:rsidP="005E1073">
      <w:pPr>
        <w:spacing w:after="0" w:line="360" w:lineRule="auto"/>
        <w:jc w:val="both"/>
        <w:rPr>
          <w:rFonts w:ascii="Book Antiqua" w:hAnsi="Book Antiqua" w:cs="Arial"/>
          <w:sz w:val="24"/>
          <w:szCs w:val="24"/>
        </w:rPr>
      </w:pPr>
      <w:r w:rsidRPr="00E25B3A">
        <w:rPr>
          <w:rFonts w:ascii="Book Antiqua" w:hAnsi="Book Antiqua" w:cs="Arial"/>
          <w:sz w:val="24"/>
          <w:szCs w:val="24"/>
        </w:rPr>
        <w:t xml:space="preserve">There is one other case report documenting the use of mirtazapine for symptoms of diabetic </w:t>
      </w:r>
      <w:proofErr w:type="spellStart"/>
      <w:r w:rsidRPr="00E25B3A">
        <w:rPr>
          <w:rFonts w:ascii="Book Antiqua" w:hAnsi="Book Antiqua" w:cs="Arial"/>
          <w:sz w:val="24"/>
          <w:szCs w:val="24"/>
        </w:rPr>
        <w:t>gastroparesis</w:t>
      </w:r>
      <w:proofErr w:type="spellEnd"/>
      <w:r w:rsidRPr="00E25B3A">
        <w:rPr>
          <w:rFonts w:ascii="Book Antiqua" w:hAnsi="Book Antiqua" w:cs="Arial"/>
          <w:sz w:val="24"/>
          <w:szCs w:val="24"/>
        </w:rPr>
        <w:t>.</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Term</w:t>
      </w:r>
      <w:r w:rsidR="008C4CD3" w:rsidRPr="00E25B3A">
        <w:rPr>
          <w:rFonts w:ascii="Book Antiqua" w:hAnsi="Book Antiqua" w:cs="Arial"/>
          <w:b/>
          <w:i/>
          <w:sz w:val="24"/>
          <w:szCs w:val="24"/>
        </w:rPr>
        <w:t xml:space="preserve"> explanation</w:t>
      </w:r>
      <w:r w:rsidR="008C4CD3" w:rsidRPr="00E25B3A">
        <w:rPr>
          <w:rFonts w:ascii="Book Antiqua" w:hAnsi="Book Antiqua" w:cs="Arial"/>
          <w:b/>
          <w:sz w:val="24"/>
          <w:szCs w:val="24"/>
        </w:rPr>
        <w:t xml:space="preserve"> </w:t>
      </w:r>
    </w:p>
    <w:p w:rsidR="005E1073" w:rsidRPr="00E25B3A" w:rsidRDefault="005E1073" w:rsidP="005E1073">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 xml:space="preserve">Post-infectious </w:t>
      </w:r>
      <w:proofErr w:type="spellStart"/>
      <w:r w:rsidRPr="00E25B3A">
        <w:rPr>
          <w:rFonts w:ascii="Book Antiqua" w:hAnsi="Book Antiqua" w:cs="Arial"/>
          <w:sz w:val="24"/>
          <w:szCs w:val="24"/>
        </w:rPr>
        <w:t>gastroparesis</w:t>
      </w:r>
      <w:proofErr w:type="spellEnd"/>
      <w:r w:rsidRPr="00E25B3A">
        <w:rPr>
          <w:rFonts w:ascii="Book Antiqua" w:hAnsi="Book Antiqua" w:cs="Arial"/>
          <w:sz w:val="24"/>
          <w:szCs w:val="24"/>
        </w:rPr>
        <w:t xml:space="preserve"> refers to a subset of patients who can clearly identify an acute infectious gastroenteritis, typically viral in nature, in the days to weeks prio</w:t>
      </w:r>
      <w:r w:rsidR="00360C28" w:rsidRPr="00E25B3A">
        <w:rPr>
          <w:rFonts w:ascii="Book Antiqua" w:hAnsi="Book Antiqua" w:cs="Arial"/>
          <w:sz w:val="24"/>
          <w:szCs w:val="24"/>
        </w:rPr>
        <w:t xml:space="preserve">r to developing </w:t>
      </w:r>
      <w:proofErr w:type="spellStart"/>
      <w:r w:rsidR="00360C28" w:rsidRPr="00E25B3A">
        <w:rPr>
          <w:rFonts w:ascii="Book Antiqua" w:hAnsi="Book Antiqua" w:cs="Arial"/>
          <w:sz w:val="24"/>
          <w:szCs w:val="24"/>
        </w:rPr>
        <w:t>gastroparesis</w:t>
      </w:r>
      <w:proofErr w:type="spellEnd"/>
      <w:r w:rsidR="00360C28" w:rsidRPr="00E25B3A">
        <w:rPr>
          <w:rFonts w:ascii="Book Antiqua" w:hAnsi="Book Antiqua" w:cs="Arial"/>
          <w:sz w:val="24"/>
          <w:szCs w:val="24"/>
        </w:rPr>
        <w:t>.</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Experiences and lessons</w:t>
      </w:r>
      <w:r w:rsidRPr="00E25B3A">
        <w:rPr>
          <w:rFonts w:ascii="Book Antiqua" w:hAnsi="Book Antiqua" w:cs="Arial"/>
          <w:b/>
          <w:sz w:val="24"/>
          <w:szCs w:val="24"/>
        </w:rPr>
        <w:t xml:space="preserve"> </w:t>
      </w:r>
    </w:p>
    <w:p w:rsidR="005E1073" w:rsidRPr="00E25B3A" w:rsidRDefault="005E1073" w:rsidP="005E1073">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To our knowledge, this is the first report of mirtazapine successfully used to treat symptoms of</w:t>
      </w:r>
      <w:r w:rsidR="008C4CD3" w:rsidRPr="00E25B3A">
        <w:rPr>
          <w:rFonts w:ascii="Book Antiqua" w:hAnsi="Book Antiqua" w:cs="Arial"/>
          <w:sz w:val="24"/>
          <w:szCs w:val="24"/>
        </w:rPr>
        <w:t xml:space="preserve"> post-infectious </w:t>
      </w:r>
      <w:proofErr w:type="spellStart"/>
      <w:r w:rsidR="008C4CD3" w:rsidRPr="00E25B3A">
        <w:rPr>
          <w:rFonts w:ascii="Book Antiqua" w:hAnsi="Book Antiqua" w:cs="Arial"/>
          <w:sz w:val="24"/>
          <w:szCs w:val="24"/>
        </w:rPr>
        <w:t>gastroparesis</w:t>
      </w:r>
      <w:proofErr w:type="spellEnd"/>
      <w:r w:rsidR="008C4CD3" w:rsidRPr="00E25B3A">
        <w:rPr>
          <w:rFonts w:ascii="Book Antiqua" w:hAnsi="Book Antiqua" w:cs="Arial"/>
          <w:sz w:val="24"/>
          <w:szCs w:val="24"/>
        </w:rPr>
        <w:t>.</w:t>
      </w:r>
    </w:p>
    <w:p w:rsidR="005E1073" w:rsidRPr="00E25B3A" w:rsidRDefault="005E1073" w:rsidP="005E1073">
      <w:pPr>
        <w:spacing w:after="0" w:line="360" w:lineRule="auto"/>
        <w:jc w:val="both"/>
        <w:rPr>
          <w:rFonts w:ascii="Book Antiqua" w:hAnsi="Book Antiqua" w:cs="Arial"/>
          <w:sz w:val="24"/>
          <w:szCs w:val="24"/>
        </w:rPr>
      </w:pPr>
    </w:p>
    <w:p w:rsidR="008C4CD3" w:rsidRPr="00E25B3A" w:rsidRDefault="005E1073" w:rsidP="005E1073">
      <w:pPr>
        <w:spacing w:after="0" w:line="360" w:lineRule="auto"/>
        <w:jc w:val="both"/>
        <w:rPr>
          <w:rFonts w:ascii="Book Antiqua" w:hAnsi="Book Antiqua" w:cs="Arial"/>
          <w:b/>
          <w:sz w:val="24"/>
          <w:szCs w:val="24"/>
          <w:lang w:eastAsia="zh-CN"/>
        </w:rPr>
      </w:pPr>
      <w:r w:rsidRPr="00E25B3A">
        <w:rPr>
          <w:rFonts w:ascii="Book Antiqua" w:hAnsi="Book Antiqua" w:cs="Arial"/>
          <w:b/>
          <w:i/>
          <w:sz w:val="24"/>
          <w:szCs w:val="24"/>
        </w:rPr>
        <w:t>Peer review</w:t>
      </w:r>
    </w:p>
    <w:p w:rsidR="005E1073" w:rsidRPr="00E25B3A" w:rsidRDefault="005E1073" w:rsidP="005E1073">
      <w:pPr>
        <w:spacing w:after="0" w:line="360" w:lineRule="auto"/>
        <w:jc w:val="both"/>
        <w:rPr>
          <w:rFonts w:ascii="Book Antiqua" w:hAnsi="Book Antiqua" w:cs="Arial"/>
          <w:sz w:val="24"/>
          <w:szCs w:val="24"/>
          <w:lang w:eastAsia="zh-CN"/>
        </w:rPr>
      </w:pPr>
      <w:r w:rsidRPr="00E25B3A">
        <w:rPr>
          <w:rFonts w:ascii="Book Antiqua" w:hAnsi="Book Antiqua" w:cs="Arial"/>
          <w:sz w:val="24"/>
          <w:szCs w:val="24"/>
        </w:rPr>
        <w:t xml:space="preserve">This report describes the use of mirtazapine to induce a rapid improvement in nausea and vomiting in a patient </w:t>
      </w:r>
      <w:r w:rsidR="008C4CD3" w:rsidRPr="00E25B3A">
        <w:rPr>
          <w:rFonts w:ascii="Book Antiqua" w:hAnsi="Book Antiqua" w:cs="Arial"/>
          <w:sz w:val="24"/>
          <w:szCs w:val="24"/>
        </w:rPr>
        <w:t xml:space="preserve">with post-viral </w:t>
      </w:r>
      <w:proofErr w:type="spellStart"/>
      <w:r w:rsidR="008C4CD3" w:rsidRPr="00E25B3A">
        <w:rPr>
          <w:rFonts w:ascii="Book Antiqua" w:hAnsi="Book Antiqua" w:cs="Arial"/>
          <w:sz w:val="24"/>
          <w:szCs w:val="24"/>
        </w:rPr>
        <w:t>gastroparesis</w:t>
      </w:r>
      <w:proofErr w:type="spellEnd"/>
      <w:r w:rsidR="008C4CD3" w:rsidRPr="00E25B3A">
        <w:rPr>
          <w:rFonts w:ascii="Book Antiqua" w:hAnsi="Book Antiqua" w:cs="Arial"/>
          <w:sz w:val="24"/>
          <w:szCs w:val="24"/>
        </w:rPr>
        <w:t xml:space="preserve">. </w:t>
      </w:r>
    </w:p>
    <w:p w:rsidR="005E1073" w:rsidRPr="00E25B3A" w:rsidRDefault="005E1073" w:rsidP="0097748F">
      <w:pPr>
        <w:spacing w:after="0" w:line="360" w:lineRule="auto"/>
        <w:jc w:val="both"/>
        <w:rPr>
          <w:rFonts w:ascii="Book Antiqua" w:hAnsi="Book Antiqua" w:cs="Arial"/>
          <w:b/>
          <w:sz w:val="24"/>
          <w:szCs w:val="24"/>
          <w:lang w:eastAsia="zh-CN"/>
        </w:rPr>
      </w:pPr>
    </w:p>
    <w:p w:rsidR="00D76E37" w:rsidRPr="00E25B3A" w:rsidRDefault="00D76E37" w:rsidP="0097748F">
      <w:pPr>
        <w:spacing w:after="0" w:line="360" w:lineRule="auto"/>
        <w:jc w:val="both"/>
        <w:rPr>
          <w:rFonts w:ascii="Book Antiqua" w:hAnsi="Book Antiqua" w:cs="Arial"/>
          <w:b/>
          <w:caps/>
          <w:sz w:val="21"/>
          <w:szCs w:val="21"/>
        </w:rPr>
      </w:pPr>
      <w:r w:rsidRPr="00E25B3A">
        <w:rPr>
          <w:rFonts w:ascii="Book Antiqua" w:hAnsi="Book Antiqua" w:cs="Arial"/>
          <w:b/>
          <w:caps/>
          <w:sz w:val="21"/>
          <w:szCs w:val="21"/>
        </w:rPr>
        <w:t>References</w:t>
      </w:r>
    </w:p>
    <w:p w:rsidR="00A04967" w:rsidRPr="00E25B3A" w:rsidRDefault="00A04967" w:rsidP="00A04967">
      <w:pPr>
        <w:spacing w:after="0" w:line="360" w:lineRule="auto"/>
        <w:jc w:val="both"/>
        <w:rPr>
          <w:rFonts w:ascii="Book Antiqua" w:eastAsia="宋体" w:hAnsi="Book Antiqua" w:cs="宋体"/>
          <w:color w:val="000000"/>
          <w:sz w:val="21"/>
          <w:szCs w:val="21"/>
        </w:rPr>
      </w:pPr>
      <w:proofErr w:type="gramStart"/>
      <w:r w:rsidRPr="00E25B3A">
        <w:rPr>
          <w:rFonts w:ascii="Book Antiqua" w:eastAsia="宋体" w:hAnsi="Book Antiqua" w:cs="宋体"/>
          <w:color w:val="000000"/>
          <w:sz w:val="21"/>
          <w:szCs w:val="21"/>
        </w:rPr>
        <w:t>1 </w:t>
      </w:r>
      <w:r w:rsidRPr="00E25B3A">
        <w:rPr>
          <w:rFonts w:ascii="Book Antiqua" w:eastAsia="宋体" w:hAnsi="Book Antiqua" w:cs="宋体"/>
          <w:b/>
          <w:bCs/>
          <w:color w:val="000000"/>
          <w:sz w:val="21"/>
          <w:szCs w:val="21"/>
        </w:rPr>
        <w:t>Parkman HP</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Hasler</w:t>
      </w:r>
      <w:proofErr w:type="spellEnd"/>
      <w:r w:rsidRPr="00E25B3A">
        <w:rPr>
          <w:rFonts w:ascii="Book Antiqua" w:eastAsia="宋体" w:hAnsi="Book Antiqua" w:cs="宋体"/>
          <w:color w:val="000000"/>
          <w:sz w:val="21"/>
          <w:szCs w:val="21"/>
        </w:rPr>
        <w:t xml:space="preserve"> WL, Fisher RS.</w:t>
      </w:r>
      <w:proofErr w:type="gramEnd"/>
      <w:r w:rsidRPr="00E25B3A">
        <w:rPr>
          <w:rFonts w:ascii="Book Antiqua" w:eastAsia="宋体" w:hAnsi="Book Antiqua" w:cs="宋体"/>
          <w:color w:val="000000"/>
          <w:sz w:val="21"/>
          <w:szCs w:val="21"/>
        </w:rPr>
        <w:t xml:space="preserve"> </w:t>
      </w:r>
      <w:proofErr w:type="gramStart"/>
      <w:r w:rsidRPr="00E25B3A">
        <w:rPr>
          <w:rFonts w:ascii="Book Antiqua" w:eastAsia="宋体" w:hAnsi="Book Antiqua" w:cs="宋体"/>
          <w:color w:val="000000"/>
          <w:sz w:val="21"/>
          <w:szCs w:val="21"/>
        </w:rPr>
        <w:t xml:space="preserve">American Gastroenterological Association technical review on the diagnosis and treatment of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w:t>
      </w:r>
      <w:proofErr w:type="gramEnd"/>
      <w:r w:rsidRPr="00E25B3A">
        <w:rPr>
          <w:rFonts w:ascii="Book Antiqua" w:eastAsia="宋体" w:hAnsi="Book Antiqua" w:cs="宋体" w:hint="eastAsia"/>
          <w:color w:val="000000"/>
          <w:szCs w:val="21"/>
        </w:rPr>
        <w:t xml:space="preserve"> </w:t>
      </w:r>
      <w:r w:rsidRPr="00E25B3A">
        <w:rPr>
          <w:rFonts w:ascii="Book Antiqua" w:eastAsia="宋体" w:hAnsi="Book Antiqua" w:cs="宋体"/>
          <w:i/>
          <w:iCs/>
          <w:color w:val="000000"/>
          <w:sz w:val="21"/>
          <w:szCs w:val="21"/>
        </w:rPr>
        <w:t>Gastroenterology</w:t>
      </w:r>
      <w:r w:rsidRPr="00E25B3A">
        <w:rPr>
          <w:rFonts w:ascii="Book Antiqua" w:eastAsia="宋体" w:hAnsi="Book Antiqua" w:cs="宋体" w:hint="eastAsia"/>
          <w:color w:val="000000"/>
          <w:szCs w:val="21"/>
        </w:rPr>
        <w:t xml:space="preserve"> </w:t>
      </w:r>
      <w:r w:rsidRPr="00E25B3A">
        <w:rPr>
          <w:rFonts w:ascii="Book Antiqua" w:eastAsia="宋体" w:hAnsi="Book Antiqua" w:cs="宋体"/>
          <w:color w:val="000000"/>
          <w:sz w:val="21"/>
          <w:szCs w:val="21"/>
        </w:rPr>
        <w:t>2004;</w:t>
      </w:r>
      <w:r w:rsidRPr="00E25B3A">
        <w:rPr>
          <w:rFonts w:ascii="Book Antiqua" w:eastAsia="宋体" w:hAnsi="Book Antiqua" w:cs="宋体" w:hint="eastAsia"/>
          <w:color w:val="000000"/>
          <w:szCs w:val="21"/>
        </w:rPr>
        <w:t xml:space="preserve"> </w:t>
      </w:r>
      <w:r w:rsidRPr="00E25B3A">
        <w:rPr>
          <w:rFonts w:ascii="Book Antiqua" w:eastAsia="宋体" w:hAnsi="Book Antiqua" w:cs="宋体"/>
          <w:b/>
          <w:bCs/>
          <w:color w:val="000000"/>
          <w:sz w:val="21"/>
          <w:szCs w:val="21"/>
        </w:rPr>
        <w:t>127</w:t>
      </w:r>
      <w:r w:rsidRPr="00E25B3A">
        <w:rPr>
          <w:rFonts w:ascii="Book Antiqua" w:eastAsia="宋体" w:hAnsi="Book Antiqua" w:cs="宋体"/>
          <w:color w:val="000000"/>
          <w:sz w:val="21"/>
          <w:szCs w:val="21"/>
        </w:rPr>
        <w:t>: 1592-1622 [PMID: 15521026 DOI: 10.1053/j.gastro.2004.09.055]</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2 </w:t>
      </w:r>
      <w:r w:rsidRPr="00E25B3A">
        <w:rPr>
          <w:rFonts w:ascii="Book Antiqua" w:eastAsia="宋体" w:hAnsi="Book Antiqua" w:cs="宋体"/>
          <w:b/>
          <w:bCs/>
          <w:color w:val="000000"/>
          <w:sz w:val="21"/>
          <w:szCs w:val="21"/>
        </w:rPr>
        <w:t>Tack J</w:t>
      </w:r>
      <w:r w:rsidRPr="00E25B3A">
        <w:rPr>
          <w:rFonts w:ascii="Book Antiqua" w:eastAsia="宋体" w:hAnsi="Book Antiqua" w:cs="宋体"/>
          <w:color w:val="000000"/>
          <w:sz w:val="21"/>
          <w:szCs w:val="21"/>
        </w:rPr>
        <w:t xml:space="preserve">, Talley NJ, </w:t>
      </w:r>
      <w:proofErr w:type="spellStart"/>
      <w:r w:rsidRPr="00E25B3A">
        <w:rPr>
          <w:rFonts w:ascii="Book Antiqua" w:eastAsia="宋体" w:hAnsi="Book Antiqua" w:cs="宋体"/>
          <w:color w:val="000000"/>
          <w:sz w:val="21"/>
          <w:szCs w:val="21"/>
        </w:rPr>
        <w:t>Camilleri</w:t>
      </w:r>
      <w:proofErr w:type="spellEnd"/>
      <w:r w:rsidRPr="00E25B3A">
        <w:rPr>
          <w:rFonts w:ascii="Book Antiqua" w:eastAsia="宋体" w:hAnsi="Book Antiqua" w:cs="宋体"/>
          <w:color w:val="000000"/>
          <w:sz w:val="21"/>
          <w:szCs w:val="21"/>
        </w:rPr>
        <w:t xml:space="preserve"> M, </w:t>
      </w:r>
      <w:proofErr w:type="spellStart"/>
      <w:r w:rsidRPr="00E25B3A">
        <w:rPr>
          <w:rFonts w:ascii="Book Antiqua" w:eastAsia="宋体" w:hAnsi="Book Antiqua" w:cs="宋体"/>
          <w:color w:val="000000"/>
          <w:sz w:val="21"/>
          <w:szCs w:val="21"/>
        </w:rPr>
        <w:t>Holtmann</w:t>
      </w:r>
      <w:proofErr w:type="spellEnd"/>
      <w:r w:rsidRPr="00E25B3A">
        <w:rPr>
          <w:rFonts w:ascii="Book Antiqua" w:eastAsia="宋体" w:hAnsi="Book Antiqua" w:cs="宋体"/>
          <w:color w:val="000000"/>
          <w:sz w:val="21"/>
          <w:szCs w:val="21"/>
        </w:rPr>
        <w:t xml:space="preserve"> G, Hu P, </w:t>
      </w:r>
      <w:proofErr w:type="spellStart"/>
      <w:r w:rsidRPr="00E25B3A">
        <w:rPr>
          <w:rFonts w:ascii="Book Antiqua" w:eastAsia="宋体" w:hAnsi="Book Antiqua" w:cs="宋体"/>
          <w:color w:val="000000"/>
          <w:sz w:val="21"/>
          <w:szCs w:val="21"/>
        </w:rPr>
        <w:t>Malagelada</w:t>
      </w:r>
      <w:proofErr w:type="spellEnd"/>
      <w:r w:rsidRPr="00E25B3A">
        <w:rPr>
          <w:rFonts w:ascii="Book Antiqua" w:eastAsia="宋体" w:hAnsi="Book Antiqua" w:cs="宋体"/>
          <w:color w:val="000000"/>
          <w:sz w:val="21"/>
          <w:szCs w:val="21"/>
        </w:rPr>
        <w:t xml:space="preserve"> JR, </w:t>
      </w:r>
      <w:proofErr w:type="spellStart"/>
      <w:r w:rsidRPr="00E25B3A">
        <w:rPr>
          <w:rFonts w:ascii="Book Antiqua" w:eastAsia="宋体" w:hAnsi="Book Antiqua" w:cs="宋体"/>
          <w:color w:val="000000"/>
          <w:sz w:val="21"/>
          <w:szCs w:val="21"/>
        </w:rPr>
        <w:t>Stanghellini</w:t>
      </w:r>
      <w:proofErr w:type="spellEnd"/>
      <w:r w:rsidRPr="00E25B3A">
        <w:rPr>
          <w:rFonts w:ascii="Book Antiqua" w:eastAsia="宋体" w:hAnsi="Book Antiqua" w:cs="宋体"/>
          <w:color w:val="000000"/>
          <w:sz w:val="21"/>
          <w:szCs w:val="21"/>
        </w:rPr>
        <w:t xml:space="preserve"> V. Functional </w:t>
      </w:r>
      <w:proofErr w:type="spellStart"/>
      <w:r w:rsidRPr="00E25B3A">
        <w:rPr>
          <w:rFonts w:ascii="Book Antiqua" w:eastAsia="宋体" w:hAnsi="Book Antiqua" w:cs="宋体"/>
          <w:color w:val="000000"/>
          <w:sz w:val="21"/>
          <w:szCs w:val="21"/>
        </w:rPr>
        <w:t>gastroduodenal</w:t>
      </w:r>
      <w:proofErr w:type="spellEnd"/>
      <w:r w:rsidRPr="00E25B3A">
        <w:rPr>
          <w:rFonts w:ascii="Book Antiqua" w:eastAsia="宋体" w:hAnsi="Book Antiqua" w:cs="宋体"/>
          <w:color w:val="000000"/>
          <w:sz w:val="21"/>
          <w:szCs w:val="21"/>
        </w:rPr>
        <w:t xml:space="preserve"> disorders. </w:t>
      </w:r>
      <w:r w:rsidRPr="00E25B3A">
        <w:rPr>
          <w:rFonts w:ascii="Book Antiqua" w:eastAsia="宋体" w:hAnsi="Book Antiqua" w:cs="宋体"/>
          <w:i/>
          <w:iCs/>
          <w:color w:val="000000"/>
          <w:sz w:val="21"/>
          <w:szCs w:val="21"/>
        </w:rPr>
        <w:t>Gastroenterology</w:t>
      </w:r>
      <w:r w:rsidRPr="00E25B3A">
        <w:rPr>
          <w:rFonts w:ascii="Book Antiqua" w:eastAsia="宋体" w:hAnsi="Book Antiqua" w:cs="宋体"/>
          <w:color w:val="000000"/>
          <w:sz w:val="21"/>
          <w:szCs w:val="21"/>
        </w:rPr>
        <w:t> 2006; </w:t>
      </w:r>
      <w:r w:rsidRPr="00E25B3A">
        <w:rPr>
          <w:rFonts w:ascii="Book Antiqua" w:eastAsia="宋体" w:hAnsi="Book Antiqua" w:cs="宋体"/>
          <w:b/>
          <w:bCs/>
          <w:color w:val="000000"/>
          <w:sz w:val="21"/>
          <w:szCs w:val="21"/>
        </w:rPr>
        <w:t>130</w:t>
      </w:r>
      <w:r w:rsidRPr="00E25B3A">
        <w:rPr>
          <w:rFonts w:ascii="Book Antiqua" w:eastAsia="宋体" w:hAnsi="Book Antiqua" w:cs="宋体"/>
          <w:color w:val="000000"/>
          <w:sz w:val="21"/>
          <w:szCs w:val="21"/>
        </w:rPr>
        <w:t>: 1466-1479 [PMID: 16678560 DOI: 10.1053/j.gastro.2005.11.059]</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lastRenderedPageBreak/>
        <w:t>3</w:t>
      </w:r>
      <w:r w:rsidRPr="00E25B3A">
        <w:rPr>
          <w:rFonts w:ascii="Book Antiqua" w:eastAsia="宋体" w:hAnsi="Book Antiqua" w:cs="宋体"/>
          <w:b/>
          <w:bCs/>
          <w:color w:val="000000"/>
          <w:szCs w:val="21"/>
        </w:rPr>
        <w:t xml:space="preserve"> </w:t>
      </w:r>
      <w:proofErr w:type="spellStart"/>
      <w:r w:rsidRPr="00E25B3A">
        <w:rPr>
          <w:rFonts w:ascii="Book Antiqua" w:eastAsia="宋体" w:hAnsi="Book Antiqua" w:cs="宋体"/>
          <w:b/>
          <w:bCs/>
          <w:color w:val="000000"/>
          <w:szCs w:val="21"/>
        </w:rPr>
        <w:t>Bielefeldt</w:t>
      </w:r>
      <w:proofErr w:type="spellEnd"/>
      <w:r w:rsidRPr="00E25B3A">
        <w:rPr>
          <w:rFonts w:ascii="Book Antiqua" w:eastAsia="宋体" w:hAnsi="Book Antiqua" w:cs="宋体" w:hint="eastAsia"/>
          <w:b/>
          <w:bCs/>
          <w:color w:val="000000"/>
          <w:szCs w:val="21"/>
        </w:rPr>
        <w:t xml:space="preserve"> K.</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Cs w:val="21"/>
        </w:rPr>
        <w:t>Gastroparesis</w:t>
      </w:r>
      <w:proofErr w:type="spellEnd"/>
      <w:r w:rsidRPr="00E25B3A">
        <w:rPr>
          <w:rFonts w:ascii="Book Antiqua" w:eastAsia="宋体" w:hAnsi="Book Antiqua" w:cs="宋体"/>
          <w:color w:val="000000"/>
          <w:szCs w:val="21"/>
        </w:rPr>
        <w:t>: Concepts, Controversies, and Challenges</w:t>
      </w:r>
      <w:r w:rsidRPr="00E25B3A">
        <w:rPr>
          <w:rFonts w:ascii="Book Antiqua" w:eastAsia="宋体" w:hAnsi="Book Antiqua" w:cs="宋体" w:hint="eastAsia"/>
          <w:color w:val="000000"/>
          <w:szCs w:val="21"/>
        </w:rPr>
        <w:t>.</w:t>
      </w:r>
      <w:r w:rsidRPr="00E25B3A">
        <w:rPr>
          <w:rFonts w:ascii="Book Antiqua" w:eastAsia="宋体" w:hAnsi="Book Antiqua" w:cs="宋体"/>
          <w:color w:val="000000"/>
          <w:szCs w:val="21"/>
        </w:rPr>
        <w:t xml:space="preserve"> </w:t>
      </w:r>
      <w:proofErr w:type="spellStart"/>
      <w:r w:rsidRPr="00E25B3A">
        <w:rPr>
          <w:rFonts w:ascii="Book Antiqua" w:eastAsia="宋体" w:hAnsi="Book Antiqua" w:cs="宋体"/>
          <w:i/>
          <w:color w:val="000000"/>
          <w:szCs w:val="21"/>
        </w:rPr>
        <w:t>Scientifica</w:t>
      </w:r>
      <w:proofErr w:type="spellEnd"/>
      <w:r w:rsidRPr="00E25B3A">
        <w:rPr>
          <w:rFonts w:ascii="Book Antiqua" w:eastAsia="宋体" w:hAnsi="Book Antiqua" w:cs="宋体"/>
          <w:i/>
          <w:color w:val="000000"/>
          <w:szCs w:val="21"/>
        </w:rPr>
        <w:t xml:space="preserve"> </w:t>
      </w:r>
      <w:r w:rsidRPr="00E25B3A">
        <w:rPr>
          <w:rFonts w:ascii="Book Antiqua" w:eastAsia="宋体" w:hAnsi="Book Antiqua" w:cs="宋体"/>
          <w:color w:val="000000"/>
          <w:szCs w:val="21"/>
        </w:rPr>
        <w:t xml:space="preserve">(Cairo) 2012; </w:t>
      </w:r>
      <w:r w:rsidRPr="00E25B3A">
        <w:rPr>
          <w:rFonts w:ascii="Book Antiqua" w:eastAsia="宋体" w:hAnsi="Book Antiqua" w:cs="宋体"/>
          <w:b/>
          <w:color w:val="000000"/>
          <w:szCs w:val="21"/>
        </w:rPr>
        <w:t>2012</w:t>
      </w:r>
      <w:r w:rsidRPr="00E25B3A">
        <w:rPr>
          <w:rFonts w:ascii="Book Antiqua" w:eastAsia="宋体" w:hAnsi="Book Antiqua" w:cs="宋体"/>
          <w:color w:val="000000"/>
          <w:szCs w:val="21"/>
        </w:rPr>
        <w:t>: 424802</w:t>
      </w:r>
      <w:r w:rsidRPr="00E25B3A">
        <w:rPr>
          <w:rFonts w:ascii="Book Antiqua" w:eastAsia="宋体" w:hAnsi="Book Antiqua" w:cs="宋体"/>
          <w:color w:val="000000"/>
          <w:sz w:val="21"/>
          <w:szCs w:val="21"/>
        </w:rPr>
        <w:t xml:space="preserve"> [PMID: </w:t>
      </w:r>
      <w:r w:rsidRPr="00E25B3A">
        <w:rPr>
          <w:rFonts w:ascii="Book Antiqua" w:eastAsia="宋体" w:hAnsi="Book Antiqua" w:cs="宋体"/>
          <w:color w:val="000000"/>
          <w:szCs w:val="21"/>
        </w:rPr>
        <w:t xml:space="preserve">3820446 </w:t>
      </w:r>
      <w:r w:rsidRPr="00E25B3A">
        <w:rPr>
          <w:rFonts w:ascii="Book Antiqua" w:eastAsia="宋体" w:hAnsi="Book Antiqua" w:cs="宋体"/>
          <w:color w:val="000000"/>
          <w:sz w:val="21"/>
          <w:szCs w:val="21"/>
        </w:rPr>
        <w:t>DOI: 10.6064/2012/424802]</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4 </w:t>
      </w:r>
      <w:r w:rsidRPr="00E25B3A">
        <w:rPr>
          <w:rFonts w:ascii="Book Antiqua" w:eastAsia="宋体" w:hAnsi="Book Antiqua" w:cs="宋体"/>
          <w:b/>
          <w:bCs/>
          <w:color w:val="000000"/>
          <w:sz w:val="21"/>
          <w:szCs w:val="21"/>
        </w:rPr>
        <w:t>Wang YR</w:t>
      </w:r>
      <w:r w:rsidRPr="00E25B3A">
        <w:rPr>
          <w:rFonts w:ascii="Book Antiqua" w:eastAsia="宋体" w:hAnsi="Book Antiqua" w:cs="宋体"/>
          <w:color w:val="000000"/>
          <w:sz w:val="21"/>
          <w:szCs w:val="21"/>
        </w:rPr>
        <w:t xml:space="preserve">, Fisher RS, Parkman HP.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-related hospitalizations in the United States: trends, characteristics, and outcomes, 1995-2004. </w:t>
      </w:r>
      <w:r w:rsidRPr="00E25B3A">
        <w:rPr>
          <w:rFonts w:ascii="Book Antiqua" w:eastAsia="宋体" w:hAnsi="Book Antiqua" w:cs="宋体"/>
          <w:i/>
          <w:iCs/>
          <w:color w:val="000000"/>
          <w:sz w:val="21"/>
          <w:szCs w:val="21"/>
        </w:rPr>
        <w:t xml:space="preserve">Am J </w:t>
      </w:r>
      <w:proofErr w:type="spellStart"/>
      <w:r w:rsidRPr="00E25B3A">
        <w:rPr>
          <w:rFonts w:ascii="Book Antiqua" w:eastAsia="宋体" w:hAnsi="Book Antiqua" w:cs="宋体"/>
          <w:i/>
          <w:iCs/>
          <w:color w:val="000000"/>
          <w:sz w:val="21"/>
          <w:szCs w:val="21"/>
        </w:rPr>
        <w:t>Gastroenterol</w:t>
      </w:r>
      <w:proofErr w:type="spellEnd"/>
      <w:r w:rsidRPr="00E25B3A">
        <w:rPr>
          <w:rFonts w:ascii="Book Antiqua" w:eastAsia="宋体" w:hAnsi="Book Antiqua" w:cs="宋体"/>
          <w:color w:val="000000"/>
          <w:sz w:val="21"/>
          <w:szCs w:val="21"/>
        </w:rPr>
        <w:t> 2008; </w:t>
      </w:r>
      <w:r w:rsidRPr="00E25B3A">
        <w:rPr>
          <w:rFonts w:ascii="Book Antiqua" w:eastAsia="宋体" w:hAnsi="Book Antiqua" w:cs="宋体"/>
          <w:b/>
          <w:bCs/>
          <w:color w:val="000000"/>
          <w:sz w:val="21"/>
          <w:szCs w:val="21"/>
        </w:rPr>
        <w:t>103</w:t>
      </w:r>
      <w:r w:rsidRPr="00E25B3A">
        <w:rPr>
          <w:rFonts w:ascii="Book Antiqua" w:eastAsia="宋体" w:hAnsi="Book Antiqua" w:cs="宋体"/>
          <w:color w:val="000000"/>
          <w:sz w:val="21"/>
          <w:szCs w:val="21"/>
        </w:rPr>
        <w:t>: 313-322 [PMID: 18047541 DOI: 10.1111/j.1572-0241.2007.01658.x]</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5 </w:t>
      </w:r>
      <w:proofErr w:type="spellStart"/>
      <w:r w:rsidRPr="00E25B3A">
        <w:rPr>
          <w:rFonts w:ascii="Book Antiqua" w:eastAsia="宋体" w:hAnsi="Book Antiqua" w:cs="宋体"/>
          <w:b/>
          <w:bCs/>
          <w:color w:val="000000"/>
          <w:sz w:val="21"/>
          <w:szCs w:val="21"/>
        </w:rPr>
        <w:t>Soykan</w:t>
      </w:r>
      <w:proofErr w:type="spellEnd"/>
      <w:r w:rsidRPr="00E25B3A">
        <w:rPr>
          <w:rFonts w:ascii="Book Antiqua" w:eastAsia="宋体" w:hAnsi="Book Antiqua" w:cs="宋体"/>
          <w:b/>
          <w:bCs/>
          <w:color w:val="000000"/>
          <w:sz w:val="21"/>
          <w:szCs w:val="21"/>
        </w:rPr>
        <w:t xml:space="preserve"> I</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Sivri</w:t>
      </w:r>
      <w:proofErr w:type="spellEnd"/>
      <w:r w:rsidRPr="00E25B3A">
        <w:rPr>
          <w:rFonts w:ascii="Book Antiqua" w:eastAsia="宋体" w:hAnsi="Book Antiqua" w:cs="宋体"/>
          <w:color w:val="000000"/>
          <w:sz w:val="21"/>
          <w:szCs w:val="21"/>
        </w:rPr>
        <w:t xml:space="preserve"> B, </w:t>
      </w:r>
      <w:proofErr w:type="spellStart"/>
      <w:r w:rsidRPr="00E25B3A">
        <w:rPr>
          <w:rFonts w:ascii="Book Antiqua" w:eastAsia="宋体" w:hAnsi="Book Antiqua" w:cs="宋体"/>
          <w:color w:val="000000"/>
          <w:sz w:val="21"/>
          <w:szCs w:val="21"/>
        </w:rPr>
        <w:t>Sarosiek</w:t>
      </w:r>
      <w:proofErr w:type="spellEnd"/>
      <w:r w:rsidRPr="00E25B3A">
        <w:rPr>
          <w:rFonts w:ascii="Book Antiqua" w:eastAsia="宋体" w:hAnsi="Book Antiqua" w:cs="宋体"/>
          <w:color w:val="000000"/>
          <w:sz w:val="21"/>
          <w:szCs w:val="21"/>
        </w:rPr>
        <w:t xml:space="preserve"> I, Kiernan B, McCallum RW. </w:t>
      </w:r>
      <w:proofErr w:type="gramStart"/>
      <w:r w:rsidRPr="00E25B3A">
        <w:rPr>
          <w:rFonts w:ascii="Book Antiqua" w:eastAsia="宋体" w:hAnsi="Book Antiqua" w:cs="宋体"/>
          <w:color w:val="000000"/>
          <w:sz w:val="21"/>
          <w:szCs w:val="21"/>
        </w:rPr>
        <w:t xml:space="preserve">Demography, clinical characteristics, psychological and abuse profiles, treatment, and long-term follow-up of patients with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w:t>
      </w:r>
      <w:proofErr w:type="gramEnd"/>
      <w:r w:rsidRPr="00E25B3A">
        <w:rPr>
          <w:rFonts w:ascii="Book Antiqua" w:eastAsia="宋体" w:hAnsi="Book Antiqua" w:cs="宋体"/>
          <w:color w:val="000000"/>
          <w:sz w:val="21"/>
          <w:szCs w:val="21"/>
        </w:rPr>
        <w:t> </w:t>
      </w:r>
      <w:r w:rsidRPr="00E25B3A">
        <w:rPr>
          <w:rFonts w:ascii="Book Antiqua" w:eastAsia="宋体" w:hAnsi="Book Antiqua" w:cs="宋体"/>
          <w:i/>
          <w:iCs/>
          <w:color w:val="000000"/>
          <w:sz w:val="21"/>
          <w:szCs w:val="21"/>
        </w:rPr>
        <w:t xml:space="preserve">Dig Dis </w:t>
      </w:r>
      <w:proofErr w:type="spellStart"/>
      <w:r w:rsidRPr="00E25B3A">
        <w:rPr>
          <w:rFonts w:ascii="Book Antiqua" w:eastAsia="宋体" w:hAnsi="Book Antiqua" w:cs="宋体"/>
          <w:i/>
          <w:iCs/>
          <w:color w:val="000000"/>
          <w:sz w:val="21"/>
          <w:szCs w:val="21"/>
        </w:rPr>
        <w:t>Sci</w:t>
      </w:r>
      <w:proofErr w:type="spellEnd"/>
      <w:r w:rsidRPr="00E25B3A">
        <w:rPr>
          <w:rFonts w:ascii="Book Antiqua" w:eastAsia="宋体" w:hAnsi="Book Antiqua" w:cs="宋体"/>
          <w:color w:val="000000"/>
          <w:sz w:val="21"/>
          <w:szCs w:val="21"/>
        </w:rPr>
        <w:t> 1998; </w:t>
      </w:r>
      <w:r w:rsidRPr="00E25B3A">
        <w:rPr>
          <w:rFonts w:ascii="Book Antiqua" w:eastAsia="宋体" w:hAnsi="Book Antiqua" w:cs="宋体"/>
          <w:b/>
          <w:bCs/>
          <w:color w:val="000000"/>
          <w:sz w:val="21"/>
          <w:szCs w:val="21"/>
        </w:rPr>
        <w:t>43</w:t>
      </w:r>
      <w:r w:rsidRPr="00E25B3A">
        <w:rPr>
          <w:rFonts w:ascii="Book Antiqua" w:eastAsia="宋体" w:hAnsi="Book Antiqua" w:cs="宋体"/>
          <w:color w:val="000000"/>
          <w:sz w:val="21"/>
          <w:szCs w:val="21"/>
        </w:rPr>
        <w:t>: 2398-2404 [PMID: 9824125 DOI: 10.1023/A: 1026665728213]</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6 </w:t>
      </w:r>
      <w:proofErr w:type="spellStart"/>
      <w:r w:rsidRPr="00E25B3A">
        <w:rPr>
          <w:rFonts w:ascii="Book Antiqua" w:eastAsia="宋体" w:hAnsi="Book Antiqua" w:cs="宋体"/>
          <w:b/>
          <w:bCs/>
          <w:color w:val="000000"/>
          <w:sz w:val="21"/>
          <w:szCs w:val="21"/>
        </w:rPr>
        <w:t>Bityutskiy</w:t>
      </w:r>
      <w:proofErr w:type="spellEnd"/>
      <w:r w:rsidRPr="00E25B3A">
        <w:rPr>
          <w:rFonts w:ascii="Book Antiqua" w:eastAsia="宋体" w:hAnsi="Book Antiqua" w:cs="宋体"/>
          <w:b/>
          <w:bCs/>
          <w:color w:val="000000"/>
          <w:sz w:val="21"/>
          <w:szCs w:val="21"/>
        </w:rPr>
        <w:t xml:space="preserve"> LP</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Soykan</w:t>
      </w:r>
      <w:proofErr w:type="spellEnd"/>
      <w:r w:rsidRPr="00E25B3A">
        <w:rPr>
          <w:rFonts w:ascii="Book Antiqua" w:eastAsia="宋体" w:hAnsi="Book Antiqua" w:cs="宋体"/>
          <w:color w:val="000000"/>
          <w:sz w:val="21"/>
          <w:szCs w:val="21"/>
        </w:rPr>
        <w:t xml:space="preserve"> I, McCallum RW. Viral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 xml:space="preserve">: a subgroup of idiopathic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--clinical characteristics and long-term outcomes. </w:t>
      </w:r>
      <w:r w:rsidRPr="00E25B3A">
        <w:rPr>
          <w:rFonts w:ascii="Book Antiqua" w:eastAsia="宋体" w:hAnsi="Book Antiqua" w:cs="宋体"/>
          <w:i/>
          <w:iCs/>
          <w:color w:val="000000"/>
          <w:sz w:val="21"/>
          <w:szCs w:val="21"/>
        </w:rPr>
        <w:t xml:space="preserve">Am J </w:t>
      </w:r>
      <w:proofErr w:type="spellStart"/>
      <w:r w:rsidRPr="00E25B3A">
        <w:rPr>
          <w:rFonts w:ascii="Book Antiqua" w:eastAsia="宋体" w:hAnsi="Book Antiqua" w:cs="宋体"/>
          <w:i/>
          <w:iCs/>
          <w:color w:val="000000"/>
          <w:sz w:val="21"/>
          <w:szCs w:val="21"/>
        </w:rPr>
        <w:t>Gastroenterol</w:t>
      </w:r>
      <w:proofErr w:type="spellEnd"/>
      <w:r w:rsidRPr="00E25B3A">
        <w:rPr>
          <w:rFonts w:ascii="Book Antiqua" w:eastAsia="宋体" w:hAnsi="Book Antiqua" w:cs="宋体"/>
          <w:color w:val="000000"/>
          <w:sz w:val="21"/>
          <w:szCs w:val="21"/>
        </w:rPr>
        <w:t> 1997; </w:t>
      </w:r>
      <w:r w:rsidRPr="00E25B3A">
        <w:rPr>
          <w:rFonts w:ascii="Book Antiqua" w:eastAsia="宋体" w:hAnsi="Book Antiqua" w:cs="宋体"/>
          <w:b/>
          <w:bCs/>
          <w:color w:val="000000"/>
          <w:sz w:val="21"/>
          <w:szCs w:val="21"/>
        </w:rPr>
        <w:t>92</w:t>
      </w:r>
      <w:r w:rsidRPr="00E25B3A">
        <w:rPr>
          <w:rFonts w:ascii="Book Antiqua" w:eastAsia="宋体" w:hAnsi="Book Antiqua" w:cs="宋体"/>
          <w:color w:val="000000"/>
          <w:sz w:val="21"/>
          <w:szCs w:val="21"/>
        </w:rPr>
        <w:t>: 1501-1504 [PMID: 9317072]</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7 </w:t>
      </w:r>
      <w:r w:rsidRPr="00E25B3A">
        <w:rPr>
          <w:rFonts w:ascii="Book Antiqua" w:eastAsia="宋体" w:hAnsi="Book Antiqua" w:cs="宋体"/>
          <w:b/>
          <w:bCs/>
          <w:color w:val="000000"/>
          <w:sz w:val="21"/>
          <w:szCs w:val="21"/>
        </w:rPr>
        <w:t>Stevens JE</w:t>
      </w:r>
      <w:r w:rsidRPr="00E25B3A">
        <w:rPr>
          <w:rFonts w:ascii="Book Antiqua" w:eastAsia="宋体" w:hAnsi="Book Antiqua" w:cs="宋体"/>
          <w:color w:val="000000"/>
          <w:sz w:val="21"/>
          <w:szCs w:val="21"/>
        </w:rPr>
        <w:t xml:space="preserve">, Jones KL, Rayner CK, Horowitz M. Pathophysiology and pharmacotherapy of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 current and future perspectives. </w:t>
      </w:r>
      <w:r w:rsidRPr="00E25B3A">
        <w:rPr>
          <w:rFonts w:ascii="Book Antiqua" w:eastAsia="宋体" w:hAnsi="Book Antiqua" w:cs="宋体"/>
          <w:i/>
          <w:iCs/>
          <w:color w:val="000000"/>
          <w:sz w:val="21"/>
          <w:szCs w:val="21"/>
        </w:rPr>
        <w:t xml:space="preserve">Expert </w:t>
      </w:r>
      <w:proofErr w:type="spellStart"/>
      <w:r w:rsidRPr="00E25B3A">
        <w:rPr>
          <w:rFonts w:ascii="Book Antiqua" w:eastAsia="宋体" w:hAnsi="Book Antiqua" w:cs="宋体"/>
          <w:i/>
          <w:iCs/>
          <w:color w:val="000000"/>
          <w:sz w:val="21"/>
          <w:szCs w:val="21"/>
        </w:rPr>
        <w:t>Opin</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Pharmacother</w:t>
      </w:r>
      <w:proofErr w:type="spellEnd"/>
      <w:r w:rsidRPr="00E25B3A">
        <w:rPr>
          <w:rFonts w:ascii="Book Antiqua" w:eastAsia="宋体" w:hAnsi="Book Antiqua" w:cs="宋体"/>
          <w:color w:val="000000"/>
          <w:sz w:val="21"/>
          <w:szCs w:val="21"/>
        </w:rPr>
        <w:t> 2013; </w:t>
      </w:r>
      <w:r w:rsidRPr="00E25B3A">
        <w:rPr>
          <w:rFonts w:ascii="Book Antiqua" w:eastAsia="宋体" w:hAnsi="Book Antiqua" w:cs="宋体"/>
          <w:b/>
          <w:bCs/>
          <w:color w:val="000000"/>
          <w:sz w:val="21"/>
          <w:szCs w:val="21"/>
        </w:rPr>
        <w:t>14</w:t>
      </w:r>
      <w:r w:rsidRPr="00E25B3A">
        <w:rPr>
          <w:rFonts w:ascii="Book Antiqua" w:eastAsia="宋体" w:hAnsi="Book Antiqua" w:cs="宋体"/>
          <w:color w:val="000000"/>
          <w:sz w:val="21"/>
          <w:szCs w:val="21"/>
        </w:rPr>
        <w:t>: 1171-1186 [PMID: 23663133 DOI: 10.1517/14656566.2013.795948]</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8 </w:t>
      </w:r>
      <w:r w:rsidRPr="00E25B3A">
        <w:rPr>
          <w:rFonts w:ascii="Book Antiqua" w:eastAsia="宋体" w:hAnsi="Book Antiqua" w:cs="宋体"/>
          <w:b/>
          <w:bCs/>
          <w:color w:val="000000"/>
          <w:sz w:val="21"/>
          <w:szCs w:val="21"/>
        </w:rPr>
        <w:t>Rey E</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Choung</w:t>
      </w:r>
      <w:proofErr w:type="spellEnd"/>
      <w:r w:rsidRPr="00E25B3A">
        <w:rPr>
          <w:rFonts w:ascii="Book Antiqua" w:eastAsia="宋体" w:hAnsi="Book Antiqua" w:cs="宋体"/>
          <w:color w:val="000000"/>
          <w:sz w:val="21"/>
          <w:szCs w:val="21"/>
        </w:rPr>
        <w:t xml:space="preserve"> RS, </w:t>
      </w:r>
      <w:proofErr w:type="spellStart"/>
      <w:r w:rsidRPr="00E25B3A">
        <w:rPr>
          <w:rFonts w:ascii="Book Antiqua" w:eastAsia="宋体" w:hAnsi="Book Antiqua" w:cs="宋体"/>
          <w:color w:val="000000"/>
          <w:sz w:val="21"/>
          <w:szCs w:val="21"/>
        </w:rPr>
        <w:t>Schleck</w:t>
      </w:r>
      <w:proofErr w:type="spellEnd"/>
      <w:r w:rsidRPr="00E25B3A">
        <w:rPr>
          <w:rFonts w:ascii="Book Antiqua" w:eastAsia="宋体" w:hAnsi="Book Antiqua" w:cs="宋体"/>
          <w:color w:val="000000"/>
          <w:sz w:val="21"/>
          <w:szCs w:val="21"/>
        </w:rPr>
        <w:t xml:space="preserve"> CD, </w:t>
      </w:r>
      <w:proofErr w:type="spellStart"/>
      <w:r w:rsidRPr="00E25B3A">
        <w:rPr>
          <w:rFonts w:ascii="Book Antiqua" w:eastAsia="宋体" w:hAnsi="Book Antiqua" w:cs="宋体"/>
          <w:color w:val="000000"/>
          <w:sz w:val="21"/>
          <w:szCs w:val="21"/>
        </w:rPr>
        <w:t>Zinsmeister</w:t>
      </w:r>
      <w:proofErr w:type="spellEnd"/>
      <w:r w:rsidRPr="00E25B3A">
        <w:rPr>
          <w:rFonts w:ascii="Book Antiqua" w:eastAsia="宋体" w:hAnsi="Book Antiqua" w:cs="宋体"/>
          <w:color w:val="000000"/>
          <w:sz w:val="21"/>
          <w:szCs w:val="21"/>
        </w:rPr>
        <w:t xml:space="preserve"> AR, Talley NJ, Locke GR. Prevalence of hidden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 xml:space="preserve"> in the community: the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 xml:space="preserve"> "iceberg". </w:t>
      </w:r>
      <w:r w:rsidRPr="00E25B3A">
        <w:rPr>
          <w:rFonts w:ascii="Book Antiqua" w:eastAsia="宋体" w:hAnsi="Book Antiqua" w:cs="宋体"/>
          <w:i/>
          <w:iCs/>
          <w:color w:val="000000"/>
          <w:sz w:val="21"/>
          <w:szCs w:val="21"/>
        </w:rPr>
        <w:t xml:space="preserve">J </w:t>
      </w:r>
      <w:proofErr w:type="spellStart"/>
      <w:r w:rsidRPr="00E25B3A">
        <w:rPr>
          <w:rFonts w:ascii="Book Antiqua" w:eastAsia="宋体" w:hAnsi="Book Antiqua" w:cs="宋体"/>
          <w:i/>
          <w:iCs/>
          <w:color w:val="000000"/>
          <w:sz w:val="21"/>
          <w:szCs w:val="21"/>
        </w:rPr>
        <w:t>Neurogastroenterol</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Motil</w:t>
      </w:r>
      <w:proofErr w:type="spellEnd"/>
      <w:r w:rsidRPr="00E25B3A">
        <w:rPr>
          <w:rFonts w:ascii="Book Antiqua" w:eastAsia="宋体" w:hAnsi="Book Antiqua" w:cs="宋体"/>
          <w:color w:val="000000"/>
          <w:sz w:val="21"/>
          <w:szCs w:val="21"/>
        </w:rPr>
        <w:t> 2012; </w:t>
      </w:r>
      <w:r w:rsidRPr="00E25B3A">
        <w:rPr>
          <w:rFonts w:ascii="Book Antiqua" w:eastAsia="宋体" w:hAnsi="Book Antiqua" w:cs="宋体"/>
          <w:b/>
          <w:bCs/>
          <w:color w:val="000000"/>
          <w:sz w:val="21"/>
          <w:szCs w:val="21"/>
        </w:rPr>
        <w:t>18</w:t>
      </w:r>
      <w:r w:rsidRPr="00E25B3A">
        <w:rPr>
          <w:rFonts w:ascii="Book Antiqua" w:eastAsia="宋体" w:hAnsi="Book Antiqua" w:cs="宋体"/>
          <w:color w:val="000000"/>
          <w:sz w:val="21"/>
          <w:szCs w:val="21"/>
        </w:rPr>
        <w:t>: 34-42 [PMID: 22323986 DOI: 10.5056/jnm.2012.18.1.34]</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9 </w:t>
      </w:r>
      <w:r w:rsidRPr="00E25B3A">
        <w:rPr>
          <w:rFonts w:ascii="Book Antiqua" w:eastAsia="宋体" w:hAnsi="Book Antiqua" w:cs="宋体"/>
          <w:b/>
          <w:bCs/>
          <w:color w:val="000000"/>
          <w:sz w:val="21"/>
          <w:szCs w:val="21"/>
        </w:rPr>
        <w:t>Kim SW</w:t>
      </w:r>
      <w:r w:rsidRPr="00E25B3A">
        <w:rPr>
          <w:rFonts w:ascii="Book Antiqua" w:eastAsia="宋体" w:hAnsi="Book Antiqua" w:cs="宋体"/>
          <w:color w:val="000000"/>
          <w:sz w:val="21"/>
          <w:szCs w:val="21"/>
        </w:rPr>
        <w:t xml:space="preserve">, Shin IS, Kim JM, Kang HC, </w:t>
      </w:r>
      <w:proofErr w:type="spellStart"/>
      <w:r w:rsidRPr="00E25B3A">
        <w:rPr>
          <w:rFonts w:ascii="Book Antiqua" w:eastAsia="宋体" w:hAnsi="Book Antiqua" w:cs="宋体"/>
          <w:color w:val="000000"/>
          <w:sz w:val="21"/>
          <w:szCs w:val="21"/>
        </w:rPr>
        <w:t>Mun</w:t>
      </w:r>
      <w:proofErr w:type="spellEnd"/>
      <w:r w:rsidRPr="00E25B3A">
        <w:rPr>
          <w:rFonts w:ascii="Book Antiqua" w:eastAsia="宋体" w:hAnsi="Book Antiqua" w:cs="宋体"/>
          <w:color w:val="000000"/>
          <w:sz w:val="21"/>
          <w:szCs w:val="21"/>
        </w:rPr>
        <w:t xml:space="preserve"> JU, Yang SJ, Yoon JS. </w:t>
      </w:r>
      <w:proofErr w:type="gramStart"/>
      <w:r w:rsidRPr="00E25B3A">
        <w:rPr>
          <w:rFonts w:ascii="Book Antiqua" w:eastAsia="宋体" w:hAnsi="Book Antiqua" w:cs="宋体"/>
          <w:color w:val="000000"/>
          <w:sz w:val="21"/>
          <w:szCs w:val="21"/>
        </w:rPr>
        <w:t xml:space="preserve">Mirtazapine for severe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 xml:space="preserve"> unresponsive to conventional </w:t>
      </w:r>
      <w:proofErr w:type="spellStart"/>
      <w:r w:rsidRPr="00E25B3A">
        <w:rPr>
          <w:rFonts w:ascii="Book Antiqua" w:eastAsia="宋体" w:hAnsi="Book Antiqua" w:cs="宋体"/>
          <w:color w:val="000000"/>
          <w:sz w:val="21"/>
          <w:szCs w:val="21"/>
        </w:rPr>
        <w:t>prokinetic</w:t>
      </w:r>
      <w:proofErr w:type="spellEnd"/>
      <w:r w:rsidRPr="00E25B3A">
        <w:rPr>
          <w:rFonts w:ascii="Book Antiqua" w:eastAsia="宋体" w:hAnsi="Book Antiqua" w:cs="宋体"/>
          <w:color w:val="000000"/>
          <w:sz w:val="21"/>
          <w:szCs w:val="21"/>
        </w:rPr>
        <w:t xml:space="preserve"> treatment.</w:t>
      </w:r>
      <w:proofErr w:type="gramEnd"/>
      <w:r w:rsidRPr="00E25B3A">
        <w:rPr>
          <w:rFonts w:ascii="Book Antiqua" w:eastAsia="宋体" w:hAnsi="Book Antiqua" w:cs="宋体"/>
          <w:color w:val="000000"/>
          <w:sz w:val="21"/>
          <w:szCs w:val="21"/>
        </w:rPr>
        <w:t> </w:t>
      </w:r>
      <w:r w:rsidRPr="00E25B3A">
        <w:rPr>
          <w:rFonts w:ascii="Book Antiqua" w:eastAsia="宋体" w:hAnsi="Book Antiqua" w:cs="宋体"/>
          <w:i/>
          <w:iCs/>
          <w:color w:val="000000"/>
          <w:sz w:val="21"/>
          <w:szCs w:val="21"/>
        </w:rPr>
        <w:t>Psychosomatics</w:t>
      </w:r>
      <w:r w:rsidRPr="00E25B3A">
        <w:rPr>
          <w:rFonts w:ascii="Book Antiqua" w:eastAsia="宋体" w:hAnsi="Book Antiqua" w:cs="宋体"/>
          <w:color w:val="000000"/>
          <w:sz w:val="21"/>
          <w:szCs w:val="21"/>
        </w:rPr>
        <w:t> </w:t>
      </w:r>
      <w:r w:rsidRPr="00E25B3A">
        <w:rPr>
          <w:rFonts w:ascii="Book Antiqua" w:eastAsia="宋体" w:hAnsi="Book Antiqua" w:cs="宋体" w:hint="eastAsia"/>
          <w:color w:val="000000"/>
          <w:szCs w:val="21"/>
        </w:rPr>
        <w:t>2006</w:t>
      </w:r>
      <w:r w:rsidRPr="00E25B3A">
        <w:rPr>
          <w:rFonts w:ascii="Book Antiqua" w:eastAsia="宋体" w:hAnsi="Book Antiqua" w:cs="宋体"/>
          <w:color w:val="000000"/>
          <w:sz w:val="21"/>
          <w:szCs w:val="21"/>
        </w:rPr>
        <w:t>; </w:t>
      </w:r>
      <w:r w:rsidRPr="00E25B3A">
        <w:rPr>
          <w:rFonts w:ascii="Book Antiqua" w:eastAsia="宋体" w:hAnsi="Book Antiqua" w:cs="宋体"/>
          <w:b/>
          <w:bCs/>
          <w:color w:val="000000"/>
          <w:sz w:val="21"/>
          <w:szCs w:val="21"/>
        </w:rPr>
        <w:t>47</w:t>
      </w:r>
      <w:r w:rsidRPr="00E25B3A">
        <w:rPr>
          <w:rFonts w:ascii="Book Antiqua" w:eastAsia="宋体" w:hAnsi="Book Antiqua" w:cs="宋体"/>
          <w:color w:val="000000"/>
          <w:sz w:val="21"/>
          <w:szCs w:val="21"/>
        </w:rPr>
        <w:t>: 440-442 [PMID: 16959934 DOI: 10.1176/appi.psy.47.5.440]</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10 </w:t>
      </w:r>
      <w:proofErr w:type="spellStart"/>
      <w:r w:rsidRPr="00E25B3A">
        <w:rPr>
          <w:rFonts w:ascii="Book Antiqua" w:eastAsia="宋体" w:hAnsi="Book Antiqua" w:cs="宋体"/>
          <w:b/>
          <w:bCs/>
          <w:color w:val="000000"/>
          <w:sz w:val="21"/>
          <w:szCs w:val="21"/>
        </w:rPr>
        <w:t>Kast</w:t>
      </w:r>
      <w:proofErr w:type="spellEnd"/>
      <w:r w:rsidRPr="00E25B3A">
        <w:rPr>
          <w:rFonts w:ascii="Book Antiqua" w:eastAsia="宋体" w:hAnsi="Book Antiqua" w:cs="宋体"/>
          <w:b/>
          <w:bCs/>
          <w:color w:val="000000"/>
          <w:sz w:val="21"/>
          <w:szCs w:val="21"/>
        </w:rPr>
        <w:t xml:space="preserve"> RE</w:t>
      </w:r>
      <w:r w:rsidRPr="00E25B3A">
        <w:rPr>
          <w:rFonts w:ascii="Book Antiqua" w:eastAsia="宋体" w:hAnsi="Book Antiqua" w:cs="宋体"/>
          <w:color w:val="000000"/>
          <w:sz w:val="21"/>
          <w:szCs w:val="21"/>
        </w:rPr>
        <w:t xml:space="preserve">, Foley KF. Cancer chemotherapy and cachexia: mirtazapine and olanzapine are 5-HT3 antagonists with good </w:t>
      </w:r>
      <w:proofErr w:type="spellStart"/>
      <w:r w:rsidRPr="00E25B3A">
        <w:rPr>
          <w:rFonts w:ascii="Book Antiqua" w:eastAsia="宋体" w:hAnsi="Book Antiqua" w:cs="宋体"/>
          <w:color w:val="000000"/>
          <w:sz w:val="21"/>
          <w:szCs w:val="21"/>
        </w:rPr>
        <w:t>antinausea</w:t>
      </w:r>
      <w:proofErr w:type="spellEnd"/>
      <w:r w:rsidRPr="00E25B3A">
        <w:rPr>
          <w:rFonts w:ascii="Book Antiqua" w:eastAsia="宋体" w:hAnsi="Book Antiqua" w:cs="宋体"/>
          <w:color w:val="000000"/>
          <w:sz w:val="21"/>
          <w:szCs w:val="21"/>
        </w:rPr>
        <w:t xml:space="preserve"> effects. </w:t>
      </w:r>
      <w:proofErr w:type="spellStart"/>
      <w:r w:rsidRPr="00E25B3A">
        <w:rPr>
          <w:rFonts w:ascii="Book Antiqua" w:eastAsia="宋体" w:hAnsi="Book Antiqua" w:cs="宋体"/>
          <w:i/>
          <w:iCs/>
          <w:color w:val="000000"/>
          <w:sz w:val="21"/>
          <w:szCs w:val="21"/>
        </w:rPr>
        <w:t>Eur</w:t>
      </w:r>
      <w:proofErr w:type="spellEnd"/>
      <w:r w:rsidRPr="00E25B3A">
        <w:rPr>
          <w:rFonts w:ascii="Book Antiqua" w:eastAsia="宋体" w:hAnsi="Book Antiqua" w:cs="宋体"/>
          <w:i/>
          <w:iCs/>
          <w:color w:val="000000"/>
          <w:sz w:val="21"/>
          <w:szCs w:val="21"/>
        </w:rPr>
        <w:t xml:space="preserve"> J Cancer Care </w:t>
      </w:r>
      <w:r w:rsidRPr="00E25B3A">
        <w:rPr>
          <w:rFonts w:ascii="Book Antiqua" w:eastAsia="宋体" w:hAnsi="Book Antiqua" w:cs="宋体"/>
          <w:iCs/>
          <w:color w:val="000000"/>
          <w:sz w:val="21"/>
          <w:szCs w:val="21"/>
        </w:rPr>
        <w:t>(</w:t>
      </w:r>
      <w:proofErr w:type="spellStart"/>
      <w:r w:rsidRPr="00E25B3A">
        <w:rPr>
          <w:rFonts w:ascii="Book Antiqua" w:eastAsia="宋体" w:hAnsi="Book Antiqua" w:cs="宋体"/>
          <w:iCs/>
          <w:color w:val="000000"/>
          <w:sz w:val="21"/>
          <w:szCs w:val="21"/>
        </w:rPr>
        <w:t>Engl</w:t>
      </w:r>
      <w:proofErr w:type="spellEnd"/>
      <w:r w:rsidRPr="00E25B3A">
        <w:rPr>
          <w:rFonts w:ascii="Book Antiqua" w:eastAsia="宋体" w:hAnsi="Book Antiqua" w:cs="宋体"/>
          <w:iCs/>
          <w:color w:val="000000"/>
          <w:sz w:val="21"/>
          <w:szCs w:val="21"/>
        </w:rPr>
        <w:t>)</w:t>
      </w:r>
      <w:r w:rsidRPr="00E25B3A">
        <w:rPr>
          <w:rFonts w:ascii="Book Antiqua" w:eastAsia="宋体" w:hAnsi="Book Antiqua" w:cs="宋体"/>
          <w:color w:val="000000"/>
          <w:sz w:val="21"/>
          <w:szCs w:val="21"/>
        </w:rPr>
        <w:t> 2007; </w:t>
      </w:r>
      <w:r w:rsidRPr="00E25B3A">
        <w:rPr>
          <w:rFonts w:ascii="Book Antiqua" w:eastAsia="宋体" w:hAnsi="Book Antiqua" w:cs="宋体"/>
          <w:b/>
          <w:bCs/>
          <w:color w:val="000000"/>
          <w:sz w:val="21"/>
          <w:szCs w:val="21"/>
        </w:rPr>
        <w:t>16</w:t>
      </w:r>
      <w:r w:rsidRPr="00E25B3A">
        <w:rPr>
          <w:rFonts w:ascii="Book Antiqua" w:eastAsia="宋体" w:hAnsi="Book Antiqua" w:cs="宋体"/>
          <w:color w:val="000000"/>
          <w:sz w:val="21"/>
          <w:szCs w:val="21"/>
        </w:rPr>
        <w:t>: 351-354 [PMID: 17587360 DOI: 10.1111/j.1365-2354.2006.00760.x]</w:t>
      </w:r>
    </w:p>
    <w:p w:rsidR="00A04967" w:rsidRPr="00E25B3A" w:rsidRDefault="00A04967" w:rsidP="00A04967">
      <w:pPr>
        <w:spacing w:after="0" w:line="360" w:lineRule="auto"/>
        <w:jc w:val="both"/>
        <w:rPr>
          <w:rFonts w:ascii="Book Antiqua" w:eastAsia="宋体" w:hAnsi="Book Antiqua" w:cs="宋体"/>
          <w:color w:val="000000"/>
          <w:sz w:val="21"/>
          <w:szCs w:val="21"/>
        </w:rPr>
      </w:pPr>
      <w:proofErr w:type="gramStart"/>
      <w:r w:rsidRPr="00E25B3A">
        <w:rPr>
          <w:rFonts w:ascii="Book Antiqua" w:eastAsia="宋体" w:hAnsi="Book Antiqua" w:cs="宋体"/>
          <w:color w:val="000000"/>
          <w:sz w:val="21"/>
          <w:szCs w:val="21"/>
        </w:rPr>
        <w:t>11 </w:t>
      </w:r>
      <w:r w:rsidRPr="00E25B3A">
        <w:rPr>
          <w:rFonts w:ascii="Book Antiqua" w:eastAsia="宋体" w:hAnsi="Book Antiqua" w:cs="宋体"/>
          <w:b/>
          <w:bCs/>
          <w:color w:val="000000"/>
          <w:sz w:val="21"/>
          <w:szCs w:val="21"/>
        </w:rPr>
        <w:t>Teixeira FV</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Novaretti</w:t>
      </w:r>
      <w:proofErr w:type="spellEnd"/>
      <w:r w:rsidRPr="00E25B3A">
        <w:rPr>
          <w:rFonts w:ascii="Book Antiqua" w:eastAsia="宋体" w:hAnsi="Book Antiqua" w:cs="宋体"/>
          <w:color w:val="000000"/>
          <w:sz w:val="21"/>
          <w:szCs w:val="21"/>
        </w:rPr>
        <w:t xml:space="preserve"> TM, </w:t>
      </w:r>
      <w:proofErr w:type="spellStart"/>
      <w:r w:rsidRPr="00E25B3A">
        <w:rPr>
          <w:rFonts w:ascii="Book Antiqua" w:eastAsia="宋体" w:hAnsi="Book Antiqua" w:cs="宋体"/>
          <w:color w:val="000000"/>
          <w:sz w:val="21"/>
          <w:szCs w:val="21"/>
        </w:rPr>
        <w:t>Pilon</w:t>
      </w:r>
      <w:proofErr w:type="spellEnd"/>
      <w:r w:rsidRPr="00E25B3A">
        <w:rPr>
          <w:rFonts w:ascii="Book Antiqua" w:eastAsia="宋体" w:hAnsi="Book Antiqua" w:cs="宋体"/>
          <w:color w:val="000000"/>
          <w:sz w:val="21"/>
          <w:szCs w:val="21"/>
        </w:rPr>
        <w:t xml:space="preserve"> B, Pereira PG, Breda MF.</w:t>
      </w:r>
      <w:proofErr w:type="gramEnd"/>
      <w:r w:rsidRPr="00E25B3A">
        <w:rPr>
          <w:rFonts w:ascii="Book Antiqua" w:eastAsia="宋体" w:hAnsi="Book Antiqua" w:cs="宋体"/>
          <w:color w:val="000000"/>
          <w:sz w:val="21"/>
          <w:szCs w:val="21"/>
        </w:rPr>
        <w:t xml:space="preserve"> Mirtazapine (</w:t>
      </w:r>
      <w:proofErr w:type="spellStart"/>
      <w:r w:rsidRPr="00E25B3A">
        <w:rPr>
          <w:rFonts w:ascii="Book Antiqua" w:eastAsia="宋体" w:hAnsi="Book Antiqua" w:cs="宋体"/>
          <w:color w:val="000000"/>
          <w:sz w:val="21"/>
          <w:szCs w:val="21"/>
        </w:rPr>
        <w:t>Remeron</w:t>
      </w:r>
      <w:proofErr w:type="spellEnd"/>
      <w:r w:rsidRPr="00E25B3A">
        <w:rPr>
          <w:rFonts w:ascii="Book Antiqua" w:eastAsia="宋体" w:hAnsi="Book Antiqua" w:cs="宋体"/>
          <w:color w:val="000000"/>
          <w:sz w:val="21"/>
          <w:szCs w:val="21"/>
        </w:rPr>
        <w:t>) as treatment for non-mechanical vomiting after gastric bypass. </w:t>
      </w:r>
      <w:proofErr w:type="spellStart"/>
      <w:r w:rsidRPr="00E25B3A">
        <w:rPr>
          <w:rFonts w:ascii="Book Antiqua" w:eastAsia="宋体" w:hAnsi="Book Antiqua" w:cs="宋体"/>
          <w:i/>
          <w:iCs/>
          <w:color w:val="000000"/>
          <w:sz w:val="21"/>
          <w:szCs w:val="21"/>
        </w:rPr>
        <w:t>Obes</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Surg</w:t>
      </w:r>
      <w:proofErr w:type="spellEnd"/>
      <w:r w:rsidRPr="00E25B3A">
        <w:rPr>
          <w:rFonts w:ascii="Book Antiqua" w:eastAsia="宋体" w:hAnsi="Book Antiqua" w:cs="宋体"/>
          <w:color w:val="000000"/>
          <w:sz w:val="21"/>
          <w:szCs w:val="21"/>
        </w:rPr>
        <w:t> 2005; </w:t>
      </w:r>
      <w:r w:rsidRPr="00E25B3A">
        <w:rPr>
          <w:rFonts w:ascii="Book Antiqua" w:eastAsia="宋体" w:hAnsi="Book Antiqua" w:cs="宋体"/>
          <w:b/>
          <w:bCs/>
          <w:color w:val="000000"/>
          <w:sz w:val="21"/>
          <w:szCs w:val="21"/>
        </w:rPr>
        <w:t>15</w:t>
      </w:r>
      <w:r w:rsidRPr="00E25B3A">
        <w:rPr>
          <w:rFonts w:ascii="Book Antiqua" w:eastAsia="宋体" w:hAnsi="Book Antiqua" w:cs="宋体"/>
          <w:color w:val="000000"/>
          <w:sz w:val="21"/>
          <w:szCs w:val="21"/>
        </w:rPr>
        <w:t>: 707-709 [PMID: 15946465 DOI: 10.1381/0960892053923923]</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12 </w:t>
      </w:r>
      <w:r w:rsidRPr="00E25B3A">
        <w:rPr>
          <w:rFonts w:ascii="Book Antiqua" w:eastAsia="宋体" w:hAnsi="Book Antiqua" w:cs="宋体"/>
          <w:b/>
          <w:bCs/>
          <w:color w:val="000000"/>
          <w:sz w:val="21"/>
          <w:szCs w:val="21"/>
        </w:rPr>
        <w:t>Chang FL</w:t>
      </w:r>
      <w:r w:rsidRPr="00E25B3A">
        <w:rPr>
          <w:rFonts w:ascii="Book Antiqua" w:eastAsia="宋体" w:hAnsi="Book Antiqua" w:cs="宋体"/>
          <w:color w:val="000000"/>
          <w:sz w:val="21"/>
          <w:szCs w:val="21"/>
        </w:rPr>
        <w:t xml:space="preserve">, Ho ST, Sheen MJ. </w:t>
      </w:r>
      <w:proofErr w:type="gramStart"/>
      <w:r w:rsidRPr="00E25B3A">
        <w:rPr>
          <w:rFonts w:ascii="Book Antiqua" w:eastAsia="宋体" w:hAnsi="Book Antiqua" w:cs="宋体"/>
          <w:color w:val="000000"/>
          <w:sz w:val="21"/>
          <w:szCs w:val="21"/>
        </w:rPr>
        <w:t xml:space="preserve">Efficacy of mirtazapine in preventing </w:t>
      </w:r>
      <w:proofErr w:type="spellStart"/>
      <w:r w:rsidRPr="00E25B3A">
        <w:rPr>
          <w:rFonts w:ascii="Book Antiqua" w:eastAsia="宋体" w:hAnsi="Book Antiqua" w:cs="宋体"/>
          <w:color w:val="000000"/>
          <w:sz w:val="21"/>
          <w:szCs w:val="21"/>
        </w:rPr>
        <w:t>intrathecal</w:t>
      </w:r>
      <w:proofErr w:type="spellEnd"/>
      <w:r w:rsidRPr="00E25B3A">
        <w:rPr>
          <w:rFonts w:ascii="Book Antiqua" w:eastAsia="宋体" w:hAnsi="Book Antiqua" w:cs="宋体"/>
          <w:color w:val="000000"/>
          <w:sz w:val="21"/>
          <w:szCs w:val="21"/>
        </w:rPr>
        <w:t xml:space="preserve"> morphine-induced nausea and vomiting after </w:t>
      </w:r>
      <w:proofErr w:type="spellStart"/>
      <w:r w:rsidRPr="00E25B3A">
        <w:rPr>
          <w:rFonts w:ascii="Book Antiqua" w:eastAsia="宋体" w:hAnsi="Book Antiqua" w:cs="宋体"/>
          <w:color w:val="000000"/>
          <w:sz w:val="21"/>
          <w:szCs w:val="21"/>
        </w:rPr>
        <w:t>orthopaedic</w:t>
      </w:r>
      <w:proofErr w:type="spellEnd"/>
      <w:r w:rsidRPr="00E25B3A">
        <w:rPr>
          <w:rFonts w:ascii="Book Antiqua" w:eastAsia="宋体" w:hAnsi="Book Antiqua" w:cs="宋体"/>
          <w:color w:val="000000"/>
          <w:sz w:val="21"/>
          <w:szCs w:val="21"/>
        </w:rPr>
        <w:t xml:space="preserve"> surgery*.</w:t>
      </w:r>
      <w:proofErr w:type="gramEnd"/>
      <w:r w:rsidRPr="00E25B3A">
        <w:rPr>
          <w:rFonts w:ascii="Book Antiqua" w:eastAsia="宋体" w:hAnsi="Book Antiqua" w:cs="宋体"/>
          <w:color w:val="000000"/>
          <w:sz w:val="21"/>
          <w:szCs w:val="21"/>
        </w:rPr>
        <w:t> </w:t>
      </w:r>
      <w:proofErr w:type="spellStart"/>
      <w:r w:rsidRPr="00E25B3A">
        <w:rPr>
          <w:rFonts w:ascii="Book Antiqua" w:eastAsia="宋体" w:hAnsi="Book Antiqua" w:cs="宋体"/>
          <w:i/>
          <w:iCs/>
          <w:color w:val="000000"/>
          <w:sz w:val="21"/>
          <w:szCs w:val="21"/>
        </w:rPr>
        <w:t>Anaesthesia</w:t>
      </w:r>
      <w:proofErr w:type="spellEnd"/>
      <w:r w:rsidRPr="00E25B3A">
        <w:rPr>
          <w:rFonts w:ascii="Book Antiqua" w:eastAsia="宋体" w:hAnsi="Book Antiqua" w:cs="宋体"/>
          <w:color w:val="000000"/>
          <w:sz w:val="21"/>
          <w:szCs w:val="21"/>
        </w:rPr>
        <w:t> 2010; </w:t>
      </w:r>
      <w:r w:rsidRPr="00E25B3A">
        <w:rPr>
          <w:rFonts w:ascii="Book Antiqua" w:eastAsia="宋体" w:hAnsi="Book Antiqua" w:cs="宋体"/>
          <w:b/>
          <w:bCs/>
          <w:color w:val="000000"/>
          <w:sz w:val="21"/>
          <w:szCs w:val="21"/>
        </w:rPr>
        <w:t>65</w:t>
      </w:r>
      <w:r w:rsidRPr="00E25B3A">
        <w:rPr>
          <w:rFonts w:ascii="Book Antiqua" w:eastAsia="宋体" w:hAnsi="Book Antiqua" w:cs="宋体"/>
          <w:color w:val="000000"/>
          <w:sz w:val="21"/>
          <w:szCs w:val="21"/>
        </w:rPr>
        <w:t>: 1206-1211 [PMID: 21182602 DOI: 10.1111/j.1365-2044.2010.06561.x]</w:t>
      </w:r>
    </w:p>
    <w:p w:rsidR="00A04967" w:rsidRPr="00E25B3A" w:rsidRDefault="00A04967" w:rsidP="00A04967">
      <w:pPr>
        <w:spacing w:after="0" w:line="360" w:lineRule="auto"/>
        <w:jc w:val="both"/>
        <w:rPr>
          <w:rFonts w:ascii="Book Antiqua" w:eastAsia="宋体" w:hAnsi="Book Antiqua" w:cs="宋体"/>
          <w:color w:val="000000"/>
          <w:sz w:val="21"/>
          <w:szCs w:val="21"/>
        </w:rPr>
      </w:pPr>
      <w:proofErr w:type="gramStart"/>
      <w:r w:rsidRPr="00E25B3A">
        <w:rPr>
          <w:rFonts w:ascii="Book Antiqua" w:eastAsia="宋体" w:hAnsi="Book Antiqua" w:cs="宋体"/>
          <w:color w:val="000000"/>
          <w:szCs w:val="21"/>
        </w:rPr>
        <w:t xml:space="preserve">13 </w:t>
      </w:r>
      <w:proofErr w:type="spellStart"/>
      <w:r w:rsidRPr="00E25B3A">
        <w:rPr>
          <w:rFonts w:ascii="Book Antiqua" w:eastAsia="宋体" w:hAnsi="Book Antiqua" w:cs="宋体"/>
          <w:b/>
          <w:color w:val="000000"/>
          <w:sz w:val="21"/>
          <w:szCs w:val="21"/>
        </w:rPr>
        <w:t>Malhi</w:t>
      </w:r>
      <w:proofErr w:type="spellEnd"/>
      <w:r w:rsidRPr="00E25B3A">
        <w:rPr>
          <w:rFonts w:ascii="Book Antiqua" w:eastAsia="宋体" w:hAnsi="Book Antiqua" w:cs="宋体"/>
          <w:b/>
          <w:color w:val="000000"/>
          <w:sz w:val="21"/>
          <w:szCs w:val="21"/>
        </w:rPr>
        <w:t xml:space="preserve"> GS</w:t>
      </w:r>
      <w:r w:rsidRPr="00E25B3A">
        <w:rPr>
          <w:rFonts w:ascii="Book Antiqua" w:eastAsia="宋体" w:hAnsi="Book Antiqua" w:cs="宋体"/>
          <w:color w:val="000000"/>
          <w:sz w:val="21"/>
          <w:szCs w:val="21"/>
        </w:rPr>
        <w:t>, Mitchell PB.</w:t>
      </w:r>
      <w:proofErr w:type="gramEnd"/>
      <w:r w:rsidRPr="00E25B3A">
        <w:rPr>
          <w:rFonts w:ascii="Book Antiqua" w:eastAsia="宋体" w:hAnsi="Book Antiqua" w:cs="宋体"/>
          <w:color w:val="000000"/>
          <w:sz w:val="21"/>
          <w:szCs w:val="21"/>
        </w:rPr>
        <w:t xml:space="preserve"> Dual-Action Antidepressants: Mechanisms of Action and Clinical Use. </w:t>
      </w:r>
      <w:r w:rsidRPr="00E25B3A">
        <w:rPr>
          <w:rFonts w:ascii="Book Antiqua" w:eastAsia="宋体" w:hAnsi="Book Antiqua" w:cs="宋体"/>
          <w:i/>
          <w:color w:val="000000"/>
          <w:sz w:val="21"/>
          <w:szCs w:val="21"/>
        </w:rPr>
        <w:t>Prim Psychiatry</w:t>
      </w:r>
      <w:r w:rsidRPr="00E25B3A">
        <w:rPr>
          <w:rFonts w:ascii="Book Antiqua" w:eastAsia="宋体" w:hAnsi="Book Antiqua" w:cs="宋体"/>
          <w:color w:val="000000"/>
          <w:sz w:val="21"/>
          <w:szCs w:val="21"/>
        </w:rPr>
        <w:t xml:space="preserve"> </w:t>
      </w:r>
      <w:r w:rsidRPr="00E25B3A">
        <w:rPr>
          <w:rFonts w:ascii="Book Antiqua" w:eastAsia="宋体" w:hAnsi="Book Antiqua" w:cs="宋体"/>
          <w:color w:val="000000"/>
          <w:szCs w:val="21"/>
        </w:rPr>
        <w:t xml:space="preserve">2003; </w:t>
      </w:r>
      <w:r w:rsidRPr="00E25B3A">
        <w:rPr>
          <w:rFonts w:ascii="Book Antiqua" w:eastAsia="宋体" w:hAnsi="Book Antiqua" w:cs="宋体"/>
          <w:b/>
          <w:color w:val="000000"/>
          <w:szCs w:val="21"/>
        </w:rPr>
        <w:t>10</w:t>
      </w:r>
      <w:r w:rsidRPr="00E25B3A">
        <w:rPr>
          <w:rFonts w:ascii="Book Antiqua" w:eastAsia="宋体" w:hAnsi="Book Antiqua" w:cs="宋体"/>
          <w:color w:val="000000"/>
          <w:szCs w:val="21"/>
        </w:rPr>
        <w:t>: 62-66</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lastRenderedPageBreak/>
        <w:t>14 </w:t>
      </w:r>
      <w:proofErr w:type="spellStart"/>
      <w:r w:rsidRPr="00E25B3A">
        <w:rPr>
          <w:rFonts w:ascii="Book Antiqua" w:eastAsia="宋体" w:hAnsi="Book Antiqua" w:cs="宋体"/>
          <w:b/>
          <w:bCs/>
          <w:color w:val="000000"/>
          <w:sz w:val="21"/>
          <w:szCs w:val="21"/>
        </w:rPr>
        <w:t>Bengtsson</w:t>
      </w:r>
      <w:proofErr w:type="spellEnd"/>
      <w:r w:rsidRPr="00E25B3A">
        <w:rPr>
          <w:rFonts w:ascii="Book Antiqua" w:eastAsia="宋体" w:hAnsi="Book Antiqua" w:cs="宋体"/>
          <w:b/>
          <w:bCs/>
          <w:color w:val="000000"/>
          <w:sz w:val="21"/>
          <w:szCs w:val="21"/>
        </w:rPr>
        <w:t xml:space="preserve"> HJ</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Kele</w:t>
      </w:r>
      <w:proofErr w:type="spellEnd"/>
      <w:r w:rsidRPr="00E25B3A">
        <w:rPr>
          <w:rFonts w:ascii="Book Antiqua" w:eastAsia="宋体" w:hAnsi="Book Antiqua" w:cs="宋体"/>
          <w:color w:val="000000"/>
          <w:sz w:val="21"/>
          <w:szCs w:val="21"/>
        </w:rPr>
        <w:t xml:space="preserve"> J, Johansson J, </w:t>
      </w:r>
      <w:proofErr w:type="spellStart"/>
      <w:r w:rsidRPr="00E25B3A">
        <w:rPr>
          <w:rFonts w:ascii="Book Antiqua" w:eastAsia="宋体" w:hAnsi="Book Antiqua" w:cs="宋体"/>
          <w:color w:val="000000"/>
          <w:sz w:val="21"/>
          <w:szCs w:val="21"/>
        </w:rPr>
        <w:t>Hjorth</w:t>
      </w:r>
      <w:proofErr w:type="spellEnd"/>
      <w:r w:rsidRPr="00E25B3A">
        <w:rPr>
          <w:rFonts w:ascii="Book Antiqua" w:eastAsia="宋体" w:hAnsi="Book Antiqua" w:cs="宋体"/>
          <w:color w:val="000000"/>
          <w:sz w:val="21"/>
          <w:szCs w:val="21"/>
        </w:rPr>
        <w:t xml:space="preserve"> S. Interaction of the antidepressant mirtazapine with alpha2-adrenoceptors modulating the release of 5-HT in different rat brain regions in vivo. </w:t>
      </w:r>
      <w:proofErr w:type="spellStart"/>
      <w:r w:rsidRPr="00E25B3A">
        <w:rPr>
          <w:rFonts w:ascii="Book Antiqua" w:eastAsia="宋体" w:hAnsi="Book Antiqua" w:cs="宋体"/>
          <w:i/>
          <w:iCs/>
          <w:color w:val="000000"/>
          <w:sz w:val="21"/>
          <w:szCs w:val="21"/>
        </w:rPr>
        <w:t>Naunyn</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Schmiedebergs</w:t>
      </w:r>
      <w:proofErr w:type="spellEnd"/>
      <w:r w:rsidRPr="00E25B3A">
        <w:rPr>
          <w:rFonts w:ascii="Book Antiqua" w:eastAsia="宋体" w:hAnsi="Book Antiqua" w:cs="宋体"/>
          <w:i/>
          <w:iCs/>
          <w:color w:val="000000"/>
          <w:sz w:val="21"/>
          <w:szCs w:val="21"/>
        </w:rPr>
        <w:t xml:space="preserve"> Arch </w:t>
      </w:r>
      <w:proofErr w:type="spellStart"/>
      <w:r w:rsidRPr="00E25B3A">
        <w:rPr>
          <w:rFonts w:ascii="Book Antiqua" w:eastAsia="宋体" w:hAnsi="Book Antiqua" w:cs="宋体"/>
          <w:i/>
          <w:iCs/>
          <w:color w:val="000000"/>
          <w:sz w:val="21"/>
          <w:szCs w:val="21"/>
        </w:rPr>
        <w:t>Pharmacol</w:t>
      </w:r>
      <w:proofErr w:type="spellEnd"/>
      <w:r w:rsidRPr="00E25B3A">
        <w:rPr>
          <w:rFonts w:ascii="Book Antiqua" w:eastAsia="宋体" w:hAnsi="Book Antiqua" w:cs="宋体"/>
          <w:color w:val="000000"/>
          <w:sz w:val="21"/>
          <w:szCs w:val="21"/>
        </w:rPr>
        <w:t> 2000; </w:t>
      </w:r>
      <w:r w:rsidRPr="00E25B3A">
        <w:rPr>
          <w:rFonts w:ascii="Book Antiqua" w:eastAsia="宋体" w:hAnsi="Book Antiqua" w:cs="宋体"/>
          <w:b/>
          <w:bCs/>
          <w:color w:val="000000"/>
          <w:sz w:val="21"/>
          <w:szCs w:val="21"/>
        </w:rPr>
        <w:t>362</w:t>
      </w:r>
      <w:r w:rsidRPr="00E25B3A">
        <w:rPr>
          <w:rFonts w:ascii="Book Antiqua" w:eastAsia="宋体" w:hAnsi="Book Antiqua" w:cs="宋体"/>
          <w:color w:val="000000"/>
          <w:sz w:val="21"/>
          <w:szCs w:val="21"/>
        </w:rPr>
        <w:t>: 406-412 [PMID: 11111835 DOI: 10.1007/s002100000294]</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15 </w:t>
      </w:r>
      <w:r w:rsidRPr="00E25B3A">
        <w:rPr>
          <w:rFonts w:ascii="Book Antiqua" w:eastAsia="宋体" w:hAnsi="Book Antiqua" w:cs="宋体"/>
          <w:b/>
          <w:bCs/>
          <w:color w:val="000000"/>
          <w:sz w:val="21"/>
          <w:szCs w:val="21"/>
        </w:rPr>
        <w:t>Janssen P</w:t>
      </w:r>
      <w:r w:rsidRPr="00E25B3A">
        <w:rPr>
          <w:rFonts w:ascii="Book Antiqua" w:eastAsia="宋体" w:hAnsi="Book Antiqua" w:cs="宋体"/>
          <w:color w:val="000000"/>
          <w:sz w:val="21"/>
          <w:szCs w:val="21"/>
        </w:rPr>
        <w:t xml:space="preserve">, Harris MS, Jones M, </w:t>
      </w:r>
      <w:proofErr w:type="spellStart"/>
      <w:r w:rsidRPr="00E25B3A">
        <w:rPr>
          <w:rFonts w:ascii="Book Antiqua" w:eastAsia="宋体" w:hAnsi="Book Antiqua" w:cs="宋体"/>
          <w:color w:val="000000"/>
          <w:sz w:val="21"/>
          <w:szCs w:val="21"/>
        </w:rPr>
        <w:t>Masaoka</w:t>
      </w:r>
      <w:proofErr w:type="spellEnd"/>
      <w:r w:rsidRPr="00E25B3A">
        <w:rPr>
          <w:rFonts w:ascii="Book Antiqua" w:eastAsia="宋体" w:hAnsi="Book Antiqua" w:cs="宋体"/>
          <w:color w:val="000000"/>
          <w:sz w:val="21"/>
          <w:szCs w:val="21"/>
        </w:rPr>
        <w:t xml:space="preserve"> T, </w:t>
      </w:r>
      <w:proofErr w:type="spellStart"/>
      <w:r w:rsidRPr="00E25B3A">
        <w:rPr>
          <w:rFonts w:ascii="Book Antiqua" w:eastAsia="宋体" w:hAnsi="Book Antiqua" w:cs="宋体"/>
          <w:color w:val="000000"/>
          <w:sz w:val="21"/>
          <w:szCs w:val="21"/>
        </w:rPr>
        <w:t>Farré</w:t>
      </w:r>
      <w:proofErr w:type="spellEnd"/>
      <w:r w:rsidRPr="00E25B3A">
        <w:rPr>
          <w:rFonts w:ascii="Book Antiqua" w:eastAsia="宋体" w:hAnsi="Book Antiqua" w:cs="宋体"/>
          <w:color w:val="000000"/>
          <w:sz w:val="21"/>
          <w:szCs w:val="21"/>
        </w:rPr>
        <w:t xml:space="preserve"> R, </w:t>
      </w:r>
      <w:proofErr w:type="spellStart"/>
      <w:r w:rsidRPr="00E25B3A">
        <w:rPr>
          <w:rFonts w:ascii="Book Antiqua" w:eastAsia="宋体" w:hAnsi="Book Antiqua" w:cs="宋体"/>
          <w:color w:val="000000"/>
          <w:sz w:val="21"/>
          <w:szCs w:val="21"/>
        </w:rPr>
        <w:t>Törnblom</w:t>
      </w:r>
      <w:proofErr w:type="spellEnd"/>
      <w:r w:rsidRPr="00E25B3A">
        <w:rPr>
          <w:rFonts w:ascii="Book Antiqua" w:eastAsia="宋体" w:hAnsi="Book Antiqua" w:cs="宋体"/>
          <w:color w:val="000000"/>
          <w:sz w:val="21"/>
          <w:szCs w:val="21"/>
        </w:rPr>
        <w:t xml:space="preserve"> H, Van </w:t>
      </w:r>
      <w:proofErr w:type="spellStart"/>
      <w:r w:rsidRPr="00E25B3A">
        <w:rPr>
          <w:rFonts w:ascii="Book Antiqua" w:eastAsia="宋体" w:hAnsi="Book Antiqua" w:cs="宋体"/>
          <w:color w:val="000000"/>
          <w:sz w:val="21"/>
          <w:szCs w:val="21"/>
        </w:rPr>
        <w:t>Oudenhove</w:t>
      </w:r>
      <w:proofErr w:type="spellEnd"/>
      <w:r w:rsidRPr="00E25B3A">
        <w:rPr>
          <w:rFonts w:ascii="Book Antiqua" w:eastAsia="宋体" w:hAnsi="Book Antiqua" w:cs="宋体"/>
          <w:color w:val="000000"/>
          <w:sz w:val="21"/>
          <w:szCs w:val="21"/>
        </w:rPr>
        <w:t xml:space="preserve"> L, </w:t>
      </w:r>
      <w:proofErr w:type="spellStart"/>
      <w:r w:rsidRPr="00E25B3A">
        <w:rPr>
          <w:rFonts w:ascii="Book Antiqua" w:eastAsia="宋体" w:hAnsi="Book Antiqua" w:cs="宋体"/>
          <w:color w:val="000000"/>
          <w:sz w:val="21"/>
          <w:szCs w:val="21"/>
        </w:rPr>
        <w:t>Simrén</w:t>
      </w:r>
      <w:proofErr w:type="spellEnd"/>
      <w:r w:rsidRPr="00E25B3A">
        <w:rPr>
          <w:rFonts w:ascii="Book Antiqua" w:eastAsia="宋体" w:hAnsi="Book Antiqua" w:cs="宋体"/>
          <w:color w:val="000000"/>
          <w:sz w:val="21"/>
          <w:szCs w:val="21"/>
        </w:rPr>
        <w:t xml:space="preserve"> M, Tack J. </w:t>
      </w:r>
      <w:proofErr w:type="gramStart"/>
      <w:r w:rsidRPr="00E25B3A">
        <w:rPr>
          <w:rFonts w:ascii="Book Antiqua" w:eastAsia="宋体" w:hAnsi="Book Antiqua" w:cs="宋体"/>
          <w:color w:val="000000"/>
          <w:sz w:val="21"/>
          <w:szCs w:val="21"/>
        </w:rPr>
        <w:t xml:space="preserve">The relation between symptom improvement and gastric emptying in the treatment of diabetic and idiopathic </w:t>
      </w:r>
      <w:proofErr w:type="spellStart"/>
      <w:r w:rsidRPr="00E25B3A">
        <w:rPr>
          <w:rFonts w:ascii="Book Antiqua" w:eastAsia="宋体" w:hAnsi="Book Antiqua" w:cs="宋体"/>
          <w:color w:val="000000"/>
          <w:sz w:val="21"/>
          <w:szCs w:val="21"/>
        </w:rPr>
        <w:t>gastroparesis</w:t>
      </w:r>
      <w:proofErr w:type="spellEnd"/>
      <w:r w:rsidRPr="00E25B3A">
        <w:rPr>
          <w:rFonts w:ascii="Book Antiqua" w:eastAsia="宋体" w:hAnsi="Book Antiqua" w:cs="宋体"/>
          <w:color w:val="000000"/>
          <w:sz w:val="21"/>
          <w:szCs w:val="21"/>
        </w:rPr>
        <w:t>.</w:t>
      </w:r>
      <w:proofErr w:type="gramEnd"/>
      <w:r w:rsidRPr="00E25B3A">
        <w:rPr>
          <w:rFonts w:ascii="Book Antiqua" w:eastAsia="宋体" w:hAnsi="Book Antiqua" w:cs="宋体"/>
          <w:color w:val="000000"/>
          <w:sz w:val="21"/>
          <w:szCs w:val="21"/>
        </w:rPr>
        <w:t> </w:t>
      </w:r>
      <w:r w:rsidRPr="00E25B3A">
        <w:rPr>
          <w:rFonts w:ascii="Book Antiqua" w:eastAsia="宋体" w:hAnsi="Book Antiqua" w:cs="宋体"/>
          <w:i/>
          <w:iCs/>
          <w:color w:val="000000"/>
          <w:sz w:val="21"/>
          <w:szCs w:val="21"/>
        </w:rPr>
        <w:t xml:space="preserve">Am J </w:t>
      </w:r>
      <w:proofErr w:type="spellStart"/>
      <w:r w:rsidRPr="00E25B3A">
        <w:rPr>
          <w:rFonts w:ascii="Book Antiqua" w:eastAsia="宋体" w:hAnsi="Book Antiqua" w:cs="宋体"/>
          <w:i/>
          <w:iCs/>
          <w:color w:val="000000"/>
          <w:sz w:val="21"/>
          <w:szCs w:val="21"/>
        </w:rPr>
        <w:t>Gastroenterol</w:t>
      </w:r>
      <w:proofErr w:type="spellEnd"/>
      <w:r w:rsidRPr="00E25B3A">
        <w:rPr>
          <w:rFonts w:ascii="Book Antiqua" w:eastAsia="宋体" w:hAnsi="Book Antiqua" w:cs="宋体"/>
          <w:color w:val="000000"/>
          <w:sz w:val="21"/>
          <w:szCs w:val="21"/>
        </w:rPr>
        <w:t> 2013; </w:t>
      </w:r>
      <w:r w:rsidRPr="00E25B3A">
        <w:rPr>
          <w:rFonts w:ascii="Book Antiqua" w:eastAsia="宋体" w:hAnsi="Book Antiqua" w:cs="宋体"/>
          <w:b/>
          <w:bCs/>
          <w:color w:val="000000"/>
          <w:sz w:val="21"/>
          <w:szCs w:val="21"/>
        </w:rPr>
        <w:t>108</w:t>
      </w:r>
      <w:r w:rsidRPr="00E25B3A">
        <w:rPr>
          <w:rFonts w:ascii="Book Antiqua" w:eastAsia="宋体" w:hAnsi="Book Antiqua" w:cs="宋体"/>
          <w:color w:val="000000"/>
          <w:sz w:val="21"/>
          <w:szCs w:val="21"/>
        </w:rPr>
        <w:t>: 1382-1391 [PMID: 24005344 DOI: 10.1038/ajg.2013.118]</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16 </w:t>
      </w:r>
      <w:r w:rsidRPr="00E25B3A">
        <w:rPr>
          <w:rFonts w:ascii="Book Antiqua" w:eastAsia="宋体" w:hAnsi="Book Antiqua" w:cs="宋体"/>
          <w:b/>
          <w:bCs/>
          <w:color w:val="000000"/>
          <w:sz w:val="21"/>
          <w:szCs w:val="21"/>
        </w:rPr>
        <w:t xml:space="preserve">Van </w:t>
      </w:r>
      <w:proofErr w:type="spellStart"/>
      <w:r w:rsidRPr="00E25B3A">
        <w:rPr>
          <w:rFonts w:ascii="Book Antiqua" w:eastAsia="宋体" w:hAnsi="Book Antiqua" w:cs="宋体"/>
          <w:b/>
          <w:bCs/>
          <w:color w:val="000000"/>
          <w:sz w:val="21"/>
          <w:szCs w:val="21"/>
        </w:rPr>
        <w:t>Oudenhove</w:t>
      </w:r>
      <w:proofErr w:type="spellEnd"/>
      <w:r w:rsidRPr="00E25B3A">
        <w:rPr>
          <w:rFonts w:ascii="Book Antiqua" w:eastAsia="宋体" w:hAnsi="Book Antiqua" w:cs="宋体"/>
          <w:b/>
          <w:bCs/>
          <w:color w:val="000000"/>
          <w:sz w:val="21"/>
          <w:szCs w:val="21"/>
        </w:rPr>
        <w:t xml:space="preserve"> L</w:t>
      </w:r>
      <w:r w:rsidRPr="00E25B3A">
        <w:rPr>
          <w:rFonts w:ascii="Book Antiqua" w:eastAsia="宋体" w:hAnsi="Book Antiqua" w:cs="宋体"/>
          <w:color w:val="000000"/>
          <w:sz w:val="21"/>
          <w:szCs w:val="21"/>
        </w:rPr>
        <w:t xml:space="preserve">, </w:t>
      </w:r>
      <w:proofErr w:type="spellStart"/>
      <w:r w:rsidRPr="00E25B3A">
        <w:rPr>
          <w:rFonts w:ascii="Book Antiqua" w:eastAsia="宋体" w:hAnsi="Book Antiqua" w:cs="宋体"/>
          <w:color w:val="000000"/>
          <w:sz w:val="21"/>
          <w:szCs w:val="21"/>
        </w:rPr>
        <w:t>Kindt</w:t>
      </w:r>
      <w:proofErr w:type="spellEnd"/>
      <w:r w:rsidRPr="00E25B3A">
        <w:rPr>
          <w:rFonts w:ascii="Book Antiqua" w:eastAsia="宋体" w:hAnsi="Book Antiqua" w:cs="宋体"/>
          <w:color w:val="000000"/>
          <w:sz w:val="21"/>
          <w:szCs w:val="21"/>
        </w:rPr>
        <w:t xml:space="preserve"> S, </w:t>
      </w:r>
      <w:proofErr w:type="spellStart"/>
      <w:r w:rsidRPr="00E25B3A">
        <w:rPr>
          <w:rFonts w:ascii="Book Antiqua" w:eastAsia="宋体" w:hAnsi="Book Antiqua" w:cs="宋体"/>
          <w:color w:val="000000"/>
          <w:sz w:val="21"/>
          <w:szCs w:val="21"/>
        </w:rPr>
        <w:t>Vos</w:t>
      </w:r>
      <w:proofErr w:type="spellEnd"/>
      <w:r w:rsidRPr="00E25B3A">
        <w:rPr>
          <w:rFonts w:ascii="Book Antiqua" w:eastAsia="宋体" w:hAnsi="Book Antiqua" w:cs="宋体"/>
          <w:color w:val="000000"/>
          <w:sz w:val="21"/>
          <w:szCs w:val="21"/>
        </w:rPr>
        <w:t xml:space="preserve"> R, </w:t>
      </w:r>
      <w:proofErr w:type="spellStart"/>
      <w:r w:rsidRPr="00E25B3A">
        <w:rPr>
          <w:rFonts w:ascii="Book Antiqua" w:eastAsia="宋体" w:hAnsi="Book Antiqua" w:cs="宋体"/>
          <w:color w:val="000000"/>
          <w:sz w:val="21"/>
          <w:szCs w:val="21"/>
        </w:rPr>
        <w:t>Coulie</w:t>
      </w:r>
      <w:proofErr w:type="spellEnd"/>
      <w:r w:rsidRPr="00E25B3A">
        <w:rPr>
          <w:rFonts w:ascii="Book Antiqua" w:eastAsia="宋体" w:hAnsi="Book Antiqua" w:cs="宋体"/>
          <w:color w:val="000000"/>
          <w:sz w:val="21"/>
          <w:szCs w:val="21"/>
        </w:rPr>
        <w:t xml:space="preserve"> B, Tack J. Influence of </w:t>
      </w:r>
      <w:proofErr w:type="spellStart"/>
      <w:r w:rsidRPr="00E25B3A">
        <w:rPr>
          <w:rFonts w:ascii="Book Antiqua" w:eastAsia="宋体" w:hAnsi="Book Antiqua" w:cs="宋体"/>
          <w:color w:val="000000"/>
          <w:sz w:val="21"/>
          <w:szCs w:val="21"/>
        </w:rPr>
        <w:t>buspirone</w:t>
      </w:r>
      <w:proofErr w:type="spellEnd"/>
      <w:r w:rsidRPr="00E25B3A">
        <w:rPr>
          <w:rFonts w:ascii="Book Antiqua" w:eastAsia="宋体" w:hAnsi="Book Antiqua" w:cs="宋体"/>
          <w:color w:val="000000"/>
          <w:sz w:val="21"/>
          <w:szCs w:val="21"/>
        </w:rPr>
        <w:t xml:space="preserve"> on gastric sensorimotor function in man. </w:t>
      </w:r>
      <w:r w:rsidRPr="00E25B3A">
        <w:rPr>
          <w:rFonts w:ascii="Book Antiqua" w:eastAsia="宋体" w:hAnsi="Book Antiqua" w:cs="宋体"/>
          <w:i/>
          <w:iCs/>
          <w:color w:val="000000"/>
          <w:sz w:val="21"/>
          <w:szCs w:val="21"/>
        </w:rPr>
        <w:t xml:space="preserve">Aliment </w:t>
      </w:r>
      <w:proofErr w:type="spellStart"/>
      <w:r w:rsidRPr="00E25B3A">
        <w:rPr>
          <w:rFonts w:ascii="Book Antiqua" w:eastAsia="宋体" w:hAnsi="Book Antiqua" w:cs="宋体"/>
          <w:i/>
          <w:iCs/>
          <w:color w:val="000000"/>
          <w:sz w:val="21"/>
          <w:szCs w:val="21"/>
        </w:rPr>
        <w:t>Pharmacol</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Ther</w:t>
      </w:r>
      <w:proofErr w:type="spellEnd"/>
      <w:r w:rsidRPr="00E25B3A">
        <w:rPr>
          <w:rFonts w:ascii="Book Antiqua" w:eastAsia="宋体" w:hAnsi="Book Antiqua" w:cs="宋体"/>
          <w:color w:val="000000"/>
          <w:sz w:val="21"/>
          <w:szCs w:val="21"/>
        </w:rPr>
        <w:t> 2008; </w:t>
      </w:r>
      <w:r w:rsidRPr="00E25B3A">
        <w:rPr>
          <w:rFonts w:ascii="Book Antiqua" w:eastAsia="宋体" w:hAnsi="Book Antiqua" w:cs="宋体"/>
          <w:b/>
          <w:bCs/>
          <w:color w:val="000000"/>
          <w:sz w:val="21"/>
          <w:szCs w:val="21"/>
        </w:rPr>
        <w:t>28</w:t>
      </w:r>
      <w:r w:rsidRPr="00E25B3A">
        <w:rPr>
          <w:rFonts w:ascii="Book Antiqua" w:eastAsia="宋体" w:hAnsi="Book Antiqua" w:cs="宋体"/>
          <w:color w:val="000000"/>
          <w:sz w:val="21"/>
          <w:szCs w:val="21"/>
        </w:rPr>
        <w:t>: 1326-1333 [PMID: 18793342 DOI: 10.1111/j.1365-2036.2008.03849.x]</w:t>
      </w:r>
    </w:p>
    <w:p w:rsidR="00A04967" w:rsidRPr="00E25B3A" w:rsidRDefault="00A04967" w:rsidP="00A04967">
      <w:pPr>
        <w:spacing w:after="0" w:line="360" w:lineRule="auto"/>
        <w:jc w:val="both"/>
        <w:rPr>
          <w:rFonts w:ascii="Book Antiqua" w:eastAsia="宋体" w:hAnsi="Book Antiqua" w:cs="宋体"/>
          <w:color w:val="000000"/>
          <w:sz w:val="21"/>
          <w:szCs w:val="21"/>
        </w:rPr>
      </w:pPr>
      <w:r w:rsidRPr="00E25B3A">
        <w:rPr>
          <w:rFonts w:ascii="Book Antiqua" w:eastAsia="宋体" w:hAnsi="Book Antiqua" w:cs="宋体"/>
          <w:color w:val="000000"/>
          <w:sz w:val="21"/>
          <w:szCs w:val="21"/>
        </w:rPr>
        <w:t>17 </w:t>
      </w:r>
      <w:r w:rsidRPr="00E25B3A">
        <w:rPr>
          <w:rFonts w:ascii="Book Antiqua" w:eastAsia="宋体" w:hAnsi="Book Antiqua" w:cs="宋体"/>
          <w:b/>
          <w:bCs/>
          <w:color w:val="000000"/>
          <w:sz w:val="21"/>
          <w:szCs w:val="21"/>
        </w:rPr>
        <w:t>Tack J</w:t>
      </w:r>
      <w:r w:rsidRPr="00E25B3A">
        <w:rPr>
          <w:rFonts w:ascii="Book Antiqua" w:eastAsia="宋体" w:hAnsi="Book Antiqua" w:cs="宋体"/>
          <w:color w:val="000000"/>
          <w:sz w:val="21"/>
          <w:szCs w:val="21"/>
        </w:rPr>
        <w:t xml:space="preserve">, Janssen P, </w:t>
      </w:r>
      <w:proofErr w:type="spellStart"/>
      <w:r w:rsidRPr="00E25B3A">
        <w:rPr>
          <w:rFonts w:ascii="Book Antiqua" w:eastAsia="宋体" w:hAnsi="Book Antiqua" w:cs="宋体"/>
          <w:color w:val="000000"/>
          <w:sz w:val="21"/>
          <w:szCs w:val="21"/>
        </w:rPr>
        <w:t>Masaoka</w:t>
      </w:r>
      <w:proofErr w:type="spellEnd"/>
      <w:r w:rsidRPr="00E25B3A">
        <w:rPr>
          <w:rFonts w:ascii="Book Antiqua" w:eastAsia="宋体" w:hAnsi="Book Antiqua" w:cs="宋体"/>
          <w:color w:val="000000"/>
          <w:sz w:val="21"/>
          <w:szCs w:val="21"/>
        </w:rPr>
        <w:t xml:space="preserve"> T, </w:t>
      </w:r>
      <w:proofErr w:type="spellStart"/>
      <w:r w:rsidRPr="00E25B3A">
        <w:rPr>
          <w:rFonts w:ascii="Book Antiqua" w:eastAsia="宋体" w:hAnsi="Book Antiqua" w:cs="宋体"/>
          <w:color w:val="000000"/>
          <w:sz w:val="21"/>
          <w:szCs w:val="21"/>
        </w:rPr>
        <w:t>Farré</w:t>
      </w:r>
      <w:proofErr w:type="spellEnd"/>
      <w:r w:rsidRPr="00E25B3A">
        <w:rPr>
          <w:rFonts w:ascii="Book Antiqua" w:eastAsia="宋体" w:hAnsi="Book Antiqua" w:cs="宋体"/>
          <w:color w:val="000000"/>
          <w:sz w:val="21"/>
          <w:szCs w:val="21"/>
        </w:rPr>
        <w:t xml:space="preserve"> R, Van </w:t>
      </w:r>
      <w:proofErr w:type="spellStart"/>
      <w:r w:rsidRPr="00E25B3A">
        <w:rPr>
          <w:rFonts w:ascii="Book Antiqua" w:eastAsia="宋体" w:hAnsi="Book Antiqua" w:cs="宋体"/>
          <w:color w:val="000000"/>
          <w:sz w:val="21"/>
          <w:szCs w:val="21"/>
        </w:rPr>
        <w:t>Oudenhove</w:t>
      </w:r>
      <w:proofErr w:type="spellEnd"/>
      <w:r w:rsidRPr="00E25B3A">
        <w:rPr>
          <w:rFonts w:ascii="Book Antiqua" w:eastAsia="宋体" w:hAnsi="Book Antiqua" w:cs="宋体"/>
          <w:color w:val="000000"/>
          <w:sz w:val="21"/>
          <w:szCs w:val="21"/>
        </w:rPr>
        <w:t xml:space="preserve"> L. Efficacy of </w:t>
      </w:r>
      <w:proofErr w:type="spellStart"/>
      <w:r w:rsidRPr="00E25B3A">
        <w:rPr>
          <w:rFonts w:ascii="Book Antiqua" w:eastAsia="宋体" w:hAnsi="Book Antiqua" w:cs="宋体"/>
          <w:color w:val="000000"/>
          <w:sz w:val="21"/>
          <w:szCs w:val="21"/>
        </w:rPr>
        <w:t>buspirone</w:t>
      </w:r>
      <w:proofErr w:type="spellEnd"/>
      <w:r w:rsidRPr="00E25B3A">
        <w:rPr>
          <w:rFonts w:ascii="Book Antiqua" w:eastAsia="宋体" w:hAnsi="Book Antiqua" w:cs="宋体"/>
          <w:color w:val="000000"/>
          <w:sz w:val="21"/>
          <w:szCs w:val="21"/>
        </w:rPr>
        <w:t>, a fundus-relaxing drug, in patients with functional dyspepsia. </w:t>
      </w:r>
      <w:proofErr w:type="spellStart"/>
      <w:r w:rsidRPr="00E25B3A">
        <w:rPr>
          <w:rFonts w:ascii="Book Antiqua" w:eastAsia="宋体" w:hAnsi="Book Antiqua" w:cs="宋体"/>
          <w:i/>
          <w:iCs/>
          <w:color w:val="000000"/>
          <w:sz w:val="21"/>
          <w:szCs w:val="21"/>
        </w:rPr>
        <w:t>Clin</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Gastroenterol</w:t>
      </w:r>
      <w:proofErr w:type="spellEnd"/>
      <w:r w:rsidRPr="00E25B3A">
        <w:rPr>
          <w:rFonts w:ascii="Book Antiqua" w:eastAsia="宋体" w:hAnsi="Book Antiqua" w:cs="宋体"/>
          <w:i/>
          <w:iCs/>
          <w:color w:val="000000"/>
          <w:sz w:val="21"/>
          <w:szCs w:val="21"/>
        </w:rPr>
        <w:t xml:space="preserve"> </w:t>
      </w:r>
      <w:proofErr w:type="spellStart"/>
      <w:r w:rsidRPr="00E25B3A">
        <w:rPr>
          <w:rFonts w:ascii="Book Antiqua" w:eastAsia="宋体" w:hAnsi="Book Antiqua" w:cs="宋体"/>
          <w:i/>
          <w:iCs/>
          <w:color w:val="000000"/>
          <w:sz w:val="21"/>
          <w:szCs w:val="21"/>
        </w:rPr>
        <w:t>Hepatol</w:t>
      </w:r>
      <w:proofErr w:type="spellEnd"/>
      <w:r w:rsidRPr="00E25B3A">
        <w:rPr>
          <w:rFonts w:ascii="Book Antiqua" w:eastAsia="宋体" w:hAnsi="Book Antiqua" w:cs="宋体"/>
          <w:color w:val="000000"/>
          <w:sz w:val="21"/>
          <w:szCs w:val="21"/>
        </w:rPr>
        <w:t> 2012; </w:t>
      </w:r>
      <w:r w:rsidRPr="00E25B3A">
        <w:rPr>
          <w:rFonts w:ascii="Book Antiqua" w:eastAsia="宋体" w:hAnsi="Book Antiqua" w:cs="宋体"/>
          <w:b/>
          <w:bCs/>
          <w:color w:val="000000"/>
          <w:sz w:val="21"/>
          <w:szCs w:val="21"/>
        </w:rPr>
        <w:t>10</w:t>
      </w:r>
      <w:r w:rsidRPr="00E25B3A">
        <w:rPr>
          <w:rFonts w:ascii="Book Antiqua" w:eastAsia="宋体" w:hAnsi="Book Antiqua" w:cs="宋体"/>
          <w:color w:val="000000"/>
          <w:sz w:val="21"/>
          <w:szCs w:val="21"/>
        </w:rPr>
        <w:t>: 1239-1245 [PMID: 22813445 DOI: 10.1016/j.cgh.2012.06.036]</w:t>
      </w:r>
    </w:p>
    <w:p w:rsidR="007665BE" w:rsidRPr="00E25B3A" w:rsidRDefault="00A04967" w:rsidP="004C0AAE">
      <w:pPr>
        <w:spacing w:after="0" w:line="360" w:lineRule="auto"/>
        <w:jc w:val="right"/>
        <w:rPr>
          <w:rFonts w:ascii="Book Antiqua" w:hAnsi="Book Antiqua" w:cs="Arial"/>
          <w:sz w:val="21"/>
          <w:szCs w:val="21"/>
          <w:lang w:eastAsia="zh-CN"/>
        </w:rPr>
      </w:pPr>
      <w:r w:rsidRPr="00E25B3A">
        <w:rPr>
          <w:rFonts w:ascii="Book Antiqua" w:hAnsi="Book Antiqua"/>
          <w:b/>
          <w:bCs/>
          <w:sz w:val="21"/>
          <w:szCs w:val="21"/>
        </w:rPr>
        <w:t>P-Reviewer</w:t>
      </w:r>
      <w:r w:rsidRPr="00E25B3A">
        <w:rPr>
          <w:rFonts w:ascii="Book Antiqua" w:hAnsi="Book Antiqua" w:hint="eastAsia"/>
          <w:b/>
          <w:bCs/>
          <w:sz w:val="21"/>
          <w:szCs w:val="21"/>
          <w:lang w:eastAsia="zh-CN"/>
        </w:rPr>
        <w:t>s</w:t>
      </w:r>
      <w:r w:rsidRPr="00E25B3A">
        <w:rPr>
          <w:rFonts w:ascii="Book Antiqua" w:hAnsi="Book Antiqua" w:hint="eastAsia"/>
          <w:b/>
          <w:bCs/>
          <w:sz w:val="21"/>
          <w:szCs w:val="21"/>
        </w:rPr>
        <w:t>:</w:t>
      </w:r>
      <w:r w:rsidRPr="00E25B3A">
        <w:rPr>
          <w:rFonts w:ascii="Book Antiqua" w:hAnsi="Book Antiqua"/>
          <w:b/>
          <w:bCs/>
          <w:sz w:val="21"/>
          <w:szCs w:val="21"/>
        </w:rPr>
        <w:t xml:space="preserve"> </w:t>
      </w:r>
      <w:r w:rsidR="004C0AAE" w:rsidRPr="00E25B3A">
        <w:rPr>
          <w:rFonts w:ascii="Book Antiqua" w:hAnsi="Book Antiqua"/>
          <w:bCs/>
          <w:sz w:val="21"/>
          <w:szCs w:val="21"/>
        </w:rPr>
        <w:t>Lee A</w:t>
      </w:r>
      <w:r w:rsidR="004C0AAE" w:rsidRPr="00E25B3A">
        <w:rPr>
          <w:rFonts w:ascii="Book Antiqua" w:hAnsi="Book Antiqua" w:hint="eastAsia"/>
          <w:bCs/>
          <w:sz w:val="21"/>
          <w:szCs w:val="21"/>
          <w:lang w:eastAsia="zh-CN"/>
        </w:rPr>
        <w:t xml:space="preserve">, </w:t>
      </w:r>
      <w:r w:rsidR="004C0AAE" w:rsidRPr="00E25B3A">
        <w:rPr>
          <w:rFonts w:ascii="Book Antiqua" w:hAnsi="Book Antiqua"/>
          <w:bCs/>
          <w:sz w:val="21"/>
          <w:szCs w:val="21"/>
          <w:lang w:eastAsia="zh-CN"/>
        </w:rPr>
        <w:t>Ojeda AG</w:t>
      </w:r>
      <w:r w:rsidR="004C0AAE" w:rsidRPr="00E25B3A">
        <w:rPr>
          <w:rFonts w:ascii="Book Antiqua" w:hAnsi="Book Antiqua" w:hint="eastAsia"/>
          <w:b/>
          <w:bCs/>
          <w:sz w:val="21"/>
          <w:szCs w:val="21"/>
          <w:lang w:eastAsia="zh-CN"/>
        </w:rPr>
        <w:t xml:space="preserve"> </w:t>
      </w:r>
      <w:r w:rsidRPr="00E25B3A">
        <w:rPr>
          <w:rFonts w:ascii="Book Antiqua" w:hAnsi="Book Antiqua"/>
          <w:b/>
          <w:bCs/>
          <w:sz w:val="21"/>
          <w:szCs w:val="21"/>
        </w:rPr>
        <w:t>S-Editor</w:t>
      </w:r>
      <w:r w:rsidRPr="00E25B3A">
        <w:rPr>
          <w:rFonts w:ascii="Book Antiqua" w:hAnsi="Book Antiqua" w:hint="eastAsia"/>
          <w:b/>
          <w:bCs/>
          <w:sz w:val="21"/>
          <w:szCs w:val="21"/>
        </w:rPr>
        <w:t>:</w:t>
      </w:r>
      <w:r w:rsidRPr="00E25B3A">
        <w:rPr>
          <w:rFonts w:ascii="Book Antiqua" w:hAnsi="Book Antiqua"/>
          <w:sz w:val="21"/>
          <w:szCs w:val="21"/>
        </w:rPr>
        <w:t xml:space="preserve"> </w:t>
      </w:r>
      <w:r w:rsidRPr="00E25B3A">
        <w:rPr>
          <w:rFonts w:ascii="Book Antiqua" w:hAnsi="Book Antiqua" w:hint="eastAsia"/>
          <w:sz w:val="21"/>
          <w:szCs w:val="21"/>
          <w:lang w:eastAsia="zh-CN"/>
        </w:rPr>
        <w:t>Ma YJ</w:t>
      </w:r>
      <w:r w:rsidRPr="00E25B3A">
        <w:rPr>
          <w:rFonts w:ascii="Book Antiqua" w:hAnsi="Book Antiqua"/>
          <w:sz w:val="21"/>
          <w:szCs w:val="21"/>
        </w:rPr>
        <w:t xml:space="preserve"> </w:t>
      </w:r>
      <w:r w:rsidRPr="00E25B3A">
        <w:rPr>
          <w:rFonts w:ascii="Book Antiqua" w:hAnsi="Book Antiqua"/>
          <w:b/>
          <w:bCs/>
          <w:sz w:val="21"/>
          <w:szCs w:val="21"/>
        </w:rPr>
        <w:t>L-Editor</w:t>
      </w:r>
      <w:r w:rsidRPr="00E25B3A">
        <w:rPr>
          <w:rFonts w:ascii="Book Antiqua" w:hAnsi="Book Antiqua" w:hint="eastAsia"/>
          <w:b/>
          <w:bCs/>
          <w:sz w:val="21"/>
          <w:szCs w:val="21"/>
        </w:rPr>
        <w:t>:</w:t>
      </w:r>
      <w:r w:rsidRPr="00E25B3A">
        <w:rPr>
          <w:rFonts w:ascii="Book Antiqua" w:hAnsi="Book Antiqua"/>
          <w:sz w:val="21"/>
          <w:szCs w:val="21"/>
        </w:rPr>
        <w:t xml:space="preserve">  </w:t>
      </w:r>
      <w:r w:rsidRPr="00E25B3A">
        <w:rPr>
          <w:rFonts w:ascii="Book Antiqua" w:hAnsi="Book Antiqua"/>
          <w:b/>
          <w:bCs/>
          <w:sz w:val="21"/>
          <w:szCs w:val="21"/>
        </w:rPr>
        <w:t>E-Editor</w:t>
      </w:r>
      <w:r w:rsidRPr="00E25B3A">
        <w:rPr>
          <w:rFonts w:ascii="Book Antiqua" w:hAnsi="Book Antiqua" w:hint="eastAsia"/>
          <w:b/>
          <w:bCs/>
          <w:sz w:val="21"/>
          <w:szCs w:val="21"/>
        </w:rPr>
        <w:t>:</w:t>
      </w:r>
    </w:p>
    <w:sectPr w:rsidR="007665BE" w:rsidRPr="00E25B3A" w:rsidSect="003D5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D" w:rsidRDefault="002C301D" w:rsidP="002A4B2D">
      <w:pPr>
        <w:spacing w:after="0" w:line="240" w:lineRule="auto"/>
      </w:pPr>
      <w:r>
        <w:separator/>
      </w:r>
    </w:p>
  </w:endnote>
  <w:endnote w:type="continuationSeparator" w:id="0">
    <w:p w:rsidR="002C301D" w:rsidRDefault="002C301D" w:rsidP="002A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D" w:rsidRDefault="002C301D" w:rsidP="002A4B2D">
      <w:pPr>
        <w:spacing w:after="0" w:line="240" w:lineRule="auto"/>
      </w:pPr>
      <w:r>
        <w:separator/>
      </w:r>
    </w:p>
  </w:footnote>
  <w:footnote w:type="continuationSeparator" w:id="0">
    <w:p w:rsidR="002C301D" w:rsidRDefault="002C301D" w:rsidP="002A4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4B3"/>
    <w:multiLevelType w:val="hybridMultilevel"/>
    <w:tmpl w:val="4948E684"/>
    <w:lvl w:ilvl="0" w:tplc="1A3233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37"/>
    <w:rsid w:val="00004D95"/>
    <w:rsid w:val="00013038"/>
    <w:rsid w:val="000253F3"/>
    <w:rsid w:val="00031420"/>
    <w:rsid w:val="000B213B"/>
    <w:rsid w:val="000E5655"/>
    <w:rsid w:val="000F2EF5"/>
    <w:rsid w:val="00103C3D"/>
    <w:rsid w:val="00107300"/>
    <w:rsid w:val="00147660"/>
    <w:rsid w:val="00156FD2"/>
    <w:rsid w:val="00163132"/>
    <w:rsid w:val="001830E9"/>
    <w:rsid w:val="00191F56"/>
    <w:rsid w:val="001B509E"/>
    <w:rsid w:val="0020034A"/>
    <w:rsid w:val="00215B08"/>
    <w:rsid w:val="0026658A"/>
    <w:rsid w:val="0029658F"/>
    <w:rsid w:val="002A4B2D"/>
    <w:rsid w:val="002A6D90"/>
    <w:rsid w:val="002C301D"/>
    <w:rsid w:val="0030123E"/>
    <w:rsid w:val="00360C28"/>
    <w:rsid w:val="00375215"/>
    <w:rsid w:val="003C1804"/>
    <w:rsid w:val="003D5620"/>
    <w:rsid w:val="003F1DA2"/>
    <w:rsid w:val="00403F3C"/>
    <w:rsid w:val="00420F2B"/>
    <w:rsid w:val="00436116"/>
    <w:rsid w:val="004538CD"/>
    <w:rsid w:val="004B1102"/>
    <w:rsid w:val="004C0AAE"/>
    <w:rsid w:val="004C2F72"/>
    <w:rsid w:val="004D0ADA"/>
    <w:rsid w:val="004E3EB7"/>
    <w:rsid w:val="00500E06"/>
    <w:rsid w:val="00507AEA"/>
    <w:rsid w:val="00517E4D"/>
    <w:rsid w:val="00527291"/>
    <w:rsid w:val="005564F0"/>
    <w:rsid w:val="00563FDB"/>
    <w:rsid w:val="00571E94"/>
    <w:rsid w:val="005B1E32"/>
    <w:rsid w:val="005C743F"/>
    <w:rsid w:val="005C76BE"/>
    <w:rsid w:val="005E1073"/>
    <w:rsid w:val="005E399A"/>
    <w:rsid w:val="00606B02"/>
    <w:rsid w:val="006108D1"/>
    <w:rsid w:val="00627010"/>
    <w:rsid w:val="00635182"/>
    <w:rsid w:val="00687CE6"/>
    <w:rsid w:val="006D1AE5"/>
    <w:rsid w:val="006E2BF8"/>
    <w:rsid w:val="006F76D1"/>
    <w:rsid w:val="00712F6C"/>
    <w:rsid w:val="00725C2B"/>
    <w:rsid w:val="00742A8D"/>
    <w:rsid w:val="00746061"/>
    <w:rsid w:val="007476F0"/>
    <w:rsid w:val="0076541D"/>
    <w:rsid w:val="00765FC0"/>
    <w:rsid w:val="007665BE"/>
    <w:rsid w:val="00766F91"/>
    <w:rsid w:val="00793B27"/>
    <w:rsid w:val="007B38F8"/>
    <w:rsid w:val="007C391C"/>
    <w:rsid w:val="00807828"/>
    <w:rsid w:val="00817587"/>
    <w:rsid w:val="00825149"/>
    <w:rsid w:val="0088737D"/>
    <w:rsid w:val="008A3225"/>
    <w:rsid w:val="008C4CD3"/>
    <w:rsid w:val="009024E6"/>
    <w:rsid w:val="0095783A"/>
    <w:rsid w:val="009736E9"/>
    <w:rsid w:val="0097748F"/>
    <w:rsid w:val="009B2B56"/>
    <w:rsid w:val="009D0441"/>
    <w:rsid w:val="009E682D"/>
    <w:rsid w:val="009F2ED5"/>
    <w:rsid w:val="00A04967"/>
    <w:rsid w:val="00A05490"/>
    <w:rsid w:val="00A13726"/>
    <w:rsid w:val="00A63DE7"/>
    <w:rsid w:val="00A837A0"/>
    <w:rsid w:val="00AA412F"/>
    <w:rsid w:val="00AB412A"/>
    <w:rsid w:val="00AC1427"/>
    <w:rsid w:val="00AC1C03"/>
    <w:rsid w:val="00AC5C30"/>
    <w:rsid w:val="00AF038E"/>
    <w:rsid w:val="00AF2EDF"/>
    <w:rsid w:val="00AF5AAB"/>
    <w:rsid w:val="00B07C42"/>
    <w:rsid w:val="00B17092"/>
    <w:rsid w:val="00B54A3C"/>
    <w:rsid w:val="00B859D2"/>
    <w:rsid w:val="00BA7FEB"/>
    <w:rsid w:val="00BB26C6"/>
    <w:rsid w:val="00BE1554"/>
    <w:rsid w:val="00BF7C83"/>
    <w:rsid w:val="00C0726C"/>
    <w:rsid w:val="00C11C6E"/>
    <w:rsid w:val="00C22E17"/>
    <w:rsid w:val="00C268C4"/>
    <w:rsid w:val="00C271DD"/>
    <w:rsid w:val="00C34D34"/>
    <w:rsid w:val="00C360E6"/>
    <w:rsid w:val="00C52099"/>
    <w:rsid w:val="00C5295B"/>
    <w:rsid w:val="00C7065B"/>
    <w:rsid w:val="00C72032"/>
    <w:rsid w:val="00C72156"/>
    <w:rsid w:val="00CB0FB1"/>
    <w:rsid w:val="00D1006A"/>
    <w:rsid w:val="00D3063B"/>
    <w:rsid w:val="00D34247"/>
    <w:rsid w:val="00D36FDF"/>
    <w:rsid w:val="00D40B51"/>
    <w:rsid w:val="00D76E37"/>
    <w:rsid w:val="00DA737D"/>
    <w:rsid w:val="00E11A16"/>
    <w:rsid w:val="00E13F00"/>
    <w:rsid w:val="00E25B3A"/>
    <w:rsid w:val="00E25D6D"/>
    <w:rsid w:val="00E55042"/>
    <w:rsid w:val="00E567E5"/>
    <w:rsid w:val="00E74457"/>
    <w:rsid w:val="00EB3B87"/>
    <w:rsid w:val="00EB7DEA"/>
    <w:rsid w:val="00EC2862"/>
    <w:rsid w:val="00EE11D2"/>
    <w:rsid w:val="00F07CB7"/>
    <w:rsid w:val="00F11DDB"/>
    <w:rsid w:val="00F72541"/>
    <w:rsid w:val="00F837D8"/>
    <w:rsid w:val="00F87CA0"/>
    <w:rsid w:val="00F96A36"/>
    <w:rsid w:val="00FE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660"/>
    <w:rPr>
      <w:color w:val="0000FF" w:themeColor="hyperlink"/>
      <w:u w:val="single"/>
    </w:rPr>
  </w:style>
  <w:style w:type="paragraph" w:styleId="a4">
    <w:name w:val="Balloon Text"/>
    <w:basedOn w:val="a"/>
    <w:link w:val="Char"/>
    <w:uiPriority w:val="99"/>
    <w:semiHidden/>
    <w:unhideWhenUsed/>
    <w:rsid w:val="0014766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47660"/>
    <w:rPr>
      <w:rFonts w:ascii="Tahoma" w:hAnsi="Tahoma" w:cs="Tahoma"/>
      <w:sz w:val="16"/>
      <w:szCs w:val="16"/>
    </w:rPr>
  </w:style>
  <w:style w:type="character" w:customStyle="1" w:styleId="apple-converted-space">
    <w:name w:val="apple-converted-space"/>
    <w:basedOn w:val="a0"/>
    <w:rsid w:val="00766F91"/>
  </w:style>
  <w:style w:type="paragraph" w:styleId="a5">
    <w:name w:val="List Paragraph"/>
    <w:basedOn w:val="a"/>
    <w:uiPriority w:val="34"/>
    <w:qFormat/>
    <w:rsid w:val="00766F91"/>
    <w:pPr>
      <w:ind w:left="720"/>
      <w:contextualSpacing/>
    </w:pPr>
  </w:style>
  <w:style w:type="character" w:customStyle="1" w:styleId="highlight">
    <w:name w:val="highlight"/>
    <w:basedOn w:val="a0"/>
    <w:rsid w:val="009736E9"/>
  </w:style>
  <w:style w:type="character" w:styleId="a6">
    <w:name w:val="FollowedHyperlink"/>
    <w:basedOn w:val="a0"/>
    <w:uiPriority w:val="99"/>
    <w:semiHidden/>
    <w:unhideWhenUsed/>
    <w:rsid w:val="009B2B56"/>
    <w:rPr>
      <w:color w:val="800080" w:themeColor="followedHyperlink"/>
      <w:u w:val="single"/>
    </w:rPr>
  </w:style>
  <w:style w:type="paragraph" w:styleId="a7">
    <w:name w:val="header"/>
    <w:basedOn w:val="a"/>
    <w:link w:val="Char0"/>
    <w:uiPriority w:val="99"/>
    <w:unhideWhenUsed/>
    <w:rsid w:val="002A4B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2A4B2D"/>
    <w:rPr>
      <w:sz w:val="18"/>
      <w:szCs w:val="18"/>
    </w:rPr>
  </w:style>
  <w:style w:type="paragraph" w:styleId="a8">
    <w:name w:val="footer"/>
    <w:basedOn w:val="a"/>
    <w:link w:val="Char1"/>
    <w:uiPriority w:val="99"/>
    <w:unhideWhenUsed/>
    <w:rsid w:val="002A4B2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2A4B2D"/>
    <w:rPr>
      <w:sz w:val="18"/>
      <w:szCs w:val="18"/>
    </w:rPr>
  </w:style>
  <w:style w:type="character" w:styleId="a9">
    <w:name w:val="annotation reference"/>
    <w:basedOn w:val="a0"/>
    <w:uiPriority w:val="99"/>
    <w:semiHidden/>
    <w:unhideWhenUsed/>
    <w:rsid w:val="002A4B2D"/>
    <w:rPr>
      <w:sz w:val="21"/>
      <w:szCs w:val="21"/>
    </w:rPr>
  </w:style>
  <w:style w:type="paragraph" w:styleId="aa">
    <w:name w:val="annotation text"/>
    <w:basedOn w:val="a"/>
    <w:link w:val="Char2"/>
    <w:uiPriority w:val="99"/>
    <w:semiHidden/>
    <w:unhideWhenUsed/>
    <w:rsid w:val="002A4B2D"/>
  </w:style>
  <w:style w:type="character" w:customStyle="1" w:styleId="Char2">
    <w:name w:val="批注文字 Char"/>
    <w:basedOn w:val="a0"/>
    <w:link w:val="aa"/>
    <w:uiPriority w:val="99"/>
    <w:semiHidden/>
    <w:rsid w:val="002A4B2D"/>
  </w:style>
  <w:style w:type="paragraph" w:styleId="ab">
    <w:name w:val="annotation subject"/>
    <w:basedOn w:val="aa"/>
    <w:next w:val="aa"/>
    <w:link w:val="Char3"/>
    <w:uiPriority w:val="99"/>
    <w:semiHidden/>
    <w:unhideWhenUsed/>
    <w:rsid w:val="002A4B2D"/>
    <w:rPr>
      <w:b/>
      <w:bCs/>
    </w:rPr>
  </w:style>
  <w:style w:type="character" w:customStyle="1" w:styleId="Char3">
    <w:name w:val="批注主题 Char"/>
    <w:basedOn w:val="Char2"/>
    <w:link w:val="ab"/>
    <w:uiPriority w:val="99"/>
    <w:semiHidden/>
    <w:rsid w:val="002A4B2D"/>
    <w:rPr>
      <w:b/>
      <w:bCs/>
    </w:rPr>
  </w:style>
  <w:style w:type="paragraph" w:styleId="ac">
    <w:name w:val="Revision"/>
    <w:hidden/>
    <w:uiPriority w:val="99"/>
    <w:semiHidden/>
    <w:rsid w:val="00571E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660"/>
    <w:rPr>
      <w:color w:val="0000FF" w:themeColor="hyperlink"/>
      <w:u w:val="single"/>
    </w:rPr>
  </w:style>
  <w:style w:type="paragraph" w:styleId="a4">
    <w:name w:val="Balloon Text"/>
    <w:basedOn w:val="a"/>
    <w:link w:val="Char"/>
    <w:uiPriority w:val="99"/>
    <w:semiHidden/>
    <w:unhideWhenUsed/>
    <w:rsid w:val="0014766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47660"/>
    <w:rPr>
      <w:rFonts w:ascii="Tahoma" w:hAnsi="Tahoma" w:cs="Tahoma"/>
      <w:sz w:val="16"/>
      <w:szCs w:val="16"/>
    </w:rPr>
  </w:style>
  <w:style w:type="character" w:customStyle="1" w:styleId="apple-converted-space">
    <w:name w:val="apple-converted-space"/>
    <w:basedOn w:val="a0"/>
    <w:rsid w:val="00766F91"/>
  </w:style>
  <w:style w:type="paragraph" w:styleId="a5">
    <w:name w:val="List Paragraph"/>
    <w:basedOn w:val="a"/>
    <w:uiPriority w:val="34"/>
    <w:qFormat/>
    <w:rsid w:val="00766F91"/>
    <w:pPr>
      <w:ind w:left="720"/>
      <w:contextualSpacing/>
    </w:pPr>
  </w:style>
  <w:style w:type="character" w:customStyle="1" w:styleId="highlight">
    <w:name w:val="highlight"/>
    <w:basedOn w:val="a0"/>
    <w:rsid w:val="009736E9"/>
  </w:style>
  <w:style w:type="character" w:styleId="a6">
    <w:name w:val="FollowedHyperlink"/>
    <w:basedOn w:val="a0"/>
    <w:uiPriority w:val="99"/>
    <w:semiHidden/>
    <w:unhideWhenUsed/>
    <w:rsid w:val="009B2B56"/>
    <w:rPr>
      <w:color w:val="800080" w:themeColor="followedHyperlink"/>
      <w:u w:val="single"/>
    </w:rPr>
  </w:style>
  <w:style w:type="paragraph" w:styleId="a7">
    <w:name w:val="header"/>
    <w:basedOn w:val="a"/>
    <w:link w:val="Char0"/>
    <w:uiPriority w:val="99"/>
    <w:unhideWhenUsed/>
    <w:rsid w:val="002A4B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2A4B2D"/>
    <w:rPr>
      <w:sz w:val="18"/>
      <w:szCs w:val="18"/>
    </w:rPr>
  </w:style>
  <w:style w:type="paragraph" w:styleId="a8">
    <w:name w:val="footer"/>
    <w:basedOn w:val="a"/>
    <w:link w:val="Char1"/>
    <w:uiPriority w:val="99"/>
    <w:unhideWhenUsed/>
    <w:rsid w:val="002A4B2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2A4B2D"/>
    <w:rPr>
      <w:sz w:val="18"/>
      <w:szCs w:val="18"/>
    </w:rPr>
  </w:style>
  <w:style w:type="character" w:styleId="a9">
    <w:name w:val="annotation reference"/>
    <w:basedOn w:val="a0"/>
    <w:uiPriority w:val="99"/>
    <w:semiHidden/>
    <w:unhideWhenUsed/>
    <w:rsid w:val="002A4B2D"/>
    <w:rPr>
      <w:sz w:val="21"/>
      <w:szCs w:val="21"/>
    </w:rPr>
  </w:style>
  <w:style w:type="paragraph" w:styleId="aa">
    <w:name w:val="annotation text"/>
    <w:basedOn w:val="a"/>
    <w:link w:val="Char2"/>
    <w:uiPriority w:val="99"/>
    <w:semiHidden/>
    <w:unhideWhenUsed/>
    <w:rsid w:val="002A4B2D"/>
  </w:style>
  <w:style w:type="character" w:customStyle="1" w:styleId="Char2">
    <w:name w:val="批注文字 Char"/>
    <w:basedOn w:val="a0"/>
    <w:link w:val="aa"/>
    <w:uiPriority w:val="99"/>
    <w:semiHidden/>
    <w:rsid w:val="002A4B2D"/>
  </w:style>
  <w:style w:type="paragraph" w:styleId="ab">
    <w:name w:val="annotation subject"/>
    <w:basedOn w:val="aa"/>
    <w:next w:val="aa"/>
    <w:link w:val="Char3"/>
    <w:uiPriority w:val="99"/>
    <w:semiHidden/>
    <w:unhideWhenUsed/>
    <w:rsid w:val="002A4B2D"/>
    <w:rPr>
      <w:b/>
      <w:bCs/>
    </w:rPr>
  </w:style>
  <w:style w:type="character" w:customStyle="1" w:styleId="Char3">
    <w:name w:val="批注主题 Char"/>
    <w:basedOn w:val="Char2"/>
    <w:link w:val="ab"/>
    <w:uiPriority w:val="99"/>
    <w:semiHidden/>
    <w:rsid w:val="002A4B2D"/>
    <w:rPr>
      <w:b/>
      <w:bCs/>
    </w:rPr>
  </w:style>
  <w:style w:type="paragraph" w:styleId="ac">
    <w:name w:val="Revision"/>
    <w:hidden/>
    <w:uiPriority w:val="99"/>
    <w:semiHidden/>
    <w:rsid w:val="00571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1176">
      <w:bodyDiv w:val="1"/>
      <w:marLeft w:val="0"/>
      <w:marRight w:val="0"/>
      <w:marTop w:val="0"/>
      <w:marBottom w:val="0"/>
      <w:divBdr>
        <w:top w:val="none" w:sz="0" w:space="0" w:color="auto"/>
        <w:left w:val="none" w:sz="0" w:space="0" w:color="auto"/>
        <w:bottom w:val="none" w:sz="0" w:space="0" w:color="auto"/>
        <w:right w:val="none" w:sz="0" w:space="0" w:color="auto"/>
      </w:divBdr>
      <w:divsChild>
        <w:div w:id="165285929">
          <w:marLeft w:val="0"/>
          <w:marRight w:val="1"/>
          <w:marTop w:val="0"/>
          <w:marBottom w:val="0"/>
          <w:divBdr>
            <w:top w:val="none" w:sz="0" w:space="0" w:color="auto"/>
            <w:left w:val="none" w:sz="0" w:space="0" w:color="auto"/>
            <w:bottom w:val="none" w:sz="0" w:space="0" w:color="auto"/>
            <w:right w:val="none" w:sz="0" w:space="0" w:color="auto"/>
          </w:divBdr>
          <w:divsChild>
            <w:div w:id="1775056059">
              <w:marLeft w:val="0"/>
              <w:marRight w:val="0"/>
              <w:marTop w:val="0"/>
              <w:marBottom w:val="0"/>
              <w:divBdr>
                <w:top w:val="none" w:sz="0" w:space="0" w:color="auto"/>
                <w:left w:val="none" w:sz="0" w:space="0" w:color="auto"/>
                <w:bottom w:val="none" w:sz="0" w:space="0" w:color="auto"/>
                <w:right w:val="none" w:sz="0" w:space="0" w:color="auto"/>
              </w:divBdr>
              <w:divsChild>
                <w:div w:id="1013921311">
                  <w:marLeft w:val="0"/>
                  <w:marRight w:val="1"/>
                  <w:marTop w:val="0"/>
                  <w:marBottom w:val="0"/>
                  <w:divBdr>
                    <w:top w:val="none" w:sz="0" w:space="0" w:color="auto"/>
                    <w:left w:val="none" w:sz="0" w:space="0" w:color="auto"/>
                    <w:bottom w:val="none" w:sz="0" w:space="0" w:color="auto"/>
                    <w:right w:val="none" w:sz="0" w:space="0" w:color="auto"/>
                  </w:divBdr>
                  <w:divsChild>
                    <w:div w:id="440034112">
                      <w:marLeft w:val="0"/>
                      <w:marRight w:val="0"/>
                      <w:marTop w:val="0"/>
                      <w:marBottom w:val="0"/>
                      <w:divBdr>
                        <w:top w:val="none" w:sz="0" w:space="0" w:color="auto"/>
                        <w:left w:val="none" w:sz="0" w:space="0" w:color="auto"/>
                        <w:bottom w:val="none" w:sz="0" w:space="0" w:color="auto"/>
                        <w:right w:val="none" w:sz="0" w:space="0" w:color="auto"/>
                      </w:divBdr>
                      <w:divsChild>
                        <w:div w:id="792669571">
                          <w:marLeft w:val="0"/>
                          <w:marRight w:val="0"/>
                          <w:marTop w:val="0"/>
                          <w:marBottom w:val="0"/>
                          <w:divBdr>
                            <w:top w:val="none" w:sz="0" w:space="0" w:color="auto"/>
                            <w:left w:val="none" w:sz="0" w:space="0" w:color="auto"/>
                            <w:bottom w:val="none" w:sz="0" w:space="0" w:color="auto"/>
                            <w:right w:val="none" w:sz="0" w:space="0" w:color="auto"/>
                          </w:divBdr>
                          <w:divsChild>
                            <w:div w:id="1298418297">
                              <w:marLeft w:val="0"/>
                              <w:marRight w:val="0"/>
                              <w:marTop w:val="120"/>
                              <w:marBottom w:val="360"/>
                              <w:divBdr>
                                <w:top w:val="none" w:sz="0" w:space="0" w:color="auto"/>
                                <w:left w:val="none" w:sz="0" w:space="0" w:color="auto"/>
                                <w:bottom w:val="none" w:sz="0" w:space="0" w:color="auto"/>
                                <w:right w:val="none" w:sz="0" w:space="0" w:color="auto"/>
                              </w:divBdr>
                              <w:divsChild>
                                <w:div w:id="641471813">
                                  <w:marLeft w:val="0"/>
                                  <w:marRight w:val="0"/>
                                  <w:marTop w:val="0"/>
                                  <w:marBottom w:val="0"/>
                                  <w:divBdr>
                                    <w:top w:val="none" w:sz="0" w:space="0" w:color="auto"/>
                                    <w:left w:val="none" w:sz="0" w:space="0" w:color="auto"/>
                                    <w:bottom w:val="none" w:sz="0" w:space="0" w:color="auto"/>
                                    <w:right w:val="none" w:sz="0" w:space="0" w:color="auto"/>
                                  </w:divBdr>
                                </w:div>
                                <w:div w:id="56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63076">
      <w:bodyDiv w:val="1"/>
      <w:marLeft w:val="0"/>
      <w:marRight w:val="0"/>
      <w:marTop w:val="0"/>
      <w:marBottom w:val="0"/>
      <w:divBdr>
        <w:top w:val="none" w:sz="0" w:space="0" w:color="auto"/>
        <w:left w:val="none" w:sz="0" w:space="0" w:color="auto"/>
        <w:bottom w:val="none" w:sz="0" w:space="0" w:color="auto"/>
        <w:right w:val="none" w:sz="0" w:space="0" w:color="auto"/>
      </w:divBdr>
    </w:div>
    <w:div w:id="606740870">
      <w:bodyDiv w:val="1"/>
      <w:marLeft w:val="0"/>
      <w:marRight w:val="0"/>
      <w:marTop w:val="0"/>
      <w:marBottom w:val="0"/>
      <w:divBdr>
        <w:top w:val="none" w:sz="0" w:space="0" w:color="auto"/>
        <w:left w:val="none" w:sz="0" w:space="0" w:color="auto"/>
        <w:bottom w:val="none" w:sz="0" w:space="0" w:color="auto"/>
        <w:right w:val="none" w:sz="0" w:space="0" w:color="auto"/>
      </w:divBdr>
    </w:div>
    <w:div w:id="663632517">
      <w:bodyDiv w:val="1"/>
      <w:marLeft w:val="0"/>
      <w:marRight w:val="0"/>
      <w:marTop w:val="0"/>
      <w:marBottom w:val="0"/>
      <w:divBdr>
        <w:top w:val="none" w:sz="0" w:space="0" w:color="auto"/>
        <w:left w:val="none" w:sz="0" w:space="0" w:color="auto"/>
        <w:bottom w:val="none" w:sz="0" w:space="0" w:color="auto"/>
        <w:right w:val="none" w:sz="0" w:space="0" w:color="auto"/>
      </w:divBdr>
    </w:div>
    <w:div w:id="693533062">
      <w:bodyDiv w:val="1"/>
      <w:marLeft w:val="0"/>
      <w:marRight w:val="0"/>
      <w:marTop w:val="0"/>
      <w:marBottom w:val="0"/>
      <w:divBdr>
        <w:top w:val="none" w:sz="0" w:space="0" w:color="auto"/>
        <w:left w:val="none" w:sz="0" w:space="0" w:color="auto"/>
        <w:bottom w:val="none" w:sz="0" w:space="0" w:color="auto"/>
        <w:right w:val="none" w:sz="0" w:space="0" w:color="auto"/>
      </w:divBdr>
    </w:div>
    <w:div w:id="842476599">
      <w:bodyDiv w:val="1"/>
      <w:marLeft w:val="0"/>
      <w:marRight w:val="0"/>
      <w:marTop w:val="0"/>
      <w:marBottom w:val="0"/>
      <w:divBdr>
        <w:top w:val="none" w:sz="0" w:space="0" w:color="auto"/>
        <w:left w:val="none" w:sz="0" w:space="0" w:color="auto"/>
        <w:bottom w:val="none" w:sz="0" w:space="0" w:color="auto"/>
        <w:right w:val="none" w:sz="0" w:space="0" w:color="auto"/>
      </w:divBdr>
    </w:div>
    <w:div w:id="1190683832">
      <w:bodyDiv w:val="1"/>
      <w:marLeft w:val="0"/>
      <w:marRight w:val="0"/>
      <w:marTop w:val="0"/>
      <w:marBottom w:val="0"/>
      <w:divBdr>
        <w:top w:val="none" w:sz="0" w:space="0" w:color="auto"/>
        <w:left w:val="none" w:sz="0" w:space="0" w:color="auto"/>
        <w:bottom w:val="none" w:sz="0" w:space="0" w:color="auto"/>
        <w:right w:val="none" w:sz="0" w:space="0" w:color="auto"/>
      </w:divBdr>
    </w:div>
    <w:div w:id="1198472301">
      <w:bodyDiv w:val="1"/>
      <w:marLeft w:val="0"/>
      <w:marRight w:val="0"/>
      <w:marTop w:val="0"/>
      <w:marBottom w:val="0"/>
      <w:divBdr>
        <w:top w:val="none" w:sz="0" w:space="0" w:color="auto"/>
        <w:left w:val="none" w:sz="0" w:space="0" w:color="auto"/>
        <w:bottom w:val="none" w:sz="0" w:space="0" w:color="auto"/>
        <w:right w:val="none" w:sz="0" w:space="0" w:color="auto"/>
      </w:divBdr>
      <w:divsChild>
        <w:div w:id="1675839545">
          <w:marLeft w:val="0"/>
          <w:marRight w:val="0"/>
          <w:marTop w:val="0"/>
          <w:marBottom w:val="0"/>
          <w:divBdr>
            <w:top w:val="none" w:sz="0" w:space="0" w:color="auto"/>
            <w:left w:val="none" w:sz="0" w:space="0" w:color="auto"/>
            <w:bottom w:val="single" w:sz="6" w:space="0" w:color="999999"/>
            <w:right w:val="none" w:sz="0" w:space="0" w:color="auto"/>
          </w:divBdr>
          <w:divsChild>
            <w:div w:id="1371222152">
              <w:marLeft w:val="0"/>
              <w:marRight w:val="0"/>
              <w:marTop w:val="0"/>
              <w:marBottom w:val="0"/>
              <w:divBdr>
                <w:top w:val="none" w:sz="0" w:space="0" w:color="auto"/>
                <w:left w:val="single" w:sz="6" w:space="8" w:color="999999"/>
                <w:bottom w:val="single" w:sz="6" w:space="8" w:color="999999"/>
                <w:right w:val="single" w:sz="6" w:space="0" w:color="999999"/>
              </w:divBdr>
              <w:divsChild>
                <w:div w:id="2042854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6962736">
      <w:bodyDiv w:val="1"/>
      <w:marLeft w:val="0"/>
      <w:marRight w:val="0"/>
      <w:marTop w:val="0"/>
      <w:marBottom w:val="0"/>
      <w:divBdr>
        <w:top w:val="none" w:sz="0" w:space="0" w:color="auto"/>
        <w:left w:val="none" w:sz="0" w:space="0" w:color="auto"/>
        <w:bottom w:val="none" w:sz="0" w:space="0" w:color="auto"/>
        <w:right w:val="none" w:sz="0" w:space="0" w:color="auto"/>
      </w:divBdr>
    </w:div>
    <w:div w:id="1320960591">
      <w:bodyDiv w:val="1"/>
      <w:marLeft w:val="0"/>
      <w:marRight w:val="0"/>
      <w:marTop w:val="0"/>
      <w:marBottom w:val="0"/>
      <w:divBdr>
        <w:top w:val="none" w:sz="0" w:space="0" w:color="auto"/>
        <w:left w:val="none" w:sz="0" w:space="0" w:color="auto"/>
        <w:bottom w:val="none" w:sz="0" w:space="0" w:color="auto"/>
        <w:right w:val="none" w:sz="0" w:space="0" w:color="auto"/>
      </w:divBdr>
      <w:divsChild>
        <w:div w:id="72505933">
          <w:marLeft w:val="0"/>
          <w:marRight w:val="0"/>
          <w:marTop w:val="0"/>
          <w:marBottom w:val="0"/>
          <w:divBdr>
            <w:top w:val="none" w:sz="0" w:space="0" w:color="auto"/>
            <w:left w:val="none" w:sz="0" w:space="0" w:color="auto"/>
            <w:bottom w:val="single" w:sz="6" w:space="0" w:color="999999"/>
            <w:right w:val="none" w:sz="0" w:space="0" w:color="auto"/>
          </w:divBdr>
          <w:divsChild>
            <w:div w:id="2171089">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408651461">
      <w:bodyDiv w:val="1"/>
      <w:marLeft w:val="0"/>
      <w:marRight w:val="0"/>
      <w:marTop w:val="0"/>
      <w:marBottom w:val="0"/>
      <w:divBdr>
        <w:top w:val="none" w:sz="0" w:space="0" w:color="auto"/>
        <w:left w:val="none" w:sz="0" w:space="0" w:color="auto"/>
        <w:bottom w:val="none" w:sz="0" w:space="0" w:color="auto"/>
        <w:right w:val="none" w:sz="0" w:space="0" w:color="auto"/>
      </w:divBdr>
      <w:divsChild>
        <w:div w:id="1781416073">
          <w:marLeft w:val="0"/>
          <w:marRight w:val="1"/>
          <w:marTop w:val="0"/>
          <w:marBottom w:val="0"/>
          <w:divBdr>
            <w:top w:val="none" w:sz="0" w:space="0" w:color="auto"/>
            <w:left w:val="none" w:sz="0" w:space="0" w:color="auto"/>
            <w:bottom w:val="none" w:sz="0" w:space="0" w:color="auto"/>
            <w:right w:val="none" w:sz="0" w:space="0" w:color="auto"/>
          </w:divBdr>
          <w:divsChild>
            <w:div w:id="244846155">
              <w:marLeft w:val="0"/>
              <w:marRight w:val="0"/>
              <w:marTop w:val="0"/>
              <w:marBottom w:val="0"/>
              <w:divBdr>
                <w:top w:val="none" w:sz="0" w:space="0" w:color="auto"/>
                <w:left w:val="none" w:sz="0" w:space="0" w:color="auto"/>
                <w:bottom w:val="none" w:sz="0" w:space="0" w:color="auto"/>
                <w:right w:val="none" w:sz="0" w:space="0" w:color="auto"/>
              </w:divBdr>
              <w:divsChild>
                <w:div w:id="1300921506">
                  <w:marLeft w:val="0"/>
                  <w:marRight w:val="1"/>
                  <w:marTop w:val="0"/>
                  <w:marBottom w:val="0"/>
                  <w:divBdr>
                    <w:top w:val="none" w:sz="0" w:space="0" w:color="auto"/>
                    <w:left w:val="none" w:sz="0" w:space="0" w:color="auto"/>
                    <w:bottom w:val="none" w:sz="0" w:space="0" w:color="auto"/>
                    <w:right w:val="none" w:sz="0" w:space="0" w:color="auto"/>
                  </w:divBdr>
                  <w:divsChild>
                    <w:div w:id="1631471940">
                      <w:marLeft w:val="0"/>
                      <w:marRight w:val="0"/>
                      <w:marTop w:val="0"/>
                      <w:marBottom w:val="0"/>
                      <w:divBdr>
                        <w:top w:val="none" w:sz="0" w:space="0" w:color="auto"/>
                        <w:left w:val="none" w:sz="0" w:space="0" w:color="auto"/>
                        <w:bottom w:val="none" w:sz="0" w:space="0" w:color="auto"/>
                        <w:right w:val="none" w:sz="0" w:space="0" w:color="auto"/>
                      </w:divBdr>
                      <w:divsChild>
                        <w:div w:id="1501965441">
                          <w:marLeft w:val="0"/>
                          <w:marRight w:val="0"/>
                          <w:marTop w:val="0"/>
                          <w:marBottom w:val="0"/>
                          <w:divBdr>
                            <w:top w:val="none" w:sz="0" w:space="0" w:color="auto"/>
                            <w:left w:val="none" w:sz="0" w:space="0" w:color="auto"/>
                            <w:bottom w:val="none" w:sz="0" w:space="0" w:color="auto"/>
                            <w:right w:val="none" w:sz="0" w:space="0" w:color="auto"/>
                          </w:divBdr>
                          <w:divsChild>
                            <w:div w:id="44373549">
                              <w:marLeft w:val="0"/>
                              <w:marRight w:val="0"/>
                              <w:marTop w:val="120"/>
                              <w:marBottom w:val="360"/>
                              <w:divBdr>
                                <w:top w:val="none" w:sz="0" w:space="0" w:color="auto"/>
                                <w:left w:val="none" w:sz="0" w:space="0" w:color="auto"/>
                                <w:bottom w:val="none" w:sz="0" w:space="0" w:color="auto"/>
                                <w:right w:val="none" w:sz="0" w:space="0" w:color="auto"/>
                              </w:divBdr>
                              <w:divsChild>
                                <w:div w:id="1357927049">
                                  <w:marLeft w:val="0"/>
                                  <w:marRight w:val="0"/>
                                  <w:marTop w:val="0"/>
                                  <w:marBottom w:val="0"/>
                                  <w:divBdr>
                                    <w:top w:val="none" w:sz="0" w:space="0" w:color="auto"/>
                                    <w:left w:val="none" w:sz="0" w:space="0" w:color="auto"/>
                                    <w:bottom w:val="none" w:sz="0" w:space="0" w:color="auto"/>
                                    <w:right w:val="none" w:sz="0" w:space="0" w:color="auto"/>
                                  </w:divBdr>
                                </w:div>
                                <w:div w:id="1808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0233">
      <w:bodyDiv w:val="1"/>
      <w:marLeft w:val="0"/>
      <w:marRight w:val="0"/>
      <w:marTop w:val="0"/>
      <w:marBottom w:val="0"/>
      <w:divBdr>
        <w:top w:val="none" w:sz="0" w:space="0" w:color="auto"/>
        <w:left w:val="none" w:sz="0" w:space="0" w:color="auto"/>
        <w:bottom w:val="none" w:sz="0" w:space="0" w:color="auto"/>
        <w:right w:val="none" w:sz="0" w:space="0" w:color="auto"/>
      </w:divBdr>
    </w:div>
    <w:div w:id="1785036292">
      <w:bodyDiv w:val="1"/>
      <w:marLeft w:val="0"/>
      <w:marRight w:val="0"/>
      <w:marTop w:val="0"/>
      <w:marBottom w:val="0"/>
      <w:divBdr>
        <w:top w:val="none" w:sz="0" w:space="0" w:color="auto"/>
        <w:left w:val="none" w:sz="0" w:space="0" w:color="auto"/>
        <w:bottom w:val="none" w:sz="0" w:space="0" w:color="auto"/>
        <w:right w:val="none" w:sz="0" w:space="0" w:color="auto"/>
      </w:divBdr>
    </w:div>
    <w:div w:id="1916697296">
      <w:bodyDiv w:val="1"/>
      <w:marLeft w:val="0"/>
      <w:marRight w:val="0"/>
      <w:marTop w:val="0"/>
      <w:marBottom w:val="0"/>
      <w:divBdr>
        <w:top w:val="none" w:sz="0" w:space="0" w:color="auto"/>
        <w:left w:val="none" w:sz="0" w:space="0" w:color="auto"/>
        <w:bottom w:val="none" w:sz="0" w:space="0" w:color="auto"/>
        <w:right w:val="none" w:sz="0" w:space="0" w:color="auto"/>
      </w:divBdr>
      <w:divsChild>
        <w:div w:id="528684233">
          <w:marLeft w:val="0"/>
          <w:marRight w:val="0"/>
          <w:marTop w:val="0"/>
          <w:marBottom w:val="0"/>
          <w:divBdr>
            <w:top w:val="none" w:sz="0" w:space="0" w:color="auto"/>
            <w:left w:val="none" w:sz="0" w:space="0" w:color="auto"/>
            <w:bottom w:val="single" w:sz="6" w:space="0" w:color="999999"/>
            <w:right w:val="none" w:sz="0" w:space="0" w:color="auto"/>
          </w:divBdr>
          <w:divsChild>
            <w:div w:id="111673461">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2099861890">
      <w:bodyDiv w:val="1"/>
      <w:marLeft w:val="0"/>
      <w:marRight w:val="0"/>
      <w:marTop w:val="0"/>
      <w:marBottom w:val="0"/>
      <w:divBdr>
        <w:top w:val="none" w:sz="0" w:space="0" w:color="auto"/>
        <w:left w:val="none" w:sz="0" w:space="0" w:color="auto"/>
        <w:bottom w:val="none" w:sz="0" w:space="0" w:color="auto"/>
        <w:right w:val="none" w:sz="0" w:space="0" w:color="auto"/>
      </w:divBdr>
      <w:divsChild>
        <w:div w:id="698549762">
          <w:marLeft w:val="0"/>
          <w:marRight w:val="1"/>
          <w:marTop w:val="0"/>
          <w:marBottom w:val="0"/>
          <w:divBdr>
            <w:top w:val="none" w:sz="0" w:space="0" w:color="auto"/>
            <w:left w:val="none" w:sz="0" w:space="0" w:color="auto"/>
            <w:bottom w:val="none" w:sz="0" w:space="0" w:color="auto"/>
            <w:right w:val="none" w:sz="0" w:space="0" w:color="auto"/>
          </w:divBdr>
          <w:divsChild>
            <w:div w:id="1622805179">
              <w:marLeft w:val="0"/>
              <w:marRight w:val="0"/>
              <w:marTop w:val="0"/>
              <w:marBottom w:val="0"/>
              <w:divBdr>
                <w:top w:val="none" w:sz="0" w:space="0" w:color="auto"/>
                <w:left w:val="none" w:sz="0" w:space="0" w:color="auto"/>
                <w:bottom w:val="none" w:sz="0" w:space="0" w:color="auto"/>
                <w:right w:val="none" w:sz="0" w:space="0" w:color="auto"/>
              </w:divBdr>
              <w:divsChild>
                <w:div w:id="526213559">
                  <w:marLeft w:val="0"/>
                  <w:marRight w:val="1"/>
                  <w:marTop w:val="0"/>
                  <w:marBottom w:val="0"/>
                  <w:divBdr>
                    <w:top w:val="none" w:sz="0" w:space="0" w:color="auto"/>
                    <w:left w:val="none" w:sz="0" w:space="0" w:color="auto"/>
                    <w:bottom w:val="none" w:sz="0" w:space="0" w:color="auto"/>
                    <w:right w:val="none" w:sz="0" w:space="0" w:color="auto"/>
                  </w:divBdr>
                  <w:divsChild>
                    <w:div w:id="940377319">
                      <w:marLeft w:val="0"/>
                      <w:marRight w:val="0"/>
                      <w:marTop w:val="0"/>
                      <w:marBottom w:val="0"/>
                      <w:divBdr>
                        <w:top w:val="none" w:sz="0" w:space="0" w:color="auto"/>
                        <w:left w:val="none" w:sz="0" w:space="0" w:color="auto"/>
                        <w:bottom w:val="none" w:sz="0" w:space="0" w:color="auto"/>
                        <w:right w:val="none" w:sz="0" w:space="0" w:color="auto"/>
                      </w:divBdr>
                      <w:divsChild>
                        <w:div w:id="967591659">
                          <w:marLeft w:val="0"/>
                          <w:marRight w:val="0"/>
                          <w:marTop w:val="0"/>
                          <w:marBottom w:val="0"/>
                          <w:divBdr>
                            <w:top w:val="none" w:sz="0" w:space="0" w:color="auto"/>
                            <w:left w:val="none" w:sz="0" w:space="0" w:color="auto"/>
                            <w:bottom w:val="none" w:sz="0" w:space="0" w:color="auto"/>
                            <w:right w:val="none" w:sz="0" w:space="0" w:color="auto"/>
                          </w:divBdr>
                          <w:divsChild>
                            <w:div w:id="1912763495">
                              <w:marLeft w:val="0"/>
                              <w:marRight w:val="0"/>
                              <w:marTop w:val="120"/>
                              <w:marBottom w:val="360"/>
                              <w:divBdr>
                                <w:top w:val="none" w:sz="0" w:space="0" w:color="auto"/>
                                <w:left w:val="none" w:sz="0" w:space="0" w:color="auto"/>
                                <w:bottom w:val="none" w:sz="0" w:space="0" w:color="auto"/>
                                <w:right w:val="none" w:sz="0" w:space="0" w:color="auto"/>
                              </w:divBdr>
                              <w:divsChild>
                                <w:div w:id="1122915652">
                                  <w:marLeft w:val="0"/>
                                  <w:marRight w:val="0"/>
                                  <w:marTop w:val="0"/>
                                  <w:marBottom w:val="0"/>
                                  <w:divBdr>
                                    <w:top w:val="none" w:sz="0" w:space="0" w:color="auto"/>
                                    <w:left w:val="none" w:sz="0" w:space="0" w:color="auto"/>
                                    <w:bottom w:val="none" w:sz="0" w:space="0" w:color="auto"/>
                                    <w:right w:val="none" w:sz="0" w:space="0" w:color="auto"/>
                                  </w:divBdr>
                                </w:div>
                                <w:div w:id="6883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7F80-8EEA-44B5-B756-DF1877F6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Levinthal, David</dc:creator>
  <cp:lastModifiedBy>LS Ma</cp:lastModifiedBy>
  <cp:revision>2</cp:revision>
  <cp:lastPrinted>2014-01-07T14:36:00Z</cp:lastPrinted>
  <dcterms:created xsi:type="dcterms:W3CDTF">2014-03-04T17:39:00Z</dcterms:created>
  <dcterms:modified xsi:type="dcterms:W3CDTF">2014-03-04T17:39:00Z</dcterms:modified>
</cp:coreProperties>
</file>