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D698"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Name of Journal: </w:t>
      </w:r>
      <w:r w:rsidRPr="00BA2B87">
        <w:rPr>
          <w:rFonts w:ascii="Book Antiqua" w:eastAsia="Book Antiqua" w:hAnsi="Book Antiqua" w:cs="Book Antiqua"/>
          <w:i/>
          <w:color w:val="000000"/>
        </w:rPr>
        <w:t>World Journal of Gastrointestinal Oncology</w:t>
      </w:r>
    </w:p>
    <w:p w14:paraId="50E864AE"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Manuscript NO: </w:t>
      </w:r>
      <w:r w:rsidRPr="00BA2B87">
        <w:rPr>
          <w:rFonts w:ascii="Book Antiqua" w:eastAsia="Book Antiqua" w:hAnsi="Book Antiqua" w:cs="Book Antiqua"/>
          <w:color w:val="000000"/>
        </w:rPr>
        <w:t>65406</w:t>
      </w:r>
    </w:p>
    <w:p w14:paraId="7E6B416C"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Manuscript Type: </w:t>
      </w:r>
      <w:r w:rsidRPr="00BA2B87">
        <w:rPr>
          <w:rFonts w:ascii="Book Antiqua" w:eastAsia="Book Antiqua" w:hAnsi="Book Antiqua" w:cs="Book Antiqua"/>
          <w:color w:val="000000"/>
        </w:rPr>
        <w:t>REVIEW</w:t>
      </w:r>
    </w:p>
    <w:p w14:paraId="73B9C0BF" w14:textId="77777777" w:rsidR="00A77B3E" w:rsidRPr="00BA2B87" w:rsidRDefault="00A77B3E" w:rsidP="00BA2B87">
      <w:pPr>
        <w:spacing w:line="360" w:lineRule="auto"/>
        <w:jc w:val="both"/>
        <w:rPr>
          <w:rFonts w:ascii="Book Antiqua" w:hAnsi="Book Antiqua"/>
        </w:rPr>
      </w:pPr>
    </w:p>
    <w:p w14:paraId="38244A9C"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Systems-level biomarkers identification and drug repositioning in colorectal cancer</w:t>
      </w:r>
    </w:p>
    <w:p w14:paraId="634F19D0" w14:textId="77777777" w:rsidR="00A77B3E" w:rsidRPr="00BA2B87" w:rsidRDefault="00A77B3E" w:rsidP="00BA2B87">
      <w:pPr>
        <w:spacing w:line="360" w:lineRule="auto"/>
        <w:jc w:val="both"/>
        <w:rPr>
          <w:rFonts w:ascii="Book Antiqua" w:hAnsi="Book Antiqua"/>
        </w:rPr>
      </w:pPr>
    </w:p>
    <w:p w14:paraId="6C9E23EA" w14:textId="04E1793C" w:rsidR="00A77B3E" w:rsidRPr="00BA2B87" w:rsidRDefault="00B6393B" w:rsidP="00BA2B87">
      <w:pPr>
        <w:spacing w:line="360" w:lineRule="auto"/>
        <w:jc w:val="both"/>
        <w:rPr>
          <w:rFonts w:ascii="Book Antiqua" w:hAnsi="Book Antiqua"/>
        </w:rPr>
      </w:pPr>
      <w:r w:rsidRPr="00BA2B87">
        <w:rPr>
          <w:rFonts w:ascii="Book Antiqua" w:eastAsia="Book Antiqua" w:hAnsi="Book Antiqua" w:cs="Book Antiqua"/>
          <w:color w:val="000000"/>
        </w:rPr>
        <w:t xml:space="preserve">Beklen </w:t>
      </w:r>
      <w:r>
        <w:rPr>
          <w:rFonts w:ascii="Book Antiqua" w:eastAsia="Book Antiqua" w:hAnsi="Book Antiqua" w:cs="Book Antiqua"/>
          <w:color w:val="000000"/>
        </w:rPr>
        <w:t xml:space="preserve">H </w:t>
      </w:r>
      <w:r w:rsidRPr="00B6393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25687" w:rsidRPr="00BA2B87">
        <w:rPr>
          <w:rFonts w:ascii="Book Antiqua" w:eastAsia="Book Antiqua" w:hAnsi="Book Antiqua" w:cs="Book Antiqua"/>
          <w:color w:val="000000"/>
        </w:rPr>
        <w:t xml:space="preserve">Systems level CRC biomarkers and </w:t>
      </w:r>
      <w:r w:rsidR="009C37C8">
        <w:rPr>
          <w:rFonts w:ascii="Book Antiqua" w:eastAsia="Book Antiqua" w:hAnsi="Book Antiqua" w:cs="Book Antiqua"/>
          <w:color w:val="000000"/>
        </w:rPr>
        <w:t>DR</w:t>
      </w:r>
    </w:p>
    <w:p w14:paraId="09D4C2AB" w14:textId="77777777" w:rsidR="00A77B3E" w:rsidRPr="00BA2B87" w:rsidRDefault="00A77B3E" w:rsidP="00BA2B87">
      <w:pPr>
        <w:spacing w:line="360" w:lineRule="auto"/>
        <w:jc w:val="both"/>
        <w:rPr>
          <w:rFonts w:ascii="Book Antiqua" w:hAnsi="Book Antiqua"/>
        </w:rPr>
      </w:pPr>
    </w:p>
    <w:p w14:paraId="423CDAEF"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Hande Beklen, Esra Yildirim, Medi Kori, Beste Turanli, Kazim Yalcin Arga</w:t>
      </w:r>
    </w:p>
    <w:p w14:paraId="33A7E13C" w14:textId="77777777" w:rsidR="00A77B3E" w:rsidRPr="00BA2B87" w:rsidRDefault="00A77B3E" w:rsidP="00BA2B87">
      <w:pPr>
        <w:spacing w:line="360" w:lineRule="auto"/>
        <w:jc w:val="both"/>
        <w:rPr>
          <w:rFonts w:ascii="Book Antiqua" w:hAnsi="Book Antiqua"/>
        </w:rPr>
      </w:pPr>
    </w:p>
    <w:p w14:paraId="4A788F8A"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Hande Beklen, Esra Yildirim, Medi Kori, Beste Turanli, Kazim Yalcin Arga, </w:t>
      </w:r>
      <w:r w:rsidRPr="00BA2B87">
        <w:rPr>
          <w:rFonts w:ascii="Book Antiqua" w:eastAsia="Book Antiqua" w:hAnsi="Book Antiqua" w:cs="Book Antiqua"/>
          <w:color w:val="000000"/>
        </w:rPr>
        <w:t>Department of Bioengineering, Marmara University, Istanbul 34722, Turkey</w:t>
      </w:r>
    </w:p>
    <w:p w14:paraId="0E278BAF" w14:textId="77777777" w:rsidR="00A77B3E" w:rsidRPr="00BA2B87" w:rsidRDefault="00A77B3E" w:rsidP="00BA2B87">
      <w:pPr>
        <w:spacing w:line="360" w:lineRule="auto"/>
        <w:jc w:val="both"/>
        <w:rPr>
          <w:rFonts w:ascii="Book Antiqua" w:hAnsi="Book Antiqua"/>
        </w:rPr>
      </w:pPr>
    </w:p>
    <w:p w14:paraId="1E26774B" w14:textId="1751559A" w:rsidR="00A77B3E" w:rsidRDefault="00925687" w:rsidP="00BA2B87">
      <w:pPr>
        <w:spacing w:line="360" w:lineRule="auto"/>
        <w:jc w:val="both"/>
        <w:rPr>
          <w:rFonts w:ascii="Book Antiqua" w:eastAsia="Book Antiqua" w:hAnsi="Book Antiqua" w:cs="Book Antiqua"/>
          <w:color w:val="000000"/>
        </w:rPr>
      </w:pPr>
      <w:r w:rsidRPr="00BA2B87">
        <w:rPr>
          <w:rFonts w:ascii="Book Antiqua" w:eastAsia="Book Antiqua" w:hAnsi="Book Antiqua" w:cs="Book Antiqua"/>
          <w:b/>
          <w:bCs/>
          <w:color w:val="000000"/>
        </w:rPr>
        <w:t xml:space="preserve">Author contributions: </w:t>
      </w:r>
      <w:r w:rsidRPr="00BA2B87">
        <w:rPr>
          <w:rFonts w:ascii="Book Antiqua" w:eastAsia="Book Antiqua" w:hAnsi="Book Antiqua" w:cs="Book Antiqua"/>
          <w:color w:val="000000"/>
        </w:rPr>
        <w:t>Beklen H, Yildirim E, Kori M, Turanli B, Arga KY wrote, revised, and finalized the manuscript and contributed equally.</w:t>
      </w:r>
    </w:p>
    <w:p w14:paraId="264DA7E6" w14:textId="77777777" w:rsidR="007C7C00" w:rsidRPr="00BA2B87" w:rsidRDefault="007C7C00" w:rsidP="00BA2B87">
      <w:pPr>
        <w:spacing w:line="360" w:lineRule="auto"/>
        <w:jc w:val="both"/>
        <w:rPr>
          <w:rFonts w:ascii="Book Antiqua" w:hAnsi="Book Antiqua"/>
        </w:rPr>
      </w:pPr>
    </w:p>
    <w:p w14:paraId="3A98E9E2" w14:textId="1D10CD27" w:rsidR="007C7C00" w:rsidRPr="00BA2B87" w:rsidRDefault="007C7C00" w:rsidP="007C7C00">
      <w:pPr>
        <w:spacing w:line="360" w:lineRule="auto"/>
        <w:jc w:val="both"/>
        <w:rPr>
          <w:rFonts w:ascii="Book Antiqua" w:hAnsi="Book Antiqua"/>
        </w:rPr>
      </w:pPr>
      <w:r w:rsidRPr="007C7C00">
        <w:rPr>
          <w:rFonts w:ascii="Book Antiqua" w:eastAsia="Book Antiqua" w:hAnsi="Book Antiqua" w:cs="Book Antiqua"/>
          <w:b/>
          <w:bCs/>
          <w:color w:val="000000"/>
        </w:rPr>
        <w:t xml:space="preserve">Supported by </w:t>
      </w:r>
      <w:r w:rsidRPr="00BA2B87">
        <w:rPr>
          <w:rFonts w:ascii="Book Antiqua" w:eastAsia="Book Antiqua" w:hAnsi="Book Antiqua" w:cs="Book Antiqua"/>
          <w:color w:val="000000"/>
        </w:rPr>
        <w:t>TUBITAK</w:t>
      </w:r>
      <w:r w:rsidR="00290348">
        <w:rPr>
          <w:rFonts w:ascii="Book Antiqua" w:eastAsia="Book Antiqua" w:hAnsi="Book Antiqua" w:cs="Book Antiqua"/>
          <w:color w:val="000000"/>
        </w:rPr>
        <w:t xml:space="preserve"> (</w:t>
      </w:r>
      <w:r w:rsidR="00290348" w:rsidRPr="00BA2B87">
        <w:rPr>
          <w:rFonts w:ascii="Book Antiqua" w:eastAsia="Book Antiqua" w:hAnsi="Book Antiqua" w:cs="Book Antiqua"/>
          <w:color w:val="000000"/>
        </w:rPr>
        <w:t>Hande Beklen and Kazim Yalcin Arga</w:t>
      </w:r>
      <w:r w:rsidR="00290348">
        <w:rPr>
          <w:rFonts w:ascii="Book Antiqua" w:eastAsia="Book Antiqua" w:hAnsi="Book Antiqua" w:cs="Book Antiqua"/>
          <w:color w:val="000000"/>
        </w:rPr>
        <w:t>)</w:t>
      </w:r>
      <w:r w:rsidRPr="00BA2B87">
        <w:rPr>
          <w:rFonts w:ascii="Book Antiqua" w:eastAsia="Book Antiqua" w:hAnsi="Book Antiqua" w:cs="Book Antiqua"/>
          <w:color w:val="000000"/>
        </w:rPr>
        <w:t xml:space="preserve">, </w:t>
      </w:r>
      <w:r>
        <w:rPr>
          <w:rFonts w:ascii="Book Antiqua" w:eastAsia="Book Antiqua" w:hAnsi="Book Antiqua" w:cs="Book Antiqua"/>
          <w:color w:val="000000"/>
        </w:rPr>
        <w:t>No.</w:t>
      </w:r>
      <w:r w:rsidRPr="00BA2B87">
        <w:rPr>
          <w:rFonts w:ascii="Book Antiqua" w:eastAsia="Book Antiqua" w:hAnsi="Book Antiqua" w:cs="Book Antiqua"/>
          <w:color w:val="000000"/>
        </w:rPr>
        <w:t xml:space="preserve"> 119S174</w:t>
      </w:r>
      <w:r>
        <w:rPr>
          <w:rFonts w:ascii="Book Antiqua" w:eastAsia="Book Antiqua" w:hAnsi="Book Antiqua" w:cs="Book Antiqua"/>
          <w:color w:val="000000"/>
        </w:rPr>
        <w:t>;</w:t>
      </w:r>
      <w:r w:rsidRPr="00BA2B87">
        <w:rPr>
          <w:rFonts w:ascii="Book Antiqua" w:eastAsia="Book Antiqua" w:hAnsi="Book Antiqua" w:cs="Book Antiqua"/>
          <w:color w:val="000000"/>
        </w:rPr>
        <w:t xml:space="preserve"> Marmara University Research Fund (BAPKO), </w:t>
      </w:r>
      <w:r>
        <w:rPr>
          <w:rFonts w:ascii="Book Antiqua" w:eastAsia="Book Antiqua" w:hAnsi="Book Antiqua" w:cs="Book Antiqua"/>
          <w:color w:val="000000"/>
        </w:rPr>
        <w:t>No.</w:t>
      </w:r>
      <w:r w:rsidRPr="00BA2B87">
        <w:rPr>
          <w:rFonts w:ascii="Book Antiqua" w:eastAsia="Book Antiqua" w:hAnsi="Book Antiqua" w:cs="Book Antiqua"/>
          <w:color w:val="000000"/>
        </w:rPr>
        <w:t xml:space="preserve"> FEN-C-YLP-120619-0199.</w:t>
      </w:r>
    </w:p>
    <w:p w14:paraId="44BB2CFF" w14:textId="77777777" w:rsidR="00A77B3E" w:rsidRPr="00BA2B87" w:rsidRDefault="00A77B3E" w:rsidP="00BA2B87">
      <w:pPr>
        <w:spacing w:line="360" w:lineRule="auto"/>
        <w:jc w:val="both"/>
        <w:rPr>
          <w:rFonts w:ascii="Book Antiqua" w:hAnsi="Book Antiqua"/>
        </w:rPr>
      </w:pPr>
    </w:p>
    <w:p w14:paraId="5BBA07AE" w14:textId="26BD56D4"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Corresponding author: Kazim Yalcin Arga, PhD, Professor, </w:t>
      </w:r>
      <w:r w:rsidRPr="00BA2B87">
        <w:rPr>
          <w:rFonts w:ascii="Book Antiqua" w:eastAsia="Book Antiqua" w:hAnsi="Book Antiqua" w:cs="Book Antiqua"/>
          <w:color w:val="000000"/>
        </w:rPr>
        <w:t xml:space="preserve">Department of Bioengineering, Marmara University, Goztepe, </w:t>
      </w:r>
      <w:r w:rsidR="00C153AD" w:rsidRPr="00BA2B87">
        <w:rPr>
          <w:rFonts w:ascii="Book Antiqua" w:eastAsia="Book Antiqua" w:hAnsi="Book Antiqua" w:cs="Book Antiqua"/>
          <w:color w:val="000000"/>
        </w:rPr>
        <w:t>Istanbul 34722,</w:t>
      </w:r>
      <w:r w:rsidRPr="00BA2B87">
        <w:rPr>
          <w:rFonts w:ascii="Book Antiqua" w:eastAsia="Book Antiqua" w:hAnsi="Book Antiqua" w:cs="Book Antiqua"/>
          <w:color w:val="000000"/>
        </w:rPr>
        <w:t xml:space="preserve"> Turkey. kazim.arga@marmara.edu.tr</w:t>
      </w:r>
    </w:p>
    <w:p w14:paraId="0AC57E46" w14:textId="77777777" w:rsidR="00A77B3E" w:rsidRPr="00BA2B87" w:rsidRDefault="00A77B3E" w:rsidP="00BA2B87">
      <w:pPr>
        <w:spacing w:line="360" w:lineRule="auto"/>
        <w:jc w:val="both"/>
        <w:rPr>
          <w:rFonts w:ascii="Book Antiqua" w:hAnsi="Book Antiqua"/>
        </w:rPr>
      </w:pPr>
    </w:p>
    <w:p w14:paraId="5589F1A9"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Received: </w:t>
      </w:r>
      <w:r w:rsidRPr="00BA2B87">
        <w:rPr>
          <w:rFonts w:ascii="Book Antiqua" w:eastAsia="Book Antiqua" w:hAnsi="Book Antiqua" w:cs="Book Antiqua"/>
          <w:color w:val="000000"/>
        </w:rPr>
        <w:t>March 6, 2021</w:t>
      </w:r>
    </w:p>
    <w:p w14:paraId="2808BD02" w14:textId="40D4CEAC"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Revised: </w:t>
      </w:r>
      <w:r w:rsidR="00C742F5">
        <w:rPr>
          <w:rFonts w:ascii="Book Antiqua" w:hAnsi="Book Antiqua"/>
        </w:rPr>
        <w:t>April 20, 2021</w:t>
      </w:r>
    </w:p>
    <w:p w14:paraId="7247BCAE" w14:textId="32052588"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Accepted: </w:t>
      </w:r>
      <w:r w:rsidR="00FE6F29" w:rsidRPr="00FE6F29">
        <w:rPr>
          <w:rFonts w:ascii="Book Antiqua" w:eastAsia="Book Antiqua" w:hAnsi="Book Antiqua" w:cs="Book Antiqua"/>
          <w:bCs/>
          <w:color w:val="000000"/>
        </w:rPr>
        <w:t>May 25, 2021</w:t>
      </w:r>
    </w:p>
    <w:p w14:paraId="451E5FF0" w14:textId="3221658C" w:rsidR="00A77B3E" w:rsidRPr="00BA2B87" w:rsidRDefault="00925687" w:rsidP="00BA2B87">
      <w:pPr>
        <w:spacing w:line="360" w:lineRule="auto"/>
        <w:jc w:val="both"/>
        <w:rPr>
          <w:rFonts w:ascii="Book Antiqua" w:hAnsi="Book Antiqua"/>
          <w:lang w:eastAsia="zh-CN"/>
        </w:rPr>
      </w:pPr>
      <w:r w:rsidRPr="00BA2B87">
        <w:rPr>
          <w:rFonts w:ascii="Book Antiqua" w:eastAsia="Book Antiqua" w:hAnsi="Book Antiqua" w:cs="Book Antiqua"/>
          <w:b/>
          <w:bCs/>
          <w:color w:val="000000"/>
        </w:rPr>
        <w:t xml:space="preserve">Published online: </w:t>
      </w:r>
      <w:r w:rsidR="00566196">
        <w:rPr>
          <w:rFonts w:ascii="Book Antiqua" w:hAnsi="Book Antiqua"/>
          <w:color w:val="000000"/>
          <w:shd w:val="clear" w:color="auto" w:fill="FFFFFF"/>
        </w:rPr>
        <w:t>July </w:t>
      </w:r>
      <w:r w:rsidR="00566196">
        <w:rPr>
          <w:rFonts w:ascii="Book Antiqua" w:eastAsia="Microsoft YaHei UI" w:hAnsi="Book Antiqua" w:hint="eastAsia"/>
          <w:color w:val="000000"/>
        </w:rPr>
        <w:t>15</w:t>
      </w:r>
      <w:r w:rsidR="00566196">
        <w:rPr>
          <w:rFonts w:ascii="Book Antiqua" w:eastAsia="Microsoft YaHei UI" w:hAnsi="Book Antiqua" w:hint="eastAsia"/>
          <w:color w:val="000000"/>
          <w:lang w:eastAsia="zh-CN"/>
        </w:rPr>
        <w:t>, 2021</w:t>
      </w:r>
    </w:p>
    <w:p w14:paraId="3953566D" w14:textId="77777777" w:rsidR="00A77B3E" w:rsidRPr="00BA2B87" w:rsidRDefault="00A77B3E" w:rsidP="00BA2B87">
      <w:pPr>
        <w:spacing w:line="360" w:lineRule="auto"/>
        <w:jc w:val="both"/>
        <w:rPr>
          <w:rFonts w:ascii="Book Antiqua" w:hAnsi="Book Antiqua"/>
        </w:rPr>
        <w:sectPr w:rsidR="00A77B3E" w:rsidRPr="00BA2B87">
          <w:footerReference w:type="default" r:id="rId6"/>
          <w:pgSz w:w="12240" w:h="15840"/>
          <w:pgMar w:top="1440" w:right="1440" w:bottom="1440" w:left="1440" w:header="720" w:footer="720" w:gutter="0"/>
          <w:cols w:space="720"/>
          <w:docGrid w:linePitch="360"/>
        </w:sectPr>
      </w:pPr>
    </w:p>
    <w:p w14:paraId="4D275E1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lastRenderedPageBreak/>
        <w:t>Abstract</w:t>
      </w:r>
    </w:p>
    <w:p w14:paraId="7A50EDDE" w14:textId="30A9BD46"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 xml:space="preserve">Colorectal cancer (CRC) is the most commonly diagnosed fatal cancer in both women and men worldwide. CRC </w:t>
      </w:r>
      <w:r w:rsidR="00FB00A8">
        <w:rPr>
          <w:rFonts w:ascii="Book Antiqua" w:eastAsia="Book Antiqua" w:hAnsi="Book Antiqua" w:cs="Book Antiqua"/>
          <w:color w:val="000000"/>
        </w:rPr>
        <w:t>ranked</w:t>
      </w:r>
      <w:r w:rsidRPr="00BA2B87">
        <w:rPr>
          <w:rFonts w:ascii="Book Antiqua" w:eastAsia="Book Antiqua" w:hAnsi="Book Antiqua" w:cs="Book Antiqua"/>
          <w:color w:val="000000"/>
        </w:rPr>
        <w:t xml:space="preserve"> second in mortality and third in incidence in 2020. It is difficult to diagnos</w:t>
      </w:r>
      <w:r w:rsidR="00FB00A8">
        <w:rPr>
          <w:rFonts w:ascii="Book Antiqua" w:eastAsia="Book Antiqua" w:hAnsi="Book Antiqua" w:cs="Book Antiqua"/>
          <w:color w:val="000000"/>
        </w:rPr>
        <w:t>e CRC</w:t>
      </w:r>
      <w:r w:rsidRPr="00BA2B87">
        <w:rPr>
          <w:rFonts w:ascii="Book Antiqua" w:eastAsia="Book Antiqua" w:hAnsi="Book Antiqua" w:cs="Book Antiqua"/>
          <w:color w:val="000000"/>
        </w:rPr>
        <w:t xml:space="preserve"> at an early stage </w:t>
      </w:r>
      <w:r w:rsidR="00FB00A8">
        <w:rPr>
          <w:rFonts w:ascii="Book Antiqua" w:eastAsia="Book Antiqua" w:hAnsi="Book Antiqua" w:cs="Book Antiqua"/>
          <w:color w:val="000000"/>
        </w:rPr>
        <w:t>as there are</w:t>
      </w:r>
      <w:r w:rsidRPr="00BA2B87">
        <w:rPr>
          <w:rFonts w:ascii="Book Antiqua" w:eastAsia="Book Antiqua" w:hAnsi="Book Antiqua" w:cs="Book Antiqua"/>
          <w:color w:val="000000"/>
        </w:rPr>
        <w:t xml:space="preserve"> no clinical symptoms. Despite advances in molecular biology, only a limited number of biomarkers have been translated into routine clinical practice to predict risk, prognosis and response to treatment. </w:t>
      </w:r>
      <w:r w:rsidR="00FB00A8">
        <w:rPr>
          <w:rFonts w:ascii="Book Antiqua" w:eastAsia="Book Antiqua" w:hAnsi="Book Antiqua" w:cs="Book Antiqua"/>
          <w:color w:val="000000"/>
        </w:rPr>
        <w:t>In the</w:t>
      </w:r>
      <w:r w:rsidRPr="00BA2B87">
        <w:rPr>
          <w:rFonts w:ascii="Book Antiqua" w:eastAsia="Book Antiqua" w:hAnsi="Book Antiqua" w:cs="Book Antiqua"/>
          <w:color w:val="000000"/>
        </w:rPr>
        <w:t xml:space="preserve"> last decades, systems biology approaches at the omics level have gained importance. Over the years, several biomarkers for CRC have been discovered in terms of disease diagnosis and prognosis. On the other hand, a few drugs are being developed and used in clinics for the treatment of CRC. However, the development of new drugs is very costly and time-consuming as the research and development takes about 10 years and more than $1 billion. Therefore, drug repositioning (DR) could save time and money by establishing new indications for existing drugs. In this review, we aim to provide an overview of biomarkers for the diagnosis and prognosis of CRC </w:t>
      </w:r>
      <w:r w:rsidR="007F1C1D">
        <w:rPr>
          <w:rFonts w:ascii="Book Antiqua" w:eastAsia="Book Antiqua" w:hAnsi="Book Antiqua" w:cs="Book Antiqua"/>
          <w:color w:val="000000"/>
        </w:rPr>
        <w:t>from</w:t>
      </w:r>
      <w:r w:rsidRPr="00BA2B87">
        <w:rPr>
          <w:rFonts w:ascii="Book Antiqua" w:eastAsia="Book Antiqua" w:hAnsi="Book Antiqua" w:cs="Book Antiqua"/>
          <w:color w:val="000000"/>
        </w:rPr>
        <w:t xml:space="preserve"> the systems biology perspective and insights into DR approaches for the prevention or treatment of CRC.</w:t>
      </w:r>
    </w:p>
    <w:p w14:paraId="0DC25E3B" w14:textId="77777777" w:rsidR="00A77B3E" w:rsidRPr="00BA2B87" w:rsidRDefault="00A77B3E" w:rsidP="00BA2B87">
      <w:pPr>
        <w:spacing w:line="360" w:lineRule="auto"/>
        <w:jc w:val="both"/>
        <w:rPr>
          <w:rFonts w:ascii="Book Antiqua" w:hAnsi="Book Antiqua"/>
        </w:rPr>
      </w:pPr>
    </w:p>
    <w:p w14:paraId="74A5A538"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Key Words: </w:t>
      </w:r>
      <w:r w:rsidRPr="00BA2B87">
        <w:rPr>
          <w:rFonts w:ascii="Book Antiqua" w:eastAsia="Book Antiqua" w:hAnsi="Book Antiqua" w:cs="Book Antiqua"/>
          <w:color w:val="000000"/>
        </w:rPr>
        <w:t>Colorectal cancer; Colon cancer; Systems biology; Biomarker; Drug repositioning; Omics</w:t>
      </w:r>
    </w:p>
    <w:p w14:paraId="11C0407F" w14:textId="77777777" w:rsidR="00A77B3E" w:rsidRPr="00BA2B87" w:rsidRDefault="00A77B3E" w:rsidP="00BA2B87">
      <w:pPr>
        <w:spacing w:line="360" w:lineRule="auto"/>
        <w:jc w:val="both"/>
        <w:rPr>
          <w:rFonts w:ascii="Book Antiqua" w:hAnsi="Book Antiqua"/>
        </w:rPr>
      </w:pPr>
    </w:p>
    <w:p w14:paraId="527F9D15" w14:textId="76150BBC" w:rsidR="00CD3EF4" w:rsidRDefault="00CD3EF4" w:rsidP="00CD3EF4">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070140D" w14:textId="77777777" w:rsidR="00CD3EF4" w:rsidRPr="00026CB8" w:rsidRDefault="00CD3EF4" w:rsidP="00CD3EF4">
      <w:pPr>
        <w:spacing w:line="360" w:lineRule="auto"/>
        <w:rPr>
          <w:rFonts w:ascii="Book Antiqua" w:eastAsia="Book Antiqua" w:hAnsi="Book Antiqua" w:cs="Book Antiqua"/>
          <w:color w:val="000000"/>
        </w:rPr>
      </w:pPr>
    </w:p>
    <w:p w14:paraId="7C6465DC" w14:textId="7DF77D84" w:rsidR="00E35D98" w:rsidRDefault="00E35D98" w:rsidP="00BA2B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lang w:val="pt-BR"/>
        </w:rPr>
        <w:t xml:space="preserve">Citation: </w:t>
      </w:r>
      <w:r w:rsidR="00925687" w:rsidRPr="00BA2B87">
        <w:rPr>
          <w:rFonts w:ascii="Book Antiqua" w:eastAsia="Book Antiqua" w:hAnsi="Book Antiqua" w:cs="Book Antiqua"/>
          <w:color w:val="000000"/>
          <w:lang w:val="pt-BR"/>
        </w:rPr>
        <w:t xml:space="preserve">Beklen H, Yildirim E, Kori M, Turanli B, Arga KY. </w:t>
      </w:r>
      <w:r w:rsidR="00925687" w:rsidRPr="00BA2B87">
        <w:rPr>
          <w:rFonts w:ascii="Book Antiqua" w:eastAsia="Book Antiqua" w:hAnsi="Book Antiqua" w:cs="Book Antiqua"/>
          <w:color w:val="000000"/>
        </w:rPr>
        <w:t xml:space="preserve">Systems-level biomarkers identification and drug repositioning in colorectal cancer. </w:t>
      </w:r>
      <w:r w:rsidR="00925687" w:rsidRPr="00BA2B87">
        <w:rPr>
          <w:rFonts w:ascii="Book Antiqua" w:eastAsia="Book Antiqua" w:hAnsi="Book Antiqua" w:cs="Book Antiqua"/>
          <w:i/>
          <w:iCs/>
          <w:color w:val="000000"/>
        </w:rPr>
        <w:t>World J Gastrointest Oncol</w:t>
      </w:r>
      <w:r w:rsidR="00925687" w:rsidRPr="00BA2B87">
        <w:rPr>
          <w:rFonts w:ascii="Book Antiqua" w:eastAsia="Book Antiqua" w:hAnsi="Book Antiqua" w:cs="Book Antiqua"/>
          <w:color w:val="000000"/>
        </w:rPr>
        <w:t xml:space="preserve"> 2021; </w:t>
      </w:r>
      <w:r w:rsidR="00A83A72" w:rsidRPr="00A83A72">
        <w:rPr>
          <w:rFonts w:ascii="Book Antiqua" w:eastAsia="Book Antiqua" w:hAnsi="Book Antiqua" w:cs="Book Antiqua"/>
          <w:color w:val="000000"/>
        </w:rPr>
        <w:t>1</w:t>
      </w:r>
      <w:r w:rsidR="00A83A72">
        <w:rPr>
          <w:rFonts w:ascii="Book Antiqua" w:hAnsi="Book Antiqua" w:cs="Book Antiqua" w:hint="eastAsia"/>
          <w:color w:val="000000"/>
          <w:lang w:eastAsia="zh-CN"/>
        </w:rPr>
        <w:t>3</w:t>
      </w:r>
      <w:r w:rsidR="00A83A72" w:rsidRPr="00A83A72">
        <w:rPr>
          <w:rFonts w:ascii="Book Antiqua" w:eastAsia="Book Antiqua" w:hAnsi="Book Antiqua" w:cs="Book Antiqua"/>
          <w:color w:val="000000"/>
        </w:rPr>
        <w:t>(</w:t>
      </w:r>
      <w:r w:rsidR="00A83A72">
        <w:rPr>
          <w:rFonts w:ascii="Book Antiqua" w:hAnsi="Book Antiqua" w:cs="Book Antiqua" w:hint="eastAsia"/>
          <w:color w:val="000000"/>
          <w:lang w:eastAsia="zh-CN"/>
        </w:rPr>
        <w:t>7</w:t>
      </w:r>
      <w:r w:rsidR="00A83A72" w:rsidRPr="00A83A72">
        <w:rPr>
          <w:rFonts w:ascii="Book Antiqua" w:eastAsia="Book Antiqua" w:hAnsi="Book Antiqua" w:cs="Book Antiqua"/>
          <w:color w:val="000000"/>
        </w:rPr>
        <w:t xml:space="preserve">): </w:t>
      </w:r>
      <w:r w:rsidR="001035FB" w:rsidRPr="001035FB">
        <w:rPr>
          <w:rFonts w:ascii="Book Antiqua" w:hAnsi="Book Antiqua" w:cs="Arial"/>
        </w:rPr>
        <w:t>638-661</w:t>
      </w:r>
    </w:p>
    <w:p w14:paraId="6FAE9CC0" w14:textId="7F6DC137" w:rsidR="00E35D98" w:rsidRDefault="00A83A72" w:rsidP="00BA2B87">
      <w:pPr>
        <w:spacing w:line="360" w:lineRule="auto"/>
        <w:jc w:val="both"/>
        <w:rPr>
          <w:rFonts w:ascii="Book Antiqua" w:eastAsia="Book Antiqua" w:hAnsi="Book Antiqua" w:cs="Book Antiqua"/>
          <w:color w:val="000000"/>
        </w:rPr>
      </w:pPr>
      <w:r w:rsidRPr="00E35D98">
        <w:rPr>
          <w:rFonts w:ascii="Book Antiqua" w:eastAsia="Book Antiqua" w:hAnsi="Book Antiqua" w:cs="Book Antiqua"/>
          <w:b/>
          <w:bCs/>
          <w:color w:val="000000"/>
        </w:rPr>
        <w:t>URL:</w:t>
      </w:r>
      <w:r w:rsidRPr="00A83A72">
        <w:rPr>
          <w:rFonts w:ascii="Book Antiqua" w:eastAsia="Book Antiqua" w:hAnsi="Book Antiqua" w:cs="Book Antiqua"/>
          <w:color w:val="000000"/>
        </w:rPr>
        <w:t xml:space="preserve"> https://www.wjgnet.com/1948-5204/full/v1</w:t>
      </w:r>
      <w:r>
        <w:rPr>
          <w:rFonts w:ascii="Book Antiqua" w:hAnsi="Book Antiqua" w:cs="Book Antiqua" w:hint="eastAsia"/>
          <w:color w:val="000000"/>
          <w:lang w:eastAsia="zh-CN"/>
        </w:rPr>
        <w:t>3</w:t>
      </w:r>
      <w:r w:rsidRPr="00A83A72">
        <w:rPr>
          <w:rFonts w:ascii="Book Antiqua" w:eastAsia="Book Antiqua" w:hAnsi="Book Antiqua" w:cs="Book Antiqua"/>
          <w:color w:val="000000"/>
        </w:rPr>
        <w:t>/i</w:t>
      </w:r>
      <w:r>
        <w:rPr>
          <w:rFonts w:ascii="Book Antiqua" w:hAnsi="Book Antiqua" w:cs="Book Antiqua" w:hint="eastAsia"/>
          <w:color w:val="000000"/>
          <w:lang w:eastAsia="zh-CN"/>
        </w:rPr>
        <w:t>7</w:t>
      </w:r>
      <w:r w:rsidRPr="00A83A72">
        <w:rPr>
          <w:rFonts w:ascii="Book Antiqua" w:eastAsia="Book Antiqua" w:hAnsi="Book Antiqua" w:cs="Book Antiqua"/>
          <w:color w:val="000000"/>
        </w:rPr>
        <w:t>/</w:t>
      </w:r>
      <w:r w:rsidR="001035FB" w:rsidRPr="001035FB">
        <w:rPr>
          <w:rFonts w:ascii="Book Antiqua" w:hAnsi="Book Antiqua" w:cs="Arial"/>
        </w:rPr>
        <w:t>638</w:t>
      </w:r>
      <w:r w:rsidRPr="00A83A72">
        <w:rPr>
          <w:rFonts w:ascii="Book Antiqua" w:eastAsia="Book Antiqua" w:hAnsi="Book Antiqua" w:cs="Book Antiqua"/>
          <w:color w:val="000000"/>
        </w:rPr>
        <w:t xml:space="preserve">.htm </w:t>
      </w:r>
    </w:p>
    <w:p w14:paraId="1776F206" w14:textId="0FCD81DD" w:rsidR="00A77B3E" w:rsidRPr="00BA2B87" w:rsidRDefault="00A83A72" w:rsidP="00BA2B87">
      <w:pPr>
        <w:spacing w:line="360" w:lineRule="auto"/>
        <w:jc w:val="both"/>
        <w:rPr>
          <w:rFonts w:ascii="Book Antiqua" w:hAnsi="Book Antiqua"/>
        </w:rPr>
      </w:pPr>
      <w:r w:rsidRPr="00E35D98">
        <w:rPr>
          <w:rFonts w:ascii="Book Antiqua" w:eastAsia="Book Antiqua" w:hAnsi="Book Antiqua" w:cs="Book Antiqua"/>
          <w:b/>
          <w:bCs/>
          <w:color w:val="000000"/>
        </w:rPr>
        <w:t xml:space="preserve">DOI: </w:t>
      </w:r>
      <w:r w:rsidRPr="00A83A72">
        <w:rPr>
          <w:rFonts w:ascii="Book Antiqua" w:eastAsia="Book Antiqua" w:hAnsi="Book Antiqua" w:cs="Book Antiqua"/>
          <w:color w:val="000000"/>
        </w:rPr>
        <w:t>https://dx.doi.org/10.4251/wjgo.v1</w:t>
      </w:r>
      <w:r>
        <w:rPr>
          <w:rFonts w:ascii="Book Antiqua" w:hAnsi="Book Antiqua" w:cs="Book Antiqua" w:hint="eastAsia"/>
          <w:color w:val="000000"/>
          <w:lang w:eastAsia="zh-CN"/>
        </w:rPr>
        <w:t>3</w:t>
      </w:r>
      <w:r w:rsidRPr="00A83A72">
        <w:rPr>
          <w:rFonts w:ascii="Book Antiqua" w:eastAsia="Book Antiqua" w:hAnsi="Book Antiqua" w:cs="Book Antiqua"/>
          <w:color w:val="000000"/>
        </w:rPr>
        <w:t>.i</w:t>
      </w:r>
      <w:r>
        <w:rPr>
          <w:rFonts w:ascii="Book Antiqua" w:hAnsi="Book Antiqua" w:cs="Book Antiqua" w:hint="eastAsia"/>
          <w:color w:val="000000"/>
          <w:lang w:eastAsia="zh-CN"/>
        </w:rPr>
        <w:t>7</w:t>
      </w:r>
      <w:r w:rsidRPr="00A83A72">
        <w:rPr>
          <w:rFonts w:ascii="Book Antiqua" w:eastAsia="Book Antiqua" w:hAnsi="Book Antiqua" w:cs="Book Antiqua"/>
          <w:color w:val="000000"/>
        </w:rPr>
        <w:t>.</w:t>
      </w:r>
      <w:r w:rsidR="001035FB" w:rsidRPr="001035FB">
        <w:rPr>
          <w:rFonts w:ascii="Book Antiqua" w:hAnsi="Book Antiqua" w:cs="Arial"/>
        </w:rPr>
        <w:t>638</w:t>
      </w:r>
    </w:p>
    <w:p w14:paraId="492F9843" w14:textId="77777777" w:rsidR="00A77B3E" w:rsidRPr="00BA2B87" w:rsidRDefault="00A77B3E" w:rsidP="00BA2B87">
      <w:pPr>
        <w:spacing w:line="360" w:lineRule="auto"/>
        <w:jc w:val="both"/>
        <w:rPr>
          <w:rFonts w:ascii="Book Antiqua" w:hAnsi="Book Antiqua"/>
        </w:rPr>
      </w:pPr>
    </w:p>
    <w:p w14:paraId="41F11224" w14:textId="70C8FA11"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lastRenderedPageBreak/>
        <w:t xml:space="preserve">Core Tip: </w:t>
      </w:r>
      <w:r w:rsidRPr="00BA2B87">
        <w:rPr>
          <w:rFonts w:ascii="Book Antiqua" w:eastAsia="Book Antiqua" w:hAnsi="Book Antiqua" w:cs="Book Antiqua"/>
          <w:color w:val="000000"/>
        </w:rPr>
        <w:t xml:space="preserve">Colorectal cancer (CRC) is the most commonly diagnosed cancer in women and men worldwide. Due to the lack of clinical symptoms, it is difficult to diagnose </w:t>
      </w:r>
      <w:r w:rsidR="007F1C1D">
        <w:rPr>
          <w:rFonts w:ascii="Book Antiqua" w:eastAsia="Book Antiqua" w:hAnsi="Book Antiqua" w:cs="Book Antiqua"/>
          <w:color w:val="000000"/>
        </w:rPr>
        <w:t>CRC</w:t>
      </w:r>
      <w:r w:rsidRPr="00BA2B87">
        <w:rPr>
          <w:rFonts w:ascii="Book Antiqua" w:eastAsia="Book Antiqua" w:hAnsi="Book Antiqua" w:cs="Book Antiqua"/>
          <w:color w:val="000000"/>
        </w:rPr>
        <w:t xml:space="preserve"> in the early stages. There is an urgent need for alternative, inexpensive and easy-to-measure methods for screening and therapy. Systems biology and drug repositioning</w:t>
      </w:r>
      <w:r w:rsidR="009C37C8">
        <w:rPr>
          <w:rFonts w:ascii="Book Antiqua" w:eastAsia="Book Antiqua" w:hAnsi="Book Antiqua" w:cs="Book Antiqua"/>
          <w:color w:val="000000"/>
        </w:rPr>
        <w:t xml:space="preserve"> (DR)</w:t>
      </w:r>
      <w:r w:rsidRPr="00BA2B87">
        <w:rPr>
          <w:rFonts w:ascii="Book Antiqua" w:eastAsia="Book Antiqua" w:hAnsi="Book Antiqua" w:cs="Book Antiqua"/>
          <w:color w:val="000000"/>
        </w:rPr>
        <w:t xml:space="preserve"> approaches are being used to discover biomarkers and novel targets as well as, existing drugs with different indications to develop new therapeutics and treatment strategies. Our goal was to provide an overview of systems-level biomarkers and insights into </w:t>
      </w:r>
      <w:r w:rsidR="009C37C8">
        <w:rPr>
          <w:rFonts w:ascii="Book Antiqua" w:eastAsia="Book Antiqua" w:hAnsi="Book Antiqua" w:cs="Book Antiqua"/>
          <w:color w:val="000000"/>
        </w:rPr>
        <w:t>DR</w:t>
      </w:r>
      <w:r w:rsidRPr="00BA2B87">
        <w:rPr>
          <w:rFonts w:ascii="Book Antiqua" w:eastAsia="Book Antiqua" w:hAnsi="Book Antiqua" w:cs="Book Antiqua"/>
          <w:color w:val="000000"/>
        </w:rPr>
        <w:t xml:space="preserve"> strategies for the treatment of CRC.</w:t>
      </w:r>
    </w:p>
    <w:p w14:paraId="5851B3B6" w14:textId="77777777" w:rsidR="00A77B3E" w:rsidRPr="00BA2B87" w:rsidRDefault="00A77B3E" w:rsidP="00BA2B87">
      <w:pPr>
        <w:spacing w:line="360" w:lineRule="auto"/>
        <w:jc w:val="both"/>
        <w:rPr>
          <w:rFonts w:ascii="Book Antiqua" w:hAnsi="Book Antiqua"/>
        </w:rPr>
      </w:pPr>
    </w:p>
    <w:p w14:paraId="516835A4" w14:textId="412ABE8C" w:rsidR="00A77B3E" w:rsidRPr="00BA2B87" w:rsidRDefault="009C37C8" w:rsidP="00BA2B87">
      <w:pPr>
        <w:spacing w:line="360" w:lineRule="auto"/>
        <w:jc w:val="both"/>
        <w:rPr>
          <w:rFonts w:ascii="Book Antiqua" w:hAnsi="Book Antiqua"/>
        </w:rPr>
      </w:pPr>
      <w:r>
        <w:rPr>
          <w:rFonts w:ascii="Book Antiqua" w:eastAsia="Book Antiqua" w:hAnsi="Book Antiqua" w:cs="Book Antiqua"/>
          <w:b/>
          <w:caps/>
          <w:color w:val="000000"/>
          <w:u w:val="single"/>
        </w:rPr>
        <w:br w:type="page"/>
      </w:r>
      <w:r w:rsidR="00925687" w:rsidRPr="00BA2B87">
        <w:rPr>
          <w:rFonts w:ascii="Book Antiqua" w:eastAsia="Book Antiqua" w:hAnsi="Book Antiqua" w:cs="Book Antiqua"/>
          <w:b/>
          <w:caps/>
          <w:color w:val="000000"/>
          <w:u w:val="single"/>
        </w:rPr>
        <w:lastRenderedPageBreak/>
        <w:t>INTRODUCTION</w:t>
      </w:r>
    </w:p>
    <w:p w14:paraId="25DEBD54" w14:textId="57616E74"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Colorectal cancer (CRC) is the most frequently diagnosed cancer type in both women and men worldwide. It occurs in the colon or rectum and affects the large intestine or large bowel. Overall, CRC rank</w:t>
      </w:r>
      <w:r w:rsidR="007F1C1D">
        <w:rPr>
          <w:rFonts w:ascii="Book Antiqua" w:eastAsia="Book Antiqua" w:hAnsi="Book Antiqua" w:cs="Book Antiqua"/>
          <w:color w:val="000000"/>
        </w:rPr>
        <w:t>ed</w:t>
      </w:r>
      <w:r w:rsidRPr="00BA2B87">
        <w:rPr>
          <w:rFonts w:ascii="Book Antiqua" w:eastAsia="Book Antiqua" w:hAnsi="Book Antiqua" w:cs="Book Antiqua"/>
          <w:color w:val="000000"/>
        </w:rPr>
        <w:t xml:space="preserve"> second in mortality and third in incidence in 2020; and </w:t>
      </w:r>
      <w:r w:rsidR="007F1C1D">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estimated </w:t>
      </w:r>
      <w:r w:rsidR="007F1C1D">
        <w:rPr>
          <w:rFonts w:ascii="Book Antiqua" w:eastAsia="Book Antiqua" w:hAnsi="Book Antiqua" w:cs="Book Antiqua"/>
          <w:color w:val="000000"/>
        </w:rPr>
        <w:t xml:space="preserve">number of </w:t>
      </w:r>
      <w:r w:rsidRPr="00BA2B87">
        <w:rPr>
          <w:rFonts w:ascii="Book Antiqua" w:eastAsia="Book Antiqua" w:hAnsi="Book Antiqua" w:cs="Book Antiqua"/>
          <w:color w:val="000000"/>
        </w:rPr>
        <w:t xml:space="preserve">new cases </w:t>
      </w:r>
      <w:r w:rsidR="007F1C1D">
        <w:rPr>
          <w:rFonts w:ascii="Book Antiqua" w:eastAsia="Book Antiqua" w:hAnsi="Book Antiqua" w:cs="Book Antiqua"/>
          <w:color w:val="000000"/>
        </w:rPr>
        <w:t>was</w:t>
      </w:r>
      <w:r w:rsidRPr="00BA2B87">
        <w:rPr>
          <w:rFonts w:ascii="Book Antiqua" w:eastAsia="Book Antiqua" w:hAnsi="Book Antiqua" w:cs="Book Antiqua"/>
          <w:color w:val="000000"/>
        </w:rPr>
        <w:t xml:space="preserve"> over 1.9 million </w:t>
      </w:r>
      <w:r w:rsidR="007F1C1D">
        <w:rPr>
          <w:rFonts w:ascii="Book Antiqua" w:eastAsia="Book Antiqua" w:hAnsi="Book Antiqua" w:cs="Book Antiqua"/>
          <w:color w:val="000000"/>
        </w:rPr>
        <w:t>with</w:t>
      </w:r>
      <w:r w:rsidRPr="00BA2B87">
        <w:rPr>
          <w:rFonts w:ascii="Book Antiqua" w:eastAsia="Book Antiqua" w:hAnsi="Book Antiqua" w:cs="Book Antiqua"/>
          <w:color w:val="000000"/>
        </w:rPr>
        <w:t xml:space="preserve"> 935000 </w:t>
      </w:r>
      <w:r w:rsidR="007F1C1D">
        <w:rPr>
          <w:rFonts w:ascii="Book Antiqua" w:eastAsia="Book Antiqua" w:hAnsi="Book Antiqua" w:cs="Book Antiqua"/>
          <w:color w:val="000000"/>
        </w:rPr>
        <w:t xml:space="preserve">deaths </w:t>
      </w:r>
      <w:r w:rsidRPr="00BA2B87">
        <w:rPr>
          <w:rFonts w:ascii="Book Antiqua" w:eastAsia="Book Antiqua" w:hAnsi="Book Antiqua" w:cs="Book Antiqua"/>
          <w:color w:val="000000"/>
        </w:rPr>
        <w:t>in 2020</w:t>
      </w:r>
      <w:r w:rsidRPr="00BA2B87">
        <w:rPr>
          <w:rFonts w:ascii="Book Antiqua" w:eastAsia="Book Antiqua" w:hAnsi="Book Antiqua" w:cs="Book Antiqua"/>
          <w:color w:val="000000"/>
          <w:vertAlign w:val="superscript"/>
        </w:rPr>
        <w:t>[1]</w:t>
      </w:r>
      <w:r w:rsidRPr="00BA2B87">
        <w:rPr>
          <w:rFonts w:ascii="Book Antiqua" w:eastAsia="Book Antiqua" w:hAnsi="Book Antiqua" w:cs="Book Antiqua"/>
          <w:color w:val="000000"/>
        </w:rPr>
        <w:t>. The number is expected to increase to 2.2 million new cases and 1.1 million deaths by 2030</w:t>
      </w:r>
      <w:r w:rsidRPr="00BA2B87">
        <w:rPr>
          <w:rFonts w:ascii="Book Antiqua" w:eastAsia="Book Antiqua" w:hAnsi="Book Antiqua" w:cs="Book Antiqua"/>
          <w:color w:val="000000"/>
          <w:vertAlign w:val="superscript"/>
        </w:rPr>
        <w:t>[2]</w:t>
      </w:r>
      <w:r w:rsidRPr="00BA2B87">
        <w:rPr>
          <w:rFonts w:ascii="Book Antiqua" w:eastAsia="Book Antiqua" w:hAnsi="Book Antiqua" w:cs="Book Antiqua"/>
          <w:color w:val="000000"/>
        </w:rPr>
        <w:t>.</w:t>
      </w:r>
    </w:p>
    <w:p w14:paraId="6A01CE20" w14:textId="6D4EE152"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In the absence of clinical symptoms, it is difficult to diagnose</w:t>
      </w:r>
      <w:r w:rsidR="007F1C1D">
        <w:rPr>
          <w:rFonts w:ascii="Book Antiqua" w:eastAsia="Book Antiqua" w:hAnsi="Book Antiqua" w:cs="Book Antiqua"/>
          <w:color w:val="000000"/>
        </w:rPr>
        <w:t xml:space="preserve"> CRC </w:t>
      </w:r>
      <w:r w:rsidRPr="00BA2B87">
        <w:rPr>
          <w:rFonts w:ascii="Book Antiqua" w:eastAsia="Book Antiqua" w:hAnsi="Book Antiqua" w:cs="Book Antiqua"/>
          <w:color w:val="000000"/>
        </w:rPr>
        <w:t xml:space="preserve">in the early stages. According to </w:t>
      </w:r>
      <w:r w:rsidR="007F1C1D">
        <w:rPr>
          <w:rFonts w:ascii="Book Antiqua" w:eastAsia="Book Antiqua" w:hAnsi="Book Antiqua" w:cs="Book Antiqua"/>
          <w:color w:val="000000"/>
        </w:rPr>
        <w:t xml:space="preserve">the </w:t>
      </w:r>
      <w:r w:rsidRPr="00BA2B87">
        <w:rPr>
          <w:rFonts w:ascii="Book Antiqua" w:eastAsia="Book Antiqua" w:hAnsi="Book Antiqua" w:cs="Book Antiqua"/>
          <w:color w:val="000000"/>
        </w:rPr>
        <w:t>American Cancer Society, only 4 of 10 CRC patients are detected in the early stages. If detected in the early stages, the 5-year survival rate can be as high as 90%. The survival rate of CRC patients varies depending on the stages of cancer and metastasis. When metastasis occurs, the 5-year survival rate drops to 14%. Currently, surgical removal is the only curative choice for the treatment of early and localized CRC. In addition, a standard adjuvant strategy for patients with CRC stage III is chemotherapy</w:t>
      </w:r>
      <w:r w:rsidRPr="00BA2B87">
        <w:rPr>
          <w:rFonts w:ascii="Book Antiqua" w:eastAsia="Book Antiqua" w:hAnsi="Book Antiqua" w:cs="Book Antiqua"/>
          <w:color w:val="000000"/>
          <w:vertAlign w:val="superscript"/>
        </w:rPr>
        <w:t>[3]</w:t>
      </w:r>
      <w:r w:rsidRPr="00BA2B87">
        <w:rPr>
          <w:rFonts w:ascii="Book Antiqua" w:eastAsia="Book Antiqua" w:hAnsi="Book Antiqua" w:cs="Book Antiqua"/>
          <w:color w:val="000000"/>
        </w:rPr>
        <w:t xml:space="preserve">. As reported </w:t>
      </w:r>
      <w:r w:rsidR="007F1C1D">
        <w:rPr>
          <w:rFonts w:ascii="Book Antiqua" w:eastAsia="Book Antiqua" w:hAnsi="Book Antiqua" w:cs="Book Antiqua"/>
          <w:color w:val="000000"/>
        </w:rPr>
        <w:t>by</w:t>
      </w:r>
      <w:r w:rsidRPr="00BA2B87">
        <w:rPr>
          <w:rFonts w:ascii="Book Antiqua" w:eastAsia="Book Antiqua" w:hAnsi="Book Antiqua" w:cs="Book Antiqua"/>
          <w:color w:val="000000"/>
        </w:rPr>
        <w:t xml:space="preserve"> Moertel</w:t>
      </w:r>
      <w:r w:rsidR="00224DB1">
        <w:rPr>
          <w:rFonts w:ascii="Book Antiqua" w:eastAsia="Book Antiqua" w:hAnsi="Book Antiqua" w:cs="Book Antiqua"/>
          <w:color w:val="000000"/>
        </w:rPr>
        <w:t xml:space="preserve"> </w:t>
      </w:r>
      <w:r w:rsidR="00224DB1" w:rsidRPr="00224DB1">
        <w:rPr>
          <w:rFonts w:ascii="Book Antiqua" w:eastAsia="Book Antiqua" w:hAnsi="Book Antiqua" w:cs="Book Antiqua"/>
          <w:i/>
          <w:iCs/>
          <w:color w:val="000000"/>
        </w:rPr>
        <w:t>et al</w:t>
      </w:r>
      <w:r w:rsidR="00224DB1" w:rsidRPr="00BA2B87">
        <w:rPr>
          <w:rFonts w:ascii="Book Antiqua" w:eastAsia="Book Antiqua" w:hAnsi="Book Antiqua" w:cs="Book Antiqua"/>
          <w:color w:val="000000"/>
          <w:vertAlign w:val="superscript"/>
        </w:rPr>
        <w:t>[4]</w:t>
      </w:r>
      <w:r w:rsidRPr="00BA2B87">
        <w:rPr>
          <w:rFonts w:ascii="Book Antiqua" w:eastAsia="Book Antiqua" w:hAnsi="Book Antiqua" w:cs="Book Antiqua"/>
          <w:color w:val="000000"/>
        </w:rPr>
        <w:t xml:space="preserve">, the combination of </w:t>
      </w:r>
      <w:r w:rsidR="007C7C00" w:rsidRPr="00BA2B87">
        <w:rPr>
          <w:rFonts w:ascii="Book Antiqua" w:eastAsia="Book Antiqua" w:hAnsi="Book Antiqua" w:cs="Book Antiqua"/>
          <w:color w:val="000000"/>
        </w:rPr>
        <w:t>5-fluorouracil (5-FU)</w:t>
      </w:r>
      <w:r w:rsidRPr="00BA2B87">
        <w:rPr>
          <w:rFonts w:ascii="Book Antiqua" w:eastAsia="Book Antiqua" w:hAnsi="Book Antiqua" w:cs="Book Antiqua"/>
          <w:color w:val="000000"/>
        </w:rPr>
        <w:t xml:space="preserve"> with leucovorin reduced mortality by 33%</w:t>
      </w:r>
      <w:r w:rsidRPr="00BA2B87">
        <w:rPr>
          <w:rFonts w:ascii="Book Antiqua" w:eastAsia="Book Antiqua" w:hAnsi="Book Antiqua" w:cs="Book Antiqua"/>
          <w:color w:val="000000"/>
          <w:vertAlign w:val="superscript"/>
        </w:rPr>
        <w:t>[4]</w:t>
      </w:r>
      <w:r w:rsidRPr="00BA2B87">
        <w:rPr>
          <w:rFonts w:ascii="Book Antiqua" w:eastAsia="Book Antiqua" w:hAnsi="Book Antiqua" w:cs="Book Antiqua"/>
          <w:color w:val="000000"/>
        </w:rPr>
        <w:t xml:space="preserve">. </w:t>
      </w:r>
      <w:r w:rsidR="007F1C1D">
        <w:rPr>
          <w:rFonts w:ascii="Book Antiqua" w:eastAsia="Book Antiqua" w:hAnsi="Book Antiqua" w:cs="Book Antiqua"/>
          <w:color w:val="000000"/>
        </w:rPr>
        <w:t>In addition</w:t>
      </w:r>
      <w:r w:rsidRPr="00BA2B87">
        <w:rPr>
          <w:rFonts w:ascii="Book Antiqua" w:eastAsia="Book Antiqua" w:hAnsi="Book Antiqua" w:cs="Book Antiqua"/>
          <w:color w:val="000000"/>
        </w:rPr>
        <w:t xml:space="preserve">, the multicenter international study </w:t>
      </w:r>
      <w:r w:rsidR="009F2EB4" w:rsidRPr="00BA2B87">
        <w:rPr>
          <w:rFonts w:ascii="Book Antiqua" w:eastAsia="Book Antiqua" w:hAnsi="Book Antiqua" w:cs="Book Antiqua"/>
          <w:color w:val="000000"/>
        </w:rPr>
        <w:t>(MOSAIC)</w:t>
      </w:r>
      <w:r w:rsidR="009F2EB4">
        <w:rPr>
          <w:rFonts w:ascii="Book Antiqua" w:eastAsia="Book Antiqua" w:hAnsi="Book Antiqua" w:cs="Book Antiqua"/>
          <w:color w:val="000000"/>
        </w:rPr>
        <w:t>, which assessed the</w:t>
      </w:r>
      <w:r w:rsidRPr="00BA2B87">
        <w:rPr>
          <w:rFonts w:ascii="Book Antiqua" w:eastAsia="Book Antiqua" w:hAnsi="Book Antiqua" w:cs="Book Antiqua"/>
          <w:color w:val="000000"/>
        </w:rPr>
        <w:t xml:space="preserve"> adjuvant treatment of CRC </w:t>
      </w:r>
      <w:r w:rsidR="009F2EB4">
        <w:rPr>
          <w:rFonts w:ascii="Book Antiqua" w:eastAsia="Book Antiqua" w:hAnsi="Book Antiqua" w:cs="Book Antiqua"/>
          <w:color w:val="000000"/>
        </w:rPr>
        <w:t>with</w:t>
      </w:r>
      <w:r w:rsidRPr="00BA2B87">
        <w:rPr>
          <w:rFonts w:ascii="Book Antiqua" w:eastAsia="Book Antiqua" w:hAnsi="Book Antiqua" w:cs="Book Antiqua"/>
          <w:color w:val="000000"/>
        </w:rPr>
        <w:t xml:space="preserve"> oxaliplatin </w:t>
      </w:r>
      <w:r w:rsidR="009F2EB4">
        <w:rPr>
          <w:rFonts w:ascii="Book Antiqua" w:eastAsia="Book Antiqua" w:hAnsi="Book Antiqua" w:cs="Book Antiqua"/>
          <w:color w:val="000000"/>
        </w:rPr>
        <w:t xml:space="preserve">combined </w:t>
      </w:r>
      <w:r w:rsidRPr="00BA2B87">
        <w:rPr>
          <w:rFonts w:ascii="Book Antiqua" w:eastAsia="Book Antiqua" w:hAnsi="Book Antiqua" w:cs="Book Antiqua"/>
          <w:color w:val="000000"/>
        </w:rPr>
        <w:t xml:space="preserve">with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rPr>
        <w:t>/</w:t>
      </w:r>
      <w:r w:rsidR="007F1C1D">
        <w:rPr>
          <w:rFonts w:ascii="Book Antiqua" w:eastAsia="Book Antiqua" w:hAnsi="Book Antiqua" w:cs="Book Antiqua"/>
          <w:color w:val="000000"/>
        </w:rPr>
        <w:t>l</w:t>
      </w:r>
      <w:r w:rsidRPr="00BA2B87">
        <w:rPr>
          <w:rFonts w:ascii="Book Antiqua" w:eastAsia="Book Antiqua" w:hAnsi="Book Antiqua" w:cs="Book Antiqua"/>
          <w:color w:val="000000"/>
        </w:rPr>
        <w:t>eucovorin</w:t>
      </w:r>
      <w:r w:rsidR="009F2EB4">
        <w:rPr>
          <w:rFonts w:ascii="Book Antiqua" w:eastAsia="Book Antiqua" w:hAnsi="Book Antiqua" w:cs="Book Antiqua"/>
          <w:color w:val="000000"/>
        </w:rPr>
        <w:t>,</w:t>
      </w:r>
      <w:r w:rsidRPr="00BA2B87">
        <w:rPr>
          <w:rFonts w:ascii="Book Antiqua" w:eastAsia="Book Antiqua" w:hAnsi="Book Antiqua" w:cs="Book Antiqua"/>
          <w:color w:val="000000"/>
        </w:rPr>
        <w:t xml:space="preserve"> showed an improvement in </w:t>
      </w:r>
      <w:r w:rsidR="009F2EB4">
        <w:rPr>
          <w:rFonts w:ascii="Book Antiqua" w:eastAsia="Book Antiqua" w:hAnsi="Book Antiqua" w:cs="Book Antiqua"/>
          <w:color w:val="000000"/>
        </w:rPr>
        <w:t xml:space="preserve">patients with </w:t>
      </w:r>
      <w:r w:rsidR="001C6D63">
        <w:rPr>
          <w:rFonts w:ascii="Book Antiqua" w:eastAsia="Book Antiqua" w:hAnsi="Book Antiqua" w:cs="Book Antiqua"/>
          <w:color w:val="000000"/>
        </w:rPr>
        <w:t xml:space="preserve">stage III </w:t>
      </w:r>
      <w:r w:rsidRPr="00BA2B87">
        <w:rPr>
          <w:rFonts w:ascii="Book Antiqua" w:eastAsia="Book Antiqua" w:hAnsi="Book Antiqua" w:cs="Book Antiqua"/>
          <w:color w:val="000000"/>
        </w:rPr>
        <w:t>CRC</w:t>
      </w:r>
      <w:r w:rsidRPr="00BA2B87">
        <w:rPr>
          <w:rFonts w:ascii="Book Antiqua" w:eastAsia="Book Antiqua" w:hAnsi="Book Antiqua" w:cs="Book Antiqua"/>
          <w:color w:val="000000"/>
          <w:vertAlign w:val="superscript"/>
        </w:rPr>
        <w:t>[5]</w:t>
      </w:r>
      <w:r w:rsidRPr="00BA2B87">
        <w:rPr>
          <w:rFonts w:ascii="Book Antiqua" w:eastAsia="Book Antiqua" w:hAnsi="Book Antiqua" w:cs="Book Antiqua"/>
          <w:color w:val="000000"/>
        </w:rPr>
        <w:t xml:space="preserve">. </w:t>
      </w:r>
    </w:p>
    <w:p w14:paraId="55352B7C" w14:textId="523C0B39"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The current various diagnostic strategies for CRC include invasive and non-invasive methods. Invasive methods consist of endoscopy and imaging tests. Endoscopy, which includes sigmoidoscopy and colonoscopy, is the most commonly used method for detecting CRC. </w:t>
      </w:r>
      <w:r w:rsidR="009F2EB4">
        <w:rPr>
          <w:rFonts w:ascii="Book Antiqua" w:eastAsia="Book Antiqua" w:hAnsi="Book Antiqua" w:cs="Book Antiqua"/>
          <w:color w:val="000000"/>
        </w:rPr>
        <w:t>I</w:t>
      </w:r>
      <w:r w:rsidRPr="00BA2B87">
        <w:rPr>
          <w:rFonts w:ascii="Book Antiqua" w:eastAsia="Book Antiqua" w:hAnsi="Book Antiqua" w:cs="Book Antiqua"/>
          <w:color w:val="000000"/>
        </w:rPr>
        <w:t>maging tests such as nuclear magnetic resonance (NMR) and computed tomography (CT) are applied to diagnose severe focal lesions</w:t>
      </w:r>
      <w:r w:rsidRPr="00BA2B87">
        <w:rPr>
          <w:rFonts w:ascii="Book Antiqua" w:eastAsia="Book Antiqua" w:hAnsi="Book Antiqua" w:cs="Book Antiqua"/>
          <w:color w:val="000000"/>
          <w:vertAlign w:val="superscript"/>
        </w:rPr>
        <w:t>[6]</w:t>
      </w:r>
      <w:r w:rsidRPr="00BA2B87">
        <w:rPr>
          <w:rFonts w:ascii="Book Antiqua" w:eastAsia="Book Antiqua" w:hAnsi="Book Antiqua" w:cs="Book Antiqua"/>
          <w:color w:val="000000"/>
        </w:rPr>
        <w:t>. In addition, positron emission (PET</w:t>
      </w:r>
      <w:r w:rsidR="009C37C8"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/CT, particularly fluorine-18-fluorodeoxyglucose </w:t>
      </w:r>
      <w:r w:rsidR="009C37C8" w:rsidRPr="00BA2B87">
        <w:rPr>
          <w:rFonts w:ascii="Book Antiqua" w:eastAsia="Book Antiqua" w:hAnsi="Book Antiqua" w:cs="Book Antiqua"/>
          <w:color w:val="000000"/>
        </w:rPr>
        <w:t>PET/CT</w:t>
      </w:r>
      <w:r w:rsidRPr="00BA2B87">
        <w:rPr>
          <w:rFonts w:ascii="Book Antiqua" w:eastAsia="Book Antiqua" w:hAnsi="Book Antiqua" w:cs="Book Antiqua"/>
          <w:color w:val="000000"/>
        </w:rPr>
        <w:t xml:space="preserve">, is </w:t>
      </w:r>
      <w:r w:rsidR="009F2EB4">
        <w:rPr>
          <w:rFonts w:ascii="Book Antiqua" w:eastAsia="Book Antiqua" w:hAnsi="Book Antiqua" w:cs="Book Antiqua"/>
          <w:color w:val="000000"/>
        </w:rPr>
        <w:t>frequently</w:t>
      </w:r>
      <w:r w:rsidRPr="00BA2B87">
        <w:rPr>
          <w:rFonts w:ascii="Book Antiqua" w:eastAsia="Book Antiqua" w:hAnsi="Book Antiqua" w:cs="Book Antiqua"/>
          <w:color w:val="000000"/>
        </w:rPr>
        <w:t xml:space="preserve"> used to diagnose CRC and evaluate patient response to treatment after radiochemotherapy for advanced rectal cancer</w:t>
      </w:r>
      <w:r w:rsidRPr="00BA2B87">
        <w:rPr>
          <w:rFonts w:ascii="Book Antiqua" w:eastAsia="Book Antiqua" w:hAnsi="Book Antiqua" w:cs="Book Antiqua"/>
          <w:color w:val="000000"/>
          <w:vertAlign w:val="superscript"/>
        </w:rPr>
        <w:t>[7]</w:t>
      </w:r>
      <w:r w:rsidRPr="00BA2B87">
        <w:rPr>
          <w:rFonts w:ascii="Book Antiqua" w:eastAsia="Book Antiqua" w:hAnsi="Book Antiqua" w:cs="Book Antiqua"/>
          <w:color w:val="000000"/>
        </w:rPr>
        <w:t>. As a non-invasive method, a fecal occult blood test is another diagnostic screening for CRC, identifying hemoglobin caused by gastrointestinal bleeding</w:t>
      </w:r>
      <w:r w:rsidRPr="00BA2B87">
        <w:rPr>
          <w:rFonts w:ascii="Book Antiqua" w:eastAsia="Book Antiqua" w:hAnsi="Book Antiqua" w:cs="Book Antiqua"/>
          <w:color w:val="000000"/>
          <w:vertAlign w:val="superscript"/>
        </w:rPr>
        <w:t>[6]</w:t>
      </w:r>
      <w:r w:rsidRPr="00BA2B87">
        <w:rPr>
          <w:rFonts w:ascii="Book Antiqua" w:eastAsia="Book Antiqua" w:hAnsi="Book Antiqua" w:cs="Book Antiqua"/>
          <w:color w:val="000000"/>
        </w:rPr>
        <w:t xml:space="preserve">. </w:t>
      </w:r>
    </w:p>
    <w:p w14:paraId="73D20471" w14:textId="77777777" w:rsidR="00A77B3E" w:rsidRPr="00BA2B87" w:rsidRDefault="00A77B3E" w:rsidP="00BA2B87">
      <w:pPr>
        <w:spacing w:line="360" w:lineRule="auto"/>
        <w:jc w:val="both"/>
        <w:rPr>
          <w:rFonts w:ascii="Book Antiqua" w:hAnsi="Book Antiqua"/>
        </w:rPr>
      </w:pPr>
    </w:p>
    <w:p w14:paraId="5B015F6E" w14:textId="57A11B66"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On the other hand, there is an urgent need for alternative, inexpensive and easy-to-measure methods for screening and therapy. An improvement in technologies in molecular biology provides an opportunity such as prognostic and predictive biomarkers to improve treatment selection or outcome for CRC. Following the completion of the Human Genome Project in 2003, studies of functional genomics (</w:t>
      </w:r>
      <w:r w:rsidRPr="009C37C8">
        <w:rPr>
          <w:rFonts w:ascii="Book Antiqua" w:eastAsia="Book Antiqua" w:hAnsi="Book Antiqua" w:cs="Book Antiqua"/>
          <w:i/>
          <w:iCs/>
          <w:color w:val="000000"/>
        </w:rPr>
        <w:t>i.e.</w:t>
      </w:r>
      <w:r w:rsidRPr="00BA2B87">
        <w:rPr>
          <w:rFonts w:ascii="Book Antiqua" w:eastAsia="Book Antiqua" w:hAnsi="Book Antiqua" w:cs="Book Antiqua"/>
          <w:color w:val="000000"/>
        </w:rPr>
        <w:t xml:space="preserve"> genomics, transcriptomics, proteomics, and metabolomics) have recently increased. Therefore, studies in the field of computational analysis, bioinformatics, and systems biology have gained importance to process data derived from functional genomics and apply a systematic perspective. Consequently, candidate biomarkers made further progress in understanding the mechanism of CRC</w:t>
      </w:r>
      <w:r w:rsidRPr="00BA2B87">
        <w:rPr>
          <w:rFonts w:ascii="Book Antiqua" w:eastAsia="Book Antiqua" w:hAnsi="Book Antiqua" w:cs="Book Antiqua"/>
          <w:color w:val="000000"/>
          <w:vertAlign w:val="superscript"/>
        </w:rPr>
        <w:t>[8]</w:t>
      </w:r>
      <w:r w:rsidRPr="00BA2B87">
        <w:rPr>
          <w:rFonts w:ascii="Book Antiqua" w:eastAsia="Book Antiqua" w:hAnsi="Book Antiqua" w:cs="Book Antiqua"/>
          <w:color w:val="000000"/>
        </w:rPr>
        <w:t xml:space="preserve">. </w:t>
      </w:r>
    </w:p>
    <w:p w14:paraId="2AAA5F7D" w14:textId="08F1410D"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The development of new drugs is very costly and time-consuming, as the research and development takes about 10 years and more than $1 billion</w:t>
      </w:r>
      <w:r w:rsidRPr="00BA2B87">
        <w:rPr>
          <w:rFonts w:ascii="Book Antiqua" w:eastAsia="Book Antiqua" w:hAnsi="Book Antiqua" w:cs="Book Antiqua"/>
          <w:color w:val="000000"/>
          <w:vertAlign w:val="superscript"/>
        </w:rPr>
        <w:t>[9,10]</w:t>
      </w:r>
      <w:r w:rsidRPr="00BA2B87">
        <w:rPr>
          <w:rFonts w:ascii="Book Antiqua" w:eastAsia="Book Antiqua" w:hAnsi="Book Antiqua" w:cs="Book Antiqua"/>
          <w:color w:val="000000"/>
        </w:rPr>
        <w:t>. Therefore, an approach called "drug repositioning" (DR) could save time and costs by establishing new indications for existing drugs. DR has an effective strategy to provide already clinically tested drugs for complex diseases such as cancer</w:t>
      </w:r>
      <w:r w:rsidRPr="00BA2B87">
        <w:rPr>
          <w:rFonts w:ascii="Book Antiqua" w:eastAsia="Book Antiqua" w:hAnsi="Book Antiqua" w:cs="Book Antiqua"/>
          <w:color w:val="000000"/>
          <w:vertAlign w:val="superscript"/>
        </w:rPr>
        <w:t>[9]</w:t>
      </w:r>
      <w:r w:rsidRPr="00BA2B87">
        <w:rPr>
          <w:rFonts w:ascii="Book Antiqua" w:eastAsia="Book Antiqua" w:hAnsi="Book Antiqua" w:cs="Book Antiqua"/>
          <w:color w:val="000000"/>
        </w:rPr>
        <w:t xml:space="preserve">. </w:t>
      </w:r>
    </w:p>
    <w:p w14:paraId="651DF987" w14:textId="77777777" w:rsidR="00A77B3E" w:rsidRPr="00BA2B87" w:rsidRDefault="00A77B3E" w:rsidP="00BA2B87">
      <w:pPr>
        <w:spacing w:line="360" w:lineRule="auto"/>
        <w:jc w:val="both"/>
        <w:rPr>
          <w:rFonts w:ascii="Book Antiqua" w:hAnsi="Book Antiqua"/>
        </w:rPr>
      </w:pPr>
    </w:p>
    <w:p w14:paraId="49FA95F2"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aps/>
          <w:color w:val="000000"/>
          <w:u w:val="single"/>
        </w:rPr>
        <w:t>SYSTEMS BIOLOGY APPROACHES TO DEFINE NEW BIOMARKERS AND DRUG REUSE</w:t>
      </w:r>
    </w:p>
    <w:p w14:paraId="2D573FF4" w14:textId="65843158"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Systems biology is an approach that looks at biological systems as a whole and analyzes their interactions and how the interactions affect the behavior and function of the systems</w:t>
      </w:r>
      <w:r w:rsidRPr="00BA2B87">
        <w:rPr>
          <w:rFonts w:ascii="Book Antiqua" w:eastAsia="Book Antiqua" w:hAnsi="Book Antiqua" w:cs="Book Antiqua"/>
          <w:color w:val="000000"/>
          <w:vertAlign w:val="superscript"/>
        </w:rPr>
        <w:t>[11]</w:t>
      </w:r>
      <w:r w:rsidRPr="00BA2B87">
        <w:rPr>
          <w:rFonts w:ascii="Book Antiqua" w:eastAsia="Book Antiqua" w:hAnsi="Book Antiqua" w:cs="Book Antiqua"/>
          <w:color w:val="000000"/>
        </w:rPr>
        <w:t>. From a holistic view, it allows investigation from the level of cells, tissues, organs, and finally the whole organism. It also combines large amounts of data and reduces it to the levels of genomics, proteomics, and metabolomics to understand the mechanism of complex diseases and build a network model to develop new treatments</w:t>
      </w:r>
      <w:r w:rsidRPr="00BA2B87">
        <w:rPr>
          <w:rFonts w:ascii="Book Antiqua" w:eastAsia="Book Antiqua" w:hAnsi="Book Antiqua" w:cs="Book Antiqua"/>
          <w:color w:val="000000"/>
          <w:vertAlign w:val="superscript"/>
        </w:rPr>
        <w:t>[12]</w:t>
      </w:r>
      <w:r w:rsidRPr="00BA2B87">
        <w:rPr>
          <w:rFonts w:ascii="Book Antiqua" w:eastAsia="Book Antiqua" w:hAnsi="Book Antiqua" w:cs="Book Antiqua"/>
          <w:color w:val="000000"/>
        </w:rPr>
        <w:t>.</w:t>
      </w:r>
    </w:p>
    <w:p w14:paraId="540EEDA9" w14:textId="6AF69791" w:rsidR="00A77B3E" w:rsidRPr="00BA2B87" w:rsidRDefault="00925687" w:rsidP="009C37C8">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Recently, the rising microarray and next-generation sequencing (NGS) technologies lead </w:t>
      </w:r>
      <w:r w:rsidR="009F2EB4">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accumulation of omics data to identify disease-associated genes, pathways, and biological networks. Therefore, systems biology methods are used to discover </w:t>
      </w:r>
      <w:r w:rsidRPr="00BA2B87">
        <w:rPr>
          <w:rFonts w:ascii="Book Antiqua" w:eastAsia="Book Antiqua" w:hAnsi="Book Antiqua" w:cs="Book Antiqua"/>
          <w:color w:val="000000"/>
        </w:rPr>
        <w:lastRenderedPageBreak/>
        <w:t>biomarkers and novel targets, as well as to develop novel therapeutics and treatment strategies. Genomics studies can enable early diagnosis, post-surgery surveillance, prediction of prognosis, and treatment response through the discovery of single nucleotide polymorphisms, somatic structural variations, copy number alterations, and chromosomal rearrangements in the genome</w:t>
      </w:r>
      <w:r w:rsidRPr="00BA2B87">
        <w:rPr>
          <w:rFonts w:ascii="Book Antiqua" w:eastAsia="Book Antiqua" w:hAnsi="Book Antiqua" w:cs="Book Antiqua"/>
          <w:color w:val="000000"/>
          <w:vertAlign w:val="superscript"/>
        </w:rPr>
        <w:t>[13]</w:t>
      </w:r>
      <w:r w:rsidRPr="00BA2B87">
        <w:rPr>
          <w:rFonts w:ascii="Book Antiqua" w:eastAsia="Book Antiqua" w:hAnsi="Book Antiqua" w:cs="Book Antiqua"/>
          <w:color w:val="000000"/>
        </w:rPr>
        <w:t xml:space="preserve">. Transcriptomics studies, </w:t>
      </w:r>
      <w:r w:rsidR="00580682">
        <w:rPr>
          <w:rFonts w:ascii="Book Antiqua" w:eastAsia="Book Antiqua" w:hAnsi="Book Antiqua" w:cs="Book Antiqua"/>
          <w:color w:val="000000"/>
        </w:rPr>
        <w:t>involve</w:t>
      </w:r>
      <w:r w:rsidRPr="00BA2B87">
        <w:rPr>
          <w:rFonts w:ascii="Book Antiqua" w:eastAsia="Book Antiqua" w:hAnsi="Book Antiqua" w:cs="Book Antiqua"/>
          <w:color w:val="000000"/>
        </w:rPr>
        <w:t xml:space="preserve"> </w:t>
      </w:r>
      <w:r w:rsidR="00580682">
        <w:rPr>
          <w:rFonts w:ascii="Book Antiqua" w:eastAsia="Book Antiqua" w:hAnsi="Book Antiqua" w:cs="Book Antiqua"/>
          <w:color w:val="000000"/>
        </w:rPr>
        <w:t>the</w:t>
      </w:r>
      <w:r w:rsidRPr="00BA2B87">
        <w:rPr>
          <w:rFonts w:ascii="Book Antiqua" w:eastAsia="Book Antiqua" w:hAnsi="Book Antiqua" w:cs="Book Antiqua"/>
          <w:color w:val="000000"/>
        </w:rPr>
        <w:t xml:space="preserve"> analysis of total RNA content, consist</w:t>
      </w:r>
      <w:r w:rsidR="00580682">
        <w:rPr>
          <w:rFonts w:ascii="Book Antiqua" w:eastAsia="Book Antiqua" w:hAnsi="Book Antiqua" w:cs="Book Antiqua"/>
          <w:color w:val="000000"/>
        </w:rPr>
        <w:t>ing</w:t>
      </w:r>
      <w:r w:rsidRPr="00BA2B87">
        <w:rPr>
          <w:rFonts w:ascii="Book Antiqua" w:eastAsia="Book Antiqua" w:hAnsi="Book Antiqua" w:cs="Book Antiqua"/>
          <w:color w:val="000000"/>
        </w:rPr>
        <w:t xml:space="preserve"> of non-coding RNAs (ncRNAs), microRNAs (miRNA), long </w:t>
      </w:r>
      <w:r w:rsidR="00685B31" w:rsidRPr="00BA2B87">
        <w:rPr>
          <w:rFonts w:ascii="Book Antiqua" w:eastAsia="Book Antiqua" w:hAnsi="Book Antiqua" w:cs="Book Antiqua"/>
          <w:color w:val="000000"/>
        </w:rPr>
        <w:t>ncRNA</w:t>
      </w:r>
      <w:r w:rsidRPr="00BA2B87">
        <w:rPr>
          <w:rFonts w:ascii="Book Antiqua" w:eastAsia="Book Antiqua" w:hAnsi="Book Antiqua" w:cs="Book Antiqua"/>
          <w:color w:val="000000"/>
        </w:rPr>
        <w:t xml:space="preserve"> (lncRNA), circular RNAs, piwi-interacting RNAs, and small nuclear RNAs. Unlike transcriptomics, proteomics provides information </w:t>
      </w:r>
      <w:r w:rsidR="00580682">
        <w:rPr>
          <w:rFonts w:ascii="Book Antiqua" w:eastAsia="Book Antiqua" w:hAnsi="Book Antiqua" w:cs="Book Antiqua"/>
          <w:color w:val="000000"/>
        </w:rPr>
        <w:t>on</w:t>
      </w:r>
      <w:r w:rsidRPr="00BA2B87">
        <w:rPr>
          <w:rFonts w:ascii="Book Antiqua" w:eastAsia="Book Antiqua" w:hAnsi="Book Antiqua" w:cs="Book Antiqua"/>
          <w:color w:val="000000"/>
        </w:rPr>
        <w:t xml:space="preserve"> protein function, protein-protein interactions, post-translational modifications, and is therefore important for discovering protein biomarkers in disease. However, proteins rather than DNA or RNA are usually selected as drug targets. The metabolomics approach works on metabolites that are essential for the growth, maintenance, and normal function of cells, such as amino acids, fatty acids, organic acids, sugars, </w:t>
      </w:r>
      <w:r w:rsidRPr="00BA2B87">
        <w:rPr>
          <w:rFonts w:ascii="Book Antiqua" w:eastAsia="Book Antiqua" w:hAnsi="Book Antiqua" w:cs="Book Antiqua"/>
          <w:i/>
          <w:iCs/>
          <w:color w:val="000000"/>
        </w:rPr>
        <w:t>etc.</w:t>
      </w:r>
      <w:r w:rsidRPr="00BA2B87">
        <w:rPr>
          <w:rFonts w:ascii="Book Antiqua" w:eastAsia="Book Antiqua" w:hAnsi="Book Antiqua" w:cs="Book Antiqua"/>
          <w:color w:val="000000"/>
          <w:vertAlign w:val="superscript"/>
        </w:rPr>
        <w:t>[14]</w:t>
      </w:r>
      <w:r w:rsidRPr="00BA2B87">
        <w:rPr>
          <w:rFonts w:ascii="Book Antiqua" w:eastAsia="Book Antiqua" w:hAnsi="Book Antiqua" w:cs="Book Antiqua"/>
          <w:color w:val="000000"/>
        </w:rPr>
        <w:t xml:space="preserve">. </w:t>
      </w:r>
    </w:p>
    <w:p w14:paraId="797BA72A" w14:textId="112182D9"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short, systems biology strategies </w:t>
      </w:r>
      <w:r w:rsidR="00580682">
        <w:rPr>
          <w:rFonts w:ascii="Book Antiqua" w:eastAsia="Book Antiqua" w:hAnsi="Book Antiqua" w:cs="Book Antiqua"/>
          <w:color w:val="000000"/>
        </w:rPr>
        <w:t>can</w:t>
      </w:r>
      <w:r w:rsidRPr="00BA2B87">
        <w:rPr>
          <w:rFonts w:ascii="Book Antiqua" w:eastAsia="Book Antiqua" w:hAnsi="Book Antiqua" w:cs="Book Antiqua"/>
          <w:color w:val="000000"/>
        </w:rPr>
        <w:t xml:space="preserve"> unravel the mechanism under</w:t>
      </w:r>
      <w:r w:rsidR="00580682">
        <w:rPr>
          <w:rFonts w:ascii="Book Antiqua" w:eastAsia="Book Antiqua" w:hAnsi="Book Antiqua" w:cs="Book Antiqua"/>
          <w:color w:val="000000"/>
        </w:rPr>
        <w:t>lying</w:t>
      </w:r>
      <w:r w:rsidRPr="00BA2B87">
        <w:rPr>
          <w:rFonts w:ascii="Book Antiqua" w:eastAsia="Book Antiqua" w:hAnsi="Book Antiqua" w:cs="Book Antiqua"/>
          <w:color w:val="000000"/>
        </w:rPr>
        <w:t xml:space="preserve"> disease, </w:t>
      </w:r>
      <w:r w:rsidR="00580682">
        <w:rPr>
          <w:rFonts w:ascii="Book Antiqua" w:eastAsia="Book Antiqua" w:hAnsi="Book Antiqua" w:cs="Book Antiqua"/>
          <w:color w:val="000000"/>
        </w:rPr>
        <w:t xml:space="preserve">provide </w:t>
      </w:r>
      <w:r w:rsidRPr="00BA2B87">
        <w:rPr>
          <w:rFonts w:ascii="Book Antiqua" w:eastAsia="Book Antiqua" w:hAnsi="Book Antiqua" w:cs="Book Antiqua"/>
          <w:color w:val="000000"/>
        </w:rPr>
        <w:t xml:space="preserve">therapeutic alternatives, </w:t>
      </w:r>
      <w:r w:rsidR="00580682">
        <w:rPr>
          <w:rFonts w:ascii="Book Antiqua" w:eastAsia="Book Antiqua" w:hAnsi="Book Antiqua" w:cs="Book Antiqua"/>
          <w:color w:val="000000"/>
        </w:rPr>
        <w:t xml:space="preserve">and </w:t>
      </w:r>
      <w:r w:rsidRPr="00BA2B87">
        <w:rPr>
          <w:rFonts w:ascii="Book Antiqua" w:eastAsia="Book Antiqua" w:hAnsi="Book Antiqua" w:cs="Book Antiqua"/>
          <w:color w:val="000000"/>
        </w:rPr>
        <w:t>biomarkers that have diagnostic, prognostic, or theranostic properties by implementing different omics levels. While difficulties in cancer diagnosis and treatment regularly increase due to confounding pathogenesis and cellular heterogeneity, comprehensive analysis through the systems biology approach consistently helps to gain a comprehensive understanding of disease mechanisms and a greater vision in terms of diagnostic and prognostic biomarkers and targeted drug discovery</w:t>
      </w:r>
      <w:r w:rsidRPr="00BA2B87">
        <w:rPr>
          <w:rFonts w:ascii="Book Antiqua" w:eastAsia="Book Antiqua" w:hAnsi="Book Antiqua" w:cs="Book Antiqua"/>
          <w:color w:val="000000"/>
          <w:vertAlign w:val="superscript"/>
        </w:rPr>
        <w:t>[15,16]</w:t>
      </w:r>
      <w:r w:rsidRPr="00BA2B87">
        <w:rPr>
          <w:rFonts w:ascii="Book Antiqua" w:eastAsia="Book Antiqua" w:hAnsi="Book Antiqua" w:cs="Book Antiqua"/>
          <w:color w:val="000000"/>
        </w:rPr>
        <w:t xml:space="preserve">. The integration of high-throughput omics data from different biological levels has been the cornerstone of the systems biology approach of CRC. Moreover, predictions for drug development can be facilitated by the use of systems biology. The identification of biological targets and new promising drugs can be achieved by using </w:t>
      </w:r>
      <w:r w:rsidRPr="00BA2B87">
        <w:rPr>
          <w:rFonts w:ascii="Book Antiqua" w:eastAsia="Book Antiqua" w:hAnsi="Book Antiqua" w:cs="Book Antiqua"/>
          <w:i/>
          <w:iCs/>
          <w:color w:val="000000"/>
        </w:rPr>
        <w:t>in silico</w:t>
      </w:r>
      <w:r w:rsidRPr="00BA2B87">
        <w:rPr>
          <w:rFonts w:ascii="Book Antiqua" w:eastAsia="Book Antiqua" w:hAnsi="Book Antiqua" w:cs="Book Antiqua"/>
          <w:color w:val="000000"/>
        </w:rPr>
        <w:t xml:space="preserve"> methods for DR by collecting clinical data at different omics levels and analyzing them within systematic and integrative pipelines</w:t>
      </w:r>
      <w:r w:rsidRPr="00BA2B87">
        <w:rPr>
          <w:rFonts w:ascii="Book Antiqua" w:eastAsia="Book Antiqua" w:hAnsi="Book Antiqua" w:cs="Book Antiqua"/>
          <w:color w:val="000000"/>
          <w:vertAlign w:val="superscript"/>
        </w:rPr>
        <w:t>[9]</w:t>
      </w:r>
      <w:r w:rsidRPr="00BA2B87">
        <w:rPr>
          <w:rFonts w:ascii="Book Antiqua" w:eastAsia="Book Antiqua" w:hAnsi="Book Antiqua" w:cs="Book Antiqua"/>
          <w:color w:val="000000"/>
        </w:rPr>
        <w:t xml:space="preserve">. </w:t>
      </w:r>
    </w:p>
    <w:p w14:paraId="13E5FBB8" w14:textId="4DA58B55"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this review, we aim to provide an overview of systems-level biomarkers such as diagnostics and prognostics (Figure 1) and provide a deep understanding of the DR strategies for the treatment of CRC. </w:t>
      </w:r>
    </w:p>
    <w:p w14:paraId="78F670BF" w14:textId="77777777" w:rsidR="00A77B3E" w:rsidRPr="00BA2B87" w:rsidRDefault="00A77B3E" w:rsidP="00BA2B87">
      <w:pPr>
        <w:spacing w:line="360" w:lineRule="auto"/>
        <w:jc w:val="both"/>
        <w:rPr>
          <w:rFonts w:ascii="Book Antiqua" w:hAnsi="Book Antiqua"/>
        </w:rPr>
      </w:pPr>
    </w:p>
    <w:p w14:paraId="2150445A"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aps/>
          <w:color w:val="000000"/>
          <w:u w:val="single"/>
        </w:rPr>
        <w:t>SYSTEMS-LEVEL BIOMARKERS</w:t>
      </w:r>
    </w:p>
    <w:p w14:paraId="1F5AF901" w14:textId="149D6771"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Despite considerable progress in CRC research aimed at elucidating the molecular mechanisms underlying disease carcinogenesis, the number of biomarkers that are applied in the clinic as routine practice to estimate risk, prognosis, and response to treatment</w:t>
      </w:r>
      <w:r w:rsidR="00580682" w:rsidRPr="00580682">
        <w:rPr>
          <w:rFonts w:ascii="Book Antiqua" w:eastAsia="Book Antiqua" w:hAnsi="Book Antiqua" w:cs="Book Antiqua"/>
          <w:color w:val="000000"/>
        </w:rPr>
        <w:t xml:space="preserve"> </w:t>
      </w:r>
      <w:r w:rsidR="00580682" w:rsidRPr="00BA2B87">
        <w:rPr>
          <w:rFonts w:ascii="Book Antiqua" w:eastAsia="Book Antiqua" w:hAnsi="Book Antiqua" w:cs="Book Antiqua"/>
          <w:color w:val="000000"/>
        </w:rPr>
        <w:t>is limited</w:t>
      </w:r>
      <w:r w:rsidRPr="00BA2B87">
        <w:rPr>
          <w:rFonts w:ascii="Book Antiqua" w:eastAsia="Book Antiqua" w:hAnsi="Book Antiqua" w:cs="Book Antiqua"/>
          <w:color w:val="000000"/>
          <w:vertAlign w:val="superscript"/>
        </w:rPr>
        <w:t>[15]</w:t>
      </w:r>
      <w:r w:rsidRPr="00BA2B87">
        <w:rPr>
          <w:rFonts w:ascii="Book Antiqua" w:eastAsia="Book Antiqua" w:hAnsi="Book Antiqua" w:cs="Book Antiqua"/>
          <w:color w:val="000000"/>
        </w:rPr>
        <w:t>. The lack of reliable and robust biomarkers to screen, monitor, and prevent CRC is a consequence of the heterogeneous nature of this disease and its complex multifactorial pathology</w:t>
      </w:r>
      <w:r w:rsidRPr="00BA2B87">
        <w:rPr>
          <w:rFonts w:ascii="Book Antiqua" w:eastAsia="Book Antiqua" w:hAnsi="Book Antiqua" w:cs="Book Antiqua"/>
          <w:color w:val="000000"/>
          <w:vertAlign w:val="superscript"/>
        </w:rPr>
        <w:t>[17]</w:t>
      </w:r>
      <w:r w:rsidRPr="00BA2B87">
        <w:rPr>
          <w:rFonts w:ascii="Book Antiqua" w:eastAsia="Book Antiqua" w:hAnsi="Book Antiqua" w:cs="Book Antiqua"/>
          <w:color w:val="000000"/>
        </w:rPr>
        <w:t>.</w:t>
      </w:r>
    </w:p>
    <w:p w14:paraId="67F12D06" w14:textId="218F54B6"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Recent developments in proteomics, transcriptomics, metabolomics, and genomics have increased the number of potential biomarkers, which may ultimately advance the clinical management of CRC to reduce mortality and have led to a better understanding of not only disease progression but also the establishment of molecular biomarkers</w:t>
      </w:r>
      <w:r w:rsidRPr="00BA2B87">
        <w:rPr>
          <w:rFonts w:ascii="Book Antiqua" w:eastAsia="Book Antiqua" w:hAnsi="Book Antiqua" w:cs="Book Antiqua"/>
          <w:color w:val="000000"/>
          <w:vertAlign w:val="superscript"/>
        </w:rPr>
        <w:t>[8]</w:t>
      </w:r>
      <w:r w:rsidRPr="00BA2B87">
        <w:rPr>
          <w:rFonts w:ascii="Book Antiqua" w:eastAsia="Book Antiqua" w:hAnsi="Book Antiqua" w:cs="Book Antiqua"/>
          <w:color w:val="000000"/>
        </w:rPr>
        <w:t>.</w:t>
      </w:r>
    </w:p>
    <w:p w14:paraId="2A5928D5" w14:textId="77777777" w:rsidR="00A77B3E" w:rsidRPr="00BA2B87" w:rsidRDefault="00A77B3E" w:rsidP="00BA2B87">
      <w:pPr>
        <w:spacing w:line="360" w:lineRule="auto"/>
        <w:jc w:val="both"/>
        <w:rPr>
          <w:rFonts w:ascii="Book Antiqua" w:hAnsi="Book Antiqua"/>
        </w:rPr>
      </w:pPr>
    </w:p>
    <w:p w14:paraId="398038D7"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Diagnostic markers</w:t>
      </w:r>
    </w:p>
    <w:p w14:paraId="07115232" w14:textId="19F9158D"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A diagnostic biomarker is a measurable indicator that predicts or suggests the presence of a disease or related condition or determines a person with a subtype of the disease</w:t>
      </w:r>
      <w:r w:rsidRPr="00BA2B87">
        <w:rPr>
          <w:rFonts w:ascii="Book Antiqua" w:eastAsia="Book Antiqua" w:hAnsi="Book Antiqua" w:cs="Book Antiqua"/>
          <w:color w:val="000000"/>
          <w:vertAlign w:val="superscript"/>
        </w:rPr>
        <w:t>[18]</w:t>
      </w:r>
      <w:r w:rsidRPr="00BA2B87">
        <w:rPr>
          <w:rFonts w:ascii="Book Antiqua" w:eastAsia="Book Antiqua" w:hAnsi="Book Antiqua" w:cs="Book Antiqua"/>
          <w:color w:val="000000"/>
        </w:rPr>
        <w:t>. Screening strategies f</w:t>
      </w:r>
      <w:r w:rsidR="00580682">
        <w:rPr>
          <w:rFonts w:ascii="Book Antiqua" w:eastAsia="Book Antiqua" w:hAnsi="Book Antiqua" w:cs="Book Antiqua"/>
          <w:color w:val="000000"/>
        </w:rPr>
        <w:t>or</w:t>
      </w:r>
      <w:r w:rsidRPr="00BA2B87">
        <w:rPr>
          <w:rFonts w:ascii="Book Antiqua" w:eastAsia="Book Antiqua" w:hAnsi="Book Antiqua" w:cs="Book Antiqua"/>
          <w:color w:val="000000"/>
        </w:rPr>
        <w:t xml:space="preserve"> CRC allow the detection and removal of adenomatous polyps and other premalignant lesions, resulting in a significant reduction in CRC mortality</w:t>
      </w:r>
      <w:r w:rsidRPr="00BA2B87">
        <w:rPr>
          <w:rFonts w:ascii="Book Antiqua" w:eastAsia="Book Antiqua" w:hAnsi="Book Antiqua" w:cs="Book Antiqua"/>
          <w:color w:val="000000"/>
          <w:vertAlign w:val="superscript"/>
        </w:rPr>
        <w:t>[19]</w:t>
      </w:r>
      <w:r w:rsidRPr="00BA2B87">
        <w:rPr>
          <w:rFonts w:ascii="Book Antiqua" w:eastAsia="Book Antiqua" w:hAnsi="Book Antiqua" w:cs="Book Antiqua"/>
          <w:color w:val="000000"/>
        </w:rPr>
        <w:t>. For these screening strategies in CRC, the identification of early, non-invasive, specific, and robust biomarkers remains an important prerequisite.</w:t>
      </w:r>
    </w:p>
    <w:p w14:paraId="7615468A" w14:textId="73380073"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Aberrant DNA methylation is a potential biomarker for the early detection of CRC. In one study, CpG methylation microarray analysis was performed in conjunction with a methylated DNA isolation assay to identify novel methylated genes at an early stage of CRC. Clinical validation tests showed that SDC2 had high sensitivity and specificity for detecting CRC, highlighting its diagnostic value as a blood-based biomarker for patients with CRC</w:t>
      </w:r>
      <w:r w:rsidRPr="00BA2B87">
        <w:rPr>
          <w:rFonts w:ascii="Book Antiqua" w:eastAsia="Book Antiqua" w:hAnsi="Book Antiqua" w:cs="Book Antiqua"/>
          <w:color w:val="000000"/>
          <w:vertAlign w:val="superscript"/>
        </w:rPr>
        <w:t>[20]</w:t>
      </w:r>
      <w:r w:rsidRPr="00BA2B87">
        <w:rPr>
          <w:rFonts w:ascii="Book Antiqua" w:eastAsia="Book Antiqua" w:hAnsi="Book Antiqua" w:cs="Book Antiqua"/>
          <w:color w:val="000000"/>
        </w:rPr>
        <w:t xml:space="preserve">. Li </w:t>
      </w:r>
      <w:r w:rsidR="00F034F1"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[21]</w:t>
      </w:r>
      <w:r w:rsidRPr="00BA2B87">
        <w:rPr>
          <w:rFonts w:ascii="Book Antiqua" w:eastAsia="Book Antiqua" w:hAnsi="Book Antiqua" w:cs="Book Antiqua"/>
          <w:color w:val="000000"/>
        </w:rPr>
        <w:t xml:space="preserve"> identified a number of novel hypermethylated genes in CRC using the methylated-CpG island recovery assay in combination with microarrays. Of 211 hypermethylated candidate genes, only 3 novel hypermethylated genes, </w:t>
      </w:r>
      <w:r w:rsidRPr="00F034F1">
        <w:rPr>
          <w:rFonts w:ascii="Book Antiqua" w:eastAsia="Book Antiqua" w:hAnsi="Book Antiqua" w:cs="Book Antiqua"/>
          <w:i/>
          <w:iCs/>
          <w:color w:val="000000"/>
        </w:rPr>
        <w:t>PHOX1B</w:t>
      </w:r>
      <w:r w:rsidRPr="00BA2B87">
        <w:rPr>
          <w:rFonts w:ascii="Book Antiqua" w:eastAsia="Book Antiqua" w:hAnsi="Book Antiqua" w:cs="Book Antiqua"/>
          <w:color w:val="000000"/>
        </w:rPr>
        <w:t xml:space="preserve">, </w:t>
      </w:r>
      <w:r w:rsidRPr="00F034F1">
        <w:rPr>
          <w:rFonts w:ascii="Book Antiqua" w:eastAsia="Book Antiqua" w:hAnsi="Book Antiqua" w:cs="Book Antiqua"/>
          <w:i/>
          <w:iCs/>
          <w:color w:val="000000"/>
        </w:rPr>
        <w:t>GAD2</w:t>
      </w:r>
      <w:r w:rsidRPr="00BA2B87">
        <w:rPr>
          <w:rFonts w:ascii="Book Antiqua" w:eastAsia="Book Antiqua" w:hAnsi="Book Antiqua" w:cs="Book Antiqua"/>
          <w:color w:val="000000"/>
        </w:rPr>
        <w:t xml:space="preserve">, and </w:t>
      </w:r>
      <w:r w:rsidRPr="00F034F1">
        <w:rPr>
          <w:rFonts w:ascii="Book Antiqua" w:eastAsia="Book Antiqua" w:hAnsi="Book Antiqua" w:cs="Book Antiqua"/>
          <w:i/>
          <w:iCs/>
          <w:color w:val="000000"/>
        </w:rPr>
        <w:t>FGF12</w:t>
      </w:r>
      <w:r w:rsidRPr="00BA2B87">
        <w:rPr>
          <w:rFonts w:ascii="Book Antiqua" w:eastAsia="Book Antiqua" w:hAnsi="Book Antiqua" w:cs="Book Antiqua"/>
          <w:color w:val="000000"/>
        </w:rPr>
        <w:t xml:space="preserve">, were selected for validation testing. These genes were </w:t>
      </w:r>
      <w:r w:rsidRPr="00BA2B87">
        <w:rPr>
          <w:rFonts w:ascii="Book Antiqua" w:eastAsia="Book Antiqua" w:hAnsi="Book Antiqua" w:cs="Book Antiqua"/>
          <w:color w:val="000000"/>
        </w:rPr>
        <w:lastRenderedPageBreak/>
        <w:t xml:space="preserve">better than </w:t>
      </w:r>
      <w:r w:rsidRPr="00F034F1">
        <w:rPr>
          <w:rFonts w:ascii="Book Antiqua" w:eastAsia="Book Antiqua" w:hAnsi="Book Antiqua" w:cs="Book Antiqua"/>
          <w:i/>
          <w:iCs/>
          <w:color w:val="000000"/>
        </w:rPr>
        <w:t>VIM</w:t>
      </w:r>
      <w:r w:rsidRPr="00BA2B87">
        <w:rPr>
          <w:rFonts w:ascii="Book Antiqua" w:eastAsia="Book Antiqua" w:hAnsi="Book Antiqua" w:cs="Book Antiqua"/>
          <w:color w:val="000000"/>
        </w:rPr>
        <w:t xml:space="preserve"> and </w:t>
      </w:r>
      <w:r w:rsidRPr="00F034F1">
        <w:rPr>
          <w:rFonts w:ascii="Book Antiqua" w:eastAsia="Book Antiqua" w:hAnsi="Book Antiqua" w:cs="Book Antiqua"/>
          <w:i/>
          <w:iCs/>
          <w:color w:val="000000"/>
        </w:rPr>
        <w:t>SEPT9</w:t>
      </w:r>
      <w:r w:rsidRPr="00BA2B87">
        <w:rPr>
          <w:rFonts w:ascii="Book Antiqua" w:eastAsia="Book Antiqua" w:hAnsi="Book Antiqua" w:cs="Book Antiqua"/>
          <w:color w:val="000000"/>
        </w:rPr>
        <w:t xml:space="preserve"> in discriminating CRC tissues compared to control tissues, indicating that they have the potential to be used as biomarkers for early diagnosis of CRC. Another comprehensive genomic study</w:t>
      </w:r>
      <w:r w:rsidRPr="00BA2B87">
        <w:rPr>
          <w:rFonts w:ascii="Book Antiqua" w:eastAsia="Book Antiqua" w:hAnsi="Book Antiqua" w:cs="Book Antiqua"/>
          <w:color w:val="000000"/>
          <w:vertAlign w:val="superscript"/>
        </w:rPr>
        <w:t>[22]</w:t>
      </w:r>
      <w:r w:rsidRPr="00BA2B87">
        <w:rPr>
          <w:rFonts w:ascii="Book Antiqua" w:eastAsia="Book Antiqua" w:hAnsi="Book Antiqua" w:cs="Book Antiqua"/>
          <w:color w:val="000000"/>
        </w:rPr>
        <w:t xml:space="preserve"> performed a genome-wide search for hypermethylation events in primary CRC compared to normal colonic tissue using microarrays. As a result of the systematic methylome-wide analysis, ten newly identified methylation events distinguished neoplastic and non-neoplastic colonic mucosa from CRC patients. Among the ten methylated events, VSX2 ha</w:t>
      </w:r>
      <w:r w:rsidR="00697DCD">
        <w:rPr>
          <w:rFonts w:ascii="Book Antiqua" w:eastAsia="Book Antiqua" w:hAnsi="Book Antiqua" w:cs="Book Antiqua"/>
          <w:color w:val="000000"/>
        </w:rPr>
        <w:t>d</w:t>
      </w:r>
      <w:r w:rsidRPr="00BA2B87">
        <w:rPr>
          <w:rFonts w:ascii="Book Antiqua" w:eastAsia="Book Antiqua" w:hAnsi="Book Antiqua" w:cs="Book Antiqua"/>
          <w:color w:val="000000"/>
        </w:rPr>
        <w:t xml:space="preserve"> the highest diagnostic accuracy. </w:t>
      </w:r>
    </w:p>
    <w:p w14:paraId="19417B60" w14:textId="41329A91"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Abnormal changes in the transcriptome occur as a result of epigenetic changes and loss of genomic stability </w:t>
      </w:r>
      <w:r w:rsidR="00697DCD">
        <w:rPr>
          <w:rFonts w:ascii="Book Antiqua" w:eastAsia="Book Antiqua" w:hAnsi="Book Antiqua" w:cs="Book Antiqua"/>
          <w:color w:val="000000"/>
        </w:rPr>
        <w:t xml:space="preserve">in </w:t>
      </w:r>
      <w:r w:rsidRPr="00BA2B87">
        <w:rPr>
          <w:rFonts w:ascii="Book Antiqua" w:eastAsia="Book Antiqua" w:hAnsi="Book Antiqua" w:cs="Book Antiqua"/>
          <w:color w:val="000000"/>
        </w:rPr>
        <w:t>CRC</w:t>
      </w:r>
      <w:r w:rsidRPr="00BA2B87">
        <w:rPr>
          <w:rFonts w:ascii="Book Antiqua" w:eastAsia="Book Antiqua" w:hAnsi="Book Antiqua" w:cs="Book Antiqua"/>
          <w:color w:val="000000"/>
          <w:vertAlign w:val="superscript"/>
        </w:rPr>
        <w:t>[23,24]</w:t>
      </w:r>
      <w:r w:rsidRPr="00BA2B87">
        <w:rPr>
          <w:rFonts w:ascii="Book Antiqua" w:eastAsia="Book Antiqua" w:hAnsi="Book Antiqua" w:cs="Book Antiqua"/>
          <w:color w:val="000000"/>
        </w:rPr>
        <w:t xml:space="preserve">. </w:t>
      </w:r>
      <w:r w:rsidR="00697DCD">
        <w:rPr>
          <w:rFonts w:ascii="Book Antiqua" w:eastAsia="Book Antiqua" w:hAnsi="Book Antiqua" w:cs="Book Antiqua"/>
          <w:color w:val="000000"/>
        </w:rPr>
        <w:t>A</w:t>
      </w:r>
      <w:r w:rsidRPr="00BA2B87">
        <w:rPr>
          <w:rFonts w:ascii="Book Antiqua" w:eastAsia="Book Antiqua" w:hAnsi="Book Antiqua" w:cs="Book Antiqua"/>
          <w:color w:val="000000"/>
        </w:rPr>
        <w:t xml:space="preserve">n increasing number of studies </w:t>
      </w:r>
      <w:r w:rsidR="00697DCD">
        <w:rPr>
          <w:rFonts w:ascii="Book Antiqua" w:eastAsia="Book Antiqua" w:hAnsi="Book Antiqua" w:cs="Book Antiqua"/>
          <w:color w:val="000000"/>
        </w:rPr>
        <w:t xml:space="preserve">have </w:t>
      </w:r>
      <w:r w:rsidRPr="00BA2B87">
        <w:rPr>
          <w:rFonts w:ascii="Book Antiqua" w:eastAsia="Book Antiqua" w:hAnsi="Book Antiqua" w:cs="Book Antiqua"/>
          <w:color w:val="000000"/>
        </w:rPr>
        <w:t>demonstrat</w:t>
      </w:r>
      <w:r w:rsidR="00697DCD">
        <w:rPr>
          <w:rFonts w:ascii="Book Antiqua" w:eastAsia="Book Antiqua" w:hAnsi="Book Antiqua" w:cs="Book Antiqua"/>
          <w:color w:val="000000"/>
        </w:rPr>
        <w:t>ed</w:t>
      </w:r>
      <w:r w:rsidRPr="00BA2B87">
        <w:rPr>
          <w:rFonts w:ascii="Book Antiqua" w:eastAsia="Book Antiqua" w:hAnsi="Book Antiqua" w:cs="Book Antiqua"/>
          <w:color w:val="000000"/>
        </w:rPr>
        <w:t xml:space="preserve"> that ncRNAs, the best-studied form of the RNA pool, are hallmarks of CRC, and their association with invasion and metastasis of CRC cells offers ncRNAs as promising new biomarkers for the early diagnosis and treatment of CRC</w:t>
      </w:r>
      <w:r w:rsidRPr="00BA2B87">
        <w:rPr>
          <w:rFonts w:ascii="Book Antiqua" w:eastAsia="Book Antiqua" w:hAnsi="Book Antiqua" w:cs="Book Antiqua"/>
          <w:color w:val="000000"/>
          <w:vertAlign w:val="superscript"/>
        </w:rPr>
        <w:t>[25]</w:t>
      </w:r>
      <w:r w:rsidRPr="00BA2B87">
        <w:rPr>
          <w:rFonts w:ascii="Book Antiqua" w:eastAsia="Book Antiqua" w:hAnsi="Book Antiqua" w:cs="Book Antiqua"/>
          <w:color w:val="000000"/>
        </w:rPr>
        <w:t>. Among ncRNAs, miRNAs are known to have a profound relationship with the stages and progression of CRC</w:t>
      </w:r>
      <w:r w:rsidRPr="00BA2B87">
        <w:rPr>
          <w:rFonts w:ascii="Book Antiqua" w:eastAsia="Book Antiqua" w:hAnsi="Book Antiqua" w:cs="Book Antiqua"/>
          <w:color w:val="000000"/>
          <w:vertAlign w:val="superscript"/>
        </w:rPr>
        <w:t>[26]</w:t>
      </w:r>
      <w:r w:rsidRPr="00BA2B87">
        <w:rPr>
          <w:rFonts w:ascii="Book Antiqua" w:eastAsia="Book Antiqua" w:hAnsi="Book Antiqua" w:cs="Book Antiqua"/>
          <w:color w:val="000000"/>
        </w:rPr>
        <w:t>. A comprehensive transcriptomic study was conducted by Yamada and colleagues using the RNA-seq approach to discover a novel lncRNA biomarker in CRC. They reported significant upregulation of four lncRNAs, CRCAL-4, CRCAL-3, CRCAL-2, and CRCAL-1, in patients with CRC</w:t>
      </w:r>
      <w:r w:rsidRPr="00BA2B87">
        <w:rPr>
          <w:rFonts w:ascii="Book Antiqua" w:eastAsia="Book Antiqua" w:hAnsi="Book Antiqua" w:cs="Book Antiqua"/>
          <w:color w:val="000000"/>
          <w:vertAlign w:val="superscript"/>
        </w:rPr>
        <w:t>[27]</w:t>
      </w:r>
      <w:r w:rsidRPr="00BA2B87">
        <w:rPr>
          <w:rFonts w:ascii="Book Antiqua" w:eastAsia="Book Antiqua" w:hAnsi="Book Antiqua" w:cs="Book Antiqua"/>
          <w:color w:val="000000"/>
        </w:rPr>
        <w:t>. Using the Gene Ontology and Kyoto Encyclopedia of Genes and Genomes annotations, the expression of lncRNA NONHSAT074176.2 was found downregulated in CRC tissues, suggesting that it may be a potential diagnostic biomarker for CRC</w:t>
      </w:r>
      <w:r w:rsidRPr="00BA2B87">
        <w:rPr>
          <w:rFonts w:ascii="Book Antiqua" w:eastAsia="Book Antiqua" w:hAnsi="Book Antiqua" w:cs="Book Antiqua"/>
          <w:color w:val="000000"/>
          <w:vertAlign w:val="superscript"/>
        </w:rPr>
        <w:t>[28]</w:t>
      </w:r>
      <w:r w:rsidRPr="00BA2B87">
        <w:rPr>
          <w:rFonts w:ascii="Book Antiqua" w:eastAsia="Book Antiqua" w:hAnsi="Book Antiqua" w:cs="Book Antiqua"/>
          <w:color w:val="000000"/>
        </w:rPr>
        <w:t xml:space="preserve">. </w:t>
      </w:r>
    </w:p>
    <w:p w14:paraId="6AE979CE" w14:textId="6D7F7369"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addition to miRNA and lncRNA, circRNA is a new class of ncRNA that has emerged as a potential biomarker for various cancers including colorectal carcinogenesis. Li </w:t>
      </w:r>
      <w:r w:rsidR="00F034F1"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[29]</w:t>
      </w:r>
      <w:r w:rsidRPr="00BA2B87">
        <w:rPr>
          <w:rFonts w:ascii="Book Antiqua" w:eastAsia="Book Antiqua" w:hAnsi="Book Antiqua" w:cs="Book Antiqua"/>
          <w:color w:val="000000"/>
        </w:rPr>
        <w:t xml:space="preserve"> </w:t>
      </w:r>
      <w:r w:rsidR="00697DCD">
        <w:rPr>
          <w:rFonts w:ascii="Book Antiqua" w:eastAsia="Book Antiqua" w:hAnsi="Book Antiqua" w:cs="Book Antiqua"/>
          <w:color w:val="000000"/>
        </w:rPr>
        <w:t>identified</w:t>
      </w:r>
      <w:r w:rsidRPr="00BA2B87">
        <w:rPr>
          <w:rFonts w:ascii="Book Antiqua" w:eastAsia="Book Antiqua" w:hAnsi="Book Antiqua" w:cs="Book Antiqua"/>
          <w:color w:val="000000"/>
        </w:rPr>
        <w:t xml:space="preserve"> several circRNAs that are significantly dysregulated in CRC tissue samples compared to adjacent normal mucosal tissues. Of the circRNAs analyzed, CircDDX17 show</w:t>
      </w:r>
      <w:r w:rsidR="00697DCD">
        <w:rPr>
          <w:rFonts w:ascii="Book Antiqua" w:eastAsia="Book Antiqua" w:hAnsi="Book Antiqua" w:cs="Book Antiqua"/>
          <w:color w:val="000000"/>
        </w:rPr>
        <w:t>ed</w:t>
      </w:r>
      <w:r w:rsidRPr="00BA2B87">
        <w:rPr>
          <w:rFonts w:ascii="Book Antiqua" w:eastAsia="Book Antiqua" w:hAnsi="Book Antiqua" w:cs="Book Antiqua"/>
          <w:color w:val="000000"/>
        </w:rPr>
        <w:t xml:space="preserve"> strong potential as a diagnostic biomarker and therapeutic target for CRC.</w:t>
      </w:r>
    </w:p>
    <w:p w14:paraId="101CED77" w14:textId="73E99778"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Various proteomic approaches, mostly quantitative mass spectrometry</w:t>
      </w:r>
      <w:r w:rsidR="00F034F1">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(MS)-based technologies, have been used in the search for diagnostic biomarker candidates. To </w:t>
      </w:r>
      <w:r w:rsidRPr="00BA2B87">
        <w:rPr>
          <w:rFonts w:ascii="Book Antiqua" w:eastAsia="Book Antiqua" w:hAnsi="Book Antiqua" w:cs="Book Antiqua"/>
          <w:color w:val="000000"/>
        </w:rPr>
        <w:lastRenderedPageBreak/>
        <w:t>analyze the expression of proteins isolated from fresh-frozen human CRC tissue and the adjacent non-tumor tissue (12 patients), Ghazanfar</w:t>
      </w:r>
      <w:r w:rsidRPr="00F034F1">
        <w:rPr>
          <w:rFonts w:ascii="Book Antiqua" w:eastAsia="Book Antiqua" w:hAnsi="Book Antiqua" w:cs="Book Antiqua"/>
          <w:i/>
          <w:iCs/>
          <w:color w:val="000000"/>
        </w:rPr>
        <w:t xml:space="preserve"> </w:t>
      </w:r>
      <w:r w:rsidR="00F034F1"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[30]</w:t>
      </w:r>
      <w:r w:rsidRPr="00BA2B87">
        <w:rPr>
          <w:rFonts w:ascii="Book Antiqua" w:eastAsia="Book Antiqua" w:hAnsi="Book Antiqua" w:cs="Book Antiqua"/>
          <w:color w:val="000000"/>
        </w:rPr>
        <w:t xml:space="preserve"> performed 2D</w:t>
      </w:r>
      <w:r w:rsidR="00697DCD">
        <w:rPr>
          <w:rFonts w:ascii="Book Antiqua" w:eastAsia="Book Antiqua" w:hAnsi="Book Antiqua" w:cs="Book Antiqua"/>
          <w:color w:val="000000"/>
        </w:rPr>
        <w:t xml:space="preserve"> </w:t>
      </w:r>
      <w:r w:rsidRPr="00BA2B87">
        <w:rPr>
          <w:rFonts w:ascii="Book Antiqua" w:eastAsia="Book Antiqua" w:hAnsi="Book Antiqua" w:cs="Book Antiqua"/>
          <w:color w:val="000000"/>
        </w:rPr>
        <w:t>PAGE coupled with MS. The results revealed a novel protein upregulated in CRC tissues, named ACTBL2. Hao and coworkers</w:t>
      </w:r>
      <w:r w:rsidRPr="00BA2B87">
        <w:rPr>
          <w:rFonts w:ascii="Book Antiqua" w:eastAsia="Book Antiqua" w:hAnsi="Book Antiqua" w:cs="Book Antiqua"/>
          <w:color w:val="000000"/>
          <w:vertAlign w:val="superscript"/>
        </w:rPr>
        <w:t>[31]</w:t>
      </w:r>
      <w:r w:rsidRPr="00BA2B87">
        <w:rPr>
          <w:rFonts w:ascii="Book Antiqua" w:eastAsia="Book Antiqua" w:hAnsi="Book Antiqua" w:cs="Book Antiqua"/>
          <w:color w:val="000000"/>
        </w:rPr>
        <w:t xml:space="preserve"> examined 22 pairs of cancer tissues and adjacent healthy tissue samples collected from 22 participants using integrative proteomic analysis performed by high-resolution Fourier transform MS and revealed th</w:t>
      </w:r>
      <w:r w:rsidR="00697DCD">
        <w:rPr>
          <w:rFonts w:ascii="Book Antiqua" w:eastAsia="Book Antiqua" w:hAnsi="Book Antiqua" w:cs="Book Antiqua"/>
          <w:color w:val="000000"/>
        </w:rPr>
        <w:t>at</w:t>
      </w:r>
      <w:r w:rsidRPr="00BA2B87">
        <w:rPr>
          <w:rFonts w:ascii="Book Antiqua" w:eastAsia="Book Antiqua" w:hAnsi="Book Antiqua" w:cs="Book Antiqua"/>
          <w:color w:val="000000"/>
        </w:rPr>
        <w:t xml:space="preserve"> DPEP1 </w:t>
      </w:r>
      <w:r w:rsidR="00697DCD">
        <w:rPr>
          <w:rFonts w:ascii="Book Antiqua" w:eastAsia="Book Antiqua" w:hAnsi="Book Antiqua" w:cs="Book Antiqua"/>
          <w:color w:val="000000"/>
        </w:rPr>
        <w:t xml:space="preserve">was </w:t>
      </w:r>
      <w:r w:rsidR="00697DCD" w:rsidRPr="00BA2B87">
        <w:rPr>
          <w:rFonts w:ascii="Book Antiqua" w:eastAsia="Book Antiqua" w:hAnsi="Book Antiqua" w:cs="Book Antiqua"/>
          <w:color w:val="000000"/>
        </w:rPr>
        <w:t xml:space="preserve">overexpressed </w:t>
      </w:r>
      <w:r w:rsidRPr="00BA2B87">
        <w:rPr>
          <w:rFonts w:ascii="Book Antiqua" w:eastAsia="Book Antiqua" w:hAnsi="Book Antiqua" w:cs="Book Antiqua"/>
          <w:color w:val="000000"/>
        </w:rPr>
        <w:t xml:space="preserve">in CRC tissues. Quesada-Calvo </w:t>
      </w:r>
      <w:r w:rsidR="00C03939" w:rsidRPr="00F034F1">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[32]</w:t>
      </w:r>
      <w:r w:rsidRPr="00BA2B87">
        <w:rPr>
          <w:rFonts w:ascii="Book Antiqua" w:eastAsia="Book Antiqua" w:hAnsi="Book Antiqua" w:cs="Book Antiqua"/>
          <w:color w:val="000000"/>
        </w:rPr>
        <w:t xml:space="preserve"> examined 76 </w:t>
      </w:r>
      <w:r w:rsidR="00697DCD" w:rsidRPr="00BA2B87">
        <w:rPr>
          <w:rFonts w:ascii="Book Antiqua" w:eastAsia="Book Antiqua" w:hAnsi="Book Antiqua" w:cs="Book Antiqua"/>
          <w:color w:val="000000"/>
        </w:rPr>
        <w:t>formalin-fixed paraffin-embedded (FFPE)</w:t>
      </w:r>
      <w:r w:rsidR="00697DCD">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colorectal tissue samples harvested from early CRC stages, including normal or inflamed mucosa, using label-free proteomics. Three biomarkers (KNG1, OLFM4, Sec24C) </w:t>
      </w:r>
      <w:r w:rsidR="008B0602">
        <w:rPr>
          <w:rFonts w:ascii="Book Antiqua" w:eastAsia="Book Antiqua" w:hAnsi="Book Antiqua" w:cs="Book Antiqua"/>
          <w:color w:val="000000"/>
        </w:rPr>
        <w:t>showed</w:t>
      </w:r>
      <w:r w:rsidRPr="00BA2B87">
        <w:rPr>
          <w:rFonts w:ascii="Book Antiqua" w:eastAsia="Book Antiqua" w:hAnsi="Book Antiqua" w:cs="Book Antiqua"/>
          <w:color w:val="000000"/>
        </w:rPr>
        <w:t xml:space="preserve"> differences in expression levels in the early stages compared to normal and premalignant tissues. The</w:t>
      </w:r>
      <w:r w:rsidR="008B0602">
        <w:rPr>
          <w:rFonts w:ascii="Book Antiqua" w:eastAsia="Book Antiqua" w:hAnsi="Book Antiqua" w:cs="Book Antiqua"/>
          <w:color w:val="000000"/>
        </w:rPr>
        <w:t>se</w:t>
      </w:r>
      <w:r w:rsidRPr="00BA2B87">
        <w:rPr>
          <w:rFonts w:ascii="Book Antiqua" w:eastAsia="Book Antiqua" w:hAnsi="Book Antiqua" w:cs="Book Antiqua"/>
          <w:color w:val="000000"/>
        </w:rPr>
        <w:t xml:space="preserve"> results were verified by immunohistochemistry (IHC), although the experiment was conducted using </w:t>
      </w:r>
      <w:r w:rsidRPr="00BA2B87">
        <w:rPr>
          <w:rFonts w:ascii="Book Antiqua" w:eastAsia="Book Antiqua" w:hAnsi="Book Antiqua" w:cs="Book Antiqua"/>
          <w:color w:val="000000"/>
          <w:shd w:val="clear" w:color="auto" w:fill="FFFFFF"/>
        </w:rPr>
        <w:t xml:space="preserve">liquid chromatography-tandem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(LC-MS/MS). In another study, validation studies performed by Yamamoto </w:t>
      </w:r>
      <w:r w:rsidR="00C03939" w:rsidRPr="00C0393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[33]</w:t>
      </w:r>
      <w:r w:rsidRPr="00BA2B87">
        <w:rPr>
          <w:rFonts w:ascii="Book Antiqua" w:eastAsia="Book Antiqua" w:hAnsi="Book Antiqua" w:cs="Book Antiqua"/>
          <w:color w:val="000000"/>
        </w:rPr>
        <w:t xml:space="preserve"> </w:t>
      </w:r>
      <w:r w:rsidR="008B0602" w:rsidRPr="00BA2B87">
        <w:rPr>
          <w:rFonts w:ascii="Book Antiqua" w:eastAsia="Book Antiqua" w:hAnsi="Book Antiqua" w:cs="Book Antiqua"/>
          <w:color w:val="000000"/>
        </w:rPr>
        <w:t xml:space="preserve">using FFPE CRC tissues </w:t>
      </w:r>
      <w:r w:rsidRPr="00BA2B87">
        <w:rPr>
          <w:rFonts w:ascii="Book Antiqua" w:eastAsia="Book Antiqua" w:hAnsi="Book Antiqua" w:cs="Book Antiqua"/>
          <w:color w:val="000000"/>
        </w:rPr>
        <w:t xml:space="preserve">showed </w:t>
      </w:r>
      <w:r w:rsidR="008B0602">
        <w:rPr>
          <w:rFonts w:ascii="Book Antiqua" w:eastAsia="Book Antiqua" w:hAnsi="Book Antiqua" w:cs="Book Antiqua"/>
          <w:color w:val="000000"/>
        </w:rPr>
        <w:t>that</w:t>
      </w:r>
      <w:r w:rsidRPr="00BA2B87">
        <w:rPr>
          <w:rFonts w:ascii="Book Antiqua" w:eastAsia="Book Antiqua" w:hAnsi="Book Antiqua" w:cs="Book Antiqua"/>
          <w:color w:val="000000"/>
        </w:rPr>
        <w:t xml:space="preserve"> cyclophilin A, annexin A2, and aldolase A had high expression in cancerous tissues compared to non-cancerous tissues. A recent study identified seven potential biomarkers of CRC using differential expression analysis, systems biology, and proteomic analysis. These essential biomarkers, CALD1, CTNNB1, CXCL14, PTCH1, CXCL8, TNFAIP3, and NNMT, are associated with other important target proteins such as APC, MAPK, and GLi</w:t>
      </w:r>
      <w:r w:rsidRPr="00BA2B87">
        <w:rPr>
          <w:rFonts w:ascii="Book Antiqua" w:eastAsia="Book Antiqua" w:hAnsi="Book Antiqua" w:cs="Book Antiqua"/>
          <w:color w:val="000000"/>
          <w:vertAlign w:val="superscript"/>
        </w:rPr>
        <w:t>[34]</w:t>
      </w:r>
      <w:r w:rsidRPr="00BA2B87">
        <w:rPr>
          <w:rFonts w:ascii="Book Antiqua" w:eastAsia="Book Antiqua" w:hAnsi="Book Antiqua" w:cs="Book Antiqua"/>
          <w:color w:val="000000"/>
        </w:rPr>
        <w:t>.</w:t>
      </w:r>
    </w:p>
    <w:p w14:paraId="5557694F" w14:textId="6364C1BD" w:rsidR="00A77B3E" w:rsidRPr="00BA2B87" w:rsidRDefault="00925687" w:rsidP="00F034F1">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Circulating biomarkers have great potential for early detection and clinical management of CRC, as they are cost-effective, easily accessible, minimally invasive, and low-risk</w:t>
      </w:r>
      <w:r w:rsidRPr="00BA2B87">
        <w:rPr>
          <w:rFonts w:ascii="Book Antiqua" w:eastAsia="Book Antiqua" w:hAnsi="Book Antiqua" w:cs="Book Antiqua"/>
          <w:color w:val="000000"/>
          <w:shd w:val="clear" w:color="auto" w:fill="FFFFFF"/>
          <w:vertAlign w:val="superscript"/>
        </w:rPr>
        <w:t>[35]</w:t>
      </w:r>
      <w:r w:rsidRPr="00BA2B87">
        <w:rPr>
          <w:rFonts w:ascii="Book Antiqua" w:eastAsia="Book Antiqua" w:hAnsi="Book Antiqua" w:cs="Book Antiqua"/>
          <w:color w:val="000000"/>
          <w:shd w:val="clear" w:color="auto" w:fill="FFFFFF"/>
        </w:rPr>
        <w:t xml:space="preserve">. In a prospective cross-sectional pilot study, Ivancic </w:t>
      </w:r>
      <w:r w:rsidR="00F034F1" w:rsidRPr="00F034F1">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[36]</w:t>
      </w:r>
      <w:r w:rsidRPr="00BA2B87">
        <w:rPr>
          <w:rFonts w:ascii="Book Antiqua" w:eastAsia="Book Antiqua" w:hAnsi="Book Antiqua" w:cs="Book Antiqua"/>
          <w:color w:val="000000"/>
          <w:shd w:val="clear" w:color="auto" w:fill="FFFFFF"/>
        </w:rPr>
        <w:t xml:space="preserve"> demonstrated that a panel of five blood proteins </w:t>
      </w:r>
      <w:r w:rsidR="00F034F1">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 xml:space="preserve">leucine-rich alpha-2-glycoprotein 1, </w:t>
      </w:r>
      <w:r w:rsidR="007B7679" w:rsidRPr="00BA2B87">
        <w:rPr>
          <w:rFonts w:ascii="Book Antiqua" w:eastAsia="Book Antiqua" w:hAnsi="Book Antiqua" w:cs="Book Antiqua"/>
          <w:color w:val="000000"/>
          <w:shd w:val="clear" w:color="auto" w:fill="FFFFFF"/>
        </w:rPr>
        <w:t>Epidermal growth factor receptor</w:t>
      </w:r>
      <w:r w:rsidRPr="00BA2B87">
        <w:rPr>
          <w:rFonts w:ascii="Book Antiqua" w:eastAsia="Book Antiqua" w:hAnsi="Book Antiqua" w:cs="Book Antiqua"/>
          <w:color w:val="000000"/>
          <w:shd w:val="clear" w:color="auto" w:fill="FFFFFF"/>
        </w:rPr>
        <w:t>, inter-alpha-trypsin inhibitor heavy chain family member 4, hemopexin, and superoxide dismutase 3</w:t>
      </w:r>
      <w:r w:rsidR="00F034F1">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 xml:space="preserve"> performed well for </w:t>
      </w:r>
      <w:r w:rsidR="008B0602">
        <w:rPr>
          <w:rFonts w:ascii="Book Antiqua" w:eastAsia="Book Antiqua" w:hAnsi="Book Antiqua" w:cs="Book Antiqua"/>
          <w:color w:val="000000"/>
          <w:shd w:val="clear" w:color="auto" w:fill="FFFFFF"/>
        </w:rPr>
        <w:t xml:space="preserve">the </w:t>
      </w:r>
      <w:r w:rsidRPr="00BA2B87">
        <w:rPr>
          <w:rFonts w:ascii="Book Antiqua" w:eastAsia="Book Antiqua" w:hAnsi="Book Antiqua" w:cs="Book Antiqua"/>
          <w:color w:val="000000"/>
          <w:shd w:val="clear" w:color="auto" w:fill="FFFFFF"/>
        </w:rPr>
        <w:t>detection of CRC using targeted LC-MS/MS. Validation tests showed that the panel has a specificity of 70% with a sensitivity of over 89% (</w:t>
      </w:r>
      <w:r w:rsidR="00E43A83" w:rsidRPr="00E43A83">
        <w:rPr>
          <w:rFonts w:ascii="Book Antiqua" w:eastAsia="Book Antiqua" w:hAnsi="Book Antiqua" w:cs="Book Antiqua"/>
          <w:color w:val="000000"/>
          <w:shd w:val="clear" w:color="auto" w:fill="FFFFFF"/>
        </w:rPr>
        <w:t>Area under the curve</w:t>
      </w:r>
      <w:r w:rsidR="00E43A83">
        <w:rPr>
          <w:rFonts w:ascii="Book Antiqua" w:eastAsia="Book Antiqua" w:hAnsi="Book Antiqua" w:cs="Book Antiqua"/>
          <w:color w:val="000000"/>
          <w:shd w:val="clear" w:color="auto" w:fill="FFFFFF"/>
        </w:rPr>
        <w:t xml:space="preserve"> </w:t>
      </w:r>
      <w:r w:rsidRPr="00BA2B87">
        <w:rPr>
          <w:rFonts w:ascii="Book Antiqua" w:eastAsia="Book Antiqua" w:hAnsi="Book Antiqua" w:cs="Book Antiqua"/>
          <w:color w:val="000000"/>
          <w:shd w:val="clear" w:color="auto" w:fill="FFFFFF"/>
        </w:rPr>
        <w:t>=</w:t>
      </w:r>
      <w:r w:rsidR="00E43A83">
        <w:rPr>
          <w:rFonts w:ascii="Book Antiqua" w:eastAsia="Book Antiqua" w:hAnsi="Book Antiqua" w:cs="Book Antiqua"/>
          <w:color w:val="000000"/>
          <w:shd w:val="clear" w:color="auto" w:fill="FFFFFF"/>
        </w:rPr>
        <w:t xml:space="preserve"> </w:t>
      </w:r>
      <w:r w:rsidRPr="00BA2B87">
        <w:rPr>
          <w:rFonts w:ascii="Book Antiqua" w:eastAsia="Book Antiqua" w:hAnsi="Book Antiqua" w:cs="Book Antiqua"/>
          <w:color w:val="000000"/>
          <w:shd w:val="clear" w:color="auto" w:fill="FFFFFF"/>
        </w:rPr>
        <w:t xml:space="preserve">0.86). Bhardwaj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[37]</w:t>
      </w:r>
      <w:r w:rsidRPr="00BA2B87">
        <w:rPr>
          <w:rFonts w:ascii="Book Antiqua" w:eastAsia="Book Antiqua" w:hAnsi="Book Antiqua" w:cs="Book Antiqua"/>
          <w:color w:val="000000"/>
          <w:shd w:val="clear" w:color="auto" w:fill="FFFFFF"/>
        </w:rPr>
        <w:t xml:space="preserve"> performed LC/multiple reaction monitoring MS followed by proximity extension assay </w:t>
      </w:r>
      <w:r w:rsidRPr="00BA2B87">
        <w:rPr>
          <w:rFonts w:ascii="Book Antiqua" w:eastAsia="Book Antiqua" w:hAnsi="Book Antiqua" w:cs="Book Antiqua"/>
          <w:color w:val="000000"/>
          <w:shd w:val="clear" w:color="auto" w:fill="FFFFFF"/>
        </w:rPr>
        <w:lastRenderedPageBreak/>
        <w:t>to identify a plasma protein panel. They showed a promising five-protein signature consisting of mannan-binding lectin serine protease 1, osteopontin (OPN/SPP1), serum para</w:t>
      </w:r>
      <w:r w:rsidR="008B0602">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 xml:space="preserve">xonase lactonase 3, transferrin receptor protein 1, and amphiregulin for early detection of CRC. </w:t>
      </w:r>
    </w:p>
    <w:p w14:paraId="7F48B653" w14:textId="7BD273EF"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In another study, Yu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[38]</w:t>
      </w:r>
      <w:r w:rsidRPr="00BA2B87">
        <w:rPr>
          <w:rFonts w:ascii="Book Antiqua" w:eastAsia="Book Antiqua" w:hAnsi="Book Antiqua" w:cs="Book Antiqua"/>
          <w:color w:val="000000"/>
          <w:shd w:val="clear" w:color="auto" w:fill="FFFFFF"/>
        </w:rPr>
        <w:t xml:space="preserve"> analyzed 127 CRC serum samples and 90 healthy control samples and identified protein serine/threonine kinase 4 as a potential diagnostic biomarker for CRC using MS/MS. Fan</w:t>
      </w:r>
      <w:r w:rsidRPr="00E43A83">
        <w:rPr>
          <w:rFonts w:ascii="Book Antiqua" w:eastAsia="Book Antiqua" w:hAnsi="Book Antiqua" w:cs="Book Antiqua"/>
          <w:i/>
          <w:iCs/>
          <w:color w:val="000000"/>
          <w:shd w:val="clear" w:color="auto" w:fill="FFFFFF"/>
        </w:rPr>
        <w:t xml:space="preserve">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[39]</w:t>
      </w:r>
      <w:r w:rsidRPr="00BA2B87">
        <w:rPr>
          <w:rFonts w:ascii="Book Antiqua" w:eastAsia="Book Antiqua" w:hAnsi="Book Antiqua" w:cs="Book Antiqua"/>
          <w:color w:val="000000"/>
          <w:shd w:val="clear" w:color="auto" w:fill="FFFFFF"/>
        </w:rPr>
        <w:t xml:space="preserve"> conducted a proteomic study to identify serum proteins by a combination of high-performance liquid chromatography and MS. They showed that macrophage mannose receptor 1 and S100 calcium-binding protein (S100A9) could be robust candidate biomarkers for adenomatous polyps and colorectal carcinomas. A quantitative proteomic study also detected a panel of protein biomarkers of adenomatous polyps and colorectal carcinomas belonging to the serpin family, SERPINA1, SERPINA3, and SERPINC1, by multiplex quantification with an isobaric tag for relative and absolute quantification</w:t>
      </w:r>
      <w:r w:rsidRPr="00BA2B87">
        <w:rPr>
          <w:rFonts w:ascii="Book Antiqua" w:eastAsia="Book Antiqua" w:hAnsi="Book Antiqua" w:cs="Book Antiqua"/>
          <w:color w:val="000000"/>
          <w:shd w:val="clear" w:color="auto" w:fill="FFFFFF"/>
          <w:vertAlign w:val="superscript"/>
        </w:rPr>
        <w:t>[40]</w:t>
      </w:r>
      <w:r w:rsidRPr="00BA2B87">
        <w:rPr>
          <w:rFonts w:ascii="Book Antiqua" w:eastAsia="Book Antiqua" w:hAnsi="Book Antiqua" w:cs="Book Antiqua"/>
          <w:color w:val="000000"/>
          <w:shd w:val="clear" w:color="auto" w:fill="FFFFFF"/>
        </w:rPr>
        <w:t>. A study using label-free quantitative MS and protein microarray demonstrated adipophilin as a plasma biomarker to detect early-stage CRC</w:t>
      </w:r>
      <w:r w:rsidRPr="00BA2B87">
        <w:rPr>
          <w:rFonts w:ascii="Book Antiqua" w:eastAsia="Book Antiqua" w:hAnsi="Book Antiqua" w:cs="Book Antiqua"/>
          <w:color w:val="000000"/>
          <w:shd w:val="clear" w:color="auto" w:fill="FFFFFF"/>
          <w:vertAlign w:val="superscript"/>
        </w:rPr>
        <w:t>[41]</w:t>
      </w:r>
      <w:r w:rsidRPr="00BA2B87">
        <w:rPr>
          <w:rFonts w:ascii="Book Antiqua" w:eastAsia="Book Antiqua" w:hAnsi="Book Antiqua" w:cs="Book Antiqua"/>
          <w:color w:val="000000"/>
          <w:shd w:val="clear" w:color="auto" w:fill="FFFFFF"/>
        </w:rPr>
        <w:t>.</w:t>
      </w:r>
    </w:p>
    <w:p w14:paraId="241397DF" w14:textId="7F235C8E"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Metabolomics studies focusing on disease-related metabolites allow clear differentiation of CRC patients from healthy controls, which is promising for the estimation of non-invasive biomarkers in the early diagnosis of CRC</w:t>
      </w:r>
      <w:r w:rsidRPr="00BA2B87">
        <w:rPr>
          <w:rFonts w:ascii="Book Antiqua" w:eastAsia="Book Antiqua" w:hAnsi="Book Antiqua" w:cs="Book Antiqua"/>
          <w:color w:val="000000"/>
          <w:shd w:val="clear" w:color="auto" w:fill="FFFFFF"/>
          <w:vertAlign w:val="superscript"/>
        </w:rPr>
        <w:t>[42]</w:t>
      </w:r>
      <w:r w:rsidRPr="00BA2B87">
        <w:rPr>
          <w:rFonts w:ascii="Book Antiqua" w:eastAsia="Book Antiqua" w:hAnsi="Book Antiqua" w:cs="Book Antiqua"/>
          <w:color w:val="000000"/>
          <w:shd w:val="clear" w:color="auto" w:fill="FFFFFF"/>
        </w:rPr>
        <w:t xml:space="preserve">. Fecal metabolic profiling studies provide important information to understand the details of CRC. To identify oncofetal diagnostic biomarkers, Ma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[43]</w:t>
      </w:r>
      <w:r w:rsidRPr="00BA2B87">
        <w:rPr>
          <w:rFonts w:ascii="Book Antiqua" w:eastAsia="Book Antiqua" w:hAnsi="Book Antiqua" w:cs="Book Antiqua"/>
          <w:color w:val="000000"/>
          <w:shd w:val="clear" w:color="auto" w:fill="FFFFFF"/>
        </w:rPr>
        <w:t xml:space="preserve"> analyzed serum samples from CRC patients and healthy controls using an integrated proteomics and metabolomics approach. They detected ten candidate biomarkers consisting of 3-hydroxybutyric acid, L-valine, L-threonine, 1-deoxyglucose, glycine, MACF1, APOH, A2M, IGL@, and VDB. In another metabolomics study on fecal samples, Lin </w:t>
      </w:r>
      <w:r w:rsidR="00E43A83" w:rsidRPr="00E43A83">
        <w:rPr>
          <w:rFonts w:ascii="Book Antiqua" w:eastAsia="Book Antiqua" w:hAnsi="Book Antiqua" w:cs="Book Antiqua"/>
          <w:i/>
          <w:iCs/>
          <w:color w:val="000000"/>
          <w:shd w:val="clear" w:color="auto" w:fill="FFFFFF"/>
        </w:rPr>
        <w:t>et al</w:t>
      </w:r>
      <w:r w:rsidR="00E43A83">
        <w:rPr>
          <w:rFonts w:ascii="Book Antiqua" w:eastAsia="Book Antiqua" w:hAnsi="Book Antiqua" w:cs="Book Antiqua"/>
          <w:color w:val="000000"/>
          <w:shd w:val="clear" w:color="auto" w:fill="FFFFFF"/>
          <w:vertAlign w:val="superscript"/>
        </w:rPr>
        <w:t>[</w:t>
      </w:r>
      <w:r w:rsidRPr="00BA2B87">
        <w:rPr>
          <w:rFonts w:ascii="Book Antiqua" w:eastAsia="Book Antiqua" w:hAnsi="Book Antiqua" w:cs="Book Antiqua"/>
          <w:color w:val="000000"/>
          <w:shd w:val="clear" w:color="auto" w:fill="FFFFFF"/>
          <w:vertAlign w:val="superscript"/>
        </w:rPr>
        <w:t>44]</w:t>
      </w:r>
      <w:r w:rsidRPr="00BA2B87">
        <w:rPr>
          <w:rFonts w:ascii="Book Antiqua" w:eastAsia="Book Antiqua" w:hAnsi="Book Antiqua" w:cs="Book Antiqua"/>
          <w:color w:val="000000"/>
          <w:shd w:val="clear" w:color="auto" w:fill="FFFFFF"/>
        </w:rPr>
        <w:t xml:space="preserve"> indicated that fecal metabolic profiles can differentiate between CRC patients and healthy controls, highlighting the potential utility of NMR-based fecal profiling for early detection in patients with CRC.</w:t>
      </w:r>
    </w:p>
    <w:p w14:paraId="4969FCF7" w14:textId="60DE3E0A"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lastRenderedPageBreak/>
        <w:t>Serum NMR-based metabolic profiling ensures a substantial signature of CRC and has potential as a detection and diagnostic tool for patients with CRC. They showed that the rates of acetate/glycerol and lactate/citrate can be discriminatory biomarkers for colorectal polyps and CRC, respectively</w:t>
      </w:r>
      <w:r w:rsidRPr="00BA2B87">
        <w:rPr>
          <w:rFonts w:ascii="Book Antiqua" w:eastAsia="Book Antiqua" w:hAnsi="Book Antiqua" w:cs="Book Antiqua"/>
          <w:color w:val="000000"/>
          <w:shd w:val="clear" w:color="auto" w:fill="FFFFFF"/>
          <w:vertAlign w:val="superscript"/>
        </w:rPr>
        <w:t>[45]</w:t>
      </w:r>
      <w:r w:rsidRPr="00BA2B87">
        <w:rPr>
          <w:rFonts w:ascii="Book Antiqua" w:eastAsia="Book Antiqua" w:hAnsi="Book Antiqua" w:cs="Book Antiqua"/>
          <w:color w:val="000000"/>
          <w:shd w:val="clear" w:color="auto" w:fill="FFFFFF"/>
        </w:rPr>
        <w:t xml:space="preserve">. Another serum metabolome study was performed by Nishiumi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[46]</w:t>
      </w:r>
      <w:r w:rsidRPr="00BA2B87">
        <w:rPr>
          <w:rFonts w:ascii="Book Antiqua" w:eastAsia="Book Antiqua" w:hAnsi="Book Antiqua" w:cs="Book Antiqua"/>
          <w:color w:val="000000"/>
          <w:shd w:val="clear" w:color="auto" w:fill="FFFFFF"/>
        </w:rPr>
        <w:t xml:space="preserve"> using </w:t>
      </w:r>
      <w:r w:rsidR="00E43A83" w:rsidRPr="00BA2B87">
        <w:rPr>
          <w:rFonts w:ascii="Book Antiqua" w:eastAsia="Book Antiqua" w:hAnsi="Book Antiqua" w:cs="Book Antiqua"/>
          <w:color w:val="000000"/>
        </w:rPr>
        <w:t>gas chromatography</w:t>
      </w:r>
      <w:r w:rsidR="00E43A83" w:rsidRPr="00BA2B87">
        <w:rPr>
          <w:rFonts w:ascii="Book Antiqua" w:eastAsia="Book Antiqua" w:hAnsi="Book Antiqua" w:cs="Book Antiqua"/>
          <w:color w:val="000000"/>
          <w:shd w:val="clear" w:color="auto" w:fill="FFFFFF"/>
        </w:rPr>
        <w:t xml:space="preserve"> </w:t>
      </w:r>
      <w:r w:rsidR="00E43A83">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GC</w:t>
      </w:r>
      <w:r w:rsidR="00E43A83">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/MS and they created a predictive model for early detection of CRC. Taurine, alanine, and 3-aminoisobutyrate showed discrimination between CRC patients in a recent study</w:t>
      </w:r>
      <w:r w:rsidRPr="00BA2B87">
        <w:rPr>
          <w:rFonts w:ascii="Book Antiqua" w:eastAsia="Book Antiqua" w:hAnsi="Book Antiqua" w:cs="Book Antiqua"/>
          <w:color w:val="000000"/>
          <w:shd w:val="clear" w:color="auto" w:fill="FFFFFF"/>
          <w:vertAlign w:val="superscript"/>
        </w:rPr>
        <w:t>[47]</w:t>
      </w:r>
      <w:r w:rsidRPr="00BA2B87">
        <w:rPr>
          <w:rFonts w:ascii="Book Antiqua" w:eastAsia="Book Antiqua" w:hAnsi="Book Antiqua" w:cs="Book Antiqua"/>
          <w:color w:val="000000"/>
          <w:shd w:val="clear" w:color="auto" w:fill="FFFFFF"/>
        </w:rPr>
        <w:t>.</w:t>
      </w:r>
    </w:p>
    <w:p w14:paraId="4B39AD3C" w14:textId="5D66D6D7"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For metabolomic studies, urine samples may provide utility for the diagnosis of early and advanced stages </w:t>
      </w:r>
      <w:r w:rsidR="000A0CA1">
        <w:rPr>
          <w:rFonts w:ascii="Book Antiqua" w:eastAsia="Book Antiqua" w:hAnsi="Book Antiqua" w:cs="Book Antiqua"/>
          <w:color w:val="000000"/>
          <w:shd w:val="clear" w:color="auto" w:fill="FFFFFF"/>
        </w:rPr>
        <w:t xml:space="preserve">of </w:t>
      </w:r>
      <w:r w:rsidRPr="00BA2B87">
        <w:rPr>
          <w:rFonts w:ascii="Book Antiqua" w:eastAsia="Book Antiqua" w:hAnsi="Book Antiqua" w:cs="Book Antiqua"/>
          <w:color w:val="000000"/>
          <w:shd w:val="clear" w:color="auto" w:fill="FFFFFF"/>
        </w:rPr>
        <w:t>CRC. In an H-NMR-based metabolomic study, urine metabolites from CRC patients and healthy controls were profiled, including elevated acetoacetate, guanid</w:t>
      </w:r>
      <w:r w:rsidR="000A0CA1">
        <w:rPr>
          <w:rFonts w:ascii="Book Antiqua" w:eastAsia="Book Antiqua" w:hAnsi="Book Antiqua" w:cs="Book Antiqua"/>
          <w:color w:val="000000"/>
          <w:shd w:val="clear" w:color="auto" w:fill="FFFFFF"/>
        </w:rPr>
        <w:t>in</w:t>
      </w:r>
      <w:r w:rsidRPr="00BA2B87">
        <w:rPr>
          <w:rFonts w:ascii="Book Antiqua" w:eastAsia="Book Antiqua" w:hAnsi="Book Antiqua" w:cs="Book Antiqua"/>
          <w:color w:val="000000"/>
          <w:shd w:val="clear" w:color="auto" w:fill="FFFFFF"/>
        </w:rPr>
        <w:t>oacetate, cis-aconitate, trans-aconitate, glutamine, and homocy</w:t>
      </w:r>
      <w:r w:rsidR="000A0CA1">
        <w:rPr>
          <w:rFonts w:ascii="Book Antiqua" w:eastAsia="Book Antiqua" w:hAnsi="Book Antiqua" w:cs="Book Antiqua"/>
          <w:color w:val="000000"/>
          <w:shd w:val="clear" w:color="auto" w:fill="FFFFFF"/>
        </w:rPr>
        <w:t>s</w:t>
      </w:r>
      <w:r w:rsidRPr="00BA2B87">
        <w:rPr>
          <w:rFonts w:ascii="Book Antiqua" w:eastAsia="Book Antiqua" w:hAnsi="Book Antiqua" w:cs="Book Antiqua"/>
          <w:color w:val="000000"/>
          <w:shd w:val="clear" w:color="auto" w:fill="FFFFFF"/>
        </w:rPr>
        <w:t>teine levels, as well as reduced creatinine, phosphorylcholine, dimethylsulfone, asparagine, alanine, isocitrate, hippurate, methylamine, cysteine, and phenylalanine levels</w:t>
      </w:r>
      <w:r w:rsidRPr="00BA2B87">
        <w:rPr>
          <w:rFonts w:ascii="Book Antiqua" w:eastAsia="Book Antiqua" w:hAnsi="Book Antiqua" w:cs="Book Antiqua"/>
          <w:color w:val="000000"/>
          <w:shd w:val="clear" w:color="auto" w:fill="FFFFFF"/>
          <w:vertAlign w:val="superscript"/>
        </w:rPr>
        <w:t>[48]</w:t>
      </w:r>
      <w:r w:rsidRPr="00BA2B87">
        <w:rPr>
          <w:rFonts w:ascii="Book Antiqua" w:eastAsia="Book Antiqua" w:hAnsi="Book Antiqua" w:cs="Book Antiqua"/>
          <w:color w:val="000000"/>
          <w:shd w:val="clear" w:color="auto" w:fill="FFFFFF"/>
        </w:rPr>
        <w:t>. A total of 16 promising urinary metabolites were detected to distinguish stage I/II CRC patients from healthy controls. In another NMR-based study, urine metabolomics profiles clearly and accurately distinguish</w:t>
      </w:r>
      <w:r w:rsidR="000A0CA1">
        <w:rPr>
          <w:rFonts w:ascii="Book Antiqua" w:eastAsia="Book Antiqua" w:hAnsi="Book Antiqua" w:cs="Book Antiqua"/>
          <w:color w:val="000000"/>
          <w:shd w:val="clear" w:color="auto" w:fill="FFFFFF"/>
        </w:rPr>
        <w:t>ed</w:t>
      </w:r>
      <w:r w:rsidRPr="00BA2B87">
        <w:rPr>
          <w:rFonts w:ascii="Book Antiqua" w:eastAsia="Book Antiqua" w:hAnsi="Book Antiqua" w:cs="Book Antiqua"/>
          <w:color w:val="000000"/>
          <w:shd w:val="clear" w:color="auto" w:fill="FFFFFF"/>
        </w:rPr>
        <w:t xml:space="preserve"> CRC patients from healthy controls</w:t>
      </w:r>
      <w:r w:rsidRPr="00BA2B87">
        <w:rPr>
          <w:rFonts w:ascii="Book Antiqua" w:eastAsia="Book Antiqua" w:hAnsi="Book Antiqua" w:cs="Book Antiqua"/>
          <w:color w:val="000000"/>
          <w:shd w:val="clear" w:color="auto" w:fill="FFFFFF"/>
          <w:vertAlign w:val="superscript"/>
        </w:rPr>
        <w:t>[47]</w:t>
      </w:r>
      <w:r w:rsidRPr="00BA2B87">
        <w:rPr>
          <w:rFonts w:ascii="Book Antiqua" w:eastAsia="Book Antiqua" w:hAnsi="Book Antiqua" w:cs="Book Antiqua"/>
          <w:color w:val="000000"/>
          <w:shd w:val="clear" w:color="auto" w:fill="FFFFFF"/>
        </w:rPr>
        <w:t>. The results of the study show</w:t>
      </w:r>
      <w:r w:rsidR="000A0CA1">
        <w:rPr>
          <w:rFonts w:ascii="Book Antiqua" w:eastAsia="Book Antiqua" w:hAnsi="Book Antiqua" w:cs="Book Antiqua"/>
          <w:color w:val="000000"/>
          <w:shd w:val="clear" w:color="auto" w:fill="FFFFFF"/>
        </w:rPr>
        <w:t>ed</w:t>
      </w:r>
      <w:r w:rsidRPr="00BA2B87">
        <w:rPr>
          <w:rFonts w:ascii="Book Antiqua" w:eastAsia="Book Antiqua" w:hAnsi="Book Antiqua" w:cs="Book Antiqua"/>
          <w:color w:val="000000"/>
          <w:shd w:val="clear" w:color="auto" w:fill="FFFFFF"/>
        </w:rPr>
        <w:t xml:space="preserve"> that among the metabolites analyzed, only 6 metabolites significantly increase</w:t>
      </w:r>
      <w:r w:rsidR="000A0CA1">
        <w:rPr>
          <w:rFonts w:ascii="Book Antiqua" w:eastAsia="Book Antiqua" w:hAnsi="Book Antiqua" w:cs="Book Antiqua"/>
          <w:color w:val="000000"/>
          <w:shd w:val="clear" w:color="auto" w:fill="FFFFFF"/>
        </w:rPr>
        <w:t>d</w:t>
      </w:r>
      <w:r w:rsidRPr="00BA2B87">
        <w:rPr>
          <w:rFonts w:ascii="Book Antiqua" w:eastAsia="Book Antiqua" w:hAnsi="Book Antiqua" w:cs="Book Antiqua"/>
          <w:color w:val="000000"/>
          <w:shd w:val="clear" w:color="auto" w:fill="FFFFFF"/>
        </w:rPr>
        <w:t xml:space="preserve"> or decrease</w:t>
      </w:r>
      <w:r w:rsidR="000A0CA1">
        <w:rPr>
          <w:rFonts w:ascii="Book Antiqua" w:eastAsia="Book Antiqua" w:hAnsi="Book Antiqua" w:cs="Book Antiqua"/>
          <w:color w:val="000000"/>
          <w:shd w:val="clear" w:color="auto" w:fill="FFFFFF"/>
        </w:rPr>
        <w:t>d</w:t>
      </w:r>
      <w:r w:rsidRPr="00BA2B87">
        <w:rPr>
          <w:rFonts w:ascii="Book Antiqua" w:eastAsia="Book Antiqua" w:hAnsi="Book Antiqua" w:cs="Book Antiqua"/>
          <w:color w:val="000000"/>
          <w:shd w:val="clear" w:color="auto" w:fill="FFFFFF"/>
        </w:rPr>
        <w:t xml:space="preserve"> compared to healthy patients. Using capillary electrophoresis time-of-flight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shd w:val="clear" w:color="auto" w:fill="FFFFFF"/>
        </w:rPr>
        <w:t xml:space="preserve"> (CE-TOF/MS), Uchiyama </w:t>
      </w:r>
      <w:r w:rsidR="00C03939" w:rsidRPr="00C03939">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[49]</w:t>
      </w:r>
      <w:r w:rsidRPr="00BA2B87">
        <w:rPr>
          <w:rFonts w:ascii="Book Antiqua" w:eastAsia="Book Antiqua" w:hAnsi="Book Antiqua" w:cs="Book Antiqua"/>
          <w:color w:val="000000"/>
          <w:shd w:val="clear" w:color="auto" w:fill="FFFFFF"/>
        </w:rPr>
        <w:t xml:space="preserve"> identified the interaction of CRC stages with the up- and down-regulation of various serum metabolites. They showed that benzoic acid might be a promising diagnostic biomarker for CRC patients. In a recent study, Liu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[50]</w:t>
      </w:r>
      <w:r w:rsidRPr="00BA2B87">
        <w:rPr>
          <w:rFonts w:ascii="Book Antiqua" w:eastAsia="Book Antiqua" w:hAnsi="Book Antiqua" w:cs="Book Antiqua"/>
          <w:color w:val="000000"/>
          <w:shd w:val="clear" w:color="auto" w:fill="FFFFFF"/>
        </w:rPr>
        <w:t xml:space="preserve"> pointed out that miRNA and metabolite signatures have high diagnostic efficiency for CRC patients using two new methods, namely metabolomics based on GC/MS and serum miRNA detection. A </w:t>
      </w:r>
      <w:r w:rsidR="000A0CA1">
        <w:rPr>
          <w:rFonts w:ascii="Book Antiqua" w:eastAsia="Book Antiqua" w:hAnsi="Book Antiqua" w:cs="Book Antiqua"/>
          <w:color w:val="000000"/>
          <w:shd w:val="clear" w:color="auto" w:fill="FFFFFF"/>
        </w:rPr>
        <w:t xml:space="preserve">study </w:t>
      </w:r>
      <w:r w:rsidRPr="00BA2B87">
        <w:rPr>
          <w:rFonts w:ascii="Book Antiqua" w:eastAsia="Book Antiqua" w:hAnsi="Book Antiqua" w:cs="Book Antiqua"/>
          <w:color w:val="000000"/>
          <w:shd w:val="clear" w:color="auto" w:fill="FFFFFF"/>
        </w:rPr>
        <w:t>combin</w:t>
      </w:r>
      <w:r w:rsidR="000A0CA1">
        <w:rPr>
          <w:rFonts w:ascii="Book Antiqua" w:eastAsia="Book Antiqua" w:hAnsi="Book Antiqua" w:cs="Book Antiqua"/>
          <w:color w:val="000000"/>
          <w:shd w:val="clear" w:color="auto" w:fill="FFFFFF"/>
        </w:rPr>
        <w:t>ing</w:t>
      </w:r>
      <w:r w:rsidRPr="00BA2B87">
        <w:rPr>
          <w:rFonts w:ascii="Book Antiqua" w:eastAsia="Book Antiqua" w:hAnsi="Book Antiqua" w:cs="Book Antiqua"/>
          <w:color w:val="000000"/>
          <w:shd w:val="clear" w:color="auto" w:fill="FFFFFF"/>
        </w:rPr>
        <w:t xml:space="preserve"> untargeted and targeted metabolomics showed that </w:t>
      </w:r>
      <w:r w:rsidR="000A0CA1">
        <w:rPr>
          <w:rFonts w:ascii="Book Antiqua" w:eastAsia="Book Antiqua" w:hAnsi="Book Antiqua" w:cs="Book Antiqua"/>
          <w:color w:val="000000"/>
          <w:shd w:val="clear" w:color="auto" w:fill="FFFFFF"/>
        </w:rPr>
        <w:t xml:space="preserve">the </w:t>
      </w:r>
      <w:r w:rsidRPr="00BA2B87">
        <w:rPr>
          <w:rFonts w:ascii="Book Antiqua" w:eastAsia="Book Antiqua" w:hAnsi="Book Antiqua" w:cs="Book Antiqua"/>
          <w:color w:val="000000"/>
          <w:shd w:val="clear" w:color="auto" w:fill="FFFFFF"/>
        </w:rPr>
        <w:t xml:space="preserve">differentiation of CRC patients from healthy controls </w:t>
      </w:r>
      <w:r w:rsidR="000A0CA1">
        <w:rPr>
          <w:rFonts w:ascii="Book Antiqua" w:eastAsia="Book Antiqua" w:hAnsi="Book Antiqua" w:cs="Book Antiqua"/>
          <w:color w:val="000000"/>
          <w:shd w:val="clear" w:color="auto" w:fill="FFFFFF"/>
        </w:rPr>
        <w:t>revealed</w:t>
      </w:r>
      <w:r w:rsidRPr="00BA2B87">
        <w:rPr>
          <w:rFonts w:ascii="Book Antiqua" w:eastAsia="Book Antiqua" w:hAnsi="Book Antiqua" w:cs="Book Antiqua"/>
          <w:color w:val="000000"/>
          <w:shd w:val="clear" w:color="auto" w:fill="FFFFFF"/>
        </w:rPr>
        <w:t xml:space="preserve"> significant differences in serum concentrations of one endocannabinoid, two glycerophospholipids, and two sphingolipids</w:t>
      </w:r>
      <w:r w:rsidRPr="00BA2B87">
        <w:rPr>
          <w:rFonts w:ascii="Book Antiqua" w:eastAsia="Book Antiqua" w:hAnsi="Book Antiqua" w:cs="Book Antiqua"/>
          <w:color w:val="000000"/>
          <w:shd w:val="clear" w:color="auto" w:fill="FFFFFF"/>
          <w:vertAlign w:val="superscript"/>
        </w:rPr>
        <w:t>[51]</w:t>
      </w:r>
      <w:r w:rsidRPr="00BA2B87">
        <w:rPr>
          <w:rFonts w:ascii="Book Antiqua" w:eastAsia="Book Antiqua" w:hAnsi="Book Antiqua" w:cs="Book Antiqua"/>
          <w:color w:val="000000"/>
          <w:shd w:val="clear" w:color="auto" w:fill="FFFFFF"/>
        </w:rPr>
        <w:t>.</w:t>
      </w:r>
    </w:p>
    <w:p w14:paraId="69A6D2E0" w14:textId="35472D27"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lastRenderedPageBreak/>
        <w:t>In recent years, the number of metagenomic studies has gained significance, offering the opportunity to identify new diagnostic biomarkers for CRC clinical management. In Saudi Arabia, a comparative metagenomics study was conducted at a single center to understand the role of mucosal intestinal microbiota in CRC patients</w:t>
      </w:r>
      <w:r w:rsidRPr="00BA2B87">
        <w:rPr>
          <w:rFonts w:ascii="Book Antiqua" w:eastAsia="Book Antiqua" w:hAnsi="Book Antiqua" w:cs="Book Antiqua"/>
          <w:color w:val="000000"/>
          <w:shd w:val="clear" w:color="auto" w:fill="FFFFFF"/>
          <w:vertAlign w:val="superscript"/>
        </w:rPr>
        <w:t>[52]</w:t>
      </w:r>
      <w:r w:rsidRPr="00BA2B87">
        <w:rPr>
          <w:rFonts w:ascii="Book Antiqua" w:eastAsia="Book Antiqua" w:hAnsi="Book Antiqua" w:cs="Book Antiqua"/>
          <w:color w:val="000000"/>
          <w:shd w:val="clear" w:color="auto" w:fill="FFFFFF"/>
        </w:rPr>
        <w:t xml:space="preserve">. As a result of this study, among 11 genera found specific to CRC patients, </w:t>
      </w:r>
      <w:r w:rsidRPr="00BA2B87">
        <w:rPr>
          <w:rFonts w:ascii="Book Antiqua" w:eastAsia="Book Antiqua" w:hAnsi="Book Antiqua" w:cs="Book Antiqua"/>
          <w:i/>
          <w:iCs/>
          <w:color w:val="000000"/>
          <w:shd w:val="clear" w:color="auto" w:fill="FFFFFF"/>
        </w:rPr>
        <w:t>Bacteroides fragilis</w:t>
      </w:r>
      <w:r w:rsidRPr="00BA2B87">
        <w:rPr>
          <w:rFonts w:ascii="Book Antiqua" w:eastAsia="Book Antiqua" w:hAnsi="Book Antiqua" w:cs="Book Antiqua"/>
          <w:color w:val="000000"/>
          <w:shd w:val="clear" w:color="auto" w:fill="FFFFFF"/>
        </w:rPr>
        <w:t xml:space="preserve"> and </w:t>
      </w:r>
      <w:r w:rsidRPr="00BA2B87">
        <w:rPr>
          <w:rFonts w:ascii="Book Antiqua" w:eastAsia="Book Antiqua" w:hAnsi="Book Antiqua" w:cs="Book Antiqua"/>
          <w:i/>
          <w:iCs/>
          <w:color w:val="000000"/>
          <w:shd w:val="clear" w:color="auto" w:fill="FFFFFF"/>
        </w:rPr>
        <w:t>Fusobacterium</w:t>
      </w:r>
      <w:r w:rsidRPr="00BA2B87">
        <w:rPr>
          <w:rFonts w:ascii="Book Antiqua" w:eastAsia="Book Antiqua" w:hAnsi="Book Antiqua" w:cs="Book Antiqua"/>
          <w:color w:val="000000"/>
          <w:shd w:val="clear" w:color="auto" w:fill="FFFFFF"/>
        </w:rPr>
        <w:t xml:space="preserve"> were discovered to be present in the patient group compared to the control group. To identify the microbial composition of the microbiota </w:t>
      </w:r>
      <w:r w:rsidR="005A5805">
        <w:rPr>
          <w:rFonts w:ascii="Book Antiqua" w:eastAsia="Book Antiqua" w:hAnsi="Book Antiqua" w:cs="Book Antiqua"/>
          <w:color w:val="000000"/>
          <w:shd w:val="clear" w:color="auto" w:fill="FFFFFF"/>
        </w:rPr>
        <w:t>in</w:t>
      </w:r>
      <w:r w:rsidRPr="00BA2B87">
        <w:rPr>
          <w:rFonts w:ascii="Book Antiqua" w:eastAsia="Book Antiqua" w:hAnsi="Book Antiqua" w:cs="Book Antiqua"/>
          <w:color w:val="000000"/>
          <w:shd w:val="clear" w:color="auto" w:fill="FFFFFF"/>
        </w:rPr>
        <w:t xml:space="preserve"> CRC, Kostic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[53]</w:t>
      </w:r>
      <w:r w:rsidRPr="00BA2B87">
        <w:rPr>
          <w:rFonts w:ascii="Book Antiqua" w:eastAsia="Book Antiqua" w:hAnsi="Book Antiqua" w:cs="Book Antiqua"/>
          <w:color w:val="000000"/>
          <w:shd w:val="clear" w:color="auto" w:fill="FFFFFF"/>
        </w:rPr>
        <w:t xml:space="preserve"> performed whole-genome sequencing of nine CRC patients and healthy controls. This study reveal</w:t>
      </w:r>
      <w:r w:rsidR="005A5805">
        <w:rPr>
          <w:rFonts w:ascii="Book Antiqua" w:eastAsia="Book Antiqua" w:hAnsi="Book Antiqua" w:cs="Book Antiqua"/>
          <w:color w:val="000000"/>
          <w:shd w:val="clear" w:color="auto" w:fill="FFFFFF"/>
        </w:rPr>
        <w:t>ed</w:t>
      </w:r>
      <w:r w:rsidRPr="00BA2B87">
        <w:rPr>
          <w:rFonts w:ascii="Book Antiqua" w:eastAsia="Book Antiqua" w:hAnsi="Book Antiqua" w:cs="Book Antiqua"/>
          <w:color w:val="000000"/>
          <w:shd w:val="clear" w:color="auto" w:fill="FFFFFF"/>
        </w:rPr>
        <w:t xml:space="preserve"> species-specific changes in the CRC microbiota, leading to diagnostic and clinical strategies for these patients. Using metagenomic data, Zeller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[54]</w:t>
      </w:r>
      <w:r w:rsidRPr="00BA2B87">
        <w:rPr>
          <w:rFonts w:ascii="Book Antiqua" w:eastAsia="Book Antiqua" w:hAnsi="Book Antiqua" w:cs="Book Antiqua"/>
          <w:color w:val="000000"/>
          <w:shd w:val="clear" w:color="auto" w:fill="FFFFFF"/>
        </w:rPr>
        <w:t xml:space="preserve"> demonstrated that functional and taxonomic relationships with CRC and the ability to detect CRC determine early-stage disease from the fecal microbiota. While the metagenomics approach resolves associations between the gut microbiota and colorectal carcinogenesis, it holds promise for biomarker discovery for disease diagnosis and treatment. The biomarkers discovered in CRC </w:t>
      </w:r>
      <w:r w:rsidR="005A5805">
        <w:rPr>
          <w:rFonts w:ascii="Book Antiqua" w:eastAsia="Book Antiqua" w:hAnsi="Book Antiqua" w:cs="Book Antiqua"/>
          <w:color w:val="000000"/>
          <w:shd w:val="clear" w:color="auto" w:fill="FFFFFF"/>
        </w:rPr>
        <w:t>are shown</w:t>
      </w:r>
      <w:r w:rsidRPr="00BA2B87">
        <w:rPr>
          <w:rFonts w:ascii="Book Antiqua" w:eastAsia="Book Antiqua" w:hAnsi="Book Antiqua" w:cs="Book Antiqua"/>
          <w:color w:val="000000"/>
          <w:shd w:val="clear" w:color="auto" w:fill="FFFFFF"/>
        </w:rPr>
        <w:t xml:space="preserve"> in Table 1.</w:t>
      </w:r>
    </w:p>
    <w:p w14:paraId="2F5F1106" w14:textId="47424EC5"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The systems biology approach is a promising technology for the detection of novel diagnostic biomarkers in CRC. Despite the ever-increasing biomarker research based on systems biology, there is still a need to identify new biomarkers that </w:t>
      </w:r>
      <w:r w:rsidR="005A5805">
        <w:rPr>
          <w:rFonts w:ascii="Book Antiqua" w:eastAsia="Book Antiqua" w:hAnsi="Book Antiqua" w:cs="Book Antiqua"/>
          <w:color w:val="000000"/>
          <w:shd w:val="clear" w:color="auto" w:fill="FFFFFF"/>
        </w:rPr>
        <w:t>have</w:t>
      </w:r>
      <w:r w:rsidRPr="00BA2B87">
        <w:rPr>
          <w:rFonts w:ascii="Book Antiqua" w:eastAsia="Book Antiqua" w:hAnsi="Book Antiqua" w:cs="Book Antiqua"/>
          <w:color w:val="000000"/>
          <w:shd w:val="clear" w:color="auto" w:fill="FFFFFF"/>
        </w:rPr>
        <w:t xml:space="preserve"> a crucial </w:t>
      </w:r>
      <w:r w:rsidR="005A5805">
        <w:rPr>
          <w:rFonts w:ascii="Book Antiqua" w:eastAsia="Book Antiqua" w:hAnsi="Book Antiqua" w:cs="Book Antiqua"/>
          <w:color w:val="000000"/>
          <w:shd w:val="clear" w:color="auto" w:fill="FFFFFF"/>
        </w:rPr>
        <w:t xml:space="preserve">role </w:t>
      </w:r>
      <w:r w:rsidRPr="00BA2B87">
        <w:rPr>
          <w:rFonts w:ascii="Book Antiqua" w:eastAsia="Book Antiqua" w:hAnsi="Book Antiqua" w:cs="Book Antiqua"/>
          <w:color w:val="000000"/>
          <w:shd w:val="clear" w:color="auto" w:fill="FFFFFF"/>
        </w:rPr>
        <w:t xml:space="preserve">in the early diagnosis and treatment of CRC, which </w:t>
      </w:r>
      <w:r w:rsidR="001A500F">
        <w:rPr>
          <w:rFonts w:ascii="Book Antiqua" w:eastAsia="Book Antiqua" w:hAnsi="Book Antiqua" w:cs="Book Antiqua"/>
          <w:color w:val="000000"/>
          <w:shd w:val="clear" w:color="auto" w:fill="FFFFFF"/>
        </w:rPr>
        <w:t>are</w:t>
      </w:r>
      <w:r w:rsidRPr="00BA2B87">
        <w:rPr>
          <w:rFonts w:ascii="Book Antiqua" w:eastAsia="Book Antiqua" w:hAnsi="Book Antiqua" w:cs="Book Antiqua"/>
          <w:color w:val="000000"/>
          <w:shd w:val="clear" w:color="auto" w:fill="FFFFFF"/>
        </w:rPr>
        <w:t xml:space="preserve"> simple, inexpensive, </w:t>
      </w:r>
      <w:r w:rsidR="005A5805">
        <w:rPr>
          <w:rFonts w:ascii="Book Antiqua" w:eastAsia="Book Antiqua" w:hAnsi="Book Antiqua" w:cs="Book Antiqua"/>
          <w:color w:val="000000"/>
          <w:shd w:val="clear" w:color="auto" w:fill="FFFFFF"/>
        </w:rPr>
        <w:t xml:space="preserve">and </w:t>
      </w:r>
      <w:r w:rsidRPr="00BA2B87">
        <w:rPr>
          <w:rFonts w:ascii="Book Antiqua" w:eastAsia="Book Antiqua" w:hAnsi="Book Antiqua" w:cs="Book Antiqua"/>
          <w:color w:val="000000"/>
          <w:shd w:val="clear" w:color="auto" w:fill="FFFFFF"/>
        </w:rPr>
        <w:t xml:space="preserve">non-invasive, </w:t>
      </w:r>
      <w:r w:rsidR="005A5805">
        <w:rPr>
          <w:rFonts w:ascii="Book Antiqua" w:eastAsia="Book Antiqua" w:hAnsi="Book Antiqua" w:cs="Book Antiqua"/>
          <w:color w:val="000000"/>
          <w:shd w:val="clear" w:color="auto" w:fill="FFFFFF"/>
        </w:rPr>
        <w:t>but</w:t>
      </w:r>
      <w:r w:rsidRPr="00BA2B87">
        <w:rPr>
          <w:rFonts w:ascii="Book Antiqua" w:eastAsia="Book Antiqua" w:hAnsi="Book Antiqua" w:cs="Book Antiqua"/>
          <w:color w:val="000000"/>
          <w:shd w:val="clear" w:color="auto" w:fill="FFFFFF"/>
        </w:rPr>
        <w:t xml:space="preserve"> have high sensitivity and specificity. </w:t>
      </w:r>
    </w:p>
    <w:p w14:paraId="6D1CF243" w14:textId="77777777" w:rsidR="00A77B3E" w:rsidRPr="00BA2B87" w:rsidRDefault="00A77B3E" w:rsidP="00BA2B87">
      <w:pPr>
        <w:spacing w:line="360" w:lineRule="auto"/>
        <w:jc w:val="both"/>
        <w:rPr>
          <w:rFonts w:ascii="Book Antiqua" w:hAnsi="Book Antiqua"/>
        </w:rPr>
      </w:pPr>
    </w:p>
    <w:p w14:paraId="0A86E170"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Prognostic markers</w:t>
      </w:r>
    </w:p>
    <w:p w14:paraId="73834B25" w14:textId="55D4A72B"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shd w:val="clear" w:color="auto" w:fill="FFFFFF"/>
        </w:rPr>
        <w:t xml:space="preserve">A prognostic biomarker is a biological characteristic that provides details </w:t>
      </w:r>
      <w:r w:rsidR="005A5805">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 xml:space="preserve">n </w:t>
      </w:r>
      <w:r w:rsidR="005A5805">
        <w:rPr>
          <w:rFonts w:ascii="Book Antiqua" w:eastAsia="Book Antiqua" w:hAnsi="Book Antiqua" w:cs="Book Antiqua"/>
          <w:color w:val="000000"/>
          <w:shd w:val="clear" w:color="auto" w:fill="FFFFFF"/>
        </w:rPr>
        <w:t xml:space="preserve">the </w:t>
      </w:r>
      <w:r w:rsidRPr="00BA2B87">
        <w:rPr>
          <w:rFonts w:ascii="Book Antiqua" w:eastAsia="Book Antiqua" w:hAnsi="Book Antiqua" w:cs="Book Antiqua"/>
          <w:color w:val="000000"/>
          <w:shd w:val="clear" w:color="auto" w:fill="FFFFFF"/>
        </w:rPr>
        <w:t>patient's disease progression</w:t>
      </w:r>
      <w:r w:rsidRPr="00BA2B87">
        <w:rPr>
          <w:rFonts w:ascii="Book Antiqua" w:eastAsia="Book Antiqua" w:hAnsi="Book Antiqua" w:cs="Book Antiqua"/>
          <w:color w:val="000000"/>
          <w:shd w:val="clear" w:color="auto" w:fill="FFFFFF"/>
          <w:vertAlign w:val="superscript"/>
        </w:rPr>
        <w:t>[55]</w:t>
      </w:r>
      <w:r w:rsidRPr="00BA2B87">
        <w:rPr>
          <w:rFonts w:ascii="Book Antiqua" w:eastAsia="Book Antiqua" w:hAnsi="Book Antiqua" w:cs="Book Antiqua"/>
          <w:color w:val="000000"/>
          <w:shd w:val="clear" w:color="auto" w:fill="FFFFFF"/>
        </w:rPr>
        <w:t>. Prognostic biomarkers can be used to detect the progression of a pathological condition, including early recurrence and mortality</w:t>
      </w:r>
      <w:r w:rsidRPr="00BA2B87">
        <w:rPr>
          <w:rFonts w:ascii="Book Antiqua" w:eastAsia="Book Antiqua" w:hAnsi="Book Antiqua" w:cs="Book Antiqua"/>
          <w:color w:val="000000"/>
          <w:shd w:val="clear" w:color="auto" w:fill="FFFFFF"/>
          <w:vertAlign w:val="superscript"/>
        </w:rPr>
        <w:t>[56,57]</w:t>
      </w:r>
      <w:r w:rsidRPr="00BA2B87">
        <w:rPr>
          <w:rFonts w:ascii="Book Antiqua" w:eastAsia="Book Antiqua" w:hAnsi="Book Antiqua" w:cs="Book Antiqua"/>
          <w:color w:val="000000"/>
          <w:shd w:val="clear" w:color="auto" w:fill="FFFFFF"/>
        </w:rPr>
        <w:t>.</w:t>
      </w:r>
    </w:p>
    <w:p w14:paraId="4369B6C2" w14:textId="2322801C"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Recent studies have shown that the APC mutation is the most </w:t>
      </w:r>
      <w:r w:rsidR="005A5805">
        <w:rPr>
          <w:rFonts w:ascii="Book Antiqua" w:eastAsia="Book Antiqua" w:hAnsi="Book Antiqua" w:cs="Book Antiqua"/>
          <w:color w:val="000000"/>
          <w:shd w:val="clear" w:color="auto" w:fill="FFFFFF"/>
        </w:rPr>
        <w:t xml:space="preserve">frequently </w:t>
      </w:r>
      <w:r w:rsidRPr="00BA2B87">
        <w:rPr>
          <w:rFonts w:ascii="Book Antiqua" w:eastAsia="Book Antiqua" w:hAnsi="Book Antiqua" w:cs="Book Antiqua"/>
          <w:color w:val="000000"/>
          <w:shd w:val="clear" w:color="auto" w:fill="FFFFFF"/>
        </w:rPr>
        <w:t>seen mutation in CRC which has prognostic biomarker potential for clinical outcome in CRC</w:t>
      </w:r>
      <w:r w:rsidRPr="00BA2B87">
        <w:rPr>
          <w:rFonts w:ascii="Book Antiqua" w:eastAsia="Book Antiqua" w:hAnsi="Book Antiqua" w:cs="Book Antiqua"/>
          <w:color w:val="000000"/>
          <w:shd w:val="clear" w:color="auto" w:fill="FFFFFF"/>
          <w:vertAlign w:val="superscript"/>
        </w:rPr>
        <w:t>[58]</w:t>
      </w:r>
      <w:r w:rsidRPr="00BA2B87">
        <w:rPr>
          <w:rFonts w:ascii="Book Antiqua" w:eastAsia="Book Antiqua" w:hAnsi="Book Antiqua" w:cs="Book Antiqua"/>
          <w:color w:val="000000"/>
          <w:shd w:val="clear" w:color="auto" w:fill="FFFFFF"/>
        </w:rPr>
        <w:t xml:space="preserve">. Appropriate validation </w:t>
      </w:r>
      <w:r w:rsidR="005A5805">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f this biomarker is needed to advance detection and better prognosis toward clinical outcome</w:t>
      </w:r>
      <w:r w:rsidRPr="00BA2B87">
        <w:rPr>
          <w:rFonts w:ascii="Book Antiqua" w:eastAsia="Book Antiqua" w:hAnsi="Book Antiqua" w:cs="Book Antiqua"/>
          <w:color w:val="000000"/>
          <w:shd w:val="clear" w:color="auto" w:fill="FFFFFF"/>
          <w:vertAlign w:val="superscript"/>
        </w:rPr>
        <w:t>[59]</w:t>
      </w:r>
      <w:r w:rsidRPr="00BA2B87">
        <w:rPr>
          <w:rFonts w:ascii="Book Antiqua" w:eastAsia="Book Antiqua" w:hAnsi="Book Antiqua" w:cs="Book Antiqua"/>
          <w:color w:val="000000"/>
          <w:shd w:val="clear" w:color="auto" w:fill="FFFFFF"/>
        </w:rPr>
        <w:t xml:space="preserve">. In a cohort genomic study, mutant TP53 </w:t>
      </w:r>
      <w:r w:rsidRPr="00BA2B87">
        <w:rPr>
          <w:rFonts w:ascii="Book Antiqua" w:eastAsia="Book Antiqua" w:hAnsi="Book Antiqua" w:cs="Book Antiqua"/>
          <w:color w:val="000000"/>
          <w:shd w:val="clear" w:color="auto" w:fill="FFFFFF"/>
        </w:rPr>
        <w:lastRenderedPageBreak/>
        <w:t xml:space="preserve">status was associated with adjuvant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shd w:val="clear" w:color="auto" w:fill="FFFFFF"/>
        </w:rPr>
        <w:t xml:space="preserve"> therapy in stage </w:t>
      </w:r>
      <w:r w:rsidR="005A5805" w:rsidRPr="00BA2B87">
        <w:rPr>
          <w:rFonts w:ascii="Book Antiqua" w:eastAsia="Book Antiqua" w:hAnsi="Book Antiqua" w:cs="Book Antiqua"/>
          <w:color w:val="000000"/>
          <w:shd w:val="clear" w:color="auto" w:fill="FFFFFF"/>
        </w:rPr>
        <w:t xml:space="preserve">III </w:t>
      </w:r>
      <w:r w:rsidRPr="00BA2B87">
        <w:rPr>
          <w:rFonts w:ascii="Book Antiqua" w:eastAsia="Book Antiqua" w:hAnsi="Book Antiqua" w:cs="Book Antiqua"/>
          <w:color w:val="000000"/>
          <w:shd w:val="clear" w:color="auto" w:fill="FFFFFF"/>
        </w:rPr>
        <w:t>CRC patients</w:t>
      </w:r>
      <w:r w:rsidRPr="00BA2B87">
        <w:rPr>
          <w:rFonts w:ascii="Book Antiqua" w:eastAsia="Book Antiqua" w:hAnsi="Book Antiqua" w:cs="Book Antiqua"/>
          <w:color w:val="000000"/>
          <w:shd w:val="clear" w:color="auto" w:fill="FFFFFF"/>
          <w:vertAlign w:val="superscript"/>
        </w:rPr>
        <w:t>[60]</w:t>
      </w:r>
      <w:r w:rsidRPr="00BA2B87">
        <w:rPr>
          <w:rFonts w:ascii="Book Antiqua" w:eastAsia="Book Antiqua" w:hAnsi="Book Antiqua" w:cs="Book Antiqua"/>
          <w:color w:val="000000"/>
          <w:shd w:val="clear" w:color="auto" w:fill="FFFFFF"/>
        </w:rPr>
        <w:t>. However, other research showed that mutant TP53 was significantly correlated with poor survival</w:t>
      </w:r>
      <w:r w:rsidRPr="00BA2B87">
        <w:rPr>
          <w:rFonts w:ascii="Book Antiqua" w:eastAsia="Book Antiqua" w:hAnsi="Book Antiqua" w:cs="Book Antiqua"/>
          <w:color w:val="000000"/>
          <w:shd w:val="clear" w:color="auto" w:fill="FFFFFF"/>
          <w:vertAlign w:val="superscript"/>
        </w:rPr>
        <w:t>[61]</w:t>
      </w:r>
      <w:r w:rsidRPr="00BA2B87">
        <w:rPr>
          <w:rFonts w:ascii="Book Antiqua" w:eastAsia="Book Antiqua" w:hAnsi="Book Antiqua" w:cs="Book Antiqua"/>
          <w:color w:val="000000"/>
          <w:shd w:val="clear" w:color="auto" w:fill="FFFFFF"/>
        </w:rPr>
        <w:t>.</w:t>
      </w:r>
    </w:p>
    <w:p w14:paraId="780C9C53" w14:textId="48C02247"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Micu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[62]</w:t>
      </w:r>
      <w:r w:rsidRPr="00BA2B87">
        <w:rPr>
          <w:rFonts w:ascii="Book Antiqua" w:eastAsia="Book Antiqua" w:hAnsi="Book Antiqua" w:cs="Book Antiqua"/>
          <w:color w:val="000000"/>
          <w:shd w:val="clear" w:color="auto" w:fill="FFFFFF"/>
        </w:rPr>
        <w:t xml:space="preserve"> performed a retrospective study of 103 patients who had curative surgery for CRC, and they showed that the 5-year survival rate of patients with microsatellite instability (MSI) tumors was higher than that of the microsatellite stable tumor group. Another study showed that patients who had high MSI had longer disease-free survival (DFS) than patients with low MSI. This study shows that MSI has the potential to be </w:t>
      </w:r>
      <w:r w:rsidR="00BB1C84">
        <w:rPr>
          <w:rFonts w:ascii="Book Antiqua" w:eastAsia="Book Antiqua" w:hAnsi="Book Antiqua" w:cs="Book Antiqua"/>
          <w:color w:val="000000"/>
          <w:shd w:val="clear" w:color="auto" w:fill="FFFFFF"/>
        </w:rPr>
        <w:t>a</w:t>
      </w:r>
      <w:r w:rsidRPr="00BA2B87">
        <w:rPr>
          <w:rFonts w:ascii="Book Antiqua" w:eastAsia="Book Antiqua" w:hAnsi="Book Antiqua" w:cs="Book Antiqua"/>
          <w:color w:val="000000"/>
          <w:shd w:val="clear" w:color="auto" w:fill="FFFFFF"/>
        </w:rPr>
        <w:t xml:space="preserve"> prognostic </w:t>
      </w:r>
      <w:r w:rsidR="00BB1C84">
        <w:rPr>
          <w:rFonts w:ascii="Book Antiqua" w:eastAsia="Book Antiqua" w:hAnsi="Book Antiqua" w:cs="Book Antiqua"/>
          <w:color w:val="000000"/>
          <w:shd w:val="clear" w:color="auto" w:fill="FFFFFF"/>
        </w:rPr>
        <w:t xml:space="preserve">clinical </w:t>
      </w:r>
      <w:r w:rsidRPr="00BA2B87">
        <w:rPr>
          <w:rFonts w:ascii="Book Antiqua" w:eastAsia="Book Antiqua" w:hAnsi="Book Antiqua" w:cs="Book Antiqua"/>
          <w:color w:val="000000"/>
          <w:shd w:val="clear" w:color="auto" w:fill="FFFFFF"/>
        </w:rPr>
        <w:t>parameter</w:t>
      </w:r>
      <w:r w:rsidRPr="00BA2B87">
        <w:rPr>
          <w:rFonts w:ascii="Book Antiqua" w:eastAsia="Book Antiqua" w:hAnsi="Book Antiqua" w:cs="Book Antiqua"/>
          <w:color w:val="000000"/>
          <w:shd w:val="clear" w:color="auto" w:fill="FFFFFF"/>
          <w:vertAlign w:val="superscript"/>
        </w:rPr>
        <w:t>[63]</w:t>
      </w:r>
      <w:r w:rsidRPr="00BA2B87">
        <w:rPr>
          <w:rFonts w:ascii="Book Antiqua" w:eastAsia="Book Antiqua" w:hAnsi="Book Antiqua" w:cs="Book Antiqua"/>
          <w:color w:val="000000"/>
          <w:shd w:val="clear" w:color="auto" w:fill="FFFFFF"/>
        </w:rPr>
        <w:t>.</w:t>
      </w:r>
    </w:p>
    <w:p w14:paraId="2D9D9128" w14:textId="0DEFD995" w:rsidR="00A77B3E" w:rsidRPr="00BA2B87" w:rsidRDefault="00925687" w:rsidP="00E43A83">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Mizuno </w:t>
      </w:r>
      <w:r w:rsidR="00E43A83" w:rsidRPr="00E43A83">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[64]</w:t>
      </w:r>
      <w:r w:rsidRPr="00BA2B87">
        <w:rPr>
          <w:rFonts w:ascii="Book Antiqua" w:eastAsia="Book Antiqua" w:hAnsi="Book Antiqua" w:cs="Book Antiqua"/>
          <w:color w:val="000000"/>
          <w:shd w:val="clear" w:color="auto" w:fill="FFFFFF"/>
        </w:rPr>
        <w:t xml:space="preserve"> investigated the impact of </w:t>
      </w:r>
      <w:r w:rsidRPr="00D071DA">
        <w:rPr>
          <w:rFonts w:ascii="Book Antiqua" w:eastAsia="Book Antiqua" w:hAnsi="Book Antiqua" w:cs="Book Antiqua"/>
          <w:i/>
          <w:iCs/>
          <w:color w:val="000000"/>
          <w:shd w:val="clear" w:color="auto" w:fill="FFFFFF"/>
        </w:rPr>
        <w:t>SMAD4</w:t>
      </w:r>
      <w:r w:rsidRPr="00BA2B87">
        <w:rPr>
          <w:rFonts w:ascii="Book Antiqua" w:eastAsia="Book Antiqua" w:hAnsi="Book Antiqua" w:cs="Book Antiqua"/>
          <w:color w:val="000000"/>
          <w:shd w:val="clear" w:color="auto" w:fill="FFFFFF"/>
        </w:rPr>
        <w:t xml:space="preserve"> gene mutation on clinical features and outcomes in patients undergoing liver resection for colorectal liver metastases using a next-generation somatic gene sequencing platform. In the validation series, which included 237 patients, mutations in the </w:t>
      </w:r>
      <w:r w:rsidRPr="00D071DA">
        <w:rPr>
          <w:rFonts w:ascii="Book Antiqua" w:eastAsia="Book Antiqua" w:hAnsi="Book Antiqua" w:cs="Book Antiqua"/>
          <w:i/>
          <w:iCs/>
          <w:color w:val="000000"/>
          <w:shd w:val="clear" w:color="auto" w:fill="FFFFFF"/>
        </w:rPr>
        <w:t>SMAD4</w:t>
      </w:r>
      <w:r w:rsidRPr="00BA2B87">
        <w:rPr>
          <w:rFonts w:ascii="Book Antiqua" w:eastAsia="Book Antiqua" w:hAnsi="Book Antiqua" w:cs="Book Antiqua"/>
          <w:color w:val="000000"/>
          <w:shd w:val="clear" w:color="auto" w:fill="FFFFFF"/>
        </w:rPr>
        <w:t xml:space="preserve"> gene were correlated with a worse 3-year overall survival (OS) </w:t>
      </w:r>
      <w:r w:rsidR="00BB1C84" w:rsidRPr="00BA2B87">
        <w:rPr>
          <w:rFonts w:ascii="Book Antiqua" w:eastAsia="Book Antiqua" w:hAnsi="Book Antiqua" w:cs="Book Antiqua"/>
          <w:color w:val="000000"/>
          <w:shd w:val="clear" w:color="auto" w:fill="FFFFFF"/>
        </w:rPr>
        <w:t xml:space="preserve">rate </w:t>
      </w:r>
      <w:r w:rsidRPr="00BA2B87">
        <w:rPr>
          <w:rFonts w:ascii="Book Antiqua" w:eastAsia="Book Antiqua" w:hAnsi="Book Antiqua" w:cs="Book Antiqua"/>
          <w:color w:val="000000"/>
          <w:shd w:val="clear" w:color="auto" w:fill="FFFFFF"/>
        </w:rPr>
        <w:t>and were an autonomous predictor of worse OS. In a prospective study, multiple pan-cancer profiles of 33 Chinese mCRC patients were characterized utilizing extensive NGS. Further results showed that SMAD4 and NF1 mutations may be promising biomarker candidates for poor prognosis</w:t>
      </w:r>
      <w:r w:rsidRPr="00BA2B87">
        <w:rPr>
          <w:rFonts w:ascii="Book Antiqua" w:eastAsia="Book Antiqua" w:hAnsi="Book Antiqua" w:cs="Book Antiqua"/>
          <w:color w:val="000000"/>
          <w:shd w:val="clear" w:color="auto" w:fill="FFFFFF"/>
          <w:vertAlign w:val="superscript"/>
        </w:rPr>
        <w:t>[65]</w:t>
      </w:r>
      <w:r w:rsidRPr="00BA2B87">
        <w:rPr>
          <w:rFonts w:ascii="Book Antiqua" w:eastAsia="Book Antiqua" w:hAnsi="Book Antiqua" w:cs="Book Antiqua"/>
          <w:color w:val="000000"/>
          <w:shd w:val="clear" w:color="auto" w:fill="FFFFFF"/>
        </w:rPr>
        <w:t>.</w:t>
      </w:r>
    </w:p>
    <w:p w14:paraId="0EA817A1" w14:textId="7340598C"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The impact of </w:t>
      </w:r>
      <w:r w:rsidRPr="00D071DA">
        <w:rPr>
          <w:rFonts w:ascii="Book Antiqua" w:eastAsia="Book Antiqua" w:hAnsi="Book Antiqua" w:cs="Book Antiqua"/>
          <w:i/>
          <w:iCs/>
          <w:color w:val="000000"/>
          <w:shd w:val="clear" w:color="auto" w:fill="FFFFFF"/>
        </w:rPr>
        <w:t>BRAF</w:t>
      </w:r>
      <w:r w:rsidRPr="00BA2B87">
        <w:rPr>
          <w:rFonts w:ascii="Book Antiqua" w:eastAsia="Book Antiqua" w:hAnsi="Book Antiqua" w:cs="Book Antiqua"/>
          <w:color w:val="000000"/>
          <w:shd w:val="clear" w:color="auto" w:fill="FFFFFF"/>
        </w:rPr>
        <w:t xml:space="preserve"> and </w:t>
      </w:r>
      <w:r w:rsidRPr="00D071DA">
        <w:rPr>
          <w:rFonts w:ascii="Book Antiqua" w:eastAsia="Book Antiqua" w:hAnsi="Book Antiqua" w:cs="Book Antiqua"/>
          <w:i/>
          <w:iCs/>
          <w:color w:val="000000"/>
          <w:shd w:val="clear" w:color="auto" w:fill="FFFFFF"/>
        </w:rPr>
        <w:t>KRAS</w:t>
      </w:r>
      <w:r w:rsidRPr="00BA2B87">
        <w:rPr>
          <w:rFonts w:ascii="Book Antiqua" w:eastAsia="Book Antiqua" w:hAnsi="Book Antiqua" w:cs="Book Antiqua"/>
          <w:color w:val="000000"/>
          <w:shd w:val="clear" w:color="auto" w:fill="FFFFFF"/>
        </w:rPr>
        <w:t xml:space="preserve"> on survival in stage II and III MSI </w:t>
      </w:r>
      <w:r w:rsidR="00BB1C84" w:rsidRPr="00BA2B87">
        <w:rPr>
          <w:rFonts w:ascii="Book Antiqua" w:eastAsia="Book Antiqua" w:hAnsi="Book Antiqua" w:cs="Book Antiqua"/>
          <w:color w:val="000000"/>
          <w:shd w:val="clear" w:color="auto" w:fill="FFFFFF"/>
        </w:rPr>
        <w:t xml:space="preserve">colon cancer patients </w:t>
      </w:r>
      <w:r w:rsidRPr="00BA2B87">
        <w:rPr>
          <w:rFonts w:ascii="Book Antiqua" w:eastAsia="Book Antiqua" w:hAnsi="Book Antiqua" w:cs="Book Antiqua"/>
          <w:color w:val="000000"/>
          <w:shd w:val="clear" w:color="auto" w:fill="FFFFFF"/>
        </w:rPr>
        <w:t xml:space="preserve">was investigated. BRAF and KRAS </w:t>
      </w:r>
      <w:r w:rsidRPr="00D071DA">
        <w:rPr>
          <w:rFonts w:ascii="Book Antiqua" w:eastAsia="Book Antiqua" w:hAnsi="Book Antiqua" w:cs="Book Antiqua"/>
          <w:i/>
          <w:iCs/>
          <w:color w:val="000000"/>
          <w:shd w:val="clear" w:color="auto" w:fill="FFFFFF"/>
        </w:rPr>
        <w:t>vs</w:t>
      </w:r>
      <w:r w:rsidRPr="00BA2B87">
        <w:rPr>
          <w:rFonts w:ascii="Book Antiqua" w:eastAsia="Book Antiqua" w:hAnsi="Book Antiqua" w:cs="Book Antiqua"/>
          <w:color w:val="000000"/>
          <w:shd w:val="clear" w:color="auto" w:fill="FFFFFF"/>
        </w:rPr>
        <w:t xml:space="preserve"> double wild</w:t>
      </w:r>
      <w:r w:rsidR="00BB1C84">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type mutations remained prognostic in stage II and III MSI colon cancer patients after multivariate analysis. These mutations should be analyzed if these genes are considered prognostic markers</w:t>
      </w:r>
      <w:r w:rsidRPr="00BA2B87">
        <w:rPr>
          <w:rFonts w:ascii="Book Antiqua" w:eastAsia="Book Antiqua" w:hAnsi="Book Antiqua" w:cs="Book Antiqua"/>
          <w:color w:val="000000"/>
          <w:shd w:val="clear" w:color="auto" w:fill="FFFFFF"/>
          <w:vertAlign w:val="superscript"/>
        </w:rPr>
        <w:t>[66]</w:t>
      </w:r>
      <w:r w:rsidRPr="00BA2B87">
        <w:rPr>
          <w:rFonts w:ascii="Book Antiqua" w:eastAsia="Book Antiqua" w:hAnsi="Book Antiqua" w:cs="Book Antiqua"/>
          <w:color w:val="000000"/>
          <w:shd w:val="clear" w:color="auto" w:fill="FFFFFF"/>
        </w:rPr>
        <w:t xml:space="preserve">. A survival study in patients with curatively resected stage I-III CRC </w:t>
      </w:r>
      <w:r w:rsidR="00BB1C84">
        <w:rPr>
          <w:rFonts w:ascii="Book Antiqua" w:eastAsia="Book Antiqua" w:hAnsi="Book Antiqua" w:cs="Book Antiqua"/>
          <w:color w:val="000000"/>
          <w:shd w:val="clear" w:color="auto" w:fill="FFFFFF"/>
        </w:rPr>
        <w:t>demonstrated</w:t>
      </w:r>
      <w:r w:rsidRPr="00BA2B87">
        <w:rPr>
          <w:rFonts w:ascii="Book Antiqua" w:eastAsia="Book Antiqua" w:hAnsi="Book Antiqua" w:cs="Book Antiqua"/>
          <w:color w:val="000000"/>
          <w:shd w:val="clear" w:color="auto" w:fill="FFFFFF"/>
        </w:rPr>
        <w:t xml:space="preserve"> that the existence of </w:t>
      </w:r>
      <w:r w:rsidRPr="00D071DA">
        <w:rPr>
          <w:rFonts w:ascii="Book Antiqua" w:eastAsia="Book Antiqua" w:hAnsi="Book Antiqua" w:cs="Book Antiqua"/>
          <w:i/>
          <w:iCs/>
          <w:color w:val="000000"/>
          <w:shd w:val="clear" w:color="auto" w:fill="FFFFFF"/>
        </w:rPr>
        <w:t>KRAF</w:t>
      </w:r>
      <w:r w:rsidRPr="00BA2B87">
        <w:rPr>
          <w:rFonts w:ascii="Book Antiqua" w:eastAsia="Book Antiqua" w:hAnsi="Book Antiqua" w:cs="Book Antiqua"/>
          <w:color w:val="000000"/>
          <w:shd w:val="clear" w:color="auto" w:fill="FFFFFF"/>
        </w:rPr>
        <w:t xml:space="preserve"> and </w:t>
      </w:r>
      <w:r w:rsidRPr="00D071DA">
        <w:rPr>
          <w:rFonts w:ascii="Book Antiqua" w:eastAsia="Book Antiqua" w:hAnsi="Book Antiqua" w:cs="Book Antiqua"/>
          <w:i/>
          <w:iCs/>
          <w:color w:val="000000"/>
          <w:shd w:val="clear" w:color="auto" w:fill="FFFFFF"/>
        </w:rPr>
        <w:t>BRAF</w:t>
      </w:r>
      <w:r w:rsidRPr="00BA2B87">
        <w:rPr>
          <w:rFonts w:ascii="Book Antiqua" w:eastAsia="Book Antiqua" w:hAnsi="Book Antiqua" w:cs="Book Antiqua"/>
          <w:color w:val="000000"/>
          <w:shd w:val="clear" w:color="auto" w:fill="FFFFFF"/>
        </w:rPr>
        <w:t xml:space="preserve"> mutations was correlated with poor OS and DFS. In Japanese patients with successfully dissected CRC, </w:t>
      </w:r>
      <w:r w:rsidRPr="004D0B39">
        <w:rPr>
          <w:rFonts w:ascii="Book Antiqua" w:eastAsia="Book Antiqua" w:hAnsi="Book Antiqua" w:cs="Book Antiqua"/>
          <w:i/>
          <w:color w:val="000000"/>
          <w:shd w:val="clear" w:color="auto" w:fill="FFFFFF"/>
        </w:rPr>
        <w:t>KRAS</w:t>
      </w:r>
      <w:r w:rsidRPr="00BA2B87">
        <w:rPr>
          <w:rFonts w:ascii="Book Antiqua" w:eastAsia="Book Antiqua" w:hAnsi="Book Antiqua" w:cs="Book Antiqua"/>
          <w:color w:val="000000"/>
          <w:shd w:val="clear" w:color="auto" w:fill="FFFFFF"/>
        </w:rPr>
        <w:t xml:space="preserve"> and </w:t>
      </w:r>
      <w:r w:rsidRPr="004D0B39">
        <w:rPr>
          <w:rFonts w:ascii="Book Antiqua" w:eastAsia="Book Antiqua" w:hAnsi="Book Antiqua" w:cs="Book Antiqua"/>
          <w:i/>
          <w:color w:val="000000"/>
          <w:shd w:val="clear" w:color="auto" w:fill="FFFFFF"/>
        </w:rPr>
        <w:t xml:space="preserve">BRAF </w:t>
      </w:r>
      <w:r w:rsidRPr="00BA2B87">
        <w:rPr>
          <w:rFonts w:ascii="Book Antiqua" w:eastAsia="Book Antiqua" w:hAnsi="Book Antiqua" w:cs="Book Antiqua"/>
          <w:color w:val="000000"/>
          <w:shd w:val="clear" w:color="auto" w:fill="FFFFFF"/>
        </w:rPr>
        <w:t>were associated with poorer survival, independent of MSI</w:t>
      </w:r>
      <w:r w:rsidRPr="00BA2B87">
        <w:rPr>
          <w:rFonts w:ascii="Book Antiqua" w:eastAsia="Book Antiqua" w:hAnsi="Book Antiqua" w:cs="Book Antiqua"/>
          <w:color w:val="000000"/>
          <w:shd w:val="clear" w:color="auto" w:fill="FFFFFF"/>
          <w:vertAlign w:val="superscript"/>
        </w:rPr>
        <w:t>[67]</w:t>
      </w:r>
      <w:r w:rsidRPr="00BA2B87">
        <w:rPr>
          <w:rFonts w:ascii="Book Antiqua" w:eastAsia="Book Antiqua" w:hAnsi="Book Antiqua" w:cs="Book Antiqua"/>
          <w:color w:val="000000"/>
          <w:shd w:val="clear" w:color="auto" w:fill="FFFFFF"/>
        </w:rPr>
        <w:t>.</w:t>
      </w:r>
    </w:p>
    <w:p w14:paraId="3485D822" w14:textId="6726A442" w:rsidR="00A77B3E" w:rsidRPr="00BA2B87" w:rsidRDefault="00D071DA" w:rsidP="00D071DA">
      <w:pPr>
        <w:spacing w:line="360" w:lineRule="auto"/>
        <w:ind w:firstLineChars="200" w:firstLine="480"/>
        <w:jc w:val="both"/>
        <w:rPr>
          <w:rFonts w:ascii="Book Antiqua" w:hAnsi="Book Antiqua"/>
        </w:rPr>
      </w:pPr>
      <w:r w:rsidRPr="00D071DA">
        <w:rPr>
          <w:rFonts w:ascii="Book Antiqua" w:hAnsi="Book Antiqua"/>
        </w:rPr>
        <w:t>Nguyen</w:t>
      </w:r>
      <w:r w:rsidR="00925687" w:rsidRPr="00BA2B87">
        <w:rPr>
          <w:rFonts w:ascii="Book Antiqua" w:eastAsia="Book Antiqua" w:hAnsi="Book Antiqua" w:cs="Book Antiqua"/>
          <w:color w:val="000000"/>
          <w:shd w:val="clear" w:color="auto" w:fill="FFFFFF"/>
        </w:rPr>
        <w:t xml:space="preserve"> </w:t>
      </w:r>
      <w:r w:rsidRPr="00D071DA">
        <w:rPr>
          <w:rFonts w:ascii="Book Antiqua" w:eastAsia="Book Antiqua" w:hAnsi="Book Antiqua" w:cs="Book Antiqua"/>
          <w:i/>
          <w:iCs/>
          <w:color w:val="000000"/>
          <w:shd w:val="clear" w:color="auto" w:fill="FFFFFF"/>
        </w:rPr>
        <w:t>et al</w:t>
      </w:r>
      <w:r w:rsidR="00925687" w:rsidRPr="00BA2B87">
        <w:rPr>
          <w:rFonts w:ascii="Book Antiqua" w:eastAsia="Book Antiqua" w:hAnsi="Book Antiqua" w:cs="Book Antiqua"/>
          <w:color w:val="000000"/>
          <w:shd w:val="clear" w:color="auto" w:fill="FFFFFF"/>
          <w:vertAlign w:val="superscript"/>
        </w:rPr>
        <w:t>[68]</w:t>
      </w:r>
      <w:r w:rsidR="00925687" w:rsidRPr="00BA2B87">
        <w:rPr>
          <w:rFonts w:ascii="Book Antiqua" w:eastAsia="Book Antiqua" w:hAnsi="Book Antiqua" w:cs="Book Antiqua"/>
          <w:color w:val="000000"/>
          <w:shd w:val="clear" w:color="auto" w:fill="FFFFFF"/>
        </w:rPr>
        <w:t xml:space="preserve"> showed that the prognostic marker of 113 probe sets (CRC-113) was associated with disease incidence and survival in patients with CRC. Moreover, the CRC patients selected by the CRC-113 were able to benefit from postoperative </w:t>
      </w:r>
      <w:r w:rsidR="00925687" w:rsidRPr="00BA2B87">
        <w:rPr>
          <w:rFonts w:ascii="Book Antiqua" w:eastAsia="Book Antiqua" w:hAnsi="Book Antiqua" w:cs="Book Antiqua"/>
          <w:color w:val="000000"/>
          <w:shd w:val="clear" w:color="auto" w:fill="FFFFFF"/>
        </w:rPr>
        <w:lastRenderedPageBreak/>
        <w:t xml:space="preserve">chemotherapy, indicating that the </w:t>
      </w:r>
      <w:r w:rsidR="00925687" w:rsidRPr="00D071DA">
        <w:rPr>
          <w:rFonts w:ascii="Book Antiqua" w:eastAsia="Book Antiqua" w:hAnsi="Book Antiqua" w:cs="Book Antiqua"/>
          <w:i/>
          <w:iCs/>
          <w:color w:val="000000"/>
          <w:shd w:val="clear" w:color="auto" w:fill="FFFFFF"/>
        </w:rPr>
        <w:t>CRC-113</w:t>
      </w:r>
      <w:r w:rsidR="00925687" w:rsidRPr="00BA2B87">
        <w:rPr>
          <w:rFonts w:ascii="Book Antiqua" w:eastAsia="Book Antiqua" w:hAnsi="Book Antiqua" w:cs="Book Antiqua"/>
          <w:color w:val="000000"/>
          <w:shd w:val="clear" w:color="auto" w:fill="FFFFFF"/>
        </w:rPr>
        <w:t xml:space="preserve"> gene signature could be a potential prognostic biomarker for CRC prediction.</w:t>
      </w:r>
    </w:p>
    <w:p w14:paraId="4FF9CCA3" w14:textId="06B83B16"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High-throughput transcriptome studies provide significant opportunities to identify biomarkers that are effective for CRC prognosis. Zheng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[69]</w:t>
      </w:r>
      <w:r w:rsidRPr="00BA2B87">
        <w:rPr>
          <w:rFonts w:ascii="Book Antiqua" w:eastAsia="Book Antiqua" w:hAnsi="Book Antiqua" w:cs="Book Antiqua"/>
          <w:color w:val="000000"/>
          <w:shd w:val="clear" w:color="auto" w:fill="FFFFFF"/>
        </w:rPr>
        <w:t xml:space="preserve"> indicated that MALAT1 LncRNA expression is upregulated in CRC tissues, as revealed by </w:t>
      </w:r>
      <w:r w:rsidR="00D071DA" w:rsidRPr="00D071DA">
        <w:rPr>
          <w:rFonts w:ascii="Book Antiqua" w:eastAsia="Book Antiqua" w:hAnsi="Book Antiqua" w:cs="Book Antiqua"/>
          <w:color w:val="000000"/>
          <w:shd w:val="clear" w:color="auto" w:fill="FFFFFF"/>
        </w:rPr>
        <w:t>real-time reverse transcriptase-polymerase chain reaction (RT-qPCR)</w:t>
      </w:r>
      <w:r w:rsidRPr="00BA2B87">
        <w:rPr>
          <w:rFonts w:ascii="Book Antiqua" w:eastAsia="Book Antiqua" w:hAnsi="Book Antiqua" w:cs="Book Antiqua"/>
          <w:color w:val="000000"/>
          <w:shd w:val="clear" w:color="auto" w:fill="FFFFFF"/>
        </w:rPr>
        <w:t xml:space="preserve"> analysis of 146 fresh tumor tissue samples. Therefore, a higher expression level of MALAT1 might be involved in CRC progression and therefore serve as a prognostic bio</w:t>
      </w:r>
      <w:r w:rsidR="00276A0B">
        <w:rPr>
          <w:rFonts w:ascii="Book Antiqua" w:eastAsia="Book Antiqua" w:hAnsi="Book Antiqua" w:cs="Book Antiqua"/>
          <w:color w:val="000000"/>
          <w:shd w:val="clear" w:color="auto" w:fill="FFFFFF"/>
        </w:rPr>
        <w:t xml:space="preserve">marker for patients </w:t>
      </w:r>
      <w:r w:rsidR="00A23947">
        <w:rPr>
          <w:rFonts w:ascii="Book Antiqua" w:eastAsia="Book Antiqua" w:hAnsi="Book Antiqua" w:cs="Book Antiqua"/>
          <w:color w:val="000000"/>
          <w:shd w:val="clear" w:color="auto" w:fill="FFFFFF"/>
        </w:rPr>
        <w:t>with</w:t>
      </w:r>
      <w:r w:rsidR="00276A0B">
        <w:rPr>
          <w:rFonts w:ascii="Book Antiqua" w:eastAsia="Book Antiqua" w:hAnsi="Book Antiqua" w:cs="Book Antiqua"/>
          <w:color w:val="000000"/>
          <w:shd w:val="clear" w:color="auto" w:fill="FFFFFF"/>
        </w:rPr>
        <w:t xml:space="preserve"> stage II</w:t>
      </w:r>
      <w:r w:rsidRPr="00BA2B87">
        <w:rPr>
          <w:rFonts w:ascii="Book Antiqua" w:eastAsia="Book Antiqua" w:hAnsi="Book Antiqua" w:cs="Book Antiqua"/>
          <w:color w:val="000000"/>
          <w:shd w:val="clear" w:color="auto" w:fill="FFFFFF"/>
        </w:rPr>
        <w:t xml:space="preserve">/III CRC. </w:t>
      </w:r>
    </w:p>
    <w:p w14:paraId="6A9EC4BB" w14:textId="6E5DD5C1"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In another transcriptomic study, Ohtsuka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[70]</w:t>
      </w:r>
      <w:r w:rsidRPr="00BA2B87">
        <w:rPr>
          <w:rFonts w:ascii="Book Antiqua" w:eastAsia="Book Antiqua" w:hAnsi="Book Antiqua" w:cs="Book Antiqua"/>
          <w:color w:val="000000"/>
          <w:shd w:val="clear" w:color="auto" w:fill="FFFFFF"/>
        </w:rPr>
        <w:t xml:space="preserve"> examined a large panel of lncRNA expression levels from CRC datasets of The Cancer Genome Atlas (TCGA) and recognized that H19 is the lncRNA most associated with OS of CRC patients. High expression levels of H19 have been related to tumor differentiation and advanced </w:t>
      </w:r>
      <w:r w:rsidR="00D071DA" w:rsidRPr="00D071DA">
        <w:rPr>
          <w:rFonts w:ascii="Book Antiqua" w:eastAsia="Book Antiqua" w:hAnsi="Book Antiqua" w:cs="Book Antiqua"/>
          <w:color w:val="000000"/>
          <w:shd w:val="clear" w:color="auto" w:fill="FFFFFF"/>
        </w:rPr>
        <w:t>Tumor-Node-Metastasis</w:t>
      </w:r>
      <w:r w:rsidRPr="00BA2B87">
        <w:rPr>
          <w:rFonts w:ascii="Book Antiqua" w:eastAsia="Book Antiqua" w:hAnsi="Book Antiqua" w:cs="Book Antiqua"/>
          <w:color w:val="000000"/>
          <w:shd w:val="clear" w:color="auto" w:fill="FFFFFF"/>
        </w:rPr>
        <w:t xml:space="preserve"> stage</w:t>
      </w:r>
      <w:r w:rsidRPr="00BA2B87">
        <w:rPr>
          <w:rFonts w:ascii="Book Antiqua" w:eastAsia="Book Antiqua" w:hAnsi="Book Antiqua" w:cs="Book Antiqua"/>
          <w:color w:val="000000"/>
          <w:shd w:val="clear" w:color="auto" w:fill="FFFFFF"/>
          <w:vertAlign w:val="superscript"/>
        </w:rPr>
        <w:t>[71]</w:t>
      </w:r>
      <w:r w:rsidRPr="00BA2B87">
        <w:rPr>
          <w:rFonts w:ascii="Book Antiqua" w:eastAsia="Book Antiqua" w:hAnsi="Book Antiqua" w:cs="Book Antiqua"/>
          <w:color w:val="000000"/>
          <w:shd w:val="clear" w:color="auto" w:fill="FFFFFF"/>
        </w:rPr>
        <w:t xml:space="preserve"> and may be a prognostic biomarker candidate for OS and DFS. A comprehensive study was conducted to reveal the role of 21 cancer-related lncRNAs in the prognosis of CRC using the PCR array. Their results showed that AFAP1-AS1, BCAR4, H19, HOXA-AS2, MALAT1, or PVT1 were upregulated, while ADAMTS9-AS2 was downregulated, and therefore seven lncRNAs have significant potential as a prognostic factor for CRC patients</w:t>
      </w:r>
      <w:r w:rsidRPr="00BA2B87">
        <w:rPr>
          <w:rFonts w:ascii="Book Antiqua" w:eastAsia="Book Antiqua" w:hAnsi="Book Antiqua" w:cs="Book Antiqua"/>
          <w:color w:val="000000"/>
          <w:shd w:val="clear" w:color="auto" w:fill="FFFFFF"/>
          <w:vertAlign w:val="superscript"/>
        </w:rPr>
        <w:t>[72]</w:t>
      </w:r>
      <w:r w:rsidRPr="00BA2B87">
        <w:rPr>
          <w:rFonts w:ascii="Book Antiqua" w:eastAsia="Book Antiqua" w:hAnsi="Book Antiqua" w:cs="Book Antiqua"/>
          <w:color w:val="000000"/>
          <w:shd w:val="clear" w:color="auto" w:fill="FFFFFF"/>
        </w:rPr>
        <w:t>.</w:t>
      </w:r>
    </w:p>
    <w:p w14:paraId="361CE636" w14:textId="0D45C228"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With regard to the discovery of novel miRNAs as biomarkers, recent studies suggested that miR-429 may be a novel independent biomarker for CRC prognosis</w:t>
      </w:r>
      <w:r w:rsidRPr="00BA2B87">
        <w:rPr>
          <w:rFonts w:ascii="Book Antiqua" w:eastAsia="Book Antiqua" w:hAnsi="Book Antiqua" w:cs="Book Antiqua"/>
          <w:color w:val="000000"/>
          <w:shd w:val="clear" w:color="auto" w:fill="FFFFFF"/>
          <w:vertAlign w:val="superscript"/>
        </w:rPr>
        <w:t>[73,74]</w:t>
      </w:r>
      <w:r w:rsidRPr="00BA2B87">
        <w:rPr>
          <w:rFonts w:ascii="Book Antiqua" w:eastAsia="Book Antiqua" w:hAnsi="Book Antiqua" w:cs="Book Antiqua"/>
          <w:color w:val="000000"/>
          <w:shd w:val="clear" w:color="auto" w:fill="FFFFFF"/>
        </w:rPr>
        <w:t>. Sun and coworkers indicated that downregulation of miR-429 was significantly associated with poor prognosis for stage II/III colorectal carcinomas using RT-qPCR and tissue microarrays</w:t>
      </w:r>
      <w:r w:rsidRPr="00BA2B87">
        <w:rPr>
          <w:rFonts w:ascii="Book Antiqua" w:eastAsia="Book Antiqua" w:hAnsi="Book Antiqua" w:cs="Book Antiqua"/>
          <w:color w:val="000000"/>
          <w:shd w:val="clear" w:color="auto" w:fill="FFFFFF"/>
          <w:vertAlign w:val="superscript"/>
        </w:rPr>
        <w:t>[74]</w:t>
      </w:r>
      <w:r w:rsidRPr="00BA2B87">
        <w:rPr>
          <w:rFonts w:ascii="Book Antiqua" w:eastAsia="Book Antiqua" w:hAnsi="Book Antiqua" w:cs="Book Antiqua"/>
          <w:color w:val="000000"/>
          <w:shd w:val="clear" w:color="auto" w:fill="FFFFFF"/>
        </w:rPr>
        <w:t>. Another study focusing on miR-249 showed that overexpression of miR-249 correlated with a worse prognosis of CRC</w:t>
      </w:r>
      <w:r w:rsidRPr="00BA2B87">
        <w:rPr>
          <w:rFonts w:ascii="Book Antiqua" w:eastAsia="Book Antiqua" w:hAnsi="Book Antiqua" w:cs="Book Antiqua"/>
          <w:color w:val="000000"/>
          <w:shd w:val="clear" w:color="auto" w:fill="FFFFFF"/>
          <w:vertAlign w:val="superscript"/>
        </w:rPr>
        <w:t>[73]</w:t>
      </w:r>
      <w:r w:rsidRPr="00BA2B87">
        <w:rPr>
          <w:rFonts w:ascii="Book Antiqua" w:eastAsia="Book Antiqua" w:hAnsi="Book Antiqua" w:cs="Book Antiqua"/>
          <w:color w:val="000000"/>
          <w:shd w:val="clear" w:color="auto" w:fill="FFFFFF"/>
        </w:rPr>
        <w:t xml:space="preserve">. In a comprehensive study, Kandimalla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[75]</w:t>
      </w:r>
      <w:r w:rsidRPr="00BA2B87">
        <w:rPr>
          <w:rFonts w:ascii="Book Antiqua" w:eastAsia="Book Antiqua" w:hAnsi="Book Antiqua" w:cs="Book Antiqua"/>
          <w:color w:val="000000"/>
          <w:shd w:val="clear" w:color="auto" w:fill="FFFFFF"/>
        </w:rPr>
        <w:t xml:space="preserve"> identified an 8-miRNA signature with high statistical significance consisting of hsa-mir-191, hsa-mir-200b, hsa-mir-30b, hsa-mir-30c2, hsa-mir-33a, has-mir-362, hsa-mir 429, and hsa-mir-744, representing a significantly improved prognostic potential for CRC patient</w:t>
      </w:r>
      <w:r w:rsidRPr="00482D4A">
        <w:rPr>
          <w:rFonts w:ascii="Book Antiqua" w:eastAsia="Book Antiqua" w:hAnsi="Book Antiqua" w:cs="Book Antiqua"/>
          <w:color w:val="000000"/>
          <w:shd w:val="clear" w:color="auto" w:fill="FFFFFF"/>
        </w:rPr>
        <w:t xml:space="preserve">s. </w:t>
      </w:r>
      <w:hyperlink r:id="rId7" w:history="1">
        <w:r w:rsidRPr="00482D4A">
          <w:rPr>
            <w:rFonts w:ascii="Book Antiqua" w:eastAsia="Book Antiqua" w:hAnsi="Book Antiqua" w:cs="Book Antiqua"/>
            <w:color w:val="000000"/>
          </w:rPr>
          <w:t>Løvf</w:t>
        </w:r>
      </w:hyperlink>
      <w:r w:rsidRPr="00482D4A">
        <w:rPr>
          <w:rFonts w:ascii="Book Antiqua" w:eastAsia="Book Antiqua" w:hAnsi="Book Antiqua" w:cs="Book Antiqua"/>
          <w:color w:val="000000"/>
          <w:shd w:val="clear" w:color="auto" w:fill="FFFFFF"/>
        </w:rPr>
        <w:t xml:space="preserve">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[76]</w:t>
      </w:r>
      <w:r w:rsidRPr="00BA2B87">
        <w:rPr>
          <w:rFonts w:ascii="Book Antiqua" w:eastAsia="Book Antiqua" w:hAnsi="Book Antiqua" w:cs="Book Antiqua"/>
          <w:color w:val="000000"/>
          <w:shd w:val="clear" w:color="auto" w:fill="FFFFFF"/>
        </w:rPr>
        <w:t xml:space="preserve"> recognized a </w:t>
      </w:r>
      <w:r w:rsidRPr="00BA2B87">
        <w:rPr>
          <w:rFonts w:ascii="Book Antiqua" w:eastAsia="Book Antiqua" w:hAnsi="Book Antiqua" w:cs="Book Antiqua"/>
          <w:color w:val="000000"/>
          <w:shd w:val="clear" w:color="auto" w:fill="FFFFFF"/>
        </w:rPr>
        <w:lastRenderedPageBreak/>
        <w:t>novel CRC-specific transcript, VNN1-AB, from whole-transcriptome sequencing of seven CRC cell lines. This transcript had high sensitivity and complete specificity for CRC and therefore might be a potential prognostic factor for CRC.</w:t>
      </w:r>
    </w:p>
    <w:p w14:paraId="7885EE1D" w14:textId="64BF6BC5"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The most widely used reliable prognostic protein biomarker in clinical practice is carcinoembryonic antigen (CEA), a high molecular weight glycoprotein secreted by 90</w:t>
      </w:r>
      <w:r w:rsidR="00D071DA" w:rsidRPr="00BA2B87">
        <w:rPr>
          <w:rFonts w:ascii="Book Antiqua" w:eastAsia="Book Antiqua" w:hAnsi="Book Antiqua" w:cs="Book Antiqua"/>
          <w:color w:val="000000"/>
          <w:shd w:val="clear" w:color="auto" w:fill="FFFFFF"/>
        </w:rPr>
        <w:t>%</w:t>
      </w:r>
      <w:r w:rsidRPr="00BA2B87">
        <w:rPr>
          <w:rFonts w:ascii="Book Antiqua" w:eastAsia="Book Antiqua" w:hAnsi="Book Antiqua" w:cs="Book Antiqua"/>
          <w:color w:val="000000"/>
          <w:shd w:val="clear" w:color="auto" w:fill="FFFFFF"/>
        </w:rPr>
        <w:t xml:space="preserve"> of CRC</w:t>
      </w:r>
      <w:r w:rsidR="00A23947">
        <w:rPr>
          <w:rFonts w:ascii="Book Antiqua" w:eastAsia="Book Antiqua" w:hAnsi="Book Antiqua" w:cs="Book Antiqua"/>
          <w:color w:val="000000"/>
          <w:shd w:val="clear" w:color="auto" w:fill="FFFFFF"/>
        </w:rPr>
        <w:t>s</w:t>
      </w:r>
      <w:r w:rsidRPr="00BA2B87">
        <w:rPr>
          <w:rFonts w:ascii="Book Antiqua" w:eastAsia="Book Antiqua" w:hAnsi="Book Antiqua" w:cs="Book Antiqua"/>
          <w:color w:val="000000"/>
          <w:shd w:val="clear" w:color="auto" w:fill="FFFFFF"/>
        </w:rPr>
        <w:t xml:space="preserve">. Although elevated CEA levels are associated with tumor progression, this is not specific to CRC, as they can also be caused by other conditions such as </w:t>
      </w:r>
      <w:r w:rsidR="00D071DA">
        <w:rPr>
          <w:rFonts w:ascii="Book Antiqua" w:eastAsia="Book Antiqua" w:hAnsi="Book Antiqua" w:cs="Book Antiqua"/>
          <w:color w:val="000000"/>
          <w:shd w:val="clear" w:color="auto" w:fill="FFFFFF"/>
        </w:rPr>
        <w:t>i</w:t>
      </w:r>
      <w:r w:rsidRPr="00BA2B87">
        <w:rPr>
          <w:rFonts w:ascii="Book Antiqua" w:eastAsia="Book Antiqua" w:hAnsi="Book Antiqua" w:cs="Book Antiqua"/>
          <w:color w:val="000000"/>
          <w:shd w:val="clear" w:color="auto" w:fill="FFFFFF"/>
        </w:rPr>
        <w:t>nflammatory bowel disease, liver disease, pancreatitis, and other malignancies</w:t>
      </w:r>
      <w:r w:rsidR="00E61858">
        <w:rPr>
          <w:rFonts w:ascii="Book Antiqua" w:eastAsia="Book Antiqua" w:hAnsi="Book Antiqua" w:cs="Book Antiqua"/>
          <w:color w:val="000000"/>
          <w:shd w:val="clear" w:color="auto" w:fill="FFFFFF"/>
          <w:vertAlign w:val="superscript"/>
        </w:rPr>
        <w:t>[77-</w:t>
      </w:r>
      <w:r w:rsidRPr="00BA2B87">
        <w:rPr>
          <w:rFonts w:ascii="Book Antiqua" w:eastAsia="Book Antiqua" w:hAnsi="Book Antiqua" w:cs="Book Antiqua"/>
          <w:color w:val="000000"/>
          <w:shd w:val="clear" w:color="auto" w:fill="FFFFFF"/>
          <w:vertAlign w:val="superscript"/>
        </w:rPr>
        <w:t>79]</w:t>
      </w:r>
      <w:r w:rsidRPr="00BA2B87">
        <w:rPr>
          <w:rFonts w:ascii="Book Antiqua" w:eastAsia="Book Antiqua" w:hAnsi="Book Antiqua" w:cs="Book Antiqua"/>
          <w:color w:val="000000"/>
          <w:shd w:val="clear" w:color="auto" w:fill="FFFFFF"/>
        </w:rPr>
        <w:t xml:space="preserve">. In a recent study, Kirana </w:t>
      </w:r>
      <w:r w:rsidR="00D071DA" w:rsidRPr="00D071DA">
        <w:rPr>
          <w:rFonts w:ascii="Book Antiqua" w:eastAsia="Book Antiqua" w:hAnsi="Book Antiqua" w:cs="Book Antiqua"/>
          <w:i/>
          <w:iCs/>
          <w:color w:val="000000"/>
          <w:shd w:val="clear" w:color="auto" w:fill="FFFFFF"/>
        </w:rPr>
        <w:t>et al</w:t>
      </w:r>
      <w:r w:rsidRPr="00BA2B87">
        <w:rPr>
          <w:rFonts w:ascii="Book Antiqua" w:eastAsia="Book Antiqua" w:hAnsi="Book Antiqua" w:cs="Book Antiqua"/>
          <w:color w:val="000000"/>
          <w:shd w:val="clear" w:color="auto" w:fill="FFFFFF"/>
          <w:vertAlign w:val="superscript"/>
        </w:rPr>
        <w:t>[80]</w:t>
      </w:r>
      <w:r w:rsidRPr="00BA2B87">
        <w:rPr>
          <w:rFonts w:ascii="Book Antiqua" w:eastAsia="Book Antiqua" w:hAnsi="Book Antiqua" w:cs="Book Antiqua"/>
          <w:color w:val="000000"/>
          <w:shd w:val="clear" w:color="auto" w:fill="FFFFFF"/>
        </w:rPr>
        <w:t xml:space="preserve"> used a combination of laser microdissection (LM), 2D-DIGE, and MALDI-TOF MS methods to identify proteins that participate in the spread of CRC. First, cancer cells from patients with primary colorectal tumors at stage II were extracted into two groups using LM. Analysis of the isolated cancer cells showed an association of the expression of HLAB, 14-3-3b protein, ADAMTS2, LTB3, NME2, and JAG2 with tumor progression, invasion, and metastasis. </w:t>
      </w:r>
    </w:p>
    <w:p w14:paraId="17BD167A" w14:textId="0651FD08"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shd w:val="clear" w:color="auto" w:fill="FFFFFF"/>
        </w:rPr>
        <w:t xml:space="preserve">The collagen proteins are promising biomarker candidates, as the present study demonstrated that certain collagen proteins are upregulated in metastatic CRC. Comparative analysis of colorectal liver metastatic tissue with non-cancerous adjacent liver tissue using the MS-based proteomics approach has shown upregulation </w:t>
      </w:r>
      <w:r w:rsidR="00A23947">
        <w:rPr>
          <w:rFonts w:ascii="Book Antiqua" w:eastAsia="Book Antiqua" w:hAnsi="Book Antiqua" w:cs="Book Antiqua"/>
          <w:color w:val="000000"/>
          <w:shd w:val="clear" w:color="auto" w:fill="FFFFFF"/>
        </w:rPr>
        <w:t>o</w:t>
      </w:r>
      <w:r w:rsidRPr="00BA2B87">
        <w:rPr>
          <w:rFonts w:ascii="Book Antiqua" w:eastAsia="Book Antiqua" w:hAnsi="Book Antiqua" w:cs="Book Antiqua"/>
          <w:color w:val="000000"/>
          <w:shd w:val="clear" w:color="auto" w:fill="FFFFFF"/>
        </w:rPr>
        <w:t>f 19 of 22 collagen chains. Further verification by IHC revealed that collagen type XII is significantly upregulated in CRC tissue</w:t>
      </w:r>
      <w:r w:rsidRPr="00BA2B87">
        <w:rPr>
          <w:rFonts w:ascii="Book Antiqua" w:eastAsia="Book Antiqua" w:hAnsi="Book Antiqua" w:cs="Book Antiqua"/>
          <w:color w:val="000000"/>
          <w:shd w:val="clear" w:color="auto" w:fill="FFFFFF"/>
          <w:vertAlign w:val="superscript"/>
        </w:rPr>
        <w:t>[81]</w:t>
      </w:r>
      <w:r w:rsidRPr="00BA2B87">
        <w:rPr>
          <w:rFonts w:ascii="Book Antiqua" w:eastAsia="Book Antiqua" w:hAnsi="Book Antiqua" w:cs="Book Antiqua"/>
          <w:color w:val="000000"/>
          <w:shd w:val="clear" w:color="auto" w:fill="FFFFFF"/>
        </w:rPr>
        <w:t>.</w:t>
      </w:r>
    </w:p>
    <w:p w14:paraId="3582775C" w14:textId="6386EA1E"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another study, Mori </w:t>
      </w:r>
      <w:r w:rsidR="00D071DA" w:rsidRPr="00D071DA">
        <w:rPr>
          <w:rFonts w:ascii="Book Antiqua" w:eastAsia="Book Antiqua" w:hAnsi="Book Antiqua" w:cs="Book Antiqua"/>
          <w:i/>
          <w:iCs/>
          <w:color w:val="000000"/>
        </w:rPr>
        <w:t>et al</w:t>
      </w:r>
      <w:r w:rsidR="00D071DA" w:rsidRPr="00D071DA">
        <w:rPr>
          <w:rFonts w:ascii="Book Antiqua" w:eastAsia="Book Antiqua" w:hAnsi="Book Antiqua" w:cs="Book Antiqua"/>
          <w:color w:val="000000"/>
          <w:vertAlign w:val="superscript"/>
        </w:rPr>
        <w:t>[</w:t>
      </w:r>
      <w:r w:rsidRPr="00BA2B87">
        <w:rPr>
          <w:rFonts w:ascii="Book Antiqua" w:eastAsia="Book Antiqua" w:hAnsi="Book Antiqua" w:cs="Book Antiqua"/>
          <w:color w:val="000000"/>
          <w:vertAlign w:val="superscript"/>
        </w:rPr>
        <w:t>82]</w:t>
      </w:r>
      <w:r w:rsidRPr="00BA2B87">
        <w:rPr>
          <w:rFonts w:ascii="Book Antiqua" w:eastAsia="Book Antiqua" w:hAnsi="Book Antiqua" w:cs="Book Antiqua"/>
          <w:color w:val="000000"/>
        </w:rPr>
        <w:t xml:space="preserve"> used isobaric tags defined in the Isobaric Tags for Relative and Absolute Quantification (iTRAQ) methodology for proteomic analysis to determine novel biomarkers in lymph node metastases (LNM) in patients with CRC. The analysis revealed that 60 differentially expressed proteins were significantly related to LNM in CRC patients. Among the</w:t>
      </w:r>
      <w:r w:rsidR="00A23947">
        <w:rPr>
          <w:rFonts w:ascii="Book Antiqua" w:eastAsia="Book Antiqua" w:hAnsi="Book Antiqua" w:cs="Book Antiqua"/>
          <w:color w:val="000000"/>
        </w:rPr>
        <w:t>se</w:t>
      </w:r>
      <w:r w:rsidRPr="00BA2B87">
        <w:rPr>
          <w:rFonts w:ascii="Book Antiqua" w:eastAsia="Book Antiqua" w:hAnsi="Book Antiqua" w:cs="Book Antiqua"/>
          <w:color w:val="000000"/>
        </w:rPr>
        <w:t xml:space="preserve"> 60 proteins, the HSP47 protein was selected </w:t>
      </w:r>
      <w:r w:rsidR="00A23947">
        <w:rPr>
          <w:rFonts w:ascii="Book Antiqua" w:eastAsia="Book Antiqua" w:hAnsi="Book Antiqua" w:cs="Book Antiqua"/>
          <w:color w:val="000000"/>
        </w:rPr>
        <w:t>for detailed</w:t>
      </w:r>
      <w:r w:rsidRPr="00BA2B87">
        <w:rPr>
          <w:rFonts w:ascii="Book Antiqua" w:eastAsia="Book Antiqua" w:hAnsi="Book Antiqua" w:cs="Book Antiqua"/>
          <w:color w:val="000000"/>
        </w:rPr>
        <w:t xml:space="preserve"> stud</w:t>
      </w:r>
      <w:r w:rsidR="00A23947">
        <w:rPr>
          <w:rFonts w:ascii="Book Antiqua" w:eastAsia="Book Antiqua" w:hAnsi="Book Antiqua" w:cs="Book Antiqua"/>
          <w:color w:val="000000"/>
        </w:rPr>
        <w:t>y as</w:t>
      </w:r>
      <w:r w:rsidRPr="00BA2B87">
        <w:rPr>
          <w:rFonts w:ascii="Book Antiqua" w:eastAsia="Book Antiqua" w:hAnsi="Book Antiqua" w:cs="Book Antiqua"/>
          <w:color w:val="000000"/>
        </w:rPr>
        <w:t xml:space="preserve"> it has a general function and specific roles in the malignant phenotype. Validation analysis by IHC proved that HSP47 protein </w:t>
      </w:r>
      <w:r w:rsidR="00A23947">
        <w:rPr>
          <w:rFonts w:ascii="Book Antiqua" w:eastAsia="Book Antiqua" w:hAnsi="Book Antiqua" w:cs="Book Antiqua"/>
          <w:color w:val="000000"/>
        </w:rPr>
        <w:t>was</w:t>
      </w:r>
      <w:r w:rsidRPr="00BA2B87">
        <w:rPr>
          <w:rFonts w:ascii="Book Antiqua" w:eastAsia="Book Antiqua" w:hAnsi="Book Antiqua" w:cs="Book Antiqua"/>
          <w:color w:val="000000"/>
        </w:rPr>
        <w:t xml:space="preserve"> high</w:t>
      </w:r>
      <w:r w:rsidR="00A23947">
        <w:rPr>
          <w:rFonts w:ascii="Book Antiqua" w:eastAsia="Book Antiqua" w:hAnsi="Book Antiqua" w:cs="Book Antiqua"/>
          <w:color w:val="000000"/>
        </w:rPr>
        <w:t>ly</w:t>
      </w:r>
      <w:r w:rsidRPr="00BA2B87">
        <w:rPr>
          <w:rFonts w:ascii="Book Antiqua" w:eastAsia="Book Antiqua" w:hAnsi="Book Antiqua" w:cs="Book Antiqua"/>
          <w:color w:val="000000"/>
        </w:rPr>
        <w:t xml:space="preserve"> express</w:t>
      </w:r>
      <w:r w:rsidR="00A23947">
        <w:rPr>
          <w:rFonts w:ascii="Book Antiqua" w:eastAsia="Book Antiqua" w:hAnsi="Book Antiqua" w:cs="Book Antiqua"/>
          <w:color w:val="000000"/>
        </w:rPr>
        <w:t>ed</w:t>
      </w:r>
      <w:r w:rsidRPr="00BA2B87">
        <w:rPr>
          <w:rFonts w:ascii="Book Antiqua" w:eastAsia="Book Antiqua" w:hAnsi="Book Antiqua" w:cs="Book Antiqua"/>
          <w:color w:val="000000"/>
        </w:rPr>
        <w:t xml:space="preserve"> in CRC in contrast to adjacent healthy colonic mucosa. Another comparative proteomics study</w:t>
      </w:r>
      <w:r w:rsidRPr="00BA2B87">
        <w:rPr>
          <w:rFonts w:ascii="Book Antiqua" w:eastAsia="Book Antiqua" w:hAnsi="Book Antiqua" w:cs="Book Antiqua"/>
          <w:color w:val="000000"/>
          <w:vertAlign w:val="superscript"/>
        </w:rPr>
        <w:t>[83]</w:t>
      </w:r>
      <w:r w:rsidRPr="00BA2B87">
        <w:rPr>
          <w:rFonts w:ascii="Book Antiqua" w:eastAsia="Book Antiqua" w:hAnsi="Book Antiqua" w:cs="Book Antiqua"/>
          <w:color w:val="000000"/>
        </w:rPr>
        <w:t xml:space="preserve"> was performed by the same group using the iTRAQ method. According to univariate </w:t>
      </w:r>
      <w:r w:rsidRPr="00BA2B87">
        <w:rPr>
          <w:rFonts w:ascii="Book Antiqua" w:eastAsia="Book Antiqua" w:hAnsi="Book Antiqua" w:cs="Book Antiqua"/>
          <w:color w:val="000000"/>
        </w:rPr>
        <w:lastRenderedPageBreak/>
        <w:t>and multivariate logistic analys</w:t>
      </w:r>
      <w:r w:rsidR="00A23947">
        <w:rPr>
          <w:rFonts w:ascii="Book Antiqua" w:eastAsia="Book Antiqua" w:hAnsi="Book Antiqua" w:cs="Book Antiqua"/>
          <w:color w:val="000000"/>
        </w:rPr>
        <w:t>e</w:t>
      </w:r>
      <w:r w:rsidRPr="00BA2B87">
        <w:rPr>
          <w:rFonts w:ascii="Book Antiqua" w:eastAsia="Book Antiqua" w:hAnsi="Book Antiqua" w:cs="Book Antiqua"/>
          <w:color w:val="000000"/>
        </w:rPr>
        <w:t>s, the high expression level of ezrin protein was prognos</w:t>
      </w:r>
      <w:r w:rsidR="007378BF">
        <w:rPr>
          <w:rFonts w:ascii="Book Antiqua" w:eastAsia="Book Antiqua" w:hAnsi="Book Antiqua" w:cs="Book Antiqua"/>
          <w:color w:val="000000"/>
        </w:rPr>
        <w:t>tic in</w:t>
      </w:r>
      <w:r w:rsidRPr="00BA2B87">
        <w:rPr>
          <w:rFonts w:ascii="Book Antiqua" w:eastAsia="Book Antiqua" w:hAnsi="Book Antiqua" w:cs="Book Antiqua"/>
          <w:color w:val="000000"/>
        </w:rPr>
        <w:t xml:space="preserve"> CRC patients. Moreover, some studies </w:t>
      </w:r>
      <w:r w:rsidR="007378BF">
        <w:rPr>
          <w:rFonts w:ascii="Book Antiqua" w:eastAsia="Book Antiqua" w:hAnsi="Book Antiqua" w:cs="Book Antiqua"/>
          <w:color w:val="000000"/>
        </w:rPr>
        <w:t xml:space="preserve">have </w:t>
      </w:r>
      <w:r w:rsidRPr="00BA2B87">
        <w:rPr>
          <w:rFonts w:ascii="Book Antiqua" w:eastAsia="Book Antiqua" w:hAnsi="Book Antiqua" w:cs="Book Antiqua"/>
          <w:color w:val="000000"/>
        </w:rPr>
        <w:t>indicat</w:t>
      </w:r>
      <w:r w:rsidR="007378BF">
        <w:rPr>
          <w:rFonts w:ascii="Book Antiqua" w:eastAsia="Book Antiqua" w:hAnsi="Book Antiqua" w:cs="Book Antiqua"/>
          <w:color w:val="000000"/>
        </w:rPr>
        <w:t>ed</w:t>
      </w:r>
      <w:r w:rsidR="007378BF"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that the higher expression level of Ezrin protein is associated with the aggressive behavior of tumors and poor prognosis of CRC</w:t>
      </w:r>
      <w:r w:rsidRPr="00BA2B87">
        <w:rPr>
          <w:rFonts w:ascii="Book Antiqua" w:eastAsia="Book Antiqua" w:hAnsi="Book Antiqua" w:cs="Book Antiqua"/>
          <w:color w:val="000000"/>
          <w:vertAlign w:val="superscript"/>
        </w:rPr>
        <w:t>[84,85]</w:t>
      </w:r>
      <w:r w:rsidRPr="00BA2B87">
        <w:rPr>
          <w:rFonts w:ascii="Book Antiqua" w:eastAsia="Book Antiqua" w:hAnsi="Book Antiqua" w:cs="Book Antiqua"/>
          <w:color w:val="000000"/>
        </w:rPr>
        <w:t>.</w:t>
      </w:r>
    </w:p>
    <w:p w14:paraId="0523EED2" w14:textId="49D06BAC" w:rsidR="00A77B3E" w:rsidRPr="00BA2B87" w:rsidRDefault="00925687" w:rsidP="00D071DA">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Regarding the identification of robust biomarkers for CRC recurrence, a recent study</w:t>
      </w:r>
      <w:r w:rsidRPr="00BA2B87">
        <w:rPr>
          <w:rFonts w:ascii="Book Antiqua" w:eastAsia="Book Antiqua" w:hAnsi="Book Antiqua" w:cs="Book Antiqua"/>
          <w:color w:val="000000"/>
          <w:vertAlign w:val="superscript"/>
        </w:rPr>
        <w:t>[86]</w:t>
      </w:r>
      <w:r w:rsidRPr="00BA2B87">
        <w:rPr>
          <w:rFonts w:ascii="Book Antiqua" w:eastAsia="Book Antiqua" w:hAnsi="Book Antiqua" w:cs="Book Antiqua"/>
          <w:color w:val="000000"/>
        </w:rPr>
        <w:t xml:space="preserve"> identified eight proteins as significant key markers with prognostic significance for tumor recurrence: Collagen VI, Forkhead Box O3, Inositol Polyphosphate-4-Phosphatase, LcK Tyrosine Kinase, Phospho-PEA15 (Ser116), Phospho-PRAS40, Rad51, and Phospho-S6 (Ser240-244). Snoeren </w:t>
      </w:r>
      <w:r w:rsidR="00C03939" w:rsidRPr="00C0393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[87]</w:t>
      </w:r>
      <w:r w:rsidRPr="00BA2B87">
        <w:rPr>
          <w:rFonts w:ascii="Book Antiqua" w:eastAsia="Book Antiqua" w:hAnsi="Book Antiqua" w:cs="Book Antiqua"/>
          <w:color w:val="000000"/>
        </w:rPr>
        <w:t xml:space="preserve"> also demonstrated that higher expression of maspin is a prognostic biomarker for early recurrence in stage III and IV</w:t>
      </w:r>
      <w:r w:rsidR="007378BF" w:rsidRPr="007378BF">
        <w:rPr>
          <w:rFonts w:ascii="Book Antiqua" w:eastAsia="Book Antiqua" w:hAnsi="Book Antiqua" w:cs="Book Antiqua"/>
          <w:color w:val="000000"/>
        </w:rPr>
        <w:t xml:space="preserve"> </w:t>
      </w:r>
      <w:r w:rsidR="007378BF" w:rsidRPr="00BA2B87">
        <w:rPr>
          <w:rFonts w:ascii="Book Antiqua" w:eastAsia="Book Antiqua" w:hAnsi="Book Antiqua" w:cs="Book Antiqua"/>
          <w:color w:val="000000"/>
        </w:rPr>
        <w:t>CRC patients</w:t>
      </w:r>
      <w:r w:rsidRPr="00BA2B87">
        <w:rPr>
          <w:rFonts w:ascii="Book Antiqua" w:eastAsia="Book Antiqua" w:hAnsi="Book Antiqua" w:cs="Book Antiqua"/>
          <w:color w:val="000000"/>
        </w:rPr>
        <w:t>.</w:t>
      </w:r>
    </w:p>
    <w:p w14:paraId="2858E6D6" w14:textId="5B95CF8F"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Zhu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[88]</w:t>
      </w:r>
      <w:r w:rsidRPr="00BA2B87">
        <w:rPr>
          <w:rFonts w:ascii="Book Antiqua" w:eastAsia="Book Antiqua" w:hAnsi="Book Antiqua" w:cs="Book Antiqua"/>
          <w:color w:val="000000"/>
        </w:rPr>
        <w:t xml:space="preserve"> performed a case-control study based on magnet-based fractionation coupled with matrix-assisted laser desorption/ionization time-of-flight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(MALDI-TOF MS) to investigate serum samples from CRC patients. Using Fourier transform ion cyclotron resonance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detection, peptides identified from a panel of proteins were alpha-fetoprotein, complement C4-A, fibrinogen alpha, the eukaryotic peptide chain-releasing factor GTP-binding subunit ERF3B, and angiotensinogen.</w:t>
      </w:r>
    </w:p>
    <w:p w14:paraId="0D560D4C" w14:textId="000E8F65"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From a metabolomics perspective, there is an increasing number of studies focused on the discovery of biomarkers for CRC prognosis. In a prospective cohort study, </w:t>
      </w:r>
      <w:r w:rsidR="00A81BA9" w:rsidRPr="00A81BA9">
        <w:rPr>
          <w:rFonts w:ascii="Book Antiqua" w:hAnsi="Book Antiqua"/>
        </w:rPr>
        <w:t>Liesenfeld</w:t>
      </w:r>
      <w:r w:rsidRPr="00BA2B87">
        <w:rPr>
          <w:rFonts w:ascii="Book Antiqua" w:eastAsia="Book Antiqua" w:hAnsi="Book Antiqua" w:cs="Book Antiqua"/>
          <w:color w:val="000000"/>
        </w:rPr>
        <w:t xml:space="preserve">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[89]</w:t>
      </w:r>
      <w:r w:rsidRPr="00BA2B87">
        <w:rPr>
          <w:rFonts w:ascii="Book Antiqua" w:eastAsia="Book Antiqua" w:hAnsi="Book Antiqua" w:cs="Book Antiqua"/>
          <w:color w:val="000000"/>
        </w:rPr>
        <w:t xml:space="preserve"> analyzed the urinary metabolite profiling of CRC patients using GC-MS and 1H NMR and showed that CRC patients </w:t>
      </w:r>
      <w:r w:rsidR="00866CC5">
        <w:rPr>
          <w:rFonts w:ascii="Book Antiqua" w:eastAsia="Book Antiqua" w:hAnsi="Book Antiqua" w:cs="Book Antiqua"/>
          <w:color w:val="000000"/>
        </w:rPr>
        <w:t xml:space="preserve">before surgery </w:t>
      </w:r>
      <w:r w:rsidRPr="00BA2B87">
        <w:rPr>
          <w:rFonts w:ascii="Book Antiqua" w:eastAsia="Book Antiqua" w:hAnsi="Book Antiqua" w:cs="Book Antiqua"/>
          <w:color w:val="000000"/>
        </w:rPr>
        <w:t xml:space="preserve">can be distinguished from those after surgery. The metabolites analyzed were identified as prognostic biomarker candidates for the clinical management of CRC. </w:t>
      </w:r>
      <w:r w:rsidR="00A81BA9" w:rsidRPr="00A81BA9">
        <w:rPr>
          <w:rFonts w:ascii="Book Antiqua" w:hAnsi="Book Antiqua"/>
        </w:rPr>
        <w:t>Jiménez</w:t>
      </w:r>
      <w:r w:rsidRPr="00BA2B87">
        <w:rPr>
          <w:rFonts w:ascii="Book Antiqua" w:eastAsia="Book Antiqua" w:hAnsi="Book Antiqua" w:cs="Book Antiqua"/>
          <w:color w:val="000000"/>
        </w:rPr>
        <w:t xml:space="preserve">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[90]</w:t>
      </w:r>
      <w:r w:rsidRPr="00BA2B87">
        <w:rPr>
          <w:rFonts w:ascii="Book Antiqua" w:eastAsia="Book Antiqua" w:hAnsi="Book Antiqua" w:cs="Book Antiqua"/>
          <w:color w:val="000000"/>
        </w:rPr>
        <w:t xml:space="preserve"> also conducted a prospective study using high-resolution magic-angle spinning nuclear magnetic resonance spectroscopy (HR-MAS NMR) to analyze metabolomics profiles of CRC and adjacent macroscopically normal (or "off-tumor") mucosa harvested from the same resection specimen. In a large, four independent cohort study, Qiu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[91]</w:t>
      </w:r>
      <w:r w:rsidRPr="00BA2B87">
        <w:rPr>
          <w:rFonts w:ascii="Book Antiqua" w:eastAsia="Book Antiqua" w:hAnsi="Book Antiqua" w:cs="Book Antiqua"/>
          <w:color w:val="000000"/>
        </w:rPr>
        <w:t xml:space="preserve"> applied gas chromatography time-of-flight </w:t>
      </w:r>
      <w:r w:rsidR="00F034F1" w:rsidRPr="00BA2B87">
        <w:rPr>
          <w:rFonts w:ascii="Book Antiqua" w:eastAsia="Book Antiqua" w:hAnsi="Book Antiqua" w:cs="Book Antiqua"/>
          <w:color w:val="000000"/>
        </w:rPr>
        <w:t>MS</w:t>
      </w:r>
      <w:r w:rsidRPr="00BA2B87">
        <w:rPr>
          <w:rFonts w:ascii="Book Antiqua" w:eastAsia="Book Antiqua" w:hAnsi="Book Antiqua" w:cs="Book Antiqua"/>
          <w:color w:val="000000"/>
        </w:rPr>
        <w:t xml:space="preserve"> (GC-TOFMS) to analyze metabolites from CRC patients. They determined a distinctive metabolic signature with 15 significant </w:t>
      </w:r>
      <w:r w:rsidRPr="00BA2B87">
        <w:rPr>
          <w:rFonts w:ascii="Book Antiqua" w:eastAsia="Book Antiqua" w:hAnsi="Book Antiqua" w:cs="Book Antiqua"/>
          <w:color w:val="000000"/>
        </w:rPr>
        <w:lastRenderedPageBreak/>
        <w:t xml:space="preserve">biomarkers from CRC tissue samples, which has great prognostic and therapeutic potential. Chan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[92]</w:t>
      </w:r>
      <w:r w:rsidRPr="00BA2B87">
        <w:rPr>
          <w:rFonts w:ascii="Book Antiqua" w:eastAsia="Book Antiqua" w:hAnsi="Book Antiqua" w:cs="Book Antiqua"/>
          <w:color w:val="000000"/>
        </w:rPr>
        <w:t xml:space="preserve"> </w:t>
      </w:r>
      <w:r w:rsidR="00866CC5">
        <w:rPr>
          <w:rFonts w:ascii="Book Antiqua" w:eastAsia="Book Antiqua" w:hAnsi="Book Antiqua" w:cs="Book Antiqua"/>
          <w:color w:val="000000"/>
        </w:rPr>
        <w:t>performed</w:t>
      </w:r>
      <w:r w:rsidRPr="00BA2B87">
        <w:rPr>
          <w:rFonts w:ascii="Book Antiqua" w:eastAsia="Book Antiqua" w:hAnsi="Book Antiqua" w:cs="Book Antiqua"/>
          <w:color w:val="000000"/>
        </w:rPr>
        <w:t xml:space="preserve"> global metabolic profiling using HR-MAS NMR and GC/MS methodology to analyze metabolites of biopsied colorectal tumor samples and their matched normal mucosae. Their results demonstrate</w:t>
      </w:r>
      <w:r w:rsidR="00866CC5">
        <w:rPr>
          <w:rFonts w:ascii="Book Antiqua" w:eastAsia="Book Antiqua" w:hAnsi="Book Antiqua" w:cs="Book Antiqua"/>
          <w:color w:val="000000"/>
        </w:rPr>
        <w:t>d</w:t>
      </w:r>
      <w:r w:rsidRPr="00BA2B87">
        <w:rPr>
          <w:rFonts w:ascii="Book Antiqua" w:eastAsia="Book Antiqua" w:hAnsi="Book Antiqua" w:cs="Book Antiqua"/>
          <w:color w:val="000000"/>
        </w:rPr>
        <w:t xml:space="preserve"> that unique metabolic signatures correlate</w:t>
      </w:r>
      <w:r w:rsidR="00866CC5">
        <w:rPr>
          <w:rFonts w:ascii="Book Antiqua" w:eastAsia="Book Antiqua" w:hAnsi="Book Antiqua" w:cs="Book Antiqua"/>
          <w:color w:val="000000"/>
        </w:rPr>
        <w:t>d</w:t>
      </w:r>
      <w:r w:rsidRPr="00BA2B87">
        <w:rPr>
          <w:rFonts w:ascii="Book Antiqua" w:eastAsia="Book Antiqua" w:hAnsi="Book Antiqua" w:cs="Book Antiqua"/>
          <w:color w:val="000000"/>
        </w:rPr>
        <w:t xml:space="preserve"> with anatomic and clinicopathologic features of CRC, shedding light on providing novel phenotypic prognostic biomarkers for CRC management.</w:t>
      </w:r>
    </w:p>
    <w:p w14:paraId="3B691663" w14:textId="19665410"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For the identification of reliable prognostic biomarkers, genomic studies provide an increasingly detailed and complex picture of the pathogenesis of CRC. The identification of novel prognostic biomarkers, their validation and translation into clinical application are very important </w:t>
      </w:r>
      <w:r w:rsidR="001A500F">
        <w:rPr>
          <w:rFonts w:ascii="Book Antiqua" w:eastAsia="Book Antiqua" w:hAnsi="Book Antiqua" w:cs="Book Antiqua"/>
          <w:color w:val="000000"/>
        </w:rPr>
        <w:t>in</w:t>
      </w:r>
      <w:r w:rsidRPr="00BA2B87">
        <w:rPr>
          <w:rFonts w:ascii="Book Antiqua" w:eastAsia="Book Antiqua" w:hAnsi="Book Antiqua" w:cs="Book Antiqua"/>
          <w:color w:val="000000"/>
        </w:rPr>
        <w:t xml:space="preserve"> understand</w:t>
      </w:r>
      <w:r w:rsidR="001A500F">
        <w:rPr>
          <w:rFonts w:ascii="Book Antiqua" w:eastAsia="Book Antiqua" w:hAnsi="Book Antiqua" w:cs="Book Antiqua"/>
          <w:color w:val="000000"/>
        </w:rPr>
        <w:t>ing</w:t>
      </w:r>
      <w:r w:rsidRPr="00BA2B87">
        <w:rPr>
          <w:rFonts w:ascii="Book Antiqua" w:eastAsia="Book Antiqua" w:hAnsi="Book Antiqua" w:cs="Book Antiqua"/>
          <w:color w:val="000000"/>
        </w:rPr>
        <w:t xml:space="preserve"> the pathogenesis of CRC and to clarify issues such as distant metastasis and recurrence. Detailed information </w:t>
      </w:r>
      <w:r w:rsidR="00866CC5">
        <w:rPr>
          <w:rFonts w:ascii="Book Antiqua" w:eastAsia="Book Antiqua" w:hAnsi="Book Antiqua" w:cs="Book Antiqua"/>
          <w:color w:val="000000"/>
        </w:rPr>
        <w:t>on</w:t>
      </w:r>
      <w:r w:rsidRPr="00BA2B87">
        <w:rPr>
          <w:rFonts w:ascii="Book Antiqua" w:eastAsia="Book Antiqua" w:hAnsi="Book Antiqua" w:cs="Book Antiqua"/>
          <w:color w:val="000000"/>
        </w:rPr>
        <w:t xml:space="preserve"> prognostic biomarkers </w:t>
      </w:r>
      <w:r w:rsidR="00866CC5">
        <w:rPr>
          <w:rFonts w:ascii="Book Antiqua" w:eastAsia="Book Antiqua" w:hAnsi="Book Antiqua" w:cs="Book Antiqua"/>
          <w:color w:val="000000"/>
        </w:rPr>
        <w:t>is provided</w:t>
      </w:r>
      <w:r w:rsidRPr="00BA2B87">
        <w:rPr>
          <w:rFonts w:ascii="Book Antiqua" w:eastAsia="Book Antiqua" w:hAnsi="Book Antiqua" w:cs="Book Antiqua"/>
          <w:color w:val="000000"/>
        </w:rPr>
        <w:t xml:space="preserve"> in Table 2.</w:t>
      </w:r>
    </w:p>
    <w:p w14:paraId="498CA077" w14:textId="77777777" w:rsidR="00A77B3E" w:rsidRPr="00BA2B87" w:rsidRDefault="00A77B3E" w:rsidP="00BA2B87">
      <w:pPr>
        <w:spacing w:line="360" w:lineRule="auto"/>
        <w:jc w:val="both"/>
        <w:rPr>
          <w:rFonts w:ascii="Book Antiqua" w:hAnsi="Book Antiqua"/>
        </w:rPr>
      </w:pPr>
    </w:p>
    <w:p w14:paraId="32F4E087" w14:textId="19437E9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aps/>
          <w:color w:val="000000"/>
          <w:u w:val="single"/>
        </w:rPr>
        <w:t>DR</w:t>
      </w:r>
    </w:p>
    <w:p w14:paraId="77567913" w14:textId="05B3A682"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DR from a systems biology perspective can be categorized as signature-based DR and network-based DR. Signature-based DR depends on gene expression signatures and compares between drug-gene and expression profiles of disease-gene</w:t>
      </w:r>
      <w:r w:rsidRPr="00BA2B87">
        <w:rPr>
          <w:rFonts w:ascii="Book Antiqua" w:eastAsia="Book Antiqua" w:hAnsi="Book Antiqua" w:cs="Book Antiqua"/>
          <w:color w:val="000000"/>
          <w:vertAlign w:val="superscript"/>
        </w:rPr>
        <w:t>[</w:t>
      </w:r>
      <w:r w:rsidR="00C03939">
        <w:rPr>
          <w:rFonts w:ascii="Book Antiqua" w:eastAsia="Book Antiqua" w:hAnsi="Book Antiqua" w:cs="Book Antiqua"/>
          <w:color w:val="000000"/>
          <w:vertAlign w:val="superscript"/>
        </w:rPr>
        <w:t>93,</w:t>
      </w:r>
      <w:r w:rsidRPr="00BA2B87">
        <w:rPr>
          <w:rFonts w:ascii="Book Antiqua" w:eastAsia="Book Antiqua" w:hAnsi="Book Antiqua" w:cs="Book Antiqua"/>
          <w:color w:val="000000"/>
          <w:vertAlign w:val="superscript"/>
        </w:rPr>
        <w:t>94]</w:t>
      </w:r>
      <w:r w:rsidRPr="00BA2B87">
        <w:rPr>
          <w:rFonts w:ascii="Book Antiqua" w:eastAsia="Book Antiqua" w:hAnsi="Book Antiqua" w:cs="Book Antiqua"/>
          <w:color w:val="000000"/>
        </w:rPr>
        <w:t xml:space="preserve">. Connectivity Map (CMap) is one of the most used tools which </w:t>
      </w:r>
      <w:r w:rsidR="00866CC5">
        <w:rPr>
          <w:rFonts w:ascii="Book Antiqua" w:eastAsia="Book Antiqua" w:hAnsi="Book Antiqua" w:cs="Book Antiqua"/>
          <w:color w:val="000000"/>
        </w:rPr>
        <w:t xml:space="preserve">was </w:t>
      </w:r>
      <w:r w:rsidRPr="00BA2B87">
        <w:rPr>
          <w:rFonts w:ascii="Book Antiqua" w:eastAsia="Book Antiqua" w:hAnsi="Book Antiqua" w:cs="Book Antiqua"/>
          <w:color w:val="000000"/>
        </w:rPr>
        <w:t xml:space="preserve">established for signature-based approaches and it is a publicly available resource employed to detect small molecules and </w:t>
      </w:r>
      <w:r w:rsidR="00866CC5">
        <w:rPr>
          <w:rFonts w:ascii="Book Antiqua" w:eastAsia="Book Antiqua" w:hAnsi="Book Antiqua" w:cs="Book Antiqua"/>
          <w:color w:val="000000"/>
        </w:rPr>
        <w:t xml:space="preserve">their </w:t>
      </w:r>
      <w:r w:rsidRPr="00BA2B87">
        <w:rPr>
          <w:rFonts w:ascii="Book Antiqua" w:eastAsia="Book Antiqua" w:hAnsi="Book Antiqua" w:cs="Book Antiqua"/>
          <w:color w:val="000000"/>
        </w:rPr>
        <w:t>mechanisms of action, chemicals or physiological processes, diseases, and drugs</w:t>
      </w:r>
      <w:r w:rsidRPr="00BA2B87">
        <w:rPr>
          <w:rFonts w:ascii="Book Antiqua" w:eastAsia="Book Antiqua" w:hAnsi="Book Antiqua" w:cs="Book Antiqua"/>
          <w:color w:val="000000"/>
          <w:vertAlign w:val="superscript"/>
        </w:rPr>
        <w:t>[95]</w:t>
      </w:r>
      <w:r w:rsidRPr="00BA2B87">
        <w:rPr>
          <w:rFonts w:ascii="Book Antiqua" w:eastAsia="Book Antiqua" w:hAnsi="Book Antiqua" w:cs="Book Antiqua"/>
          <w:color w:val="000000"/>
        </w:rPr>
        <w:t>. This approach is important for the discovery of new candidates and the experimental evaluation of computationally predicted candidates. Another category of DR is network-based DR, which is used to identify molecular mechanisms and key biomolecules in many diseases, including cancer, by creating disease-gene-drug triangles</w:t>
      </w:r>
      <w:r w:rsidRPr="00BA2B87">
        <w:rPr>
          <w:rFonts w:ascii="Book Antiqua" w:eastAsia="Book Antiqua" w:hAnsi="Book Antiqua" w:cs="Book Antiqua"/>
          <w:color w:val="000000"/>
          <w:vertAlign w:val="superscript"/>
        </w:rPr>
        <w:t>[94]</w:t>
      </w:r>
      <w:r w:rsidRPr="00BA2B87">
        <w:rPr>
          <w:rFonts w:ascii="Book Antiqua" w:eastAsia="Book Antiqua" w:hAnsi="Book Antiqua" w:cs="Book Antiqua"/>
          <w:color w:val="000000"/>
        </w:rPr>
        <w:t>. There are many examples of network-based pipelines and DR tools</w:t>
      </w:r>
      <w:r w:rsidRPr="00BA2B87">
        <w:rPr>
          <w:rFonts w:ascii="Book Antiqua" w:eastAsia="Book Antiqua" w:hAnsi="Book Antiqua" w:cs="Book Antiqua"/>
          <w:color w:val="000000"/>
          <w:vertAlign w:val="superscript"/>
        </w:rPr>
        <w:t>[96]</w:t>
      </w:r>
      <w:r w:rsidRPr="00BA2B87">
        <w:rPr>
          <w:rFonts w:ascii="Book Antiqua" w:eastAsia="Book Antiqua" w:hAnsi="Book Antiqua" w:cs="Book Antiqua"/>
          <w:color w:val="000000"/>
        </w:rPr>
        <w:t xml:space="preserve">. </w:t>
      </w:r>
    </w:p>
    <w:p w14:paraId="1B065659" w14:textId="580781A5"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In this section, we have mentioned the drugs that have been repositioned using either network-based or signature-based DR strategies. However, we have categorized the drugs </w:t>
      </w:r>
      <w:r w:rsidR="00866CC5">
        <w:rPr>
          <w:rFonts w:ascii="Book Antiqua" w:eastAsia="Book Antiqua" w:hAnsi="Book Antiqua" w:cs="Book Antiqua"/>
          <w:color w:val="000000"/>
        </w:rPr>
        <w:t xml:space="preserve">in relation to </w:t>
      </w:r>
      <w:r w:rsidRPr="00BA2B87">
        <w:rPr>
          <w:rFonts w:ascii="Book Antiqua" w:eastAsia="Book Antiqua" w:hAnsi="Book Antiqua" w:cs="Book Antiqua"/>
          <w:color w:val="000000"/>
        </w:rPr>
        <w:t xml:space="preserve">whether only computational prediction or </w:t>
      </w:r>
      <w:r w:rsidRPr="00BA2B87">
        <w:rPr>
          <w:rFonts w:ascii="Book Antiqua" w:eastAsia="Book Antiqua" w:hAnsi="Book Antiqua" w:cs="Book Antiqua"/>
          <w:i/>
          <w:iCs/>
          <w:color w:val="000000"/>
        </w:rPr>
        <w:t>in vitro</w:t>
      </w:r>
      <w:r w:rsidRPr="00BA2B87">
        <w:rPr>
          <w:rFonts w:ascii="Book Antiqua" w:eastAsia="Book Antiqua" w:hAnsi="Book Antiqua" w:cs="Book Antiqua"/>
          <w:color w:val="000000"/>
        </w:rPr>
        <w:t xml:space="preserve"> assay </w:t>
      </w:r>
      <w:r w:rsidR="00866CC5">
        <w:rPr>
          <w:rFonts w:ascii="Book Antiqua" w:eastAsia="Book Antiqua" w:hAnsi="Book Antiqua" w:cs="Book Antiqua"/>
          <w:color w:val="000000"/>
        </w:rPr>
        <w:t xml:space="preserve">has been carried out </w:t>
      </w:r>
      <w:r w:rsidRPr="00BA2B87">
        <w:rPr>
          <w:rFonts w:ascii="Book Antiqua" w:eastAsia="Book Antiqua" w:hAnsi="Book Antiqua" w:cs="Book Antiqua"/>
          <w:color w:val="000000"/>
        </w:rPr>
        <w:t>or clinical trials have been performed (Figure 2).</w:t>
      </w:r>
    </w:p>
    <w:p w14:paraId="5D2B5F1C" w14:textId="77777777" w:rsidR="00A77B3E" w:rsidRPr="00BA2B87" w:rsidRDefault="00A77B3E" w:rsidP="00BA2B87">
      <w:pPr>
        <w:spacing w:line="360" w:lineRule="auto"/>
        <w:jc w:val="both"/>
        <w:rPr>
          <w:rFonts w:ascii="Book Antiqua" w:hAnsi="Book Antiqua"/>
        </w:rPr>
      </w:pPr>
    </w:p>
    <w:p w14:paraId="63EC99A6"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Computational</w:t>
      </w:r>
      <w:r w:rsidRPr="00BA2B87">
        <w:rPr>
          <w:rFonts w:ascii="Book Antiqua" w:eastAsia="Book Antiqua" w:hAnsi="Book Antiqua" w:cs="Book Antiqua"/>
          <w:b/>
          <w:bCs/>
          <w:color w:val="000000"/>
        </w:rPr>
        <w:t xml:space="preserve"> </w:t>
      </w:r>
      <w:r w:rsidRPr="00BA2B87">
        <w:rPr>
          <w:rFonts w:ascii="Book Antiqua" w:eastAsia="Book Antiqua" w:hAnsi="Book Antiqua" w:cs="Book Antiqua"/>
          <w:b/>
          <w:bCs/>
          <w:i/>
          <w:iCs/>
          <w:color w:val="000000"/>
        </w:rPr>
        <w:t>predictions</w:t>
      </w:r>
    </w:p>
    <w:p w14:paraId="06CF6567" w14:textId="2D9781FA"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 xml:space="preserve">Chung and collaborators presented a novel computational framework called Functional Module Connectivity Map for DR and </w:t>
      </w:r>
      <w:r w:rsidR="00866CC5">
        <w:rPr>
          <w:rFonts w:ascii="Book Antiqua" w:eastAsia="Book Antiqua" w:hAnsi="Book Antiqua" w:cs="Book Antiqua"/>
          <w:color w:val="000000"/>
        </w:rPr>
        <w:t>used</w:t>
      </w:r>
      <w:r w:rsidRPr="00BA2B87">
        <w:rPr>
          <w:rFonts w:ascii="Book Antiqua" w:eastAsia="Book Antiqua" w:hAnsi="Book Antiqua" w:cs="Book Antiqua"/>
          <w:color w:val="000000"/>
        </w:rPr>
        <w:t xml:space="preserve"> their framework </w:t>
      </w:r>
      <w:r w:rsidR="00866CC5">
        <w:rPr>
          <w:rFonts w:ascii="Book Antiqua" w:eastAsia="Book Antiqua" w:hAnsi="Book Antiqua" w:cs="Book Antiqua"/>
          <w:color w:val="000000"/>
        </w:rPr>
        <w:t>for</w:t>
      </w:r>
      <w:r w:rsidRPr="00BA2B87">
        <w:rPr>
          <w:rFonts w:ascii="Book Antiqua" w:eastAsia="Book Antiqua" w:hAnsi="Book Antiqua" w:cs="Book Antiqua"/>
          <w:color w:val="000000"/>
        </w:rPr>
        <w:t xml:space="preserve"> CRC. In their framework, the researchers first analyzed microarray data consisting of 32 CRC samples and 32 controls to find differentially expressed genes (DEGs). Then, gene-gene interaction networks were reconstructed around cancer and control samples, respectively. The gene-gene interaction networks were reduced to the function-function network using functional modules as nodes. Using the gene selection-by-trend-of-progression procedure, highly expressed hub genes in the function-function networks were identified and used as CMap query. CMap analysis culminated in several already known and effective CRC drugs. To validate the results of the CMap analysis, the researchers also performed cell viability assays to obtain eight candidates. As a result, the following drugs: GW-8510, ethacr</w:t>
      </w:r>
      <w:r w:rsidR="00D75DDE">
        <w:rPr>
          <w:rFonts w:ascii="Book Antiqua" w:eastAsia="Book Antiqua" w:hAnsi="Book Antiqua" w:cs="Book Antiqua"/>
          <w:color w:val="000000"/>
        </w:rPr>
        <w:t>yni</w:t>
      </w:r>
      <w:r w:rsidRPr="00BA2B87">
        <w:rPr>
          <w:rFonts w:ascii="Book Antiqua" w:eastAsia="Book Antiqua" w:hAnsi="Book Antiqua" w:cs="Book Antiqua"/>
          <w:color w:val="000000"/>
        </w:rPr>
        <w:t>c acid, ginkgolide A, and 6-azathymin were identified as drugs that inhibit CRC cells</w:t>
      </w:r>
      <w:r w:rsidRPr="00BA2B87">
        <w:rPr>
          <w:rFonts w:ascii="Book Antiqua" w:eastAsia="Book Antiqua" w:hAnsi="Book Antiqua" w:cs="Book Antiqua"/>
          <w:color w:val="000000"/>
          <w:vertAlign w:val="superscript"/>
        </w:rPr>
        <w:t>[97]</w:t>
      </w:r>
      <w:r w:rsidRPr="00BA2B87">
        <w:rPr>
          <w:rFonts w:ascii="Book Antiqua" w:eastAsia="Book Antiqua" w:hAnsi="Book Antiqua" w:cs="Book Antiqua"/>
          <w:color w:val="000000"/>
        </w:rPr>
        <w:t xml:space="preserve">. </w:t>
      </w:r>
      <w:r w:rsidR="00D75DDE">
        <w:rPr>
          <w:rFonts w:ascii="Book Antiqua" w:eastAsia="Book Antiqua" w:hAnsi="Book Antiqua" w:cs="Book Antiqua"/>
          <w:color w:val="000000"/>
        </w:rPr>
        <w:t>As</w:t>
      </w:r>
      <w:r w:rsidRPr="00BA2B87">
        <w:rPr>
          <w:rFonts w:ascii="Book Antiqua" w:eastAsia="Book Antiqua" w:hAnsi="Book Antiqua" w:cs="Book Antiqua"/>
          <w:color w:val="000000"/>
        </w:rPr>
        <w:t xml:space="preserve"> the researchers demonstrated the upregulation of RRM2 in CRC by bioinformatics analysis, they sought to find a novel RRM2 inhibitor that has the potential to be used in CRC. To this end, the researchers first evaluated the expression of 3 RR subunits (RRM1, RRM2, and RRM2B) </w:t>
      </w:r>
      <w:r w:rsidR="00D75DDE">
        <w:rPr>
          <w:rFonts w:ascii="Book Antiqua" w:eastAsia="Book Antiqua" w:hAnsi="Book Antiqua" w:cs="Book Antiqua"/>
          <w:color w:val="000000"/>
        </w:rPr>
        <w:t>i</w:t>
      </w:r>
      <w:r w:rsidRPr="00BA2B87">
        <w:rPr>
          <w:rFonts w:ascii="Book Antiqua" w:eastAsia="Book Antiqua" w:hAnsi="Book Antiqua" w:cs="Book Antiqua"/>
          <w:color w:val="000000"/>
        </w:rPr>
        <w:t xml:space="preserve">n cancer and normal cells using </w:t>
      </w:r>
      <w:r w:rsidR="00D75DDE">
        <w:rPr>
          <w:rFonts w:ascii="Book Antiqua" w:eastAsia="Book Antiqua" w:hAnsi="Book Antiqua" w:cs="Book Antiqua"/>
          <w:color w:val="000000"/>
        </w:rPr>
        <w:t>the</w:t>
      </w:r>
      <w:r w:rsidRPr="00BA2B87">
        <w:rPr>
          <w:rFonts w:ascii="Book Antiqua" w:eastAsia="Book Antiqua" w:hAnsi="Book Antiqua" w:cs="Book Antiqua"/>
          <w:color w:val="000000"/>
        </w:rPr>
        <w:t xml:space="preserve"> Oncomine </w:t>
      </w:r>
      <w:r w:rsidR="00D75DDE">
        <w:rPr>
          <w:rFonts w:ascii="Book Antiqua" w:eastAsia="Book Antiqua" w:hAnsi="Book Antiqua" w:cs="Book Antiqua"/>
          <w:color w:val="000000"/>
        </w:rPr>
        <w:t xml:space="preserve">database </w:t>
      </w:r>
      <w:r w:rsidRPr="00BA2B87">
        <w:rPr>
          <w:rFonts w:ascii="Book Antiqua" w:eastAsia="Book Antiqua" w:hAnsi="Book Antiqua" w:cs="Book Antiqua"/>
          <w:color w:val="000000"/>
        </w:rPr>
        <w:t xml:space="preserve">and showed that the expression of RRM2 is upregulated in CRC. To further evaluate the effects of RRM2 on CRC, the researchers also analyzed microarray data (GSE8671 and GSE1710) and determined that RRM2 is a potential therapeutic target for CRC. After obtaining this information, the researchers attempted to find novel RRM2 inhibitors </w:t>
      </w:r>
      <w:r w:rsidRPr="00BA2B87">
        <w:rPr>
          <w:rFonts w:ascii="Book Antiqua" w:eastAsia="Book Antiqua" w:hAnsi="Book Antiqua" w:cs="Book Antiqua"/>
          <w:i/>
          <w:iCs/>
          <w:color w:val="000000"/>
        </w:rPr>
        <w:t>via</w:t>
      </w:r>
      <w:r w:rsidRPr="00BA2B87">
        <w:rPr>
          <w:rFonts w:ascii="Book Antiqua" w:eastAsia="Book Antiqua" w:hAnsi="Book Antiqua" w:cs="Book Antiqua"/>
          <w:color w:val="000000"/>
        </w:rPr>
        <w:t xml:space="preserve"> CMap. They analyzed a microarray dataset (GSE15212) that included RRM2-knockdown SW480 human CRC cells and uncovered DEGs that were used as CMap queries. Four drugs (phenoxybenzamine, doxorubicin, daunorubicin, and GW-8510) </w:t>
      </w:r>
      <w:r w:rsidR="00D75DDE">
        <w:rPr>
          <w:rFonts w:ascii="Book Antiqua" w:eastAsia="Book Antiqua" w:hAnsi="Book Antiqua" w:cs="Book Antiqua"/>
          <w:color w:val="000000"/>
        </w:rPr>
        <w:t>with</w:t>
      </w:r>
      <w:r w:rsidRPr="00BA2B87">
        <w:rPr>
          <w:rFonts w:ascii="Book Antiqua" w:eastAsia="Book Antiqua" w:hAnsi="Book Antiqua" w:cs="Book Antiqua"/>
          <w:color w:val="000000"/>
        </w:rPr>
        <w:t xml:space="preserve"> the highest CMap score were experimentally analyzed by cell viability assay and western blot analysis. The experiments showed that </w:t>
      </w:r>
      <w:r w:rsidR="00D75DDE">
        <w:rPr>
          <w:rFonts w:ascii="Book Antiqua" w:eastAsia="Book Antiqua" w:hAnsi="Book Antiqua" w:cs="Book Antiqua"/>
          <w:color w:val="000000"/>
        </w:rPr>
        <w:t>of</w:t>
      </w:r>
      <w:r w:rsidRPr="00BA2B87">
        <w:rPr>
          <w:rFonts w:ascii="Book Antiqua" w:eastAsia="Book Antiqua" w:hAnsi="Book Antiqua" w:cs="Book Antiqua"/>
          <w:color w:val="000000"/>
        </w:rPr>
        <w:t xml:space="preserve"> the 4 drugs, GW-8510 prevented RRM2 expression. </w:t>
      </w:r>
      <w:r w:rsidRPr="00BA2B87">
        <w:rPr>
          <w:rFonts w:ascii="Book Antiqua" w:eastAsia="Book Antiqua" w:hAnsi="Book Antiqua" w:cs="Book Antiqua"/>
          <w:color w:val="000000"/>
        </w:rPr>
        <w:lastRenderedPageBreak/>
        <w:t xml:space="preserve">Thus, the study </w:t>
      </w:r>
      <w:r w:rsidR="00D75DDE">
        <w:rPr>
          <w:rFonts w:ascii="Book Antiqua" w:eastAsia="Book Antiqua" w:hAnsi="Book Antiqua" w:cs="Book Antiqua"/>
          <w:color w:val="000000"/>
        </w:rPr>
        <w:t>demonstrated</w:t>
      </w:r>
      <w:r w:rsidRPr="00BA2B87">
        <w:rPr>
          <w:rFonts w:ascii="Book Antiqua" w:eastAsia="Book Antiqua" w:hAnsi="Book Antiqua" w:cs="Book Antiqua"/>
          <w:color w:val="000000"/>
        </w:rPr>
        <w:t xml:space="preserve"> the potential of GW-8510 as </w:t>
      </w:r>
      <w:r w:rsidR="00D75DDE">
        <w:rPr>
          <w:rFonts w:ascii="Book Antiqua" w:eastAsia="Book Antiqua" w:hAnsi="Book Antiqua" w:cs="Book Antiqua"/>
          <w:color w:val="000000"/>
        </w:rPr>
        <w:t xml:space="preserve">a </w:t>
      </w:r>
      <w:r w:rsidRPr="00BA2B87">
        <w:rPr>
          <w:rFonts w:ascii="Book Antiqua" w:eastAsia="Book Antiqua" w:hAnsi="Book Antiqua" w:cs="Book Antiqua"/>
          <w:color w:val="000000"/>
        </w:rPr>
        <w:t>CRC therapeutic agent targeting the inhibition of RRM2</w:t>
      </w:r>
      <w:r w:rsidRPr="00BA2B87">
        <w:rPr>
          <w:rFonts w:ascii="Book Antiqua" w:eastAsia="Book Antiqua" w:hAnsi="Book Antiqua" w:cs="Book Antiqua"/>
          <w:color w:val="000000"/>
          <w:vertAlign w:val="superscript"/>
        </w:rPr>
        <w:t>[98]</w:t>
      </w:r>
      <w:r w:rsidRPr="00BA2B87">
        <w:rPr>
          <w:rFonts w:ascii="Book Antiqua" w:eastAsia="Book Antiqua" w:hAnsi="Book Antiqua" w:cs="Book Antiqua"/>
          <w:color w:val="000000"/>
        </w:rPr>
        <w:t xml:space="preserve">. </w:t>
      </w:r>
    </w:p>
    <w:p w14:paraId="7153DB73" w14:textId="62946CE6" w:rsidR="00A77B3E" w:rsidRPr="00BA2B87" w:rsidRDefault="00925687" w:rsidP="00A81BA9">
      <w:pPr>
        <w:spacing w:line="360" w:lineRule="auto"/>
        <w:ind w:firstLineChars="200" w:firstLine="480"/>
        <w:jc w:val="both"/>
        <w:rPr>
          <w:rFonts w:ascii="Book Antiqua" w:hAnsi="Book Antiqua"/>
        </w:rPr>
      </w:pPr>
      <w:r w:rsidRPr="00BA2B87">
        <w:rPr>
          <w:rFonts w:ascii="Book Antiqua" w:eastAsia="Book Antiqua" w:hAnsi="Book Antiqua" w:cs="Book Antiqua"/>
          <w:color w:val="000000"/>
        </w:rPr>
        <w:t xml:space="preserve">Another </w:t>
      </w:r>
      <w:r w:rsidR="00D75DDE">
        <w:rPr>
          <w:rFonts w:ascii="Book Antiqua" w:eastAsia="Book Antiqua" w:hAnsi="Book Antiqua" w:cs="Book Antiqua"/>
          <w:color w:val="000000"/>
        </w:rPr>
        <w:t>DR</w:t>
      </w:r>
      <w:r w:rsidRPr="00BA2B87">
        <w:rPr>
          <w:rFonts w:ascii="Book Antiqua" w:eastAsia="Book Antiqua" w:hAnsi="Book Antiqua" w:cs="Book Antiqua"/>
          <w:color w:val="000000"/>
        </w:rPr>
        <w:t xml:space="preserve"> study us</w:t>
      </w:r>
      <w:r w:rsidR="00D75DDE">
        <w:rPr>
          <w:rFonts w:ascii="Book Antiqua" w:eastAsia="Book Antiqua" w:hAnsi="Book Antiqua" w:cs="Book Antiqua"/>
          <w:color w:val="000000"/>
        </w:rPr>
        <w:t xml:space="preserve">ed </w:t>
      </w:r>
      <w:r w:rsidRPr="00BA2B87">
        <w:rPr>
          <w:rFonts w:ascii="Book Antiqua" w:eastAsia="Book Antiqua" w:hAnsi="Book Antiqua" w:cs="Book Antiqua"/>
          <w:color w:val="000000"/>
        </w:rPr>
        <w:t xml:space="preserve">machine learning and molecular docking in colon cancer. For this purpose, the RNAseq data of colon adenocarcinomas were obtained from TCGA resource and the data were analyzed to find the DEGs. The significance of the DEGs was </w:t>
      </w:r>
      <w:r w:rsidR="00AE2A59">
        <w:rPr>
          <w:rFonts w:ascii="Book Antiqua" w:eastAsia="Book Antiqua" w:hAnsi="Book Antiqua" w:cs="Book Antiqua"/>
          <w:color w:val="000000"/>
        </w:rPr>
        <w:t xml:space="preserve">then </w:t>
      </w:r>
      <w:r w:rsidRPr="00BA2B87">
        <w:rPr>
          <w:rFonts w:ascii="Book Antiqua" w:eastAsia="Book Antiqua" w:hAnsi="Book Antiqua" w:cs="Book Antiqua"/>
          <w:color w:val="000000"/>
        </w:rPr>
        <w:t xml:space="preserve">validated </w:t>
      </w:r>
      <w:r w:rsidRPr="00BA2B87">
        <w:rPr>
          <w:rFonts w:ascii="Book Antiqua" w:eastAsia="Book Antiqua" w:hAnsi="Book Antiqua" w:cs="Book Antiqua"/>
          <w:i/>
          <w:iCs/>
          <w:color w:val="000000"/>
        </w:rPr>
        <w:t>via</w:t>
      </w:r>
      <w:r w:rsidRPr="00BA2B87">
        <w:rPr>
          <w:rFonts w:ascii="Book Antiqua" w:eastAsia="Book Antiqua" w:hAnsi="Book Antiqua" w:cs="Book Antiqua"/>
          <w:color w:val="000000"/>
        </w:rPr>
        <w:t xml:space="preserve"> a machine learning approach and a total of 34 gene signatures were obtained. For the application of molecular docking, 34 gene signatures were converted into 3D structures and the list of FDA-approved anticancer drugs was used for docking (81 drugs). As a result of the molecular docking analy</w:t>
      </w:r>
      <w:r w:rsidR="00AE2A59">
        <w:rPr>
          <w:rFonts w:ascii="Book Antiqua" w:eastAsia="Book Antiqua" w:hAnsi="Book Antiqua" w:cs="Book Antiqua"/>
          <w:color w:val="000000"/>
        </w:rPr>
        <w:t>s</w:t>
      </w:r>
      <w:r w:rsidRPr="00BA2B87">
        <w:rPr>
          <w:rFonts w:ascii="Book Antiqua" w:eastAsia="Book Antiqua" w:hAnsi="Book Antiqua" w:cs="Book Antiqua"/>
          <w:color w:val="000000"/>
        </w:rPr>
        <w:t xml:space="preserve">es, 4 targets emerged, namely GLTP, PTPRN, VEGFA, and FABP6. The 4 targets were investigated by literature search and </w:t>
      </w:r>
      <w:r w:rsidR="00AE2A59">
        <w:rPr>
          <w:rFonts w:ascii="Book Antiqua" w:eastAsia="Book Antiqua" w:hAnsi="Book Antiqua" w:cs="Book Antiqua"/>
          <w:color w:val="000000"/>
        </w:rPr>
        <w:t>both</w:t>
      </w:r>
      <w:r w:rsidRPr="00BA2B87">
        <w:rPr>
          <w:rFonts w:ascii="Book Antiqua" w:eastAsia="Book Antiqua" w:hAnsi="Book Antiqua" w:cs="Book Antiqua"/>
          <w:color w:val="000000"/>
        </w:rPr>
        <w:t xml:space="preserve"> VEGFA and FABP6 were found to be upregulated in cancer cases</w:t>
      </w:r>
      <w:r w:rsidR="00AE2A59">
        <w:rPr>
          <w:rFonts w:ascii="Book Antiqua" w:eastAsia="Book Antiqua" w:hAnsi="Book Antiqua" w:cs="Book Antiqua"/>
          <w:color w:val="000000"/>
        </w:rPr>
        <w:t>; thus,</w:t>
      </w:r>
      <w:r w:rsidRPr="00BA2B87">
        <w:rPr>
          <w:rFonts w:ascii="Book Antiqua" w:eastAsia="Book Antiqua" w:hAnsi="Book Antiqua" w:cs="Book Antiqua"/>
          <w:color w:val="000000"/>
        </w:rPr>
        <w:t xml:space="preserve"> they </w:t>
      </w:r>
      <w:r w:rsidR="00AE2A59">
        <w:rPr>
          <w:rFonts w:ascii="Book Antiqua" w:eastAsia="Book Antiqua" w:hAnsi="Book Antiqua" w:cs="Book Antiqua"/>
          <w:color w:val="000000"/>
        </w:rPr>
        <w:t>were</w:t>
      </w:r>
      <w:r w:rsidRPr="00BA2B87">
        <w:rPr>
          <w:rFonts w:ascii="Book Antiqua" w:eastAsia="Book Antiqua" w:hAnsi="Book Antiqua" w:cs="Book Antiqua"/>
          <w:color w:val="000000"/>
        </w:rPr>
        <w:t xml:space="preserve"> </w:t>
      </w:r>
      <w:r w:rsidR="00AE2A59">
        <w:rPr>
          <w:rFonts w:ascii="Book Antiqua" w:eastAsia="Book Antiqua" w:hAnsi="Book Antiqua" w:cs="Book Antiqua"/>
          <w:color w:val="000000"/>
        </w:rPr>
        <w:t>considered</w:t>
      </w:r>
      <w:r w:rsidRPr="00BA2B87">
        <w:rPr>
          <w:rFonts w:ascii="Book Antiqua" w:eastAsia="Book Antiqua" w:hAnsi="Book Antiqua" w:cs="Book Antiqua"/>
          <w:color w:val="000000"/>
        </w:rPr>
        <w:t xml:space="preserve"> potential targets. Docking studies showed that VEGFA and FABP6 ha</w:t>
      </w:r>
      <w:r w:rsidR="00AE2A59">
        <w:rPr>
          <w:rFonts w:ascii="Book Antiqua" w:eastAsia="Book Antiqua" w:hAnsi="Book Antiqua" w:cs="Book Antiqua"/>
          <w:color w:val="000000"/>
        </w:rPr>
        <w:t>d</w:t>
      </w:r>
      <w:r w:rsidRPr="00BA2B87">
        <w:rPr>
          <w:rFonts w:ascii="Book Antiqua" w:eastAsia="Book Antiqua" w:hAnsi="Book Antiqua" w:cs="Book Antiqua"/>
          <w:color w:val="000000"/>
        </w:rPr>
        <w:t xml:space="preserve"> mark</w:t>
      </w:r>
      <w:r w:rsidR="00AE2A59">
        <w:rPr>
          <w:rFonts w:ascii="Book Antiqua" w:eastAsia="Book Antiqua" w:hAnsi="Book Antiqua" w:cs="Book Antiqua"/>
          <w:color w:val="000000"/>
        </w:rPr>
        <w:t>ed</w:t>
      </w:r>
      <w:r w:rsidRPr="00BA2B87">
        <w:rPr>
          <w:rFonts w:ascii="Book Antiqua" w:eastAsia="Book Antiqua" w:hAnsi="Book Antiqua" w:cs="Book Antiqua"/>
          <w:color w:val="000000"/>
        </w:rPr>
        <w:t xml:space="preserve"> interactions with venetoclax and abemaciclib. However, the FABP6 gene has greater specificity for abemaciclib when compared with others. Therefore, this study suggest</w:t>
      </w:r>
      <w:r w:rsidR="00AE2A59">
        <w:rPr>
          <w:rFonts w:ascii="Book Antiqua" w:eastAsia="Book Antiqua" w:hAnsi="Book Antiqua" w:cs="Book Antiqua"/>
          <w:color w:val="000000"/>
        </w:rPr>
        <w:t>ed</w:t>
      </w:r>
      <w:r w:rsidRPr="00BA2B87">
        <w:rPr>
          <w:rFonts w:ascii="Book Antiqua" w:eastAsia="Book Antiqua" w:hAnsi="Book Antiqua" w:cs="Book Antiqua"/>
          <w:color w:val="000000"/>
        </w:rPr>
        <w:t xml:space="preserve"> that abemaciclib targeting FABP6 has the potential to be a therapeutic target and needs further experimental validation</w:t>
      </w:r>
      <w:r w:rsidRPr="00BA2B87">
        <w:rPr>
          <w:rFonts w:ascii="Book Antiqua" w:eastAsia="Book Antiqua" w:hAnsi="Book Antiqua" w:cs="Book Antiqua"/>
          <w:color w:val="000000"/>
          <w:vertAlign w:val="superscript"/>
        </w:rPr>
        <w:t>[99]</w:t>
      </w:r>
      <w:r w:rsidRPr="00BA2B87">
        <w:rPr>
          <w:rFonts w:ascii="Book Antiqua" w:eastAsia="Book Antiqua" w:hAnsi="Book Antiqua" w:cs="Book Antiqua"/>
          <w:color w:val="000000"/>
        </w:rPr>
        <w:t>. Consequently, our research group applied a DR strategy by targeting the coexpression network of the protein Multidrug Resistance 1 (MDR1) expressed by the ABCB1 protein that causes chemotherapy failure. To this end, we reconstructed four different coexpression networks around ABCB1 and exploited their prognostic and diagnostic capabilities in CRC. We performed DR using a reverse effect of coexpression signatures and estimated drug candidates by molecular docking in terms of determining the interaction potential between drug and MDR1. In addition, we carried out an in silico cross-validation study using transcriptome data for ABCB1-mediated co-expressed genes in drug-resistant HT29 cells. As a result of the study, we proposed drug candidates (</w:t>
      </w:r>
      <w:r w:rsidRPr="00A81BA9">
        <w:rPr>
          <w:rFonts w:ascii="Book Antiqua" w:eastAsia="Book Antiqua" w:hAnsi="Book Antiqua" w:cs="Book Antiqua"/>
          <w:i/>
          <w:iCs/>
          <w:color w:val="000000"/>
        </w:rPr>
        <w:t>i.e.</w:t>
      </w:r>
      <w:r w:rsidRPr="00BA2B87">
        <w:rPr>
          <w:rFonts w:ascii="Book Antiqua" w:eastAsia="Book Antiqua" w:hAnsi="Book Antiqua" w:cs="Book Antiqua"/>
          <w:color w:val="000000"/>
        </w:rPr>
        <w:t>, AG957, Ro-28-1675, Brazilin, Importazole, and PD407824) for CRC, especially by pointing out the importance of drug resistance in CRC</w:t>
      </w:r>
      <w:r w:rsidRPr="00BA2B87">
        <w:rPr>
          <w:rFonts w:ascii="Book Antiqua" w:eastAsia="Book Antiqua" w:hAnsi="Book Antiqua" w:cs="Book Antiqua"/>
          <w:color w:val="000000"/>
          <w:vertAlign w:val="superscript"/>
        </w:rPr>
        <w:t>[100]</w:t>
      </w:r>
      <w:r w:rsidRPr="00BA2B87">
        <w:rPr>
          <w:rFonts w:ascii="Book Antiqua" w:eastAsia="Book Antiqua" w:hAnsi="Book Antiqua" w:cs="Book Antiqua"/>
          <w:color w:val="000000"/>
        </w:rPr>
        <w:t xml:space="preserve"> (Table 3).</w:t>
      </w:r>
    </w:p>
    <w:p w14:paraId="3916BB8C" w14:textId="77777777" w:rsidR="00A77B3E" w:rsidRPr="00BA2B87" w:rsidRDefault="00A77B3E" w:rsidP="00BA2B87">
      <w:pPr>
        <w:spacing w:line="360" w:lineRule="auto"/>
        <w:jc w:val="both"/>
        <w:rPr>
          <w:rFonts w:ascii="Book Antiqua" w:hAnsi="Book Antiqua"/>
        </w:rPr>
      </w:pPr>
    </w:p>
    <w:p w14:paraId="3825AB9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i/>
          <w:iCs/>
          <w:color w:val="000000"/>
        </w:rPr>
        <w:t xml:space="preserve">Clinical and experimentally validated repurposed drugs </w:t>
      </w:r>
    </w:p>
    <w:p w14:paraId="1833E558" w14:textId="6C3F121A" w:rsidR="00A77B3E" w:rsidRPr="00BA2B87" w:rsidRDefault="00925687" w:rsidP="00BA2B87">
      <w:pPr>
        <w:spacing w:line="360" w:lineRule="auto"/>
        <w:jc w:val="both"/>
        <w:rPr>
          <w:rFonts w:ascii="Book Antiqua" w:hAnsi="Book Antiqua"/>
        </w:rPr>
      </w:pPr>
      <w:r w:rsidRPr="00A81BA9">
        <w:rPr>
          <w:rFonts w:ascii="Book Antiqua" w:eastAsia="Book Antiqua" w:hAnsi="Book Antiqua" w:cs="Book Antiqua"/>
          <w:b/>
          <w:bCs/>
          <w:color w:val="000000"/>
        </w:rPr>
        <w:lastRenderedPageBreak/>
        <w:t xml:space="preserve">Metformin: </w:t>
      </w:r>
      <w:r w:rsidRPr="00BA2B87">
        <w:rPr>
          <w:rFonts w:ascii="Book Antiqua" w:eastAsia="Book Antiqua" w:hAnsi="Book Antiqua" w:cs="Book Antiqua"/>
          <w:color w:val="000000"/>
        </w:rPr>
        <w:t xml:space="preserve">Metformin is one of the most commonly used drugs in the treatment of type 2 diabetes mellitus. Metformin lowers blood glucose concentration without inducing hypoglycemia. </w:t>
      </w:r>
      <w:r w:rsidR="00AE2A59">
        <w:rPr>
          <w:rFonts w:ascii="Book Antiqua" w:eastAsia="Book Antiqua" w:hAnsi="Book Antiqua" w:cs="Book Antiqua"/>
          <w:color w:val="000000"/>
        </w:rPr>
        <w:t>As</w:t>
      </w:r>
      <w:r w:rsidRPr="00BA2B87">
        <w:rPr>
          <w:rFonts w:ascii="Book Antiqua" w:eastAsia="Book Antiqua" w:hAnsi="Book Antiqua" w:cs="Book Antiqua"/>
          <w:color w:val="000000"/>
        </w:rPr>
        <w:t xml:space="preserve"> metformin is a readily available and inexpensive drug, numerous studies have been conducted on other potential indications</w:t>
      </w:r>
      <w:r w:rsidRPr="00BA2B87">
        <w:rPr>
          <w:rFonts w:ascii="Book Antiqua" w:eastAsia="Book Antiqua" w:hAnsi="Book Antiqua" w:cs="Book Antiqua"/>
          <w:color w:val="000000"/>
          <w:vertAlign w:val="superscript"/>
        </w:rPr>
        <w:t>[101]</w:t>
      </w:r>
      <w:r w:rsidRPr="00BA2B87">
        <w:rPr>
          <w:rFonts w:ascii="Book Antiqua" w:eastAsia="Book Antiqua" w:hAnsi="Book Antiqua" w:cs="Book Antiqua"/>
          <w:color w:val="000000"/>
        </w:rPr>
        <w:t xml:space="preserve">. In recent years, numerous </w:t>
      </w:r>
      <w:r w:rsidRPr="00BA2B87">
        <w:rPr>
          <w:rFonts w:ascii="Book Antiqua" w:eastAsia="Book Antiqua" w:hAnsi="Book Antiqua" w:cs="Book Antiqua"/>
          <w:i/>
          <w:iCs/>
          <w:color w:val="000000"/>
        </w:rPr>
        <w:t>in vitro</w:t>
      </w:r>
      <w:r w:rsidRPr="00BA2B87">
        <w:rPr>
          <w:rFonts w:ascii="Book Antiqua" w:eastAsia="Book Antiqua" w:hAnsi="Book Antiqua" w:cs="Book Antiqua"/>
          <w:color w:val="000000"/>
        </w:rPr>
        <w:t xml:space="preserve"> and </w:t>
      </w:r>
      <w:r w:rsidRPr="00BA2B87">
        <w:rPr>
          <w:rFonts w:ascii="Book Antiqua" w:eastAsia="Book Antiqua" w:hAnsi="Book Antiqua" w:cs="Book Antiqua"/>
          <w:i/>
          <w:iCs/>
          <w:color w:val="000000"/>
        </w:rPr>
        <w:t>in vivo</w:t>
      </w:r>
      <w:r w:rsidRPr="00BA2B87">
        <w:rPr>
          <w:rFonts w:ascii="Book Antiqua" w:eastAsia="Book Antiqua" w:hAnsi="Book Antiqua" w:cs="Book Antiqua"/>
          <w:color w:val="000000"/>
        </w:rPr>
        <w:t xml:space="preserve"> DR studies have shown that metformin can be used in the treatment or prevention of CRC. In an </w:t>
      </w:r>
      <w:r w:rsidRPr="00BA2B87">
        <w:rPr>
          <w:rFonts w:ascii="Book Antiqua" w:eastAsia="Book Antiqua" w:hAnsi="Book Antiqua" w:cs="Book Antiqua"/>
          <w:i/>
          <w:iCs/>
          <w:color w:val="000000"/>
        </w:rPr>
        <w:t>in vivo</w:t>
      </w:r>
      <w:r w:rsidRPr="00BA2B87">
        <w:rPr>
          <w:rFonts w:ascii="Book Antiqua" w:eastAsia="Book Antiqua" w:hAnsi="Book Antiqua" w:cs="Book Antiqua"/>
          <w:color w:val="000000"/>
        </w:rPr>
        <w:t xml:space="preserve"> study, the effects of metformin treatment on diabetic rats were investigated. For this purpose, researchers injected STZ to </w:t>
      </w:r>
      <w:r w:rsidR="00AE2A59">
        <w:rPr>
          <w:rFonts w:ascii="Book Antiqua" w:eastAsia="Book Antiqua" w:hAnsi="Book Antiqua" w:cs="Book Antiqua"/>
          <w:color w:val="000000"/>
        </w:rPr>
        <w:t>induce</w:t>
      </w:r>
      <w:r w:rsidRPr="00BA2B87">
        <w:rPr>
          <w:rFonts w:ascii="Book Antiqua" w:eastAsia="Book Antiqua" w:hAnsi="Book Antiqua" w:cs="Book Antiqua"/>
          <w:color w:val="000000"/>
        </w:rPr>
        <w:t xml:space="preserve"> diabetes in rats and injected</w:t>
      </w:r>
      <w:r w:rsidR="00A81BA9" w:rsidRPr="00A81BA9">
        <w:t xml:space="preserve"> </w:t>
      </w:r>
      <w:r w:rsidR="00A81BA9" w:rsidRPr="00A81BA9">
        <w:rPr>
          <w:rFonts w:ascii="Book Antiqua" w:eastAsia="Book Antiqua" w:hAnsi="Book Antiqua" w:cs="Book Antiqua"/>
          <w:color w:val="000000"/>
        </w:rPr>
        <w:t>1,2-dimethylhydrazine</w:t>
      </w:r>
      <w:r w:rsidRPr="00BA2B87">
        <w:rPr>
          <w:rFonts w:ascii="Book Antiqua" w:eastAsia="Book Antiqua" w:hAnsi="Book Antiqua" w:cs="Book Antiqua"/>
          <w:color w:val="000000"/>
        </w:rPr>
        <w:t xml:space="preserve"> to induce CRC. Then, 150 mg/kg metformin treatment was applied to rats once a week for 12 wk. </w:t>
      </w:r>
      <w:r w:rsidR="00AE2A59">
        <w:rPr>
          <w:rFonts w:ascii="Book Antiqua" w:eastAsia="Book Antiqua" w:hAnsi="Book Antiqua" w:cs="Book Antiqua"/>
          <w:color w:val="000000"/>
        </w:rPr>
        <w:t>Following</w:t>
      </w:r>
      <w:r w:rsidRPr="00BA2B87">
        <w:rPr>
          <w:rFonts w:ascii="Book Antiqua" w:eastAsia="Book Antiqua" w:hAnsi="Book Antiqua" w:cs="Book Antiqua"/>
          <w:color w:val="000000"/>
        </w:rPr>
        <w:t xml:space="preserve"> metformin treatment and analysis</w:t>
      </w:r>
      <w:r w:rsidR="00AE2A59">
        <w:rPr>
          <w:rFonts w:ascii="Book Antiqua" w:eastAsia="Book Antiqua" w:hAnsi="Book Antiqua" w:cs="Book Antiqua"/>
          <w:color w:val="000000"/>
        </w:rPr>
        <w:t xml:space="preserve"> of the results</w:t>
      </w:r>
      <w:r w:rsidRPr="00BA2B87">
        <w:rPr>
          <w:rFonts w:ascii="Book Antiqua" w:eastAsia="Book Antiqua" w:hAnsi="Book Antiqua" w:cs="Book Antiqua"/>
          <w:color w:val="000000"/>
        </w:rPr>
        <w:t xml:space="preserve">, </w:t>
      </w:r>
      <w:r w:rsidR="00AE2A59">
        <w:rPr>
          <w:rFonts w:ascii="Book Antiqua" w:eastAsia="Book Antiqua" w:hAnsi="Book Antiqua" w:cs="Book Antiqua"/>
          <w:color w:val="000000"/>
        </w:rPr>
        <w:t>it was shown</w:t>
      </w:r>
      <w:r w:rsidRPr="00BA2B87">
        <w:rPr>
          <w:rFonts w:ascii="Book Antiqua" w:eastAsia="Book Antiqua" w:hAnsi="Book Antiqua" w:cs="Book Antiqua"/>
          <w:color w:val="000000"/>
        </w:rPr>
        <w:t xml:space="preserve"> that the number of precancerous lesions and cancer cell proliferation w</w:t>
      </w:r>
      <w:r w:rsidR="00AE2A59">
        <w:rPr>
          <w:rFonts w:ascii="Book Antiqua" w:eastAsia="Book Antiqua" w:hAnsi="Book Antiqua" w:cs="Book Antiqua"/>
          <w:color w:val="000000"/>
        </w:rPr>
        <w:t>ere</w:t>
      </w:r>
      <w:r w:rsidRPr="00BA2B87">
        <w:rPr>
          <w:rFonts w:ascii="Book Antiqua" w:eastAsia="Book Antiqua" w:hAnsi="Book Antiqua" w:cs="Book Antiqua"/>
          <w:color w:val="000000"/>
        </w:rPr>
        <w:t xml:space="preserve"> reduced in rats</w:t>
      </w:r>
      <w:r w:rsidRPr="00BA2B87">
        <w:rPr>
          <w:rFonts w:ascii="Book Antiqua" w:eastAsia="Book Antiqua" w:hAnsi="Book Antiqua" w:cs="Book Antiqua"/>
          <w:color w:val="000000"/>
          <w:vertAlign w:val="superscript"/>
        </w:rPr>
        <w:t>[102]</w:t>
      </w:r>
      <w:r w:rsidRPr="00BA2B87">
        <w:rPr>
          <w:rFonts w:ascii="Book Antiqua" w:eastAsia="Book Antiqua" w:hAnsi="Book Antiqua" w:cs="Book Antiqua"/>
          <w:color w:val="000000"/>
        </w:rPr>
        <w:t xml:space="preserve">. In an </w:t>
      </w:r>
      <w:r w:rsidRPr="00BA2B87">
        <w:rPr>
          <w:rFonts w:ascii="Book Antiqua" w:eastAsia="Book Antiqua" w:hAnsi="Book Antiqua" w:cs="Book Antiqua"/>
          <w:i/>
          <w:iCs/>
          <w:color w:val="000000"/>
        </w:rPr>
        <w:t>in vitro</w:t>
      </w:r>
      <w:r w:rsidRPr="00BA2B87">
        <w:rPr>
          <w:rFonts w:ascii="Book Antiqua" w:eastAsia="Book Antiqua" w:hAnsi="Book Antiqua" w:cs="Book Antiqua"/>
          <w:color w:val="000000"/>
        </w:rPr>
        <w:t xml:space="preserve"> study, HT29 cells were treated with metformin in a dose (0, 10 mmol/L/25 mmol/L/50 mmol/L) and time (24/48 h) dependent manner. The maximum dose used (50 mmol/L) for 48 h caused a maximum decrease (45%) in HT29 cells according to the proliferation index. </w:t>
      </w:r>
      <w:r w:rsidR="00AE2A59">
        <w:rPr>
          <w:rFonts w:ascii="Book Antiqua" w:eastAsia="Book Antiqua" w:hAnsi="Book Antiqua" w:cs="Book Antiqua"/>
          <w:color w:val="000000"/>
        </w:rPr>
        <w:t>Similarly</w:t>
      </w:r>
      <w:r w:rsidRPr="00BA2B87">
        <w:rPr>
          <w:rFonts w:ascii="Book Antiqua" w:eastAsia="Book Antiqua" w:hAnsi="Book Antiqua" w:cs="Book Antiqua"/>
          <w:color w:val="000000"/>
        </w:rPr>
        <w:t xml:space="preserve">, 60% of apoptotic cells were </w:t>
      </w:r>
      <w:r w:rsidR="00AE2A59">
        <w:rPr>
          <w:rFonts w:ascii="Book Antiqua" w:eastAsia="Book Antiqua" w:hAnsi="Book Antiqua" w:cs="Book Antiqua"/>
          <w:color w:val="000000"/>
        </w:rPr>
        <w:t>identified</w:t>
      </w:r>
      <w:r w:rsidRPr="00BA2B87">
        <w:rPr>
          <w:rFonts w:ascii="Book Antiqua" w:eastAsia="Book Antiqua" w:hAnsi="Book Antiqua" w:cs="Book Antiqua"/>
          <w:color w:val="000000"/>
        </w:rPr>
        <w:t xml:space="preserve"> in the 50 mmol/L treatment for 48 h. Moreover, autophagic vacuoles were significantly conspicuous in metformin-treated cells at higher doses, whereas untreated cells showed a weak vacuole. In conclusion, </w:t>
      </w:r>
      <w:r w:rsidR="003D6471">
        <w:rPr>
          <w:rFonts w:ascii="Book Antiqua" w:eastAsia="Book Antiqua" w:hAnsi="Book Antiqua" w:cs="Book Antiqua"/>
          <w:color w:val="000000"/>
        </w:rPr>
        <w:t xml:space="preserve">the </w:t>
      </w:r>
      <w:r w:rsidRPr="00BA2B87">
        <w:rPr>
          <w:rFonts w:ascii="Book Antiqua" w:eastAsia="Book Antiqua" w:hAnsi="Book Antiqua" w:cs="Book Antiqua"/>
          <w:color w:val="000000"/>
        </w:rPr>
        <w:t>researchers indicated that metformin causes both apoptosis and autophagy o</w:t>
      </w:r>
      <w:r w:rsidR="003D6471">
        <w:rPr>
          <w:rFonts w:ascii="Book Antiqua" w:eastAsia="Book Antiqua" w:hAnsi="Book Antiqua" w:cs="Book Antiqua"/>
          <w:color w:val="000000"/>
        </w:rPr>
        <w:t>f</w:t>
      </w:r>
      <w:r w:rsidRPr="00BA2B87">
        <w:rPr>
          <w:rFonts w:ascii="Book Antiqua" w:eastAsia="Book Antiqua" w:hAnsi="Book Antiqua" w:cs="Book Antiqua"/>
          <w:color w:val="000000"/>
        </w:rPr>
        <w:t xml:space="preserve"> cultured HT29 cells</w:t>
      </w:r>
      <w:r w:rsidRPr="00BA2B87">
        <w:rPr>
          <w:rFonts w:ascii="Book Antiqua" w:eastAsia="Book Antiqua" w:hAnsi="Book Antiqua" w:cs="Book Antiqua"/>
          <w:color w:val="000000"/>
          <w:vertAlign w:val="superscript"/>
        </w:rPr>
        <w:t>[103]</w:t>
      </w:r>
      <w:r w:rsidRPr="00BA2B87">
        <w:rPr>
          <w:rFonts w:ascii="Book Antiqua" w:eastAsia="Book Antiqua" w:hAnsi="Book Antiqua" w:cs="Book Antiqua"/>
          <w:color w:val="000000"/>
        </w:rPr>
        <w:t xml:space="preserve">. A retrospective study based on a cohort of 1804 patients with diabetes and stage IV </w:t>
      </w:r>
      <w:r w:rsidR="003D6471" w:rsidRPr="00BA2B87">
        <w:rPr>
          <w:rFonts w:ascii="Book Antiqua" w:eastAsia="Book Antiqua" w:hAnsi="Book Antiqua" w:cs="Book Antiqua"/>
          <w:color w:val="000000"/>
        </w:rPr>
        <w:t xml:space="preserve">CRC </w:t>
      </w:r>
      <w:r w:rsidRPr="00BA2B87">
        <w:rPr>
          <w:rFonts w:ascii="Book Antiqua" w:eastAsia="Book Antiqua" w:hAnsi="Book Antiqua" w:cs="Book Antiqua"/>
          <w:color w:val="000000"/>
        </w:rPr>
        <w:t xml:space="preserve">showed that patients using metformin for their diabetes had better </w:t>
      </w:r>
      <w:r w:rsidR="00D071DA" w:rsidRPr="00BA2B87">
        <w:rPr>
          <w:rFonts w:ascii="Book Antiqua" w:eastAsia="Book Antiqua" w:hAnsi="Book Antiqua" w:cs="Book Antiqua"/>
          <w:color w:val="000000"/>
          <w:shd w:val="clear" w:color="auto" w:fill="FFFFFF"/>
        </w:rPr>
        <w:t>OS</w:t>
      </w:r>
      <w:r w:rsidRPr="00BA2B87">
        <w:rPr>
          <w:rFonts w:ascii="Book Antiqua" w:eastAsia="Book Antiqua" w:hAnsi="Book Antiqua" w:cs="Book Antiqua"/>
          <w:color w:val="000000"/>
        </w:rPr>
        <w:t xml:space="preserve"> (hazard ratio = 0.85; 95% confidence interval = 0.76-0.94; </w:t>
      </w:r>
      <w:r w:rsidRPr="00BA2B87">
        <w:rPr>
          <w:rFonts w:ascii="Book Antiqua" w:eastAsia="Book Antiqua" w:hAnsi="Book Antiqua" w:cs="Book Antiqua"/>
          <w:i/>
          <w:iCs/>
          <w:color w:val="000000"/>
        </w:rPr>
        <w:t>P</w:t>
      </w:r>
      <w:r w:rsidRPr="00BA2B87">
        <w:rPr>
          <w:rFonts w:ascii="Book Antiqua" w:eastAsia="Book Antiqua" w:hAnsi="Book Antiqua" w:cs="Book Antiqua"/>
          <w:color w:val="000000"/>
        </w:rPr>
        <w:t xml:space="preserve"> = 0.002) when considering their cancer </w:t>
      </w:r>
      <w:r w:rsidR="003D6471">
        <w:rPr>
          <w:rFonts w:ascii="Book Antiqua" w:eastAsia="Book Antiqua" w:hAnsi="Book Antiqua" w:cs="Book Antiqua"/>
          <w:color w:val="000000"/>
        </w:rPr>
        <w:t>status</w:t>
      </w:r>
      <w:r w:rsidRPr="00BA2B87">
        <w:rPr>
          <w:rFonts w:ascii="Book Antiqua" w:eastAsia="Book Antiqua" w:hAnsi="Book Antiqua" w:cs="Book Antiqua"/>
          <w:color w:val="000000"/>
          <w:vertAlign w:val="superscript"/>
        </w:rPr>
        <w:t>[104]</w:t>
      </w:r>
      <w:r w:rsidRPr="00BA2B87">
        <w:rPr>
          <w:rFonts w:ascii="Book Antiqua" w:eastAsia="Book Antiqua" w:hAnsi="Book Antiqua" w:cs="Book Antiqua"/>
          <w:color w:val="000000"/>
        </w:rPr>
        <w:t xml:space="preserve">. </w:t>
      </w:r>
    </w:p>
    <w:p w14:paraId="6F6402BE" w14:textId="77777777" w:rsidR="00A81BA9" w:rsidRDefault="00A81BA9" w:rsidP="00A81BA9">
      <w:pPr>
        <w:spacing w:line="360" w:lineRule="auto"/>
        <w:jc w:val="both"/>
        <w:rPr>
          <w:rFonts w:ascii="Book Antiqua" w:eastAsia="Book Antiqua" w:hAnsi="Book Antiqua" w:cs="Book Antiqua"/>
          <w:b/>
          <w:bCs/>
          <w:color w:val="000000"/>
        </w:rPr>
      </w:pPr>
    </w:p>
    <w:p w14:paraId="7A5A04CD" w14:textId="331BE99C" w:rsidR="00A77B3E" w:rsidRPr="00BA2B87" w:rsidRDefault="00925687" w:rsidP="00A81BA9">
      <w:pPr>
        <w:spacing w:line="360" w:lineRule="auto"/>
        <w:jc w:val="both"/>
        <w:rPr>
          <w:rFonts w:ascii="Book Antiqua" w:hAnsi="Book Antiqua"/>
        </w:rPr>
      </w:pPr>
      <w:r w:rsidRPr="00A81BA9">
        <w:rPr>
          <w:rFonts w:ascii="Book Antiqua" w:eastAsia="Book Antiqua" w:hAnsi="Book Antiqua" w:cs="Book Antiqua"/>
          <w:b/>
          <w:bCs/>
          <w:color w:val="000000"/>
        </w:rPr>
        <w:t xml:space="preserve">Aspirin: </w:t>
      </w:r>
      <w:r w:rsidRPr="00BA2B87">
        <w:rPr>
          <w:rFonts w:ascii="Book Antiqua" w:eastAsia="Book Antiqua" w:hAnsi="Book Antiqua" w:cs="Book Antiqua"/>
          <w:color w:val="000000"/>
        </w:rPr>
        <w:t xml:space="preserve">Due to its safety profile and widespread clinical use, aspirin is one of the best choices for drug repurposing. </w:t>
      </w:r>
      <w:r w:rsidR="003D6471">
        <w:rPr>
          <w:rFonts w:ascii="Book Antiqua" w:eastAsia="Book Antiqua" w:hAnsi="Book Antiqua" w:cs="Book Antiqua"/>
          <w:color w:val="000000"/>
        </w:rPr>
        <w:t xml:space="preserve">In </w:t>
      </w:r>
      <w:r w:rsidRPr="00BA2B87">
        <w:rPr>
          <w:rFonts w:ascii="Book Antiqua" w:eastAsia="Book Antiqua" w:hAnsi="Book Antiqua" w:cs="Book Antiqua"/>
          <w:color w:val="000000"/>
        </w:rPr>
        <w:t>a prospective cohort study, aspirin was shown to support the prevention of CRC. A total of 962 CRC cases were followed for 20 years, and patients were divided into aspirin users (325-mg tablets</w:t>
      </w:r>
      <w:r w:rsidRPr="00C03939">
        <w:rPr>
          <w:rFonts w:ascii="Book Antiqua" w:eastAsia="Book Antiqua" w:hAnsi="Book Antiqua" w:cs="Book Antiqua"/>
          <w:i/>
          <w:iCs/>
          <w:color w:val="000000"/>
        </w:rPr>
        <w:t xml:space="preserve"> per</w:t>
      </w:r>
      <w:r w:rsidRPr="00BA2B87">
        <w:rPr>
          <w:rFonts w:ascii="Book Antiqua" w:eastAsia="Book Antiqua" w:hAnsi="Book Antiqua" w:cs="Book Antiqua"/>
          <w:color w:val="000000"/>
        </w:rPr>
        <w:t xml:space="preserve"> week) and nonusers. The multivariate relative risk ratios with their 95% confidence intervals were 0.67-0.88 for aspirin users compared with nonusers. Thus, regular, long-term aspirin use reduced </w:t>
      </w:r>
      <w:r w:rsidR="003D6471">
        <w:rPr>
          <w:rFonts w:ascii="Book Antiqua" w:eastAsia="Book Antiqua" w:hAnsi="Book Antiqua" w:cs="Book Antiqua"/>
          <w:color w:val="000000"/>
        </w:rPr>
        <w:lastRenderedPageBreak/>
        <w:t xml:space="preserve">the </w:t>
      </w:r>
      <w:r w:rsidRPr="00BA2B87">
        <w:rPr>
          <w:rFonts w:ascii="Book Antiqua" w:eastAsia="Book Antiqua" w:hAnsi="Book Antiqua" w:cs="Book Antiqua"/>
          <w:color w:val="000000"/>
        </w:rPr>
        <w:t xml:space="preserve">risk </w:t>
      </w:r>
      <w:r w:rsidR="003D6471">
        <w:rPr>
          <w:rFonts w:ascii="Book Antiqua" w:eastAsia="Book Antiqua" w:hAnsi="Book Antiqua" w:cs="Book Antiqua"/>
          <w:color w:val="000000"/>
        </w:rPr>
        <w:t xml:space="preserve">of </w:t>
      </w:r>
      <w:r w:rsidRPr="00BA2B87">
        <w:rPr>
          <w:rFonts w:ascii="Book Antiqua" w:eastAsia="Book Antiqua" w:hAnsi="Book Antiqua" w:cs="Book Antiqua"/>
          <w:color w:val="000000"/>
        </w:rPr>
        <w:t>CRC</w:t>
      </w:r>
      <w:r w:rsidRPr="00BA2B87">
        <w:rPr>
          <w:rFonts w:ascii="Book Antiqua" w:eastAsia="Book Antiqua" w:hAnsi="Book Antiqua" w:cs="Book Antiqua"/>
          <w:color w:val="000000"/>
          <w:vertAlign w:val="superscript"/>
        </w:rPr>
        <w:t>[105]</w:t>
      </w:r>
      <w:r w:rsidRPr="00BA2B87">
        <w:rPr>
          <w:rFonts w:ascii="Book Antiqua" w:eastAsia="Book Antiqua" w:hAnsi="Book Antiqua" w:cs="Book Antiqua"/>
          <w:color w:val="000000"/>
        </w:rPr>
        <w:t xml:space="preserve">. In another </w:t>
      </w:r>
      <w:r w:rsidR="003D6471" w:rsidRPr="00BA2B87">
        <w:rPr>
          <w:rFonts w:ascii="Book Antiqua" w:eastAsia="Book Antiqua" w:hAnsi="Book Antiqua" w:cs="Book Antiqua"/>
          <w:i/>
          <w:iCs/>
          <w:color w:val="000000"/>
        </w:rPr>
        <w:t>in vivo</w:t>
      </w:r>
      <w:r w:rsidR="003D6471"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study </w:t>
      </w:r>
      <w:r w:rsidR="003D6471">
        <w:rPr>
          <w:rFonts w:ascii="Book Antiqua" w:eastAsia="Book Antiqua" w:hAnsi="Book Antiqua" w:cs="Book Antiqua"/>
          <w:color w:val="000000"/>
        </w:rPr>
        <w:t>which</w:t>
      </w:r>
      <w:r w:rsidR="003D6471"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evaluate</w:t>
      </w:r>
      <w:r w:rsidR="003D6471">
        <w:rPr>
          <w:rFonts w:ascii="Book Antiqua" w:eastAsia="Book Antiqua" w:hAnsi="Book Antiqua" w:cs="Book Antiqua"/>
          <w:color w:val="000000"/>
        </w:rPr>
        <w:t>d</w:t>
      </w:r>
      <w:r w:rsidRPr="00BA2B87">
        <w:rPr>
          <w:rFonts w:ascii="Book Antiqua" w:eastAsia="Book Antiqua" w:hAnsi="Book Antiqua" w:cs="Book Antiqua"/>
          <w:color w:val="000000"/>
        </w:rPr>
        <w:t xml:space="preserve"> the efficacy of aspirin on CRC, researchers first </w:t>
      </w:r>
      <w:r w:rsidR="003D6471">
        <w:rPr>
          <w:rFonts w:ascii="Book Antiqua" w:eastAsia="Book Antiqua" w:hAnsi="Book Antiqua" w:cs="Book Antiqua"/>
          <w:color w:val="000000"/>
        </w:rPr>
        <w:t>induced CRC in rats using</w:t>
      </w:r>
      <w:r w:rsidRPr="00BA2B87">
        <w:rPr>
          <w:rFonts w:ascii="Book Antiqua" w:eastAsia="Book Antiqua" w:hAnsi="Book Antiqua" w:cs="Book Antiqua"/>
          <w:color w:val="000000"/>
        </w:rPr>
        <w:t xml:space="preserve"> azoxymethane. The</w:t>
      </w:r>
      <w:r w:rsidR="003D6471">
        <w:rPr>
          <w:rFonts w:ascii="Book Antiqua" w:eastAsia="Book Antiqua" w:hAnsi="Book Antiqua" w:cs="Book Antiqua"/>
          <w:color w:val="000000"/>
        </w:rPr>
        <w:t>y</w:t>
      </w:r>
      <w:r w:rsidRPr="00BA2B87">
        <w:rPr>
          <w:rFonts w:ascii="Book Antiqua" w:eastAsia="Book Antiqua" w:hAnsi="Book Antiqua" w:cs="Book Antiqua"/>
          <w:color w:val="000000"/>
        </w:rPr>
        <w:t xml:space="preserve"> the</w:t>
      </w:r>
      <w:r w:rsidR="003D6471">
        <w:rPr>
          <w:rFonts w:ascii="Book Antiqua" w:eastAsia="Book Antiqua" w:hAnsi="Book Antiqua" w:cs="Book Antiqua"/>
          <w:color w:val="000000"/>
        </w:rPr>
        <w:t>n</w:t>
      </w:r>
      <w:r w:rsidRPr="00BA2B87">
        <w:rPr>
          <w:rFonts w:ascii="Book Antiqua" w:eastAsia="Book Antiqua" w:hAnsi="Book Antiqua" w:cs="Book Antiqua"/>
          <w:color w:val="000000"/>
        </w:rPr>
        <w:t xml:space="preserve"> fed the rats high-dose aspirin (400 ppm) for 42 wk. According to the culminated results, the researchers reported that 400 ppm aspirin significantly prevented the occurrence of CRC by about 29% (</w:t>
      </w:r>
      <w:r w:rsidRPr="00A81BA9">
        <w:rPr>
          <w:rFonts w:ascii="Book Antiqua" w:eastAsia="Book Antiqua" w:hAnsi="Book Antiqua" w:cs="Book Antiqua"/>
          <w:i/>
          <w:iCs/>
          <w:color w:val="000000"/>
        </w:rPr>
        <w:t>P</w:t>
      </w:r>
      <w:r w:rsidR="00A81BA9">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 0.05). Therefore, the study concluded that aspirin has the ability to reduce cell proliferation in CRCs</w:t>
      </w:r>
      <w:r w:rsidRPr="00BA2B87">
        <w:rPr>
          <w:rFonts w:ascii="Book Antiqua" w:eastAsia="Book Antiqua" w:hAnsi="Book Antiqua" w:cs="Book Antiqua"/>
          <w:color w:val="000000"/>
          <w:vertAlign w:val="superscript"/>
        </w:rPr>
        <w:t>[106]</w:t>
      </w:r>
      <w:r w:rsidRPr="00BA2B87">
        <w:rPr>
          <w:rFonts w:ascii="Book Antiqua" w:eastAsia="Book Antiqua" w:hAnsi="Book Antiqua" w:cs="Book Antiqua"/>
          <w:color w:val="000000"/>
        </w:rPr>
        <w:t>. Two large randomized trials comparing aspirin users (300 mg, 500 mg, or 1200 mg) and non-users were followed up for more than 20 years to find an association between aspirin and CRC risk. After evaluating the results, it was found that daily aspirin use (300 mg or more) for a period of about 5 years was efficient in preventing CRC, with a latency period of about 10 years</w:t>
      </w:r>
      <w:r w:rsidRPr="00BA2B87">
        <w:rPr>
          <w:rFonts w:ascii="Book Antiqua" w:eastAsia="Book Antiqua" w:hAnsi="Book Antiqua" w:cs="Book Antiqua"/>
          <w:color w:val="000000"/>
          <w:vertAlign w:val="superscript"/>
        </w:rPr>
        <w:t>[107]</w:t>
      </w:r>
      <w:r w:rsidRPr="00BA2B87">
        <w:rPr>
          <w:rFonts w:ascii="Book Antiqua" w:eastAsia="Book Antiqua" w:hAnsi="Book Antiqua" w:cs="Book Antiqua"/>
          <w:color w:val="000000"/>
        </w:rPr>
        <w:t xml:space="preserve">. SW480 colon cancer </w:t>
      </w:r>
      <w:r w:rsidR="003D6471">
        <w:rPr>
          <w:rFonts w:ascii="Book Antiqua" w:eastAsia="Book Antiqua" w:hAnsi="Book Antiqua" w:cs="Book Antiqua"/>
          <w:color w:val="000000"/>
        </w:rPr>
        <w:t xml:space="preserve">cells </w:t>
      </w:r>
      <w:r w:rsidRPr="00BA2B87">
        <w:rPr>
          <w:rFonts w:ascii="Book Antiqua" w:eastAsia="Book Antiqua" w:hAnsi="Book Antiqua" w:cs="Book Antiqua"/>
          <w:color w:val="000000"/>
        </w:rPr>
        <w:t xml:space="preserve">were treated with 0.5-10 mmol/L aspirin for 2 d to study the effects of aspirin on colon cancer. </w:t>
      </w:r>
      <w:r w:rsidR="003D6471">
        <w:rPr>
          <w:rFonts w:ascii="Book Antiqua" w:eastAsia="Book Antiqua" w:hAnsi="Book Antiqua" w:cs="Book Antiqua"/>
          <w:color w:val="000000"/>
        </w:rPr>
        <w:t>A</w:t>
      </w:r>
      <w:r w:rsidRPr="00BA2B87">
        <w:rPr>
          <w:rFonts w:ascii="Book Antiqua" w:eastAsia="Book Antiqua" w:hAnsi="Book Antiqua" w:cs="Book Antiqua"/>
          <w:color w:val="000000"/>
        </w:rPr>
        <w:t xml:space="preserve">spirin was shown to inhibit colon cancer cell migration by regulating epithelial-mesenchymal transition and </w:t>
      </w:r>
      <w:r w:rsidR="003D6471">
        <w:rPr>
          <w:rFonts w:ascii="Book Antiqua" w:eastAsia="Book Antiqua" w:hAnsi="Book Antiqua" w:cs="Book Antiqua"/>
          <w:color w:val="000000"/>
        </w:rPr>
        <w:t xml:space="preserve">it was </w:t>
      </w:r>
      <w:r w:rsidRPr="00BA2B87">
        <w:rPr>
          <w:rFonts w:ascii="Book Antiqua" w:eastAsia="Book Antiqua" w:hAnsi="Book Antiqua" w:cs="Book Antiqua"/>
          <w:color w:val="000000"/>
        </w:rPr>
        <w:t>emphasized that aspirin has the ability to curb tumor metastasis</w:t>
      </w:r>
      <w:r w:rsidRPr="00BA2B87">
        <w:rPr>
          <w:rFonts w:ascii="Book Antiqua" w:eastAsia="Book Antiqua" w:hAnsi="Book Antiqua" w:cs="Book Antiqua"/>
          <w:color w:val="000000"/>
          <w:vertAlign w:val="superscript"/>
        </w:rPr>
        <w:t>[108]</w:t>
      </w:r>
      <w:r w:rsidRPr="00BA2B87">
        <w:rPr>
          <w:rFonts w:ascii="Book Antiqua" w:eastAsia="Book Antiqua" w:hAnsi="Book Antiqua" w:cs="Book Antiqua"/>
          <w:color w:val="000000"/>
        </w:rPr>
        <w:t>.</w:t>
      </w:r>
    </w:p>
    <w:p w14:paraId="6A773404" w14:textId="77777777" w:rsidR="00A77B3E" w:rsidRPr="00BA2B87" w:rsidRDefault="00A77B3E" w:rsidP="00BA2B87">
      <w:pPr>
        <w:spacing w:line="360" w:lineRule="auto"/>
        <w:jc w:val="both"/>
        <w:rPr>
          <w:rFonts w:ascii="Book Antiqua" w:hAnsi="Book Antiqua"/>
        </w:rPr>
      </w:pPr>
    </w:p>
    <w:p w14:paraId="7A136DEB" w14:textId="3B4526CE" w:rsidR="00A77B3E" w:rsidRPr="00BA2B87" w:rsidRDefault="00925687" w:rsidP="00BA2B87">
      <w:pPr>
        <w:spacing w:line="360" w:lineRule="auto"/>
        <w:jc w:val="both"/>
        <w:rPr>
          <w:rFonts w:ascii="Book Antiqua" w:hAnsi="Book Antiqua"/>
        </w:rPr>
      </w:pPr>
      <w:r w:rsidRPr="00A81BA9">
        <w:rPr>
          <w:rFonts w:ascii="Book Antiqua" w:eastAsia="Book Antiqua" w:hAnsi="Book Antiqua" w:cs="Book Antiqua"/>
          <w:b/>
          <w:bCs/>
          <w:color w:val="000000"/>
        </w:rPr>
        <w:t>Cimetidine:</w:t>
      </w:r>
      <w:r w:rsidRPr="00BA2B87">
        <w:rPr>
          <w:rFonts w:ascii="Book Antiqua" w:eastAsia="Book Antiqua" w:hAnsi="Book Antiqua" w:cs="Book Antiqua"/>
          <w:color w:val="000000"/>
        </w:rPr>
        <w:t xml:space="preserve"> The histamine receptor 2 antagonist cimetidine has intense immunomodulatory effects on the innate and adaptive immune systems</w:t>
      </w:r>
      <w:r w:rsidRPr="00BA2B87">
        <w:rPr>
          <w:rFonts w:ascii="Book Antiqua" w:eastAsia="Book Antiqua" w:hAnsi="Book Antiqua" w:cs="Book Antiqua"/>
          <w:color w:val="000000"/>
          <w:vertAlign w:val="superscript"/>
        </w:rPr>
        <w:t>[109]</w:t>
      </w:r>
      <w:r w:rsidRPr="00BA2B87">
        <w:rPr>
          <w:rFonts w:ascii="Book Antiqua" w:eastAsia="Book Antiqua" w:hAnsi="Book Antiqua" w:cs="Book Antiqua"/>
          <w:color w:val="000000"/>
        </w:rPr>
        <w:t xml:space="preserve">. The anticancer effects of cimetidine have been highlighted in many cancers, including CRC. To investigate the effects of cimetidine on colon carcinomas, 125 patients who planned to undergo elective colon or rectal excision were treated with cimetidine </w:t>
      </w:r>
      <w:r w:rsidR="0033125B">
        <w:rPr>
          <w:rFonts w:ascii="Book Antiqua" w:eastAsia="Book Antiqua" w:hAnsi="Book Antiqua" w:cs="Book Antiqua"/>
          <w:color w:val="000000"/>
        </w:rPr>
        <w:t xml:space="preserve">for </w:t>
      </w:r>
      <w:r w:rsidRPr="00BA2B87">
        <w:rPr>
          <w:rFonts w:ascii="Book Antiqua" w:eastAsia="Book Antiqua" w:hAnsi="Book Antiqua" w:cs="Book Antiqua"/>
          <w:color w:val="000000"/>
        </w:rPr>
        <w:t>5 d before surgery. Using IHC, Kaplan-Meier, and computer video image analysis, the patients who received 800 mg of cimetidine twice daily were compared with the placebo group. Based on the results obtained, the researchers concluded that a short course of cimetidine treatment before surgery may have an impact on patient survival</w:t>
      </w:r>
      <w:r w:rsidRPr="00BA2B87">
        <w:rPr>
          <w:rFonts w:ascii="Book Antiqua" w:eastAsia="Book Antiqua" w:hAnsi="Book Antiqua" w:cs="Book Antiqua"/>
          <w:color w:val="000000"/>
          <w:vertAlign w:val="superscript"/>
        </w:rPr>
        <w:t>[110]</w:t>
      </w:r>
      <w:r w:rsidRPr="00BA2B87">
        <w:rPr>
          <w:rFonts w:ascii="Book Antiqua" w:eastAsia="Book Antiqua" w:hAnsi="Book Antiqua" w:cs="Book Antiqua"/>
          <w:color w:val="000000"/>
        </w:rPr>
        <w:t xml:space="preserve">. Another study by Kobayashi </w:t>
      </w:r>
      <w:r w:rsidR="00A81BA9" w:rsidRPr="00A81BA9">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[111]</w:t>
      </w:r>
      <w:r w:rsidRPr="00BA2B87">
        <w:rPr>
          <w:rFonts w:ascii="Book Antiqua" w:eastAsia="Book Antiqua" w:hAnsi="Book Antiqua" w:cs="Book Antiqua"/>
          <w:color w:val="000000"/>
        </w:rPr>
        <w:t xml:space="preserve"> investigated the mechanism of cimetidine in CRC. According to the analy</w:t>
      </w:r>
      <w:r w:rsidR="0033125B">
        <w:rPr>
          <w:rFonts w:ascii="Book Antiqua" w:eastAsia="Book Antiqua" w:hAnsi="Book Antiqua" w:cs="Book Antiqua"/>
          <w:color w:val="000000"/>
        </w:rPr>
        <w:t>s</w:t>
      </w:r>
      <w:r w:rsidRPr="00BA2B87">
        <w:rPr>
          <w:rFonts w:ascii="Book Antiqua" w:eastAsia="Book Antiqua" w:hAnsi="Book Antiqua" w:cs="Book Antiqua"/>
          <w:color w:val="000000"/>
        </w:rPr>
        <w:t>es, they showed that cimetidine c</w:t>
      </w:r>
      <w:r w:rsidR="0033125B">
        <w:rPr>
          <w:rFonts w:ascii="Book Antiqua" w:eastAsia="Book Antiqua" w:hAnsi="Book Antiqua" w:cs="Book Antiqua"/>
          <w:color w:val="000000"/>
        </w:rPr>
        <w:t>ould</w:t>
      </w:r>
      <w:r w:rsidRPr="00BA2B87">
        <w:rPr>
          <w:rFonts w:ascii="Book Antiqua" w:eastAsia="Book Antiqua" w:hAnsi="Book Antiqua" w:cs="Book Antiqua"/>
          <w:color w:val="000000"/>
        </w:rPr>
        <w:t xml:space="preserve"> inhibit adhesion of </w:t>
      </w:r>
      <w:r w:rsidR="0033125B">
        <w:rPr>
          <w:rFonts w:ascii="Book Antiqua" w:eastAsia="Book Antiqua" w:hAnsi="Book Antiqua" w:cs="Book Antiqua"/>
          <w:color w:val="000000"/>
        </w:rPr>
        <w:t>the</w:t>
      </w:r>
      <w:r w:rsidRPr="00BA2B87">
        <w:rPr>
          <w:rFonts w:ascii="Book Antiqua" w:eastAsia="Book Antiqua" w:hAnsi="Book Antiqua" w:cs="Book Antiqua"/>
          <w:color w:val="000000"/>
        </w:rPr>
        <w:t xml:space="preserve"> CRC cell line to endothelial cells. Similarly, cimetidine can suppress the spread of cancer cells in a mouse model by decreasing the cell surface expression of E-selectin (an adhesion molecule) on endothelial cells. </w:t>
      </w:r>
      <w:r w:rsidR="0033125B">
        <w:rPr>
          <w:rFonts w:ascii="Book Antiqua" w:eastAsia="Book Antiqua" w:hAnsi="Book Antiqua" w:cs="Book Antiqua"/>
          <w:color w:val="000000"/>
        </w:rPr>
        <w:t xml:space="preserve">The effect of </w:t>
      </w:r>
      <w:r w:rsidRPr="00BA2B87">
        <w:rPr>
          <w:rFonts w:ascii="Book Antiqua" w:eastAsia="Book Antiqua" w:hAnsi="Book Antiqua" w:cs="Book Antiqua"/>
          <w:color w:val="000000"/>
        </w:rPr>
        <w:t xml:space="preserve">cimetidine on survival was </w:t>
      </w:r>
      <w:r w:rsidRPr="00BA2B87">
        <w:rPr>
          <w:rFonts w:ascii="Book Antiqua" w:eastAsia="Book Antiqua" w:hAnsi="Book Antiqua" w:cs="Book Antiqua"/>
          <w:color w:val="000000"/>
        </w:rPr>
        <w:lastRenderedPageBreak/>
        <w:t xml:space="preserve">studied using a total of 64 CRC-operated patients. Two weeks after surgery, patients were treated with 800 mg of cimetidine along with 200 mg of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rPr>
        <w:t xml:space="preserve"> (34 patients), while the placebo group (30 patients) received only </w:t>
      </w:r>
      <w:r w:rsidR="007C7C00" w:rsidRPr="00BA2B87">
        <w:rPr>
          <w:rFonts w:ascii="Book Antiqua" w:eastAsia="Book Antiqua" w:hAnsi="Book Antiqua" w:cs="Book Antiqua"/>
          <w:color w:val="000000"/>
        </w:rPr>
        <w:t>5-FU</w:t>
      </w:r>
      <w:r w:rsidRPr="00BA2B87">
        <w:rPr>
          <w:rFonts w:ascii="Book Antiqua" w:eastAsia="Book Antiqua" w:hAnsi="Book Antiqua" w:cs="Book Antiqua"/>
          <w:color w:val="000000"/>
        </w:rPr>
        <w:t xml:space="preserve"> for one year. After treatment, the 10-year cumulative survival rate was 84.6% in the cimetidine group and 49.8% in the control group. The researchers also indicated that cimetidine reduced the incidence of metastasis in CRC patients. Finally, by immunostaining tumor tissue, the researchers showed that CRC patients who ha</w:t>
      </w:r>
      <w:r w:rsidR="0033125B">
        <w:rPr>
          <w:rFonts w:ascii="Book Antiqua" w:eastAsia="Book Antiqua" w:hAnsi="Book Antiqua" w:cs="Book Antiqua"/>
          <w:color w:val="000000"/>
        </w:rPr>
        <w:t>d</w:t>
      </w:r>
      <w:r w:rsidRPr="00BA2B87">
        <w:rPr>
          <w:rFonts w:ascii="Book Antiqua" w:eastAsia="Book Antiqua" w:hAnsi="Book Antiqua" w:cs="Book Antiqua"/>
          <w:color w:val="000000"/>
        </w:rPr>
        <w:t xml:space="preserve"> high sLx or sLa epitope expression on tumor cells ha</w:t>
      </w:r>
      <w:r w:rsidR="0033125B">
        <w:rPr>
          <w:rFonts w:ascii="Book Antiqua" w:eastAsia="Book Antiqua" w:hAnsi="Book Antiqua" w:cs="Book Antiqua"/>
          <w:color w:val="000000"/>
        </w:rPr>
        <w:t>d</w:t>
      </w:r>
      <w:r w:rsidRPr="00BA2B87">
        <w:rPr>
          <w:rFonts w:ascii="Book Antiqua" w:eastAsia="Book Antiqua" w:hAnsi="Book Antiqua" w:cs="Book Antiqua"/>
          <w:color w:val="000000"/>
        </w:rPr>
        <w:t xml:space="preserve"> an increased survival rate</w:t>
      </w:r>
      <w:r w:rsidRPr="00BA2B87">
        <w:rPr>
          <w:rFonts w:ascii="Book Antiqua" w:eastAsia="Book Antiqua" w:hAnsi="Book Antiqua" w:cs="Book Antiqua"/>
          <w:color w:val="000000"/>
          <w:vertAlign w:val="superscript"/>
        </w:rPr>
        <w:t>[112]</w:t>
      </w:r>
      <w:r w:rsidRPr="00BA2B87">
        <w:rPr>
          <w:rFonts w:ascii="Book Antiqua" w:eastAsia="Book Antiqua" w:hAnsi="Book Antiqua" w:cs="Book Antiqua"/>
          <w:color w:val="000000"/>
        </w:rPr>
        <w:t xml:space="preserve">. Another recent study investigated whether the time to CRC relapse can be prolonged with cimetidine. The clinical outcomes of a total of 38 patients (stage III) were followed according to </w:t>
      </w:r>
      <w:r w:rsidR="0033125B">
        <w:rPr>
          <w:rFonts w:ascii="Book Antiqua" w:eastAsia="Book Antiqua" w:hAnsi="Book Antiqua" w:cs="Book Antiqua"/>
          <w:color w:val="000000"/>
        </w:rPr>
        <w:t>whether they received cimetidine</w:t>
      </w:r>
      <w:r w:rsidRPr="00BA2B87">
        <w:rPr>
          <w:rFonts w:ascii="Book Antiqua" w:eastAsia="Book Antiqua" w:hAnsi="Book Antiqua" w:cs="Book Antiqua"/>
          <w:color w:val="000000"/>
        </w:rPr>
        <w:t xml:space="preserve"> for more than 2 years. Clinical outcomes were compared between </w:t>
      </w:r>
      <w:r w:rsidR="0033125B">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groups using univariate analysis and Kaplan-Meier modeling. </w:t>
      </w:r>
      <w:r w:rsidR="0033125B">
        <w:rPr>
          <w:rFonts w:ascii="Book Antiqua" w:eastAsia="Book Antiqua" w:hAnsi="Book Antiqua" w:cs="Book Antiqua"/>
          <w:color w:val="000000"/>
        </w:rPr>
        <w:t>It was</w:t>
      </w:r>
      <w:r w:rsidRPr="00BA2B87">
        <w:rPr>
          <w:rFonts w:ascii="Book Antiqua" w:eastAsia="Book Antiqua" w:hAnsi="Book Antiqua" w:cs="Book Antiqua"/>
          <w:color w:val="000000"/>
        </w:rPr>
        <w:t xml:space="preserve"> found that days to relapse were significantly longer in the chemotherapy/cimetidine group than in the chemotherapy alone group. </w:t>
      </w:r>
      <w:r w:rsidR="0033125B">
        <w:rPr>
          <w:rFonts w:ascii="Book Antiqua" w:eastAsia="Book Antiqua" w:hAnsi="Book Antiqua" w:cs="Book Antiqua"/>
          <w:color w:val="000000"/>
        </w:rPr>
        <w:t>In addition</w:t>
      </w:r>
      <w:r w:rsidRPr="00BA2B87">
        <w:rPr>
          <w:rFonts w:ascii="Book Antiqua" w:eastAsia="Book Antiqua" w:hAnsi="Book Antiqua" w:cs="Book Antiqua"/>
          <w:color w:val="000000"/>
        </w:rPr>
        <w:t>, they reported that there was a direct association between the duration of cimetidine use and total cumulative cimetidine dose and cancer survival</w:t>
      </w:r>
      <w:r w:rsidRPr="00BA2B87">
        <w:rPr>
          <w:rFonts w:ascii="Book Antiqua" w:eastAsia="Book Antiqua" w:hAnsi="Book Antiqua" w:cs="Book Antiqua"/>
          <w:color w:val="000000"/>
          <w:vertAlign w:val="superscript"/>
        </w:rPr>
        <w:t>[113]</w:t>
      </w:r>
      <w:r w:rsidRPr="00BA2B87">
        <w:rPr>
          <w:rFonts w:ascii="Book Antiqua" w:eastAsia="Book Antiqua" w:hAnsi="Book Antiqua" w:cs="Book Antiqua"/>
          <w:color w:val="000000"/>
        </w:rPr>
        <w:t>.</w:t>
      </w:r>
    </w:p>
    <w:p w14:paraId="566CC2DC" w14:textId="77777777" w:rsidR="00A77B3E" w:rsidRPr="00BA2B87" w:rsidRDefault="00A77B3E" w:rsidP="00BA2B87">
      <w:pPr>
        <w:spacing w:line="360" w:lineRule="auto"/>
        <w:jc w:val="both"/>
        <w:rPr>
          <w:rFonts w:ascii="Book Antiqua" w:hAnsi="Book Antiqua"/>
        </w:rPr>
      </w:pPr>
    </w:p>
    <w:p w14:paraId="257C60BE" w14:textId="28E027D7" w:rsidR="00A77B3E" w:rsidRPr="00BA2B87" w:rsidRDefault="00925687" w:rsidP="00BA2B87">
      <w:pPr>
        <w:spacing w:line="360" w:lineRule="auto"/>
        <w:jc w:val="both"/>
        <w:rPr>
          <w:rFonts w:ascii="Book Antiqua" w:hAnsi="Book Antiqua"/>
        </w:rPr>
      </w:pPr>
      <w:r w:rsidRPr="00A81BA9">
        <w:rPr>
          <w:rFonts w:ascii="Book Antiqua" w:eastAsia="Book Antiqua" w:hAnsi="Book Antiqua" w:cs="Book Antiqua"/>
          <w:b/>
          <w:bCs/>
          <w:color w:val="000000"/>
        </w:rPr>
        <w:t xml:space="preserve">Diclofenac: </w:t>
      </w:r>
      <w:r w:rsidRPr="00BA2B87">
        <w:rPr>
          <w:rFonts w:ascii="Book Antiqua" w:eastAsia="Book Antiqua" w:hAnsi="Book Antiqua" w:cs="Book Antiqua"/>
          <w:color w:val="000000"/>
        </w:rPr>
        <w:t>The nonsteroidal anti-inflammatory drug diclofenac inhibits the enzyme cyclooxygenase-2 and has analgesic and antipyretic effects in addition to its anti-inflammatory function</w:t>
      </w:r>
      <w:r w:rsidRPr="00BA2B87">
        <w:rPr>
          <w:rFonts w:ascii="Book Antiqua" w:eastAsia="Book Antiqua" w:hAnsi="Book Antiqua" w:cs="Book Antiqua"/>
          <w:color w:val="000000"/>
          <w:vertAlign w:val="superscript"/>
        </w:rPr>
        <w:t>[114]</w:t>
      </w:r>
      <w:r w:rsidRPr="00BA2B87">
        <w:rPr>
          <w:rFonts w:ascii="Book Antiqua" w:eastAsia="Book Antiqua" w:hAnsi="Book Antiqua" w:cs="Book Antiqua"/>
          <w:color w:val="000000"/>
        </w:rPr>
        <w:t>. With increasing interest in the use of diclofenac in oncology, evidence of the anticancer effect of diclofenac in various cancers, including CRC</w:t>
      </w:r>
      <w:r w:rsidRPr="00BA2B87">
        <w:rPr>
          <w:rFonts w:ascii="Book Antiqua" w:eastAsia="Book Antiqua" w:hAnsi="Book Antiqua" w:cs="Book Antiqua"/>
          <w:color w:val="000000"/>
          <w:vertAlign w:val="superscript"/>
        </w:rPr>
        <w:t>[115]</w:t>
      </w:r>
      <w:r w:rsidRPr="00BA2B87">
        <w:rPr>
          <w:rFonts w:ascii="Book Antiqua" w:eastAsia="Book Antiqua" w:hAnsi="Book Antiqua" w:cs="Book Antiqua"/>
          <w:color w:val="000000"/>
        </w:rPr>
        <w:t xml:space="preserve">, is increasing day by day. One study investigated the effect of diclofenac on the growth of murine C-26 colon carcinoma cells and C-26 tumors in syngeneic mice. For this purpose, the researchers fed the mice (which were implanted </w:t>
      </w:r>
      <w:r w:rsidR="0033125B">
        <w:rPr>
          <w:rFonts w:ascii="Book Antiqua" w:eastAsia="Book Antiqua" w:hAnsi="Book Antiqua" w:cs="Book Antiqua"/>
          <w:color w:val="000000"/>
        </w:rPr>
        <w:t>with</w:t>
      </w:r>
      <w:r w:rsidRPr="00BA2B87">
        <w:rPr>
          <w:rFonts w:ascii="Book Antiqua" w:eastAsia="Book Antiqua" w:hAnsi="Book Antiqua" w:cs="Book Antiqua"/>
          <w:color w:val="000000"/>
        </w:rPr>
        <w:t xml:space="preserve"> colon tumors) diclofenac at a dose of 250 mg/L for 12 d. As a result of diclofenac treatment, cell death occurred on C-26 cells in a dose-dependent</w:t>
      </w:r>
      <w:r w:rsidR="0033125B">
        <w:rPr>
          <w:rFonts w:ascii="Book Antiqua" w:eastAsia="Book Antiqua" w:hAnsi="Book Antiqua" w:cs="Book Antiqua"/>
          <w:color w:val="000000"/>
        </w:rPr>
        <w:t xml:space="preserve"> manner</w:t>
      </w:r>
      <w:r w:rsidRPr="00BA2B87">
        <w:rPr>
          <w:rFonts w:ascii="Book Antiqua" w:eastAsia="Book Antiqua" w:hAnsi="Book Antiqua" w:cs="Book Antiqua"/>
          <w:color w:val="000000"/>
        </w:rPr>
        <w:t xml:space="preserve">. In addition, diclofenac contributed to the inhibition of tumor growth in mice. Overall, the study suggested </w:t>
      </w:r>
      <w:r w:rsidR="0033125B">
        <w:rPr>
          <w:rFonts w:ascii="Book Antiqua" w:eastAsia="Book Antiqua" w:hAnsi="Book Antiqua" w:cs="Book Antiqua"/>
          <w:color w:val="000000"/>
        </w:rPr>
        <w:t xml:space="preserve">that </w:t>
      </w:r>
      <w:r w:rsidRPr="00BA2B87">
        <w:rPr>
          <w:rFonts w:ascii="Book Antiqua" w:eastAsia="Book Antiqua" w:hAnsi="Book Antiqua" w:cs="Book Antiqua"/>
          <w:color w:val="000000"/>
        </w:rPr>
        <w:t xml:space="preserve">diclofenac </w:t>
      </w:r>
      <w:r w:rsidR="0033125B">
        <w:rPr>
          <w:rFonts w:ascii="Book Antiqua" w:eastAsia="Book Antiqua" w:hAnsi="Book Antiqua" w:cs="Book Antiqua"/>
          <w:color w:val="000000"/>
        </w:rPr>
        <w:t>w</w:t>
      </w:r>
      <w:r w:rsidRPr="00BA2B87">
        <w:rPr>
          <w:rFonts w:ascii="Book Antiqua" w:eastAsia="Book Antiqua" w:hAnsi="Book Antiqua" w:cs="Book Antiqua"/>
          <w:color w:val="000000"/>
        </w:rPr>
        <w:t>as a potential therapeutic and protective agent for colon cancer</w:t>
      </w:r>
      <w:r w:rsidRPr="00BA2B87">
        <w:rPr>
          <w:rFonts w:ascii="Book Antiqua" w:eastAsia="Book Antiqua" w:hAnsi="Book Antiqua" w:cs="Book Antiqua"/>
          <w:color w:val="000000"/>
          <w:vertAlign w:val="superscript"/>
        </w:rPr>
        <w:t>[116]</w:t>
      </w:r>
      <w:r w:rsidRPr="00BA2B87">
        <w:rPr>
          <w:rFonts w:ascii="Book Antiqua" w:eastAsia="Book Antiqua" w:hAnsi="Book Antiqua" w:cs="Book Antiqua"/>
          <w:color w:val="000000"/>
        </w:rPr>
        <w:t>. To reveal the molecular and therapeutic targets of diclofenac in colon cancer cells, the researchers used diclofenac in two cell</w:t>
      </w:r>
      <w:r w:rsidR="009956FB">
        <w:rPr>
          <w:rFonts w:ascii="Book Antiqua" w:eastAsia="Book Antiqua" w:hAnsi="Book Antiqua" w:cs="Book Antiqua"/>
          <w:color w:val="000000"/>
        </w:rPr>
        <w:t xml:space="preserve"> type</w:t>
      </w:r>
      <w:r w:rsidRPr="00BA2B87">
        <w:rPr>
          <w:rFonts w:ascii="Book Antiqua" w:eastAsia="Book Antiqua" w:hAnsi="Book Antiqua" w:cs="Book Antiqua"/>
          <w:color w:val="000000"/>
        </w:rPr>
        <w:t xml:space="preserve">s, HCT 116 (wt p53) and SW480 (mutant p53R273H). The </w:t>
      </w:r>
      <w:r w:rsidRPr="00BA2B87">
        <w:rPr>
          <w:rFonts w:ascii="Book Antiqua" w:eastAsia="Book Antiqua" w:hAnsi="Book Antiqua" w:cs="Book Antiqua"/>
          <w:color w:val="000000"/>
        </w:rPr>
        <w:lastRenderedPageBreak/>
        <w:t xml:space="preserve">results of the analysis culminated in subcytotoxic concentrations of diclofenac (400 </w:t>
      </w:r>
      <w:r w:rsidR="007C7C00">
        <w:rPr>
          <w:rFonts w:ascii="Book Antiqua" w:eastAsia="Book Antiqua" w:hAnsi="Book Antiqua" w:cs="Book Antiqua"/>
          <w:color w:val="000000"/>
        </w:rPr>
        <w:t>μ</w:t>
      </w:r>
      <w:r w:rsidRPr="00BA2B87">
        <w:rPr>
          <w:rFonts w:ascii="Book Antiqua" w:eastAsia="Book Antiqua" w:hAnsi="Book Antiqua" w:cs="Book Antiqua"/>
          <w:color w:val="000000"/>
        </w:rPr>
        <w:t>M) causing an increase in cell death in HCT 116 cells compared to SW480</w:t>
      </w:r>
      <w:r w:rsidR="0033125B">
        <w:rPr>
          <w:rFonts w:ascii="Book Antiqua" w:eastAsia="Book Antiqua" w:hAnsi="Book Antiqua" w:cs="Book Antiqua"/>
          <w:color w:val="000000"/>
        </w:rPr>
        <w:t xml:space="preserve"> cells</w:t>
      </w:r>
      <w:r w:rsidRPr="00BA2B87">
        <w:rPr>
          <w:rFonts w:ascii="Book Antiqua" w:eastAsia="Book Antiqua" w:hAnsi="Book Antiqua" w:cs="Book Antiqua"/>
          <w:color w:val="000000"/>
        </w:rPr>
        <w:t>. Furthermore, diclofenac promotes cell death by altering the PI3K/Akt/MAPK signaling axis in HCT 116 colon cancer cells</w:t>
      </w:r>
      <w:r w:rsidRPr="00BA2B87">
        <w:rPr>
          <w:rFonts w:ascii="Book Antiqua" w:eastAsia="Book Antiqua" w:hAnsi="Book Antiqua" w:cs="Book Antiqua"/>
          <w:color w:val="000000"/>
          <w:vertAlign w:val="superscript"/>
        </w:rPr>
        <w:t>[117]</w:t>
      </w:r>
      <w:r w:rsidRPr="00BA2B87">
        <w:rPr>
          <w:rFonts w:ascii="Book Antiqua" w:eastAsia="Book Antiqua" w:hAnsi="Book Antiqua" w:cs="Book Antiqua"/>
          <w:color w:val="000000"/>
        </w:rPr>
        <w:t>.</w:t>
      </w:r>
    </w:p>
    <w:p w14:paraId="2F98254D" w14:textId="77777777" w:rsidR="00A77B3E" w:rsidRPr="00BA2B87" w:rsidRDefault="00A77B3E" w:rsidP="00BA2B87">
      <w:pPr>
        <w:spacing w:line="360" w:lineRule="auto"/>
        <w:jc w:val="both"/>
        <w:rPr>
          <w:rFonts w:ascii="Book Antiqua" w:hAnsi="Book Antiqua"/>
        </w:rPr>
      </w:pPr>
    </w:p>
    <w:p w14:paraId="7ADBD15D" w14:textId="0057760F"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 xml:space="preserve">Chloroquine: </w:t>
      </w:r>
      <w:r w:rsidRPr="00BA2B87">
        <w:rPr>
          <w:rFonts w:ascii="Book Antiqua" w:eastAsia="Book Antiqua" w:hAnsi="Book Antiqua" w:cs="Book Antiqua"/>
          <w:color w:val="000000"/>
        </w:rPr>
        <w:t xml:space="preserve">The main use of chloroquine is in the treatment of malaria. However, </w:t>
      </w:r>
      <w:r w:rsidR="0033125B">
        <w:rPr>
          <w:rFonts w:ascii="Book Antiqua" w:eastAsia="Book Antiqua" w:hAnsi="Book Antiqua" w:cs="Book Antiqua"/>
          <w:color w:val="000000"/>
        </w:rPr>
        <w:t>DR</w:t>
      </w:r>
      <w:r w:rsidRPr="00BA2B87">
        <w:rPr>
          <w:rFonts w:ascii="Book Antiqua" w:eastAsia="Book Antiqua" w:hAnsi="Book Antiqua" w:cs="Book Antiqua"/>
          <w:color w:val="000000"/>
        </w:rPr>
        <w:t xml:space="preserve"> studies showed that the use of chloroquine is also effective in cancer treatment strategies, especially in combination with preferred anti-cancer agents</w:t>
      </w:r>
      <w:r w:rsidRPr="00BA2B87">
        <w:rPr>
          <w:rFonts w:ascii="Book Antiqua" w:eastAsia="Book Antiqua" w:hAnsi="Book Antiqua" w:cs="Book Antiqua"/>
          <w:color w:val="000000"/>
          <w:vertAlign w:val="superscript"/>
        </w:rPr>
        <w:t>[118]</w:t>
      </w:r>
      <w:r w:rsidRPr="00BA2B87">
        <w:rPr>
          <w:rFonts w:ascii="Book Antiqua" w:eastAsia="Book Antiqua" w:hAnsi="Book Antiqua" w:cs="Book Antiqua"/>
          <w:color w:val="000000"/>
        </w:rPr>
        <w:t xml:space="preserve">. In another study, the human CRC cell line HT29 was treated with chloroquine and/or 5-FU to investigate whether chloroquine potentiates the effect of 5-FU in CRC. For this purpose, cells were treated with chloroquine at different doses (0.1, 1, 10, 100, or 1000 μM) for 12 and 24 h, </w:t>
      </w:r>
      <w:r w:rsidR="005218B4">
        <w:rPr>
          <w:rFonts w:ascii="Book Antiqua" w:eastAsia="Book Antiqua" w:hAnsi="Book Antiqua" w:cs="Book Antiqua"/>
          <w:color w:val="000000"/>
        </w:rPr>
        <w:t>and</w:t>
      </w:r>
      <w:r w:rsidRPr="00BA2B87">
        <w:rPr>
          <w:rFonts w:ascii="Book Antiqua" w:eastAsia="Book Antiqua" w:hAnsi="Book Antiqua" w:cs="Book Antiqua"/>
          <w:color w:val="000000"/>
        </w:rPr>
        <w:t xml:space="preserve"> treated with 5-FU at doses of 0.01, 0.1, 1, 10, 100, or 1000 μM for 24, 48, and 72 h. </w:t>
      </w:r>
      <w:r w:rsidR="005218B4">
        <w:rPr>
          <w:rFonts w:ascii="Book Antiqua" w:eastAsia="Book Antiqua" w:hAnsi="Book Antiqua" w:cs="Book Antiqua"/>
          <w:color w:val="000000"/>
        </w:rPr>
        <w:t>C</w:t>
      </w:r>
      <w:r w:rsidRPr="00BA2B87">
        <w:rPr>
          <w:rFonts w:ascii="Book Antiqua" w:eastAsia="Book Antiqua" w:hAnsi="Book Antiqua" w:cs="Book Antiqua"/>
          <w:color w:val="000000"/>
        </w:rPr>
        <w:t xml:space="preserve">ells were </w:t>
      </w:r>
      <w:r w:rsidR="005218B4">
        <w:rPr>
          <w:rFonts w:ascii="Book Antiqua" w:eastAsia="Book Antiqua" w:hAnsi="Book Antiqua" w:cs="Book Antiqua"/>
          <w:color w:val="000000"/>
        </w:rPr>
        <w:t xml:space="preserve">also </w:t>
      </w:r>
      <w:r w:rsidRPr="00BA2B87">
        <w:rPr>
          <w:rFonts w:ascii="Book Antiqua" w:eastAsia="Book Antiqua" w:hAnsi="Book Antiqua" w:cs="Book Antiqua"/>
          <w:color w:val="000000"/>
        </w:rPr>
        <w:t xml:space="preserve">first treated with chloroquine (80 μM) for 12 h and then 5-FU. </w:t>
      </w:r>
      <w:r w:rsidR="005218B4">
        <w:rPr>
          <w:rFonts w:ascii="Book Antiqua" w:eastAsia="Book Antiqua" w:hAnsi="Book Antiqua" w:cs="Book Antiqua"/>
          <w:color w:val="000000"/>
        </w:rPr>
        <w:t>T</w:t>
      </w:r>
      <w:r w:rsidRPr="00BA2B87">
        <w:rPr>
          <w:rFonts w:ascii="Book Antiqua" w:eastAsia="Book Antiqua" w:hAnsi="Book Antiqua" w:cs="Book Antiqua"/>
          <w:color w:val="000000"/>
        </w:rPr>
        <w:t>he researchers found that chloroquine co-treatment caused an increase in cell inhibition and a decrease in reproduction of about 33% compared to the control group. Accordingly, the researchers concluded that combination therapy with chloroquine and 5-FU is an impressive and promising strategy for curing CRC</w:t>
      </w:r>
      <w:r w:rsidRPr="00BA2B87">
        <w:rPr>
          <w:rFonts w:ascii="Book Antiqua" w:eastAsia="Book Antiqua" w:hAnsi="Book Antiqua" w:cs="Book Antiqua"/>
          <w:color w:val="000000"/>
          <w:vertAlign w:val="superscript"/>
        </w:rPr>
        <w:t>[119]</w:t>
      </w:r>
      <w:r w:rsidRPr="00BA2B87">
        <w:rPr>
          <w:rFonts w:ascii="Book Antiqua" w:eastAsia="Book Antiqua" w:hAnsi="Book Antiqua" w:cs="Book Antiqua"/>
          <w:color w:val="000000"/>
        </w:rPr>
        <w:t xml:space="preserve">. The effects of different concentrations of chloroquine on CRC were investigated using the HCT15 cell line. For this purpose, the researchers treated the cell lines with chloroquine at different doses (5 </w:t>
      </w:r>
      <w:r w:rsidR="007C7C00" w:rsidRPr="00BA2B87">
        <w:rPr>
          <w:rFonts w:ascii="Book Antiqua" w:eastAsia="Book Antiqua" w:hAnsi="Book Antiqua" w:cs="Book Antiqua"/>
          <w:color w:val="000000"/>
        </w:rPr>
        <w:t>μM</w:t>
      </w:r>
      <w:r w:rsidRPr="00BA2B87">
        <w:rPr>
          <w:rFonts w:ascii="Book Antiqua" w:eastAsia="Book Antiqua" w:hAnsi="Book Antiqua" w:cs="Book Antiqua"/>
          <w:color w:val="000000"/>
        </w:rPr>
        <w:t xml:space="preserve"> to 80 </w:t>
      </w:r>
      <w:r w:rsidR="007C7C00" w:rsidRPr="00BA2B87">
        <w:rPr>
          <w:rFonts w:ascii="Book Antiqua" w:eastAsia="Book Antiqua" w:hAnsi="Book Antiqua" w:cs="Book Antiqua"/>
          <w:color w:val="000000"/>
        </w:rPr>
        <w:t>μM</w:t>
      </w:r>
      <w:r w:rsidRPr="00BA2B87">
        <w:rPr>
          <w:rFonts w:ascii="Book Antiqua" w:eastAsia="Book Antiqua" w:hAnsi="Book Antiqua" w:cs="Book Antiqua"/>
          <w:color w:val="000000"/>
        </w:rPr>
        <w:t xml:space="preserve">) in a time-dependent manner (12, 24, 48 or 72 h). They also used </w:t>
      </w:r>
      <w:r w:rsidR="005218B4">
        <w:rPr>
          <w:rFonts w:ascii="Book Antiqua" w:eastAsia="Book Antiqua" w:hAnsi="Book Antiqua" w:cs="Book Antiqua"/>
          <w:color w:val="000000"/>
        </w:rPr>
        <w:t>the</w:t>
      </w:r>
      <w:r w:rsidRPr="00BA2B87">
        <w:rPr>
          <w:rFonts w:ascii="Book Antiqua" w:eastAsia="Book Antiqua" w:hAnsi="Book Antiqua" w:cs="Book Antiqua"/>
          <w:color w:val="000000"/>
        </w:rPr>
        <w:t xml:space="preserve"> anticancer drug RNVP-BEZ235, which is an inhibitor of PI3K and mTOR, to study the different effects of chloroquine. </w:t>
      </w:r>
      <w:r w:rsidR="005218B4">
        <w:rPr>
          <w:rFonts w:ascii="Book Antiqua" w:eastAsia="Book Antiqua" w:hAnsi="Book Antiqua" w:cs="Book Antiqua"/>
          <w:color w:val="000000"/>
        </w:rPr>
        <w:t>It was</w:t>
      </w:r>
      <w:r w:rsidRPr="00BA2B87">
        <w:rPr>
          <w:rFonts w:ascii="Book Antiqua" w:eastAsia="Book Antiqua" w:hAnsi="Book Antiqua" w:cs="Book Antiqua"/>
          <w:color w:val="000000"/>
        </w:rPr>
        <w:t xml:space="preserve"> found that chloroquine ha</w:t>
      </w:r>
      <w:r w:rsidR="005218B4">
        <w:rPr>
          <w:rFonts w:ascii="Book Antiqua" w:eastAsia="Book Antiqua" w:hAnsi="Book Antiqua" w:cs="Book Antiqua"/>
          <w:color w:val="000000"/>
        </w:rPr>
        <w:t>d</w:t>
      </w:r>
      <w:r w:rsidRPr="00BA2B87">
        <w:rPr>
          <w:rFonts w:ascii="Book Antiqua" w:eastAsia="Book Antiqua" w:hAnsi="Book Antiqua" w:cs="Book Antiqua"/>
          <w:color w:val="000000"/>
        </w:rPr>
        <w:t xml:space="preserve"> different effects depending on the dose used. For example, chloroquine at low doses (10-20 </w:t>
      </w:r>
      <w:r w:rsidR="007C7C00" w:rsidRPr="00BA2B87">
        <w:rPr>
          <w:rFonts w:ascii="Book Antiqua" w:eastAsia="Book Antiqua" w:hAnsi="Book Antiqua" w:cs="Book Antiqua"/>
          <w:color w:val="000000"/>
        </w:rPr>
        <w:t>μM</w:t>
      </w:r>
      <w:r w:rsidRPr="00BA2B87">
        <w:rPr>
          <w:rFonts w:ascii="Book Antiqua" w:eastAsia="Book Antiqua" w:hAnsi="Book Antiqua" w:cs="Book Antiqua"/>
          <w:color w:val="000000"/>
        </w:rPr>
        <w:t xml:space="preserve">) rescues cell viability and acts as an autophagy inhibitor when used alone or with NVP-BEZ235. In contrast, chloroquine at high doses (40-160 </w:t>
      </w:r>
      <w:r w:rsidR="007C7C00" w:rsidRPr="00BA2B87">
        <w:rPr>
          <w:rFonts w:ascii="Book Antiqua" w:eastAsia="Book Antiqua" w:hAnsi="Book Antiqua" w:cs="Book Antiqua"/>
          <w:color w:val="000000"/>
        </w:rPr>
        <w:t>μ</w:t>
      </w:r>
      <w:r w:rsidR="00E61858">
        <w:rPr>
          <w:rFonts w:ascii="Book Antiqua" w:eastAsia="Book Antiqua" w:hAnsi="Book Antiqua" w:cs="Book Antiqua"/>
          <w:color w:val="000000"/>
        </w:rPr>
        <w:t>mol/L</w:t>
      </w:r>
      <w:r w:rsidRPr="00BA2B87">
        <w:rPr>
          <w:rFonts w:ascii="Book Antiqua" w:eastAsia="Book Antiqua" w:hAnsi="Book Antiqua" w:cs="Book Antiqua"/>
          <w:color w:val="000000"/>
        </w:rPr>
        <w:t>) promotes lysosomal membrane permeabilization and cell death</w:t>
      </w:r>
      <w:r w:rsidRPr="00BA2B87">
        <w:rPr>
          <w:rFonts w:ascii="Book Antiqua" w:eastAsia="Book Antiqua" w:hAnsi="Book Antiqua" w:cs="Book Antiqua"/>
          <w:color w:val="000000"/>
          <w:vertAlign w:val="superscript"/>
        </w:rPr>
        <w:t>[120]</w:t>
      </w:r>
      <w:r w:rsidRPr="00BA2B87">
        <w:rPr>
          <w:rFonts w:ascii="Book Antiqua" w:eastAsia="Book Antiqua" w:hAnsi="Book Antiqua" w:cs="Book Antiqua"/>
          <w:color w:val="000000"/>
        </w:rPr>
        <w:t>.</w:t>
      </w:r>
    </w:p>
    <w:p w14:paraId="5DFBC72F" w14:textId="77777777" w:rsidR="00A77B3E" w:rsidRPr="00BA2B87" w:rsidRDefault="00A77B3E" w:rsidP="00BA2B87">
      <w:pPr>
        <w:spacing w:line="360" w:lineRule="auto"/>
        <w:jc w:val="both"/>
        <w:rPr>
          <w:rFonts w:ascii="Book Antiqua" w:hAnsi="Book Antiqua"/>
        </w:rPr>
      </w:pPr>
    </w:p>
    <w:p w14:paraId="1F152D38" w14:textId="326C9896"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 xml:space="preserve">Sulindac: </w:t>
      </w:r>
      <w:r w:rsidR="005218B4">
        <w:rPr>
          <w:rFonts w:ascii="Book Antiqua" w:eastAsia="Book Antiqua" w:hAnsi="Book Antiqua" w:cs="Book Antiqua"/>
          <w:color w:val="000000"/>
        </w:rPr>
        <w:t>T</w:t>
      </w:r>
      <w:r w:rsidRPr="00BA2B87">
        <w:rPr>
          <w:rFonts w:ascii="Book Antiqua" w:eastAsia="Book Antiqua" w:hAnsi="Book Antiqua" w:cs="Book Antiqua"/>
          <w:color w:val="000000"/>
        </w:rPr>
        <w:t xml:space="preserve">he non-steroidal anti-inflammatory drug, sulindac, is defined as a cyclooxygenase inhibitor. </w:t>
      </w:r>
      <w:r w:rsidR="005218B4">
        <w:rPr>
          <w:rFonts w:ascii="Book Antiqua" w:eastAsia="Book Antiqua" w:hAnsi="Book Antiqua" w:cs="Book Antiqua"/>
          <w:color w:val="000000"/>
        </w:rPr>
        <w:t>As</w:t>
      </w:r>
      <w:r w:rsidRPr="00BA2B87">
        <w:rPr>
          <w:rFonts w:ascii="Book Antiqua" w:eastAsia="Book Antiqua" w:hAnsi="Book Antiqua" w:cs="Book Antiqua"/>
          <w:color w:val="000000"/>
        </w:rPr>
        <w:t xml:space="preserve"> cell death and proliferation </w:t>
      </w:r>
      <w:r w:rsidR="005218B4">
        <w:rPr>
          <w:rFonts w:ascii="Book Antiqua" w:eastAsia="Book Antiqua" w:hAnsi="Book Antiqua" w:cs="Book Antiqua"/>
          <w:color w:val="000000"/>
        </w:rPr>
        <w:t>of</w:t>
      </w:r>
      <w:r w:rsidRPr="00BA2B87">
        <w:rPr>
          <w:rFonts w:ascii="Book Antiqua" w:eastAsia="Book Antiqua" w:hAnsi="Book Antiqua" w:cs="Book Antiqua"/>
          <w:color w:val="000000"/>
        </w:rPr>
        <w:t xml:space="preserve"> cancer cell lines can be </w:t>
      </w:r>
      <w:r w:rsidRPr="00BA2B87">
        <w:rPr>
          <w:rFonts w:ascii="Book Antiqua" w:eastAsia="Book Antiqua" w:hAnsi="Book Antiqua" w:cs="Book Antiqua"/>
          <w:color w:val="000000"/>
        </w:rPr>
        <w:lastRenderedPageBreak/>
        <w:t>affected by a cyclooxygenase-independent mechanism, sulindac has been described as a promising anti-cancer repurposing agent</w:t>
      </w:r>
      <w:r w:rsidRPr="00BA2B87">
        <w:rPr>
          <w:rFonts w:ascii="Book Antiqua" w:eastAsia="Book Antiqua" w:hAnsi="Book Antiqua" w:cs="Book Antiqua"/>
          <w:color w:val="000000"/>
          <w:vertAlign w:val="superscript"/>
        </w:rPr>
        <w:t>[121]</w:t>
      </w:r>
      <w:r w:rsidRPr="00BA2B87">
        <w:rPr>
          <w:rFonts w:ascii="Book Antiqua" w:eastAsia="Book Antiqua" w:hAnsi="Book Antiqua" w:cs="Book Antiqua"/>
          <w:color w:val="000000"/>
        </w:rPr>
        <w:t>. In a study aimed at evaluating the dose effects of sulindac on CRC prevention, four different dosing regimens were applied to azoxymethane-treated mice. In the first dosing regimen, the researchers treated the mice with sulindac daily for 20 wk. In the second dosing regimen, the m</w:t>
      </w:r>
      <w:r w:rsidR="005218B4">
        <w:rPr>
          <w:rFonts w:ascii="Book Antiqua" w:eastAsia="Book Antiqua" w:hAnsi="Book Antiqua" w:cs="Book Antiqua"/>
          <w:color w:val="000000"/>
        </w:rPr>
        <w:t>ice were</w:t>
      </w:r>
      <w:r w:rsidRPr="00BA2B87">
        <w:rPr>
          <w:rFonts w:ascii="Book Antiqua" w:eastAsia="Book Antiqua" w:hAnsi="Book Antiqua" w:cs="Book Antiqua"/>
          <w:color w:val="000000"/>
        </w:rPr>
        <w:t xml:space="preserve"> treated with sulindac for 2 wk, treatment was discontinued for the next 2 wk, and this process was continued 5 times. In the third dosing regimen, sulindac was given to </w:t>
      </w:r>
      <w:r w:rsidR="005218B4">
        <w:rPr>
          <w:rFonts w:ascii="Book Antiqua" w:eastAsia="Book Antiqua" w:hAnsi="Book Antiqua" w:cs="Book Antiqua"/>
          <w:color w:val="000000"/>
        </w:rPr>
        <w:t>mice</w:t>
      </w:r>
      <w:r w:rsidRPr="00BA2B87">
        <w:rPr>
          <w:rFonts w:ascii="Book Antiqua" w:eastAsia="Book Antiqua" w:hAnsi="Book Antiqua" w:cs="Book Antiqua"/>
          <w:color w:val="000000"/>
        </w:rPr>
        <w:t xml:space="preserve"> for 10 wk and </w:t>
      </w:r>
      <w:r w:rsidR="005218B4">
        <w:rPr>
          <w:rFonts w:ascii="Book Antiqua" w:eastAsia="Book Antiqua" w:hAnsi="Book Antiqua" w:cs="Book Antiqua"/>
          <w:color w:val="000000"/>
        </w:rPr>
        <w:t xml:space="preserve">then </w:t>
      </w:r>
      <w:r w:rsidRPr="00BA2B87">
        <w:rPr>
          <w:rFonts w:ascii="Book Antiqua" w:eastAsia="Book Antiqua" w:hAnsi="Book Antiqua" w:cs="Book Antiqua"/>
          <w:color w:val="000000"/>
        </w:rPr>
        <w:t xml:space="preserve">not given for 10 wk. </w:t>
      </w:r>
      <w:r w:rsidR="005218B4">
        <w:rPr>
          <w:rFonts w:ascii="Book Antiqua" w:eastAsia="Book Antiqua" w:hAnsi="Book Antiqua" w:cs="Book Antiqua"/>
          <w:color w:val="000000"/>
        </w:rPr>
        <w:t>A</w:t>
      </w:r>
      <w:r w:rsidRPr="00BA2B87">
        <w:rPr>
          <w:rFonts w:ascii="Book Antiqua" w:eastAsia="Book Antiqua" w:hAnsi="Book Antiqua" w:cs="Book Antiqua"/>
          <w:color w:val="000000"/>
        </w:rPr>
        <w:t xml:space="preserve"> treatment regimen was not used in the last group and </w:t>
      </w:r>
      <w:r w:rsidR="009956FB">
        <w:rPr>
          <w:rFonts w:ascii="Book Antiqua" w:eastAsia="Book Antiqua" w:hAnsi="Book Antiqua" w:cs="Book Antiqua"/>
          <w:color w:val="000000"/>
        </w:rPr>
        <w:t xml:space="preserve">this </w:t>
      </w:r>
      <w:r w:rsidRPr="00BA2B87">
        <w:rPr>
          <w:rFonts w:ascii="Book Antiqua" w:eastAsia="Book Antiqua" w:hAnsi="Book Antiqua" w:cs="Book Antiqua"/>
          <w:color w:val="000000"/>
        </w:rPr>
        <w:t xml:space="preserve">was </w:t>
      </w:r>
      <w:r w:rsidR="005218B4">
        <w:rPr>
          <w:rFonts w:ascii="Book Antiqua" w:eastAsia="Book Antiqua" w:hAnsi="Book Antiqua" w:cs="Book Antiqua"/>
          <w:color w:val="000000"/>
        </w:rPr>
        <w:t>considered the</w:t>
      </w:r>
      <w:r w:rsidRPr="00BA2B87">
        <w:rPr>
          <w:rFonts w:ascii="Book Antiqua" w:eastAsia="Book Antiqua" w:hAnsi="Book Antiqua" w:cs="Book Antiqua"/>
          <w:color w:val="000000"/>
        </w:rPr>
        <w:t xml:space="preserve"> control</w:t>
      </w:r>
      <w:r w:rsidR="005218B4">
        <w:rPr>
          <w:rFonts w:ascii="Book Antiqua" w:eastAsia="Book Antiqua" w:hAnsi="Book Antiqua" w:cs="Book Antiqua"/>
          <w:color w:val="000000"/>
        </w:rPr>
        <w:t xml:space="preserve"> group</w:t>
      </w:r>
      <w:r w:rsidRPr="00BA2B87">
        <w:rPr>
          <w:rFonts w:ascii="Book Antiqua" w:eastAsia="Book Antiqua" w:hAnsi="Book Antiqua" w:cs="Book Antiqua"/>
          <w:color w:val="000000"/>
        </w:rPr>
        <w:t>. The first two sulindac regimens caused mark</w:t>
      </w:r>
      <w:r w:rsidR="005218B4">
        <w:rPr>
          <w:rFonts w:ascii="Book Antiqua" w:eastAsia="Book Antiqua" w:hAnsi="Book Antiqua" w:cs="Book Antiqua"/>
          <w:color w:val="000000"/>
        </w:rPr>
        <w:t>ed</w:t>
      </w:r>
      <w:r w:rsidRPr="00BA2B87">
        <w:rPr>
          <w:rFonts w:ascii="Book Antiqua" w:eastAsia="Book Antiqua" w:hAnsi="Book Antiqua" w:cs="Book Antiqua"/>
          <w:color w:val="000000"/>
        </w:rPr>
        <w:t>ly lower final tumor counts compared to controls (</w:t>
      </w:r>
      <w:r w:rsidRPr="007C7C00">
        <w:rPr>
          <w:rFonts w:ascii="Book Antiqua" w:eastAsia="Book Antiqua" w:hAnsi="Book Antiqua" w:cs="Book Antiqua"/>
          <w:i/>
          <w:iCs/>
          <w:color w:val="000000"/>
        </w:rPr>
        <w:t>P</w:t>
      </w:r>
      <w:r w:rsidR="007C7C00">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 0.001). </w:t>
      </w:r>
      <w:r w:rsidR="005218B4">
        <w:rPr>
          <w:rFonts w:ascii="Book Antiqua" w:eastAsia="Book Antiqua" w:hAnsi="Book Antiqua" w:cs="Book Antiqua"/>
          <w:color w:val="000000"/>
        </w:rPr>
        <w:t>In addition</w:t>
      </w:r>
      <w:r w:rsidRPr="00BA2B87">
        <w:rPr>
          <w:rFonts w:ascii="Book Antiqua" w:eastAsia="Book Antiqua" w:hAnsi="Book Antiqua" w:cs="Book Antiqua"/>
          <w:color w:val="000000"/>
        </w:rPr>
        <w:t xml:space="preserve">, there was a </w:t>
      </w:r>
      <w:r w:rsidR="005218B4">
        <w:rPr>
          <w:rFonts w:ascii="Book Antiqua" w:eastAsia="Book Antiqua" w:hAnsi="Book Antiqua" w:cs="Book Antiqua"/>
          <w:color w:val="000000"/>
        </w:rPr>
        <w:t>significant</w:t>
      </w:r>
      <w:r w:rsidRPr="00BA2B87">
        <w:rPr>
          <w:rFonts w:ascii="Book Antiqua" w:eastAsia="Book Antiqua" w:hAnsi="Book Antiqua" w:cs="Book Antiqua"/>
          <w:color w:val="000000"/>
        </w:rPr>
        <w:t xml:space="preserve"> decrease in tumor burden in all treatment groups compared with the control group. The study concluded that sulindac is a potential agent </w:t>
      </w:r>
      <w:r w:rsidR="005218B4">
        <w:rPr>
          <w:rFonts w:ascii="Book Antiqua" w:eastAsia="Book Antiqua" w:hAnsi="Book Antiqua" w:cs="Book Antiqua"/>
          <w:color w:val="000000"/>
        </w:rPr>
        <w:t>in the</w:t>
      </w:r>
      <w:r w:rsidRPr="00BA2B87">
        <w:rPr>
          <w:rFonts w:ascii="Book Antiqua" w:eastAsia="Book Antiqua" w:hAnsi="Book Antiqua" w:cs="Book Antiqua"/>
          <w:color w:val="000000"/>
        </w:rPr>
        <w:t xml:space="preserve"> prevention of CRC when used especially in intermittent doses</w:t>
      </w:r>
      <w:r w:rsidRPr="00BA2B87">
        <w:rPr>
          <w:rFonts w:ascii="Book Antiqua" w:eastAsia="Book Antiqua" w:hAnsi="Book Antiqua" w:cs="Book Antiqua"/>
          <w:color w:val="000000"/>
          <w:vertAlign w:val="superscript"/>
        </w:rPr>
        <w:t>[122]</w:t>
      </w:r>
      <w:r w:rsidRPr="00BA2B87">
        <w:rPr>
          <w:rFonts w:ascii="Book Antiqua" w:eastAsia="Book Antiqua" w:hAnsi="Book Antiqua" w:cs="Book Antiqua"/>
          <w:color w:val="000000"/>
        </w:rPr>
        <w:t xml:space="preserve">. To investigate the effects of sulindac on CRC, a recent study treated C57B/6 Apcmin/+ mice with sulindac (30 mg/kg) for 3 wk. Moreover, the study hypothesized that the presence of phosphatidylcholine (PC) in sulindac treatment does not cause gastrointestinal ulceration and bleeding, making use of the drug more convenient for the general population. Therefore, in addition to sulindac treatment, the researchers also treated mice with sulindac-PC (30 mg/kg). </w:t>
      </w:r>
      <w:r w:rsidR="005218B4">
        <w:rPr>
          <w:rFonts w:ascii="Book Antiqua" w:eastAsia="Book Antiqua" w:hAnsi="Book Antiqua" w:cs="Book Antiqua"/>
          <w:color w:val="000000"/>
        </w:rPr>
        <w:t>T</w:t>
      </w:r>
      <w:r w:rsidRPr="00BA2B87">
        <w:rPr>
          <w:rFonts w:ascii="Book Antiqua" w:eastAsia="Book Antiqua" w:hAnsi="Book Antiqua" w:cs="Book Antiqua"/>
          <w:color w:val="000000"/>
        </w:rPr>
        <w:t>he results showed that treatment with sulindac or sulindac-PC significantly affected the polyp count. Sulindac treatment result</w:t>
      </w:r>
      <w:r w:rsidR="005218B4">
        <w:rPr>
          <w:rFonts w:ascii="Book Antiqua" w:eastAsia="Book Antiqua" w:hAnsi="Book Antiqua" w:cs="Book Antiqua"/>
          <w:color w:val="000000"/>
        </w:rPr>
        <w:t>ed</w:t>
      </w:r>
      <w:r w:rsidRPr="00BA2B87">
        <w:rPr>
          <w:rFonts w:ascii="Book Antiqua" w:eastAsia="Book Antiqua" w:hAnsi="Book Antiqua" w:cs="Book Antiqua"/>
          <w:color w:val="000000"/>
        </w:rPr>
        <w:t xml:space="preserve"> in a 58% reduction in polyp count, while sulindac-PC result</w:t>
      </w:r>
      <w:r w:rsidR="005218B4">
        <w:rPr>
          <w:rFonts w:ascii="Book Antiqua" w:eastAsia="Book Antiqua" w:hAnsi="Book Antiqua" w:cs="Book Antiqua"/>
          <w:color w:val="000000"/>
        </w:rPr>
        <w:t>ed</w:t>
      </w:r>
      <w:r w:rsidRPr="00BA2B87">
        <w:rPr>
          <w:rFonts w:ascii="Book Antiqua" w:eastAsia="Book Antiqua" w:hAnsi="Book Antiqua" w:cs="Book Antiqua"/>
          <w:color w:val="000000"/>
        </w:rPr>
        <w:t xml:space="preserve"> in a 64% reduction. In addition, the researchers confirmed their hypothesis and showed that treatment with sulindac-PC minimize</w:t>
      </w:r>
      <w:r w:rsidR="005218B4">
        <w:rPr>
          <w:rFonts w:ascii="Book Antiqua" w:eastAsia="Book Antiqua" w:hAnsi="Book Antiqua" w:cs="Book Antiqua"/>
          <w:color w:val="000000"/>
        </w:rPr>
        <w:t>d</w:t>
      </w:r>
      <w:r w:rsidRPr="00BA2B87">
        <w:rPr>
          <w:rFonts w:ascii="Book Antiqua" w:eastAsia="Book Antiqua" w:hAnsi="Book Antiqua" w:cs="Book Antiqua"/>
          <w:color w:val="000000"/>
        </w:rPr>
        <w:t xml:space="preserve"> gastrointestinal ulceration compared to treatment with sulindac alone</w:t>
      </w:r>
      <w:r w:rsidRPr="00BA2B87">
        <w:rPr>
          <w:rFonts w:ascii="Book Antiqua" w:eastAsia="Book Antiqua" w:hAnsi="Book Antiqua" w:cs="Book Antiqua"/>
          <w:color w:val="000000"/>
          <w:vertAlign w:val="superscript"/>
        </w:rPr>
        <w:t>[123]</w:t>
      </w:r>
      <w:r w:rsidRPr="00BA2B87">
        <w:rPr>
          <w:rFonts w:ascii="Book Antiqua" w:eastAsia="Book Antiqua" w:hAnsi="Book Antiqua" w:cs="Book Antiqua"/>
          <w:color w:val="000000"/>
        </w:rPr>
        <w:t xml:space="preserve">. </w:t>
      </w:r>
    </w:p>
    <w:p w14:paraId="0A747A57" w14:textId="77777777" w:rsidR="00A77B3E" w:rsidRPr="00BA2B87" w:rsidRDefault="00A77B3E" w:rsidP="00BA2B87">
      <w:pPr>
        <w:spacing w:line="360" w:lineRule="auto"/>
        <w:jc w:val="both"/>
        <w:rPr>
          <w:rFonts w:ascii="Book Antiqua" w:hAnsi="Book Antiqua"/>
        </w:rPr>
      </w:pPr>
    </w:p>
    <w:p w14:paraId="3186098A" w14:textId="77EFDEDF"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Mesalazine:</w:t>
      </w:r>
      <w:r w:rsidRPr="00BA2B87">
        <w:rPr>
          <w:rFonts w:ascii="Book Antiqua" w:eastAsia="Book Antiqua" w:hAnsi="Book Antiqua" w:cs="Book Antiqua"/>
          <w:color w:val="000000"/>
        </w:rPr>
        <w:t xml:space="preserve"> Mesalazine, also known as 5-aminosalicylic acid, is an anti-inflammatory drug used to treat patients with mild to moderate ulcerative colitis</w:t>
      </w:r>
      <w:r w:rsidRPr="00BA2B87">
        <w:rPr>
          <w:rFonts w:ascii="Book Antiqua" w:eastAsia="Book Antiqua" w:hAnsi="Book Antiqua" w:cs="Book Antiqua"/>
          <w:color w:val="000000"/>
          <w:vertAlign w:val="superscript"/>
        </w:rPr>
        <w:t>[124]</w:t>
      </w:r>
      <w:r w:rsidRPr="00BA2B87">
        <w:rPr>
          <w:rFonts w:ascii="Book Antiqua" w:eastAsia="Book Antiqua" w:hAnsi="Book Antiqua" w:cs="Book Antiqua"/>
          <w:color w:val="000000"/>
        </w:rPr>
        <w:t xml:space="preserve">. Since the risk of developing CRC is increased in patients with ulcerative colitis, researchers investigated whether this drug could be used for both therapeutic purposes. To evaluate the effects of mesalazine in CRC, HT29 CRC cells were treated with mesalazine at various </w:t>
      </w:r>
      <w:r w:rsidRPr="00BA2B87">
        <w:rPr>
          <w:rFonts w:ascii="Book Antiqua" w:eastAsia="Book Antiqua" w:hAnsi="Book Antiqua" w:cs="Book Antiqua"/>
          <w:color w:val="000000"/>
        </w:rPr>
        <w:lastRenderedPageBreak/>
        <w:t xml:space="preserve">concentrations for 3 d. </w:t>
      </w:r>
      <w:r w:rsidR="00CF54BB">
        <w:rPr>
          <w:rFonts w:ascii="Book Antiqua" w:eastAsia="Book Antiqua" w:hAnsi="Book Antiqua" w:cs="Book Antiqua"/>
          <w:color w:val="000000"/>
        </w:rPr>
        <w:t>It was</w:t>
      </w:r>
      <w:r w:rsidRPr="00BA2B87">
        <w:rPr>
          <w:rFonts w:ascii="Book Antiqua" w:eastAsia="Book Antiqua" w:hAnsi="Book Antiqua" w:cs="Book Antiqua"/>
          <w:color w:val="000000"/>
        </w:rPr>
        <w:t xml:space="preserve"> found that mesalazine decreased cell proliferation and increased apoptosis of CRC cells. Treatment with mesalazine at a concentration of 20 mmol/L significantly decreased the number of CRC cells compared to controls. In addition, 30 mmol/L mesalazine decreased the number of HT29 cells by 50%. Increasing the concentration of mesalazine from 0 to 40 mmol/L also increased apoptosis. </w:t>
      </w:r>
      <w:r w:rsidR="00CF54BB">
        <w:rPr>
          <w:rFonts w:ascii="Book Antiqua" w:eastAsia="Book Antiqua" w:hAnsi="Book Antiqua" w:cs="Book Antiqua"/>
          <w:color w:val="000000"/>
        </w:rPr>
        <w:t>From these findin</w:t>
      </w:r>
      <w:r w:rsidR="009956FB">
        <w:rPr>
          <w:rFonts w:ascii="Book Antiqua" w:eastAsia="Book Antiqua" w:hAnsi="Book Antiqua" w:cs="Book Antiqua"/>
          <w:color w:val="000000"/>
        </w:rPr>
        <w:t>g</w:t>
      </w:r>
      <w:r w:rsidR="00CF54BB">
        <w:rPr>
          <w:rFonts w:ascii="Book Antiqua" w:eastAsia="Book Antiqua" w:hAnsi="Book Antiqua" w:cs="Book Antiqua"/>
          <w:color w:val="000000"/>
        </w:rPr>
        <w:t>s</w:t>
      </w:r>
      <w:r w:rsidRPr="00BA2B87">
        <w:rPr>
          <w:rFonts w:ascii="Book Antiqua" w:eastAsia="Book Antiqua" w:hAnsi="Book Antiqua" w:cs="Book Antiqua"/>
          <w:color w:val="000000"/>
        </w:rPr>
        <w:t xml:space="preserve">, the researchers concluded that mesalazine is a candidate </w:t>
      </w:r>
      <w:r w:rsidR="00CF54BB" w:rsidRPr="00BA2B87">
        <w:rPr>
          <w:rFonts w:ascii="Book Antiqua" w:eastAsia="Book Antiqua" w:hAnsi="Book Antiqua" w:cs="Book Antiqua"/>
          <w:color w:val="000000"/>
        </w:rPr>
        <w:t xml:space="preserve">drug </w:t>
      </w:r>
      <w:r w:rsidR="00CF54BB">
        <w:rPr>
          <w:rFonts w:ascii="Book Antiqua" w:eastAsia="Book Antiqua" w:hAnsi="Book Antiqua" w:cs="Book Antiqua"/>
          <w:color w:val="000000"/>
        </w:rPr>
        <w:t>for</w:t>
      </w:r>
      <w:r w:rsidRPr="00BA2B87">
        <w:rPr>
          <w:rFonts w:ascii="Book Antiqua" w:eastAsia="Book Antiqua" w:hAnsi="Book Antiqua" w:cs="Book Antiqua"/>
          <w:color w:val="000000"/>
        </w:rPr>
        <w:t xml:space="preserve"> the prevention of CRC</w:t>
      </w:r>
      <w:r w:rsidRPr="00BA2B87">
        <w:rPr>
          <w:rFonts w:ascii="Book Antiqua" w:eastAsia="Book Antiqua" w:hAnsi="Book Antiqua" w:cs="Book Antiqua"/>
          <w:color w:val="000000"/>
          <w:vertAlign w:val="superscript"/>
        </w:rPr>
        <w:t>[125]</w:t>
      </w:r>
      <w:r w:rsidRPr="00BA2B87">
        <w:rPr>
          <w:rFonts w:ascii="Book Antiqua" w:eastAsia="Book Antiqua" w:hAnsi="Book Antiqua" w:cs="Book Antiqua"/>
          <w:color w:val="000000"/>
        </w:rPr>
        <w:t xml:space="preserve">. In another study, </w:t>
      </w:r>
      <w:r w:rsidR="00CF54BB">
        <w:rPr>
          <w:rFonts w:ascii="Book Antiqua" w:eastAsia="Book Antiqua" w:hAnsi="Book Antiqua" w:cs="Book Antiqua"/>
          <w:color w:val="000000"/>
        </w:rPr>
        <w:t xml:space="preserve">the </w:t>
      </w:r>
      <w:r w:rsidRPr="00BA2B87">
        <w:rPr>
          <w:rFonts w:ascii="Book Antiqua" w:eastAsia="Book Antiqua" w:hAnsi="Book Antiqua" w:cs="Book Antiqua"/>
          <w:color w:val="000000"/>
        </w:rPr>
        <w:t>HT29, Caco2, and HCT-116 cell lines were treated in a time</w:t>
      </w:r>
      <w:r w:rsidR="00CF54BB">
        <w:rPr>
          <w:rFonts w:ascii="Book Antiqua" w:eastAsia="Book Antiqua" w:hAnsi="Book Antiqua" w:cs="Book Antiqua"/>
          <w:color w:val="000000"/>
        </w:rPr>
        <w:t>-</w:t>
      </w:r>
      <w:r w:rsidRPr="00BA2B87">
        <w:rPr>
          <w:rFonts w:ascii="Book Antiqua" w:eastAsia="Book Antiqua" w:hAnsi="Book Antiqua" w:cs="Book Antiqua"/>
          <w:color w:val="000000"/>
        </w:rPr>
        <w:t xml:space="preserve"> (24, 48, and 72 h) and dose</w:t>
      </w:r>
      <w:r w:rsidR="00CF54BB">
        <w:rPr>
          <w:rFonts w:ascii="Book Antiqua" w:eastAsia="Book Antiqua" w:hAnsi="Book Antiqua" w:cs="Book Antiqua"/>
          <w:color w:val="000000"/>
        </w:rPr>
        <w:t>-</w:t>
      </w:r>
      <w:r w:rsidRPr="00BA2B87">
        <w:rPr>
          <w:rFonts w:ascii="Book Antiqua" w:eastAsia="Book Antiqua" w:hAnsi="Book Antiqua" w:cs="Book Antiqua"/>
          <w:color w:val="000000"/>
        </w:rPr>
        <w:t xml:space="preserve"> (0-50 mmol/L) dependent manner. </w:t>
      </w:r>
      <w:r w:rsidR="00CF54BB">
        <w:rPr>
          <w:rFonts w:ascii="Book Antiqua" w:eastAsia="Book Antiqua" w:hAnsi="Book Antiqua" w:cs="Book Antiqua"/>
          <w:color w:val="000000"/>
        </w:rPr>
        <w:t>It was revealed</w:t>
      </w:r>
      <w:r w:rsidRPr="00BA2B87">
        <w:rPr>
          <w:rFonts w:ascii="Book Antiqua" w:eastAsia="Book Antiqua" w:hAnsi="Book Antiqua" w:cs="Book Antiqua"/>
          <w:color w:val="000000"/>
        </w:rPr>
        <w:t xml:space="preserve"> that 20 mmol/L or higher mesalazine concentrations significantly decreased cell proliferation at 72 h. Also, mesalazine concentrations </w:t>
      </w:r>
      <w:r w:rsidR="00CF54BB" w:rsidRPr="00BA2B87">
        <w:rPr>
          <w:rFonts w:ascii="Book Antiqua" w:eastAsia="Book Antiqua" w:hAnsi="Book Antiqua" w:cs="Book Antiqua"/>
          <w:color w:val="000000"/>
        </w:rPr>
        <w:t xml:space="preserve">above 35 mmol/L </w:t>
      </w:r>
      <w:r w:rsidRPr="00BA2B87">
        <w:rPr>
          <w:rFonts w:ascii="Book Antiqua" w:eastAsia="Book Antiqua" w:hAnsi="Book Antiqua" w:cs="Book Antiqua"/>
          <w:color w:val="000000"/>
        </w:rPr>
        <w:t>decreased cell proliferation even to baseline levels at 24 h. The researchers suggested that mesalazine causes cell cycle arrest and cell death in both a dose- and time-dependent manner, from which the researchers concluded that mesalazine may contribute to CRC prevention or treatment</w:t>
      </w:r>
      <w:r w:rsidRPr="00BA2B87">
        <w:rPr>
          <w:rFonts w:ascii="Book Antiqua" w:eastAsia="Book Antiqua" w:hAnsi="Book Antiqua" w:cs="Book Antiqua"/>
          <w:color w:val="000000"/>
          <w:vertAlign w:val="superscript"/>
        </w:rPr>
        <w:t>[126]</w:t>
      </w:r>
      <w:r w:rsidRPr="00BA2B87">
        <w:rPr>
          <w:rFonts w:ascii="Book Antiqua" w:eastAsia="Book Antiqua" w:hAnsi="Book Antiqua" w:cs="Book Antiqua"/>
          <w:color w:val="000000"/>
        </w:rPr>
        <w:t>.</w:t>
      </w:r>
    </w:p>
    <w:p w14:paraId="7E28B3DE" w14:textId="77777777" w:rsidR="00A77B3E" w:rsidRPr="00BA2B87" w:rsidRDefault="00A77B3E" w:rsidP="00BA2B87">
      <w:pPr>
        <w:spacing w:line="360" w:lineRule="auto"/>
        <w:jc w:val="both"/>
        <w:rPr>
          <w:rFonts w:ascii="Book Antiqua" w:hAnsi="Book Antiqua"/>
        </w:rPr>
      </w:pPr>
    </w:p>
    <w:p w14:paraId="7A894973" w14:textId="347A27D0"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 xml:space="preserve">Disulfiram: </w:t>
      </w:r>
      <w:r w:rsidRPr="00BA2B87">
        <w:rPr>
          <w:rFonts w:ascii="Book Antiqua" w:eastAsia="Book Antiqua" w:hAnsi="Book Antiqua" w:cs="Book Antiqua"/>
          <w:color w:val="000000"/>
        </w:rPr>
        <w:t>Disulfiram is used to treat alcohol dependence</w:t>
      </w:r>
      <w:r w:rsidRPr="00BA2B87">
        <w:rPr>
          <w:rFonts w:ascii="Book Antiqua" w:eastAsia="Book Antiqua" w:hAnsi="Book Antiqua" w:cs="Book Antiqua"/>
          <w:color w:val="000000"/>
          <w:vertAlign w:val="superscript"/>
        </w:rPr>
        <w:t>[127]</w:t>
      </w:r>
      <w:r w:rsidRPr="00BA2B87">
        <w:rPr>
          <w:rFonts w:ascii="Book Antiqua" w:eastAsia="Book Antiqua" w:hAnsi="Book Antiqua" w:cs="Book Antiqua"/>
          <w:color w:val="000000"/>
        </w:rPr>
        <w:t xml:space="preserve">. To understand the effects of disulfiram in CRC, researchers applied disulfiram to parental colorectal cell lines as well as cell lines resistant to either oxaliplatin or SN-38. </w:t>
      </w:r>
      <w:r w:rsidR="00CF54BB">
        <w:rPr>
          <w:rFonts w:ascii="Book Antiqua" w:eastAsia="Book Antiqua" w:hAnsi="Book Antiqua" w:cs="Book Antiqua"/>
          <w:color w:val="000000"/>
        </w:rPr>
        <w:t>T</w:t>
      </w:r>
      <w:r w:rsidRPr="00BA2B87">
        <w:rPr>
          <w:rFonts w:ascii="Book Antiqua" w:eastAsia="Book Antiqua" w:hAnsi="Book Antiqua" w:cs="Book Antiqua"/>
          <w:color w:val="000000"/>
        </w:rPr>
        <w:t xml:space="preserve">he addition of metal ions, particularly copper, to disulfiram </w:t>
      </w:r>
      <w:r w:rsidR="00CF54BB">
        <w:rPr>
          <w:rFonts w:ascii="Book Antiqua" w:eastAsia="Book Antiqua" w:hAnsi="Book Antiqua" w:cs="Book Antiqua"/>
          <w:color w:val="000000"/>
        </w:rPr>
        <w:t>is</w:t>
      </w:r>
      <w:r w:rsidRPr="00BA2B87">
        <w:rPr>
          <w:rFonts w:ascii="Book Antiqua" w:eastAsia="Book Antiqua" w:hAnsi="Book Antiqua" w:cs="Book Antiqua"/>
          <w:color w:val="000000"/>
        </w:rPr>
        <w:t xml:space="preserve"> known to support and enhance the anti-cancer effects of disulfiram. Therefore, the researchers also combined disulfiram with copper and applied it to all cell lines. According to the cell viability assay, the combination of disulfiram with copper promoted the inhibition of cell viability. Moreover, the combination of disulfiram and copper with oxaliplatin or SN-38 resulted in inhibitory effects on the relevant resistant cell lines studied</w:t>
      </w:r>
      <w:r w:rsidRPr="00BA2B87">
        <w:rPr>
          <w:rFonts w:ascii="Book Antiqua" w:eastAsia="Book Antiqua" w:hAnsi="Book Antiqua" w:cs="Book Antiqua"/>
          <w:color w:val="000000"/>
          <w:vertAlign w:val="superscript"/>
        </w:rPr>
        <w:t>[128]</w:t>
      </w:r>
      <w:r w:rsidRPr="00BA2B87">
        <w:rPr>
          <w:rFonts w:ascii="Book Antiqua" w:eastAsia="Book Antiqua" w:hAnsi="Book Antiqua" w:cs="Book Antiqua"/>
          <w:color w:val="000000"/>
        </w:rPr>
        <w:t>.</w:t>
      </w:r>
    </w:p>
    <w:p w14:paraId="7FD3C014" w14:textId="77777777" w:rsidR="00A77B3E" w:rsidRPr="00BA2B87" w:rsidRDefault="00A77B3E" w:rsidP="00BA2B87">
      <w:pPr>
        <w:spacing w:line="360" w:lineRule="auto"/>
        <w:jc w:val="both"/>
        <w:rPr>
          <w:rFonts w:ascii="Book Antiqua" w:hAnsi="Book Antiqua"/>
        </w:rPr>
      </w:pPr>
    </w:p>
    <w:p w14:paraId="797CB07B" w14:textId="6E2E4B9F" w:rsidR="00A77B3E" w:rsidRPr="00BA2B87" w:rsidRDefault="00925687" w:rsidP="00BA2B87">
      <w:pPr>
        <w:spacing w:line="360" w:lineRule="auto"/>
        <w:jc w:val="both"/>
        <w:rPr>
          <w:rFonts w:ascii="Book Antiqua" w:hAnsi="Book Antiqua"/>
        </w:rPr>
      </w:pPr>
      <w:r w:rsidRPr="007C7C00">
        <w:rPr>
          <w:rFonts w:ascii="Book Antiqua" w:eastAsia="Book Antiqua" w:hAnsi="Book Antiqua" w:cs="Book Antiqua"/>
          <w:b/>
          <w:bCs/>
          <w:color w:val="000000"/>
        </w:rPr>
        <w:t>Erlotinib:</w:t>
      </w:r>
      <w:r w:rsidRPr="00BA2B87">
        <w:rPr>
          <w:rFonts w:ascii="Book Antiqua" w:eastAsia="Book Antiqua" w:hAnsi="Book Antiqua" w:cs="Book Antiqua"/>
          <w:color w:val="000000"/>
        </w:rPr>
        <w:t xml:space="preserve"> Erlotinib is an antineoplastic agent used to treat non-small cell lung and pancreatic cancer</w:t>
      </w:r>
      <w:r w:rsidRPr="00BA2B87">
        <w:rPr>
          <w:rFonts w:ascii="Book Antiqua" w:eastAsia="Book Antiqua" w:hAnsi="Book Antiqua" w:cs="Book Antiqua"/>
          <w:color w:val="000000"/>
          <w:vertAlign w:val="superscript"/>
        </w:rPr>
        <w:t>[129]</w:t>
      </w:r>
      <w:r w:rsidRPr="00BA2B87">
        <w:rPr>
          <w:rFonts w:ascii="Book Antiqua" w:eastAsia="Book Antiqua" w:hAnsi="Book Antiqua" w:cs="Book Antiqua"/>
          <w:color w:val="000000"/>
        </w:rPr>
        <w:t xml:space="preserve">. A study conducted by Shi </w:t>
      </w:r>
      <w:r w:rsidR="007C7C00" w:rsidRPr="007C7C00">
        <w:rPr>
          <w:rFonts w:ascii="Book Antiqua" w:eastAsia="Book Antiqua" w:hAnsi="Book Antiqua" w:cs="Book Antiqua"/>
          <w:i/>
          <w:iCs/>
          <w:color w:val="000000"/>
        </w:rPr>
        <w:t>et al</w:t>
      </w:r>
      <w:r w:rsidRPr="00BA2B87">
        <w:rPr>
          <w:rFonts w:ascii="Book Antiqua" w:eastAsia="Book Antiqua" w:hAnsi="Book Antiqua" w:cs="Book Antiqua"/>
          <w:color w:val="000000"/>
          <w:vertAlign w:val="superscript"/>
        </w:rPr>
        <w:t>[130]</w:t>
      </w:r>
      <w:r w:rsidRPr="00BA2B87">
        <w:rPr>
          <w:rFonts w:ascii="Book Antiqua" w:eastAsia="Book Antiqua" w:hAnsi="Book Antiqua" w:cs="Book Antiqua"/>
          <w:color w:val="000000"/>
        </w:rPr>
        <w:t xml:space="preserve"> investigated the effect of erlotinib </w:t>
      </w:r>
      <w:r w:rsidR="00CF54BB">
        <w:rPr>
          <w:rFonts w:ascii="Book Antiqua" w:eastAsia="Book Antiqua" w:hAnsi="Book Antiqua" w:cs="Book Antiqua"/>
          <w:color w:val="000000"/>
        </w:rPr>
        <w:t>o</w:t>
      </w:r>
      <w:r w:rsidRPr="00BA2B87">
        <w:rPr>
          <w:rFonts w:ascii="Book Antiqua" w:eastAsia="Book Antiqua" w:hAnsi="Book Antiqua" w:cs="Book Antiqua"/>
          <w:color w:val="000000"/>
        </w:rPr>
        <w:t xml:space="preserve">n CRC. The </w:t>
      </w:r>
      <w:r w:rsidR="00CF54BB">
        <w:rPr>
          <w:rFonts w:ascii="Book Antiqua" w:eastAsia="Book Antiqua" w:hAnsi="Book Antiqua" w:cs="Book Antiqua"/>
          <w:color w:val="000000"/>
        </w:rPr>
        <w:t>study</w:t>
      </w:r>
      <w:r w:rsidRPr="00BA2B87">
        <w:rPr>
          <w:rFonts w:ascii="Book Antiqua" w:eastAsia="Book Antiqua" w:hAnsi="Book Antiqua" w:cs="Book Antiqua"/>
          <w:color w:val="000000"/>
        </w:rPr>
        <w:t xml:space="preserve"> included one hundred and thirty-two patients diagnosed with metastatic </w:t>
      </w:r>
      <w:r w:rsidR="009C37C8">
        <w:rPr>
          <w:rFonts w:ascii="Book Antiqua" w:eastAsia="Book Antiqua" w:hAnsi="Book Antiqua" w:cs="Book Antiqua"/>
          <w:color w:val="000000"/>
        </w:rPr>
        <w:t>CRC</w:t>
      </w:r>
      <w:r w:rsidRPr="00BA2B87">
        <w:rPr>
          <w:rFonts w:ascii="Book Antiqua" w:eastAsia="Book Antiqua" w:hAnsi="Book Antiqua" w:cs="Book Antiqua"/>
          <w:color w:val="000000"/>
        </w:rPr>
        <w:t xml:space="preserve"> who received the drug. Patients were divided into two groups </w:t>
      </w:r>
      <w:r w:rsidRPr="00BA2B87">
        <w:rPr>
          <w:rFonts w:ascii="Book Antiqua" w:eastAsia="Book Antiqua" w:hAnsi="Book Antiqua" w:cs="Book Antiqua"/>
          <w:color w:val="000000"/>
        </w:rPr>
        <w:lastRenderedPageBreak/>
        <w:t>depending on the drug regimen used. In the first group, patients were treated with bevacizumab and FOLFOX4 in 2-wk cycles, while in the second group they took erlotinib (100</w:t>
      </w:r>
      <w:r w:rsidR="007C7C00">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mg) daily in addition to the bevacizumab-FOLFOX4 treatment combination. Patients were followed up for 3 years. Overall, the combination of the three drugs (bevacizumab, FOLFOX4, and erlotinib) improved progression-free survival and </w:t>
      </w:r>
      <w:r w:rsidR="00D071DA" w:rsidRPr="00BA2B87">
        <w:rPr>
          <w:rFonts w:ascii="Book Antiqua" w:eastAsia="Book Antiqua" w:hAnsi="Book Antiqua" w:cs="Book Antiqua"/>
          <w:color w:val="000000"/>
          <w:shd w:val="clear" w:color="auto" w:fill="FFFFFF"/>
        </w:rPr>
        <w:t>OS</w:t>
      </w:r>
      <w:r w:rsidRPr="00BA2B87">
        <w:rPr>
          <w:rFonts w:ascii="Book Antiqua" w:eastAsia="Book Antiqua" w:hAnsi="Book Antiqua" w:cs="Book Antiqua"/>
          <w:color w:val="000000"/>
        </w:rPr>
        <w:t xml:space="preserve"> of metastatic CRC patients. </w:t>
      </w:r>
      <w:r w:rsidR="00CF54BB">
        <w:rPr>
          <w:rFonts w:ascii="Book Antiqua" w:eastAsia="Book Antiqua" w:hAnsi="Book Antiqua" w:cs="Book Antiqua"/>
          <w:color w:val="000000"/>
        </w:rPr>
        <w:t>A</w:t>
      </w:r>
      <w:r w:rsidRPr="00BA2B87">
        <w:rPr>
          <w:rFonts w:ascii="Book Antiqua" w:eastAsia="Book Antiqua" w:hAnsi="Book Antiqua" w:cs="Book Antiqua"/>
          <w:color w:val="000000"/>
        </w:rPr>
        <w:t xml:space="preserve"> summary of </w:t>
      </w:r>
      <w:r w:rsidR="00CF54BB">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mentioned repurposed drugs </w:t>
      </w:r>
      <w:r w:rsidR="00CF54BB">
        <w:rPr>
          <w:rFonts w:ascii="Book Antiqua" w:eastAsia="Book Antiqua" w:hAnsi="Book Antiqua" w:cs="Book Antiqua"/>
          <w:color w:val="000000"/>
        </w:rPr>
        <w:t>is provided</w:t>
      </w:r>
      <w:r w:rsidRPr="00BA2B87">
        <w:rPr>
          <w:rFonts w:ascii="Book Antiqua" w:eastAsia="Book Antiqua" w:hAnsi="Book Antiqua" w:cs="Book Antiqua"/>
          <w:color w:val="000000"/>
        </w:rPr>
        <w:t xml:space="preserve"> in Table 3.</w:t>
      </w:r>
    </w:p>
    <w:p w14:paraId="3F8B4A35" w14:textId="77777777" w:rsidR="00A77B3E" w:rsidRPr="00BA2B87" w:rsidRDefault="00A77B3E" w:rsidP="00BA2B87">
      <w:pPr>
        <w:spacing w:line="360" w:lineRule="auto"/>
        <w:jc w:val="both"/>
        <w:rPr>
          <w:rFonts w:ascii="Book Antiqua" w:hAnsi="Book Antiqua"/>
        </w:rPr>
      </w:pPr>
    </w:p>
    <w:p w14:paraId="5DAA9FE7"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aps/>
          <w:color w:val="000000"/>
          <w:u w:val="single"/>
        </w:rPr>
        <w:t>CONCLUSION</w:t>
      </w:r>
    </w:p>
    <w:p w14:paraId="24BF1639" w14:textId="594D1986"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 xml:space="preserve">In order to provide an updated vision of the key insights into CRC, we </w:t>
      </w:r>
      <w:r w:rsidR="00CF54BB">
        <w:rPr>
          <w:rFonts w:ascii="Book Antiqua" w:eastAsia="Book Antiqua" w:hAnsi="Book Antiqua" w:cs="Book Antiqua"/>
          <w:color w:val="000000"/>
        </w:rPr>
        <w:t>specifically</w:t>
      </w:r>
      <w:r w:rsidRPr="00BA2B87">
        <w:rPr>
          <w:rFonts w:ascii="Book Antiqua" w:eastAsia="Book Antiqua" w:hAnsi="Book Antiqua" w:cs="Book Antiqua"/>
          <w:color w:val="000000"/>
        </w:rPr>
        <w:t xml:space="preserve"> reviewed systems biology studies on </w:t>
      </w:r>
      <w:r w:rsidR="00CF54BB">
        <w:rPr>
          <w:rFonts w:ascii="Book Antiqua" w:eastAsia="Book Antiqua" w:hAnsi="Book Antiqua" w:cs="Book Antiqua"/>
          <w:color w:val="000000"/>
        </w:rPr>
        <w:t>CRC</w:t>
      </w:r>
      <w:r w:rsidRPr="00BA2B87">
        <w:rPr>
          <w:rFonts w:ascii="Book Antiqua" w:eastAsia="Book Antiqua" w:hAnsi="Book Antiqua" w:cs="Book Antiqua"/>
          <w:color w:val="000000"/>
        </w:rPr>
        <w:t xml:space="preserve">. </w:t>
      </w:r>
      <w:r w:rsidR="00CF54BB">
        <w:rPr>
          <w:rFonts w:ascii="Book Antiqua" w:eastAsia="Book Antiqua" w:hAnsi="Book Antiqua" w:cs="Book Antiqua"/>
          <w:color w:val="000000"/>
        </w:rPr>
        <w:t>The</w:t>
      </w:r>
      <w:r w:rsidRPr="00BA2B87">
        <w:rPr>
          <w:rFonts w:ascii="Book Antiqua" w:eastAsia="Book Antiqua" w:hAnsi="Book Antiqua" w:cs="Book Antiqua"/>
          <w:color w:val="000000"/>
        </w:rPr>
        <w:t xml:space="preserve"> incidence and mortality rate</w:t>
      </w:r>
      <w:r w:rsidR="00CF54BB">
        <w:rPr>
          <w:rFonts w:ascii="Book Antiqua" w:eastAsia="Book Antiqua" w:hAnsi="Book Antiqua" w:cs="Book Antiqua"/>
          <w:color w:val="000000"/>
        </w:rPr>
        <w:t>s of CRC are high and</w:t>
      </w:r>
      <w:r w:rsidRPr="00BA2B87">
        <w:rPr>
          <w:rFonts w:ascii="Book Antiqua" w:eastAsia="Book Antiqua" w:hAnsi="Book Antiqua" w:cs="Book Antiqua"/>
          <w:color w:val="000000"/>
        </w:rPr>
        <w:t xml:space="preserve"> more effective </w:t>
      </w:r>
      <w:r w:rsidR="00CF54BB" w:rsidRPr="00BA2B87">
        <w:rPr>
          <w:rFonts w:ascii="Book Antiqua" w:eastAsia="Book Antiqua" w:hAnsi="Book Antiqua" w:cs="Book Antiqua"/>
          <w:color w:val="000000"/>
        </w:rPr>
        <w:t>t</w:t>
      </w:r>
      <w:r w:rsidR="00CF54BB">
        <w:rPr>
          <w:rFonts w:ascii="Book Antiqua" w:eastAsia="Book Antiqua" w:hAnsi="Book Antiqua" w:cs="Book Antiqua"/>
          <w:color w:val="000000"/>
        </w:rPr>
        <w:t>reatment</w:t>
      </w:r>
      <w:r w:rsidR="00CF54BB"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options</w:t>
      </w:r>
      <w:r w:rsidR="00CF54BB">
        <w:rPr>
          <w:rFonts w:ascii="Book Antiqua" w:eastAsia="Book Antiqua" w:hAnsi="Book Antiqua" w:cs="Book Antiqua"/>
          <w:color w:val="000000"/>
        </w:rPr>
        <w:t xml:space="preserve"> are required</w:t>
      </w:r>
      <w:r w:rsidRPr="00BA2B87">
        <w:rPr>
          <w:rFonts w:ascii="Book Antiqua" w:eastAsia="Book Antiqua" w:hAnsi="Book Antiqua" w:cs="Book Antiqua"/>
          <w:color w:val="000000"/>
        </w:rPr>
        <w:t>. Although most of the major cancer genes involved in CRC have been well characterized, the influence of additional factors in this disease remains undefined. Th</w:t>
      </w:r>
      <w:r w:rsidR="00CF54BB">
        <w:rPr>
          <w:rFonts w:ascii="Book Antiqua" w:eastAsia="Book Antiqua" w:hAnsi="Book Antiqua" w:cs="Book Antiqua"/>
          <w:color w:val="000000"/>
        </w:rPr>
        <w:t xml:space="preserve">us, the </w:t>
      </w:r>
      <w:r w:rsidRPr="00BA2B87">
        <w:rPr>
          <w:rFonts w:ascii="Book Antiqua" w:eastAsia="Book Antiqua" w:hAnsi="Book Antiqua" w:cs="Book Antiqua"/>
          <w:color w:val="000000"/>
        </w:rPr>
        <w:t xml:space="preserve">integration of different omics studies may provide new opportunities to reveal </w:t>
      </w:r>
      <w:r w:rsidR="00213D1C">
        <w:rPr>
          <w:rFonts w:ascii="Book Antiqua" w:eastAsia="Book Antiqua" w:hAnsi="Book Antiqua" w:cs="Book Antiqua"/>
          <w:color w:val="000000"/>
        </w:rPr>
        <w:t>the</w:t>
      </w:r>
      <w:r w:rsidR="00213D1C" w:rsidRPr="00BA2B87">
        <w:rPr>
          <w:rFonts w:ascii="Book Antiqua" w:eastAsia="Book Antiqua" w:hAnsi="Book Antiqua" w:cs="Book Antiqua"/>
          <w:color w:val="000000"/>
        </w:rPr>
        <w:t xml:space="preserve"> </w:t>
      </w:r>
      <w:r w:rsidRPr="00BA2B87">
        <w:rPr>
          <w:rFonts w:ascii="Book Antiqua" w:eastAsia="Book Antiqua" w:hAnsi="Book Antiqua" w:cs="Book Antiqua"/>
          <w:color w:val="000000"/>
        </w:rPr>
        <w:t xml:space="preserve">mechanism </w:t>
      </w:r>
      <w:r w:rsidR="00213D1C">
        <w:rPr>
          <w:rFonts w:ascii="Book Antiqua" w:eastAsia="Book Antiqua" w:hAnsi="Book Antiqua" w:cs="Book Antiqua"/>
          <w:color w:val="000000"/>
        </w:rPr>
        <w:t>of CRC</w:t>
      </w:r>
      <w:r w:rsidRPr="00BA2B87">
        <w:rPr>
          <w:rFonts w:ascii="Book Antiqua" w:eastAsia="Book Antiqua" w:hAnsi="Book Antiqua" w:cs="Book Antiqua"/>
          <w:color w:val="000000"/>
        </w:rPr>
        <w:t xml:space="preserve">. Parallel to the improvement </w:t>
      </w:r>
      <w:r w:rsidR="00213D1C">
        <w:rPr>
          <w:rFonts w:ascii="Book Antiqua" w:eastAsia="Book Antiqua" w:hAnsi="Book Antiqua" w:cs="Book Antiqua"/>
          <w:color w:val="000000"/>
        </w:rPr>
        <w:t>in</w:t>
      </w:r>
      <w:r w:rsidRPr="00BA2B87">
        <w:rPr>
          <w:rFonts w:ascii="Book Antiqua" w:eastAsia="Book Antiqua" w:hAnsi="Book Antiqua" w:cs="Book Antiqua"/>
          <w:color w:val="000000"/>
        </w:rPr>
        <w:t xml:space="preserve"> the molecular biology and systems biology techni</w:t>
      </w:r>
      <w:r w:rsidR="00213D1C">
        <w:rPr>
          <w:rFonts w:ascii="Book Antiqua" w:eastAsia="Book Antiqua" w:hAnsi="Book Antiqua" w:cs="Book Antiqua"/>
          <w:color w:val="000000"/>
        </w:rPr>
        <w:t>que</w:t>
      </w:r>
      <w:r w:rsidRPr="00BA2B87">
        <w:rPr>
          <w:rFonts w:ascii="Book Antiqua" w:eastAsia="Book Antiqua" w:hAnsi="Book Antiqua" w:cs="Book Antiqua"/>
          <w:color w:val="000000"/>
        </w:rPr>
        <w:t xml:space="preserve">s, more specific and sensitive biomarkers will improve </w:t>
      </w:r>
      <w:r w:rsidR="00213D1C">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diagnosis </w:t>
      </w:r>
      <w:r w:rsidR="00213D1C" w:rsidRPr="00BA2B87">
        <w:rPr>
          <w:rFonts w:ascii="Book Antiqua" w:eastAsia="Book Antiqua" w:hAnsi="Book Antiqua" w:cs="Book Antiqua"/>
          <w:color w:val="000000"/>
        </w:rPr>
        <w:t xml:space="preserve">of CRC </w:t>
      </w:r>
      <w:r w:rsidRPr="00BA2B87">
        <w:rPr>
          <w:rFonts w:ascii="Book Antiqua" w:eastAsia="Book Antiqua" w:hAnsi="Book Antiqua" w:cs="Book Antiqua"/>
          <w:color w:val="000000"/>
        </w:rPr>
        <w:t>at the early stages and hence, the prognosis of thousands of patients.</w:t>
      </w:r>
      <w:r w:rsidR="007C7C00">
        <w:rPr>
          <w:rFonts w:ascii="Book Antiqua" w:hAnsi="Book Antiqua" w:hint="eastAsia"/>
          <w:lang w:eastAsia="zh-CN"/>
        </w:rPr>
        <w:t xml:space="preserve"> </w:t>
      </w:r>
      <w:r w:rsidRPr="00BA2B87">
        <w:rPr>
          <w:rFonts w:ascii="Book Antiqua" w:eastAsia="Book Antiqua" w:hAnsi="Book Antiqua" w:cs="Book Antiqua"/>
          <w:color w:val="000000"/>
        </w:rPr>
        <w:t xml:space="preserve">Recent studies </w:t>
      </w:r>
      <w:r w:rsidR="00213D1C">
        <w:rPr>
          <w:rFonts w:ascii="Book Antiqua" w:eastAsia="Book Antiqua" w:hAnsi="Book Antiqua" w:cs="Book Antiqua"/>
          <w:color w:val="000000"/>
        </w:rPr>
        <w:t>o</w:t>
      </w:r>
      <w:r w:rsidRPr="00BA2B87">
        <w:rPr>
          <w:rFonts w:ascii="Book Antiqua" w:eastAsia="Book Antiqua" w:hAnsi="Book Antiqua" w:cs="Book Antiqua"/>
          <w:color w:val="000000"/>
        </w:rPr>
        <w:t xml:space="preserve">n CRC </w:t>
      </w:r>
      <w:r w:rsidR="00213D1C">
        <w:rPr>
          <w:rFonts w:ascii="Book Antiqua" w:eastAsia="Book Antiqua" w:hAnsi="Book Antiqua" w:cs="Book Antiqua"/>
          <w:color w:val="000000"/>
        </w:rPr>
        <w:t xml:space="preserve">have </w:t>
      </w:r>
      <w:r w:rsidRPr="00BA2B87">
        <w:rPr>
          <w:rFonts w:ascii="Book Antiqua" w:eastAsia="Book Antiqua" w:hAnsi="Book Antiqua" w:cs="Book Antiqua"/>
          <w:color w:val="000000"/>
        </w:rPr>
        <w:t xml:space="preserve">focused on microbiota not only as biomarkers but also as </w:t>
      </w:r>
      <w:r w:rsidR="00213D1C">
        <w:rPr>
          <w:rFonts w:ascii="Book Antiqua" w:eastAsia="Book Antiqua" w:hAnsi="Book Antiqua" w:cs="Book Antiqua"/>
          <w:color w:val="000000"/>
        </w:rPr>
        <w:t xml:space="preserve">a </w:t>
      </w:r>
      <w:r w:rsidRPr="00BA2B87">
        <w:rPr>
          <w:rFonts w:ascii="Book Antiqua" w:eastAsia="Book Antiqua" w:hAnsi="Book Antiqua" w:cs="Book Antiqua"/>
          <w:color w:val="000000"/>
        </w:rPr>
        <w:t xml:space="preserve">therapy option </w:t>
      </w:r>
      <w:r w:rsidR="00213D1C">
        <w:rPr>
          <w:rFonts w:ascii="Book Antiqua" w:eastAsia="Book Antiqua" w:hAnsi="Book Antiqua" w:cs="Book Antiqua"/>
          <w:color w:val="000000"/>
        </w:rPr>
        <w:t>by</w:t>
      </w:r>
      <w:r w:rsidRPr="00BA2B87">
        <w:rPr>
          <w:rFonts w:ascii="Book Antiqua" w:eastAsia="Book Antiqua" w:hAnsi="Book Antiqua" w:cs="Book Antiqua"/>
          <w:color w:val="000000"/>
        </w:rPr>
        <w:t xml:space="preserve"> improv</w:t>
      </w:r>
      <w:r w:rsidR="00213D1C">
        <w:rPr>
          <w:rFonts w:ascii="Book Antiqua" w:eastAsia="Book Antiqua" w:hAnsi="Book Antiqua" w:cs="Book Antiqua"/>
          <w:color w:val="000000"/>
        </w:rPr>
        <w:t>ing</w:t>
      </w:r>
      <w:r w:rsidRPr="00BA2B87">
        <w:rPr>
          <w:rFonts w:ascii="Book Antiqua" w:eastAsia="Book Antiqua" w:hAnsi="Book Antiqua" w:cs="Book Antiqua"/>
          <w:color w:val="000000"/>
        </w:rPr>
        <w:t xml:space="preserve"> drug response to traditional chemotherapeutics. Controlling microbiota may also </w:t>
      </w:r>
      <w:r w:rsidR="00C70A63">
        <w:rPr>
          <w:rFonts w:ascii="Book Antiqua" w:eastAsia="Book Antiqua" w:hAnsi="Book Antiqua" w:cs="Book Antiqua"/>
          <w:color w:val="000000"/>
        </w:rPr>
        <w:t>reduce</w:t>
      </w:r>
      <w:r w:rsidRPr="00BA2B87">
        <w:rPr>
          <w:rFonts w:ascii="Book Antiqua" w:eastAsia="Book Antiqua" w:hAnsi="Book Antiqua" w:cs="Book Antiqua"/>
          <w:color w:val="000000"/>
        </w:rPr>
        <w:t xml:space="preserve"> dosages and </w:t>
      </w:r>
      <w:r w:rsidR="00213D1C">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rate of drug administration resulting in improvement </w:t>
      </w:r>
      <w:r w:rsidR="00213D1C">
        <w:rPr>
          <w:rFonts w:ascii="Book Antiqua" w:eastAsia="Book Antiqua" w:hAnsi="Book Antiqua" w:cs="Book Antiqua"/>
          <w:color w:val="000000"/>
        </w:rPr>
        <w:t>in</w:t>
      </w:r>
      <w:r w:rsidRPr="00BA2B87">
        <w:rPr>
          <w:rFonts w:ascii="Book Antiqua" w:eastAsia="Book Antiqua" w:hAnsi="Book Antiqua" w:cs="Book Antiqua"/>
          <w:color w:val="000000"/>
        </w:rPr>
        <w:t xml:space="preserve"> the patient’s life quality.</w:t>
      </w:r>
      <w:r w:rsidR="007C7C00">
        <w:rPr>
          <w:rFonts w:ascii="Book Antiqua" w:hAnsi="Book Antiqua" w:hint="eastAsia"/>
          <w:lang w:eastAsia="zh-CN"/>
        </w:rPr>
        <w:t xml:space="preserve"> </w:t>
      </w:r>
      <w:r w:rsidRPr="00BA2B87">
        <w:rPr>
          <w:rFonts w:ascii="Book Antiqua" w:eastAsia="Book Antiqua" w:hAnsi="Book Antiqua" w:cs="Book Antiqua"/>
          <w:color w:val="000000"/>
        </w:rPr>
        <w:t xml:space="preserve">Although different omics studies from non-coding genes to metabolites </w:t>
      </w:r>
      <w:r w:rsidR="00213D1C">
        <w:rPr>
          <w:rFonts w:ascii="Book Antiqua" w:eastAsia="Book Antiqua" w:hAnsi="Book Antiqua" w:cs="Book Antiqua"/>
          <w:color w:val="000000"/>
        </w:rPr>
        <w:t xml:space="preserve">have </w:t>
      </w:r>
      <w:r w:rsidRPr="00BA2B87">
        <w:rPr>
          <w:rFonts w:ascii="Book Antiqua" w:eastAsia="Book Antiqua" w:hAnsi="Book Antiqua" w:cs="Book Antiqua"/>
          <w:color w:val="000000"/>
        </w:rPr>
        <w:t>show</w:t>
      </w:r>
      <w:r w:rsidR="00213D1C">
        <w:rPr>
          <w:rFonts w:ascii="Book Antiqua" w:eastAsia="Book Antiqua" w:hAnsi="Book Antiqua" w:cs="Book Antiqua"/>
          <w:color w:val="000000"/>
        </w:rPr>
        <w:t>n</w:t>
      </w:r>
      <w:r w:rsidRPr="00BA2B87">
        <w:rPr>
          <w:rFonts w:ascii="Book Antiqua" w:eastAsia="Book Antiqua" w:hAnsi="Book Antiqua" w:cs="Book Antiqua"/>
          <w:color w:val="000000"/>
        </w:rPr>
        <w:t xml:space="preserve"> promising results which may be translated into </w:t>
      </w:r>
      <w:r w:rsidR="00213D1C">
        <w:rPr>
          <w:rFonts w:ascii="Book Antiqua" w:eastAsia="Book Antiqua" w:hAnsi="Book Antiqua" w:cs="Book Antiqua"/>
          <w:color w:val="000000"/>
        </w:rPr>
        <w:t xml:space="preserve">the </w:t>
      </w:r>
      <w:r w:rsidRPr="00BA2B87">
        <w:rPr>
          <w:rFonts w:ascii="Book Antiqua" w:eastAsia="Book Antiqua" w:hAnsi="Book Antiqua" w:cs="Book Antiqua"/>
          <w:color w:val="000000"/>
        </w:rPr>
        <w:t xml:space="preserve">clinic in the foreseeable future, there is an urgent need </w:t>
      </w:r>
      <w:r w:rsidR="00213D1C">
        <w:rPr>
          <w:rFonts w:ascii="Book Antiqua" w:eastAsia="Book Antiqua" w:hAnsi="Book Antiqua" w:cs="Book Antiqua"/>
          <w:color w:val="000000"/>
        </w:rPr>
        <w:t>for</w:t>
      </w:r>
      <w:r w:rsidRPr="00BA2B87">
        <w:rPr>
          <w:rFonts w:ascii="Book Antiqua" w:eastAsia="Book Antiqua" w:hAnsi="Book Antiqua" w:cs="Book Antiqua"/>
          <w:color w:val="000000"/>
        </w:rPr>
        <w:t xml:space="preserve"> validation in larger populations.</w:t>
      </w:r>
      <w:r w:rsidR="007C7C00">
        <w:rPr>
          <w:rFonts w:ascii="Book Antiqua" w:hAnsi="Book Antiqua" w:hint="eastAsia"/>
          <w:lang w:eastAsia="zh-CN"/>
        </w:rPr>
        <w:t xml:space="preserve"> </w:t>
      </w:r>
      <w:r w:rsidRPr="00BA2B87">
        <w:rPr>
          <w:rFonts w:ascii="Book Antiqua" w:eastAsia="Book Antiqua" w:hAnsi="Book Antiqua" w:cs="Book Antiqua"/>
          <w:color w:val="000000"/>
        </w:rPr>
        <w:t xml:space="preserve">As </w:t>
      </w:r>
      <w:r w:rsidR="00213D1C">
        <w:rPr>
          <w:rFonts w:ascii="Book Antiqua" w:eastAsia="Book Antiqua" w:hAnsi="Book Antiqua" w:cs="Book Antiqua"/>
          <w:color w:val="000000"/>
        </w:rPr>
        <w:t xml:space="preserve">with </w:t>
      </w:r>
      <w:r w:rsidRPr="00BA2B87">
        <w:rPr>
          <w:rFonts w:ascii="Book Antiqua" w:eastAsia="Book Antiqua" w:hAnsi="Book Antiqua" w:cs="Book Antiqua"/>
          <w:color w:val="000000"/>
        </w:rPr>
        <w:t xml:space="preserve">other cancers, an extensive part of research </w:t>
      </w:r>
      <w:r w:rsidR="00213D1C">
        <w:rPr>
          <w:rFonts w:ascii="Book Antiqua" w:eastAsia="Book Antiqua" w:hAnsi="Book Antiqua" w:cs="Book Antiqua"/>
          <w:color w:val="000000"/>
        </w:rPr>
        <w:t>is</w:t>
      </w:r>
      <w:r w:rsidRPr="00BA2B87">
        <w:rPr>
          <w:rFonts w:ascii="Book Antiqua" w:eastAsia="Book Antiqua" w:hAnsi="Book Antiqua" w:cs="Book Antiqua"/>
          <w:color w:val="000000"/>
        </w:rPr>
        <w:t xml:space="preserve"> based on drug discovery and the development of new therapies. In this study, we feature DR rather than drug discovery </w:t>
      </w:r>
      <w:r w:rsidR="00213D1C">
        <w:rPr>
          <w:rFonts w:ascii="Book Antiqua" w:eastAsia="Book Antiqua" w:hAnsi="Book Antiqua" w:cs="Book Antiqua"/>
          <w:color w:val="000000"/>
        </w:rPr>
        <w:t>due to</w:t>
      </w:r>
      <w:r w:rsidRPr="00BA2B87">
        <w:rPr>
          <w:rFonts w:ascii="Book Antiqua" w:eastAsia="Book Antiqua" w:hAnsi="Book Antiqua" w:cs="Book Antiqua"/>
          <w:color w:val="000000"/>
        </w:rPr>
        <w:t xml:space="preserve"> its </w:t>
      </w:r>
      <w:r w:rsidR="00213D1C">
        <w:rPr>
          <w:rFonts w:ascii="Book Antiqua" w:eastAsia="Book Antiqua" w:hAnsi="Book Antiqua" w:cs="Book Antiqua"/>
          <w:color w:val="000000"/>
        </w:rPr>
        <w:t xml:space="preserve">many </w:t>
      </w:r>
      <w:r w:rsidRPr="00BA2B87">
        <w:rPr>
          <w:rFonts w:ascii="Book Antiqua" w:eastAsia="Book Antiqua" w:hAnsi="Book Antiqua" w:cs="Book Antiqua"/>
          <w:color w:val="000000"/>
        </w:rPr>
        <w:t xml:space="preserve">advantages. The less aggressive and more effective drugs may be redirected for CRC treatment </w:t>
      </w:r>
      <w:r w:rsidRPr="00BA2B87">
        <w:rPr>
          <w:rFonts w:ascii="Book Antiqua" w:eastAsia="Book Antiqua" w:hAnsi="Book Antiqua" w:cs="Book Antiqua"/>
          <w:i/>
          <w:iCs/>
          <w:color w:val="000000"/>
        </w:rPr>
        <w:t>via</w:t>
      </w:r>
      <w:r w:rsidRPr="00BA2B87">
        <w:rPr>
          <w:rFonts w:ascii="Book Antiqua" w:eastAsia="Book Antiqua" w:hAnsi="Book Antiqua" w:cs="Book Antiqua"/>
          <w:color w:val="000000"/>
        </w:rPr>
        <w:t xml:space="preserve"> rational DR studies. In the future, repositioned drugs and their clinical implementation will increase the </w:t>
      </w:r>
      <w:r w:rsidR="00D071DA" w:rsidRPr="00BA2B87">
        <w:rPr>
          <w:rFonts w:ascii="Book Antiqua" w:eastAsia="Book Antiqua" w:hAnsi="Book Antiqua" w:cs="Book Antiqua"/>
          <w:color w:val="000000"/>
          <w:shd w:val="clear" w:color="auto" w:fill="FFFFFF"/>
        </w:rPr>
        <w:t>OS</w:t>
      </w:r>
      <w:r w:rsidRPr="00BA2B87">
        <w:rPr>
          <w:rFonts w:ascii="Book Antiqua" w:eastAsia="Book Antiqua" w:hAnsi="Book Antiqua" w:cs="Book Antiqua"/>
          <w:color w:val="000000"/>
        </w:rPr>
        <w:t xml:space="preserve"> and quality of life of CRC patients.</w:t>
      </w:r>
    </w:p>
    <w:p w14:paraId="764E2714" w14:textId="77777777" w:rsidR="00A77B3E" w:rsidRPr="00BA2B87" w:rsidRDefault="00A77B3E" w:rsidP="00BA2B87">
      <w:pPr>
        <w:spacing w:line="360" w:lineRule="auto"/>
        <w:jc w:val="both"/>
        <w:rPr>
          <w:rFonts w:ascii="Book Antiqua" w:hAnsi="Book Antiqua"/>
        </w:rPr>
      </w:pPr>
    </w:p>
    <w:p w14:paraId="2F3E25C0"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REFERENCES</w:t>
      </w:r>
    </w:p>
    <w:p w14:paraId="69C7FF3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 </w:t>
      </w:r>
      <w:r w:rsidRPr="00BA2B87">
        <w:rPr>
          <w:rFonts w:ascii="Book Antiqua" w:hAnsi="Book Antiqua"/>
          <w:b/>
          <w:bCs/>
        </w:rPr>
        <w:t>Sung H</w:t>
      </w:r>
      <w:r w:rsidRPr="00BA2B87">
        <w:rPr>
          <w:rFonts w:ascii="Book Antiqua" w:hAnsi="Book Antiqua"/>
        </w:rPr>
        <w:t xml:space="preserve">, Ferlay J, Siegel RL, Laversanne M, Soerjomataram I, Jemal A, Bray F. Global Cancer Statistics 2020: GLOBOCAN Estimates of Incidence and Mortality Worldwide for 36 Cancers in 185 Countries. </w:t>
      </w:r>
      <w:r w:rsidRPr="00BA2B87">
        <w:rPr>
          <w:rFonts w:ascii="Book Antiqua" w:hAnsi="Book Antiqua"/>
          <w:i/>
          <w:iCs/>
        </w:rPr>
        <w:t>CA Cancer J Clin</w:t>
      </w:r>
      <w:r w:rsidRPr="00BA2B87">
        <w:rPr>
          <w:rFonts w:ascii="Book Antiqua" w:hAnsi="Book Antiqua"/>
        </w:rPr>
        <w:t xml:space="preserve"> 2021; </w:t>
      </w:r>
      <w:r w:rsidRPr="00BA2B87">
        <w:rPr>
          <w:rFonts w:ascii="Book Antiqua" w:hAnsi="Book Antiqua"/>
          <w:b/>
          <w:bCs/>
        </w:rPr>
        <w:t>71</w:t>
      </w:r>
      <w:r w:rsidRPr="00BA2B87">
        <w:rPr>
          <w:rFonts w:ascii="Book Antiqua" w:hAnsi="Book Antiqua"/>
        </w:rPr>
        <w:t>: 209-249 [PMID: 33538338 DOI: 10.3322/caac.21660]</w:t>
      </w:r>
    </w:p>
    <w:p w14:paraId="3896E12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 </w:t>
      </w:r>
      <w:r w:rsidRPr="00BA2B87">
        <w:rPr>
          <w:rFonts w:ascii="Book Antiqua" w:hAnsi="Book Antiqua"/>
          <w:b/>
          <w:bCs/>
        </w:rPr>
        <w:t>Douaiher J</w:t>
      </w:r>
      <w:r w:rsidRPr="00BA2B87">
        <w:rPr>
          <w:rFonts w:ascii="Book Antiqua" w:hAnsi="Book Antiqua"/>
        </w:rPr>
        <w:t xml:space="preserve">, Ravipati A, Grams B, Chowdhury S, Alatise O, Are C. Colorectal cancer-global burden, trends, and geographical variations. </w:t>
      </w:r>
      <w:r w:rsidRPr="00BA2B87">
        <w:rPr>
          <w:rFonts w:ascii="Book Antiqua" w:hAnsi="Book Antiqua"/>
          <w:i/>
          <w:iCs/>
        </w:rPr>
        <w:t>J Surg Oncol</w:t>
      </w:r>
      <w:r w:rsidRPr="00BA2B87">
        <w:rPr>
          <w:rFonts w:ascii="Book Antiqua" w:hAnsi="Book Antiqua"/>
        </w:rPr>
        <w:t xml:space="preserve"> 2017; </w:t>
      </w:r>
      <w:r w:rsidRPr="00BA2B87">
        <w:rPr>
          <w:rFonts w:ascii="Book Antiqua" w:hAnsi="Book Antiqua"/>
          <w:b/>
          <w:bCs/>
        </w:rPr>
        <w:t>115</w:t>
      </w:r>
      <w:r w:rsidRPr="00BA2B87">
        <w:rPr>
          <w:rFonts w:ascii="Book Antiqua" w:hAnsi="Book Antiqua"/>
        </w:rPr>
        <w:t>: 619-630 [PMID: 28194798 DOI: 10.1002/jso.24578]</w:t>
      </w:r>
    </w:p>
    <w:p w14:paraId="0F4999C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 </w:t>
      </w:r>
      <w:r w:rsidRPr="00BA2B87">
        <w:rPr>
          <w:rFonts w:ascii="Book Antiqua" w:hAnsi="Book Antiqua"/>
          <w:b/>
          <w:bCs/>
        </w:rPr>
        <w:t>Koncina E</w:t>
      </w:r>
      <w:r w:rsidRPr="00BA2B87">
        <w:rPr>
          <w:rFonts w:ascii="Book Antiqua" w:hAnsi="Book Antiqua"/>
        </w:rPr>
        <w:t xml:space="preserve">, Haan S, Rauh S, Letellier E. Prognostic and Predictive Molecular Biomarkers for Colorectal Cancer: Updates and Challenges. </w:t>
      </w:r>
      <w:r w:rsidRPr="00BA2B87">
        <w:rPr>
          <w:rFonts w:ascii="Book Antiqua" w:hAnsi="Book Antiqua"/>
          <w:i/>
          <w:iCs/>
        </w:rPr>
        <w:t>Cancers (Basel)</w:t>
      </w:r>
      <w:r w:rsidRPr="00BA2B87">
        <w:rPr>
          <w:rFonts w:ascii="Book Antiqua" w:hAnsi="Book Antiqua"/>
        </w:rPr>
        <w:t xml:space="preserve"> 2020; </w:t>
      </w:r>
      <w:r w:rsidRPr="00BA2B87">
        <w:rPr>
          <w:rFonts w:ascii="Book Antiqua" w:hAnsi="Book Antiqua"/>
          <w:b/>
          <w:bCs/>
        </w:rPr>
        <w:t>12</w:t>
      </w:r>
      <w:r w:rsidRPr="00BA2B87">
        <w:rPr>
          <w:rFonts w:ascii="Book Antiqua" w:hAnsi="Book Antiqua"/>
        </w:rPr>
        <w:t xml:space="preserve"> [PMID: 32019056 DOI: 10.3390/cancers12020319]</w:t>
      </w:r>
    </w:p>
    <w:p w14:paraId="159C0DC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 </w:t>
      </w:r>
      <w:r w:rsidRPr="00BA2B87">
        <w:rPr>
          <w:rFonts w:ascii="Book Antiqua" w:hAnsi="Book Antiqua"/>
          <w:b/>
          <w:bCs/>
        </w:rPr>
        <w:t>Moertel CG</w:t>
      </w:r>
      <w:r w:rsidRPr="00BA2B87">
        <w:rPr>
          <w:rFonts w:ascii="Book Antiqua" w:hAnsi="Book Antiqua"/>
        </w:rPr>
        <w:t xml:space="preserve">, Fleming TR, Macdonald JS, Haller DG, Laurie JA, Goodman PJ, Ungerleider JS, Emerson WA, Tormey DC, Glick JH. Levamisole and fluorouracil for adjuvant therapy of resected colon carcinoma. </w:t>
      </w:r>
      <w:r w:rsidRPr="00BA2B87">
        <w:rPr>
          <w:rFonts w:ascii="Book Antiqua" w:hAnsi="Book Antiqua"/>
          <w:i/>
          <w:iCs/>
        </w:rPr>
        <w:t>N Engl J Med</w:t>
      </w:r>
      <w:r w:rsidRPr="00BA2B87">
        <w:rPr>
          <w:rFonts w:ascii="Book Antiqua" w:hAnsi="Book Antiqua"/>
        </w:rPr>
        <w:t xml:space="preserve"> 1990; </w:t>
      </w:r>
      <w:r w:rsidRPr="00BA2B87">
        <w:rPr>
          <w:rFonts w:ascii="Book Antiqua" w:hAnsi="Book Antiqua"/>
          <w:b/>
          <w:bCs/>
        </w:rPr>
        <w:t>322</w:t>
      </w:r>
      <w:r w:rsidRPr="00BA2B87">
        <w:rPr>
          <w:rFonts w:ascii="Book Antiqua" w:hAnsi="Book Antiqua"/>
        </w:rPr>
        <w:t>: 352-358 [PMID: 2300087 DOI: 10.1056/nejm199002083220602]</w:t>
      </w:r>
    </w:p>
    <w:p w14:paraId="1EC9598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 </w:t>
      </w:r>
      <w:r w:rsidRPr="00BA2B87">
        <w:rPr>
          <w:rFonts w:ascii="Book Antiqua" w:hAnsi="Book Antiqua"/>
          <w:b/>
          <w:bCs/>
        </w:rPr>
        <w:t>André T</w:t>
      </w:r>
      <w:r w:rsidRPr="00BA2B87">
        <w:rPr>
          <w:rFonts w:ascii="Book Antiqua" w:hAnsi="Book Antiqua"/>
        </w:rPr>
        <w:t xml:space="preserve">, Boni C, Mounedji-Boudiaf L, Navarro M, Tabernero J, Hickish T, Topham C, Zaninelli M, Clingan P, Bridgewater J, Tabah-Fisch I, de Gramont A; Multicenter International Study of Oxaliplatin/5-Fluorouracil/Leucovorin in the Adjuvant Treatment of Colon Cancer (MOSAIC) Investigators. Oxaliplatin, fluorouracil, and leucovorin as adjuvant treatment for colon cancer. </w:t>
      </w:r>
      <w:r w:rsidRPr="00BA2B87">
        <w:rPr>
          <w:rFonts w:ascii="Book Antiqua" w:hAnsi="Book Antiqua"/>
          <w:i/>
          <w:iCs/>
        </w:rPr>
        <w:t>N Engl J Med</w:t>
      </w:r>
      <w:r w:rsidRPr="00BA2B87">
        <w:rPr>
          <w:rFonts w:ascii="Book Antiqua" w:hAnsi="Book Antiqua"/>
        </w:rPr>
        <w:t xml:space="preserve"> 2004; </w:t>
      </w:r>
      <w:r w:rsidRPr="00BA2B87">
        <w:rPr>
          <w:rFonts w:ascii="Book Antiqua" w:hAnsi="Book Antiqua"/>
          <w:b/>
          <w:bCs/>
        </w:rPr>
        <w:t>350</w:t>
      </w:r>
      <w:r w:rsidRPr="00BA2B87">
        <w:rPr>
          <w:rFonts w:ascii="Book Antiqua" w:hAnsi="Book Antiqua"/>
        </w:rPr>
        <w:t>: 2343-2351 [PMID: 15175436 DOI: 10.1056/NEJMoa032709]</w:t>
      </w:r>
    </w:p>
    <w:p w14:paraId="2D7C0F1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 </w:t>
      </w:r>
      <w:r w:rsidRPr="00BA2B87">
        <w:rPr>
          <w:rFonts w:ascii="Book Antiqua" w:hAnsi="Book Antiqua"/>
          <w:b/>
          <w:bCs/>
        </w:rPr>
        <w:t>Swiderska M</w:t>
      </w:r>
      <w:r w:rsidRPr="00BA2B87">
        <w:rPr>
          <w:rFonts w:ascii="Book Antiqua" w:hAnsi="Book Antiqua"/>
        </w:rPr>
        <w:t xml:space="preserve">, Choromańska B, Dąbrowska E, Konarzewska-Duchnowska E, Choromańska K, Szczurko G, Myśliwiec P, Dadan J, Ladny JR, Zwierz K. The diagnostics of colorectal cancer. </w:t>
      </w:r>
      <w:r w:rsidRPr="00BA2B87">
        <w:rPr>
          <w:rFonts w:ascii="Book Antiqua" w:hAnsi="Book Antiqua"/>
          <w:i/>
          <w:iCs/>
        </w:rPr>
        <w:t>Contemp Oncol (Pozn)</w:t>
      </w:r>
      <w:r w:rsidRPr="00BA2B87">
        <w:rPr>
          <w:rFonts w:ascii="Book Antiqua" w:hAnsi="Book Antiqua"/>
        </w:rPr>
        <w:t xml:space="preserve"> 2014; </w:t>
      </w:r>
      <w:r w:rsidRPr="00BA2B87">
        <w:rPr>
          <w:rFonts w:ascii="Book Antiqua" w:hAnsi="Book Antiqua"/>
          <w:b/>
          <w:bCs/>
        </w:rPr>
        <w:t>18</w:t>
      </w:r>
      <w:r w:rsidRPr="00BA2B87">
        <w:rPr>
          <w:rFonts w:ascii="Book Antiqua" w:hAnsi="Book Antiqua"/>
        </w:rPr>
        <w:t>: 1-6 [PMID: 24876814 DOI: 10.5114/wo.2013.39995]</w:t>
      </w:r>
    </w:p>
    <w:p w14:paraId="0B5AF185"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7 </w:t>
      </w:r>
      <w:r w:rsidRPr="00BA2B87">
        <w:rPr>
          <w:rFonts w:ascii="Book Antiqua" w:hAnsi="Book Antiqua"/>
          <w:b/>
          <w:bCs/>
        </w:rPr>
        <w:t>Grassetto G</w:t>
      </w:r>
      <w:r w:rsidRPr="00BA2B87">
        <w:rPr>
          <w:rFonts w:ascii="Book Antiqua" w:hAnsi="Book Antiqua"/>
        </w:rPr>
        <w:t xml:space="preserve">, Capirci C, Marzola MC, Rampin L, Chondrogiannis S, Musto A, Crepaldi G, Minicozzi AM, Massaro A, Rubello D. Colorectal cancer: prognostic role of </w:t>
      </w:r>
      <w:r w:rsidRPr="00BA2B87">
        <w:rPr>
          <w:rFonts w:ascii="Book Antiqua" w:hAnsi="Book Antiqua"/>
        </w:rPr>
        <w:lastRenderedPageBreak/>
        <w:t xml:space="preserve">18F-FDG-PET/CT. </w:t>
      </w:r>
      <w:r w:rsidRPr="00BA2B87">
        <w:rPr>
          <w:rFonts w:ascii="Book Antiqua" w:hAnsi="Book Antiqua"/>
          <w:i/>
          <w:iCs/>
          <w:lang w:val="pt-BR"/>
        </w:rPr>
        <w:t>Abdom Imaging</w:t>
      </w:r>
      <w:r w:rsidRPr="00BA2B87">
        <w:rPr>
          <w:rFonts w:ascii="Book Antiqua" w:hAnsi="Book Antiqua"/>
          <w:lang w:val="pt-BR"/>
        </w:rPr>
        <w:t xml:space="preserve"> 2012; </w:t>
      </w:r>
      <w:r w:rsidRPr="00BA2B87">
        <w:rPr>
          <w:rFonts w:ascii="Book Antiqua" w:hAnsi="Book Antiqua"/>
          <w:b/>
          <w:bCs/>
          <w:lang w:val="pt-BR"/>
        </w:rPr>
        <w:t>37</w:t>
      </w:r>
      <w:r w:rsidRPr="00BA2B87">
        <w:rPr>
          <w:rFonts w:ascii="Book Antiqua" w:hAnsi="Book Antiqua"/>
          <w:lang w:val="pt-BR"/>
        </w:rPr>
        <w:t>: 575-579 [PMID: 21847638 DOI: 10.1007/s00261-011-9789-7]</w:t>
      </w:r>
    </w:p>
    <w:p w14:paraId="3AF035D6"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8 </w:t>
      </w:r>
      <w:r w:rsidRPr="00BA2B87">
        <w:rPr>
          <w:rFonts w:ascii="Book Antiqua" w:hAnsi="Book Antiqua"/>
          <w:b/>
          <w:bCs/>
          <w:lang w:val="pt-BR"/>
        </w:rPr>
        <w:t>Alves Martins BA</w:t>
      </w:r>
      <w:r w:rsidRPr="00BA2B87">
        <w:rPr>
          <w:rFonts w:ascii="Book Antiqua" w:hAnsi="Book Antiqua"/>
          <w:lang w:val="pt-BR"/>
        </w:rPr>
        <w:t xml:space="preserve">, de Bulhões GF, Cavalcanti IN, Martins MM, de Oliveira PG, Martins AMA. </w:t>
      </w:r>
      <w:r w:rsidRPr="00BA2B87">
        <w:rPr>
          <w:rFonts w:ascii="Book Antiqua" w:hAnsi="Book Antiqua"/>
        </w:rPr>
        <w:t xml:space="preserve">Biomarkers in Colorectal Cancer: The Role of Translational Proteomics Research. </w:t>
      </w:r>
      <w:r w:rsidRPr="00BA2B87">
        <w:rPr>
          <w:rFonts w:ascii="Book Antiqua" w:hAnsi="Book Antiqua"/>
          <w:i/>
          <w:iCs/>
        </w:rPr>
        <w:t>Front Oncol</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1284 [PMID: 31828035 DOI: 10.3389/fonc.2019.01284]</w:t>
      </w:r>
    </w:p>
    <w:p w14:paraId="2C4E274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 </w:t>
      </w:r>
      <w:r w:rsidRPr="00BA2B87">
        <w:rPr>
          <w:rFonts w:ascii="Book Antiqua" w:hAnsi="Book Antiqua"/>
          <w:b/>
          <w:bCs/>
        </w:rPr>
        <w:t>Turanli B</w:t>
      </w:r>
      <w:r w:rsidRPr="00BA2B87">
        <w:rPr>
          <w:rFonts w:ascii="Book Antiqua" w:hAnsi="Book Antiqua"/>
        </w:rPr>
        <w:t xml:space="preserve">, Altay O, Borén J, Turkez H, Nielsen J, Uhlen M, Arga KY, Mardinoglu A. Systems biology based drug repositioning for development of cancer therapy. </w:t>
      </w:r>
      <w:r w:rsidRPr="00BA2B87">
        <w:rPr>
          <w:rFonts w:ascii="Book Antiqua" w:hAnsi="Book Antiqua"/>
          <w:i/>
          <w:iCs/>
        </w:rPr>
        <w:t>Semin Cancer Biol</w:t>
      </w:r>
      <w:r w:rsidRPr="00BA2B87">
        <w:rPr>
          <w:rFonts w:ascii="Book Antiqua" w:hAnsi="Book Antiqua"/>
        </w:rPr>
        <w:t xml:space="preserve"> 2021; </w:t>
      </w:r>
      <w:r w:rsidRPr="00BA2B87">
        <w:rPr>
          <w:rFonts w:ascii="Book Antiqua" w:hAnsi="Book Antiqua"/>
          <w:b/>
          <w:bCs/>
        </w:rPr>
        <w:t>68</w:t>
      </w:r>
      <w:r w:rsidRPr="00BA2B87">
        <w:rPr>
          <w:rFonts w:ascii="Book Antiqua" w:hAnsi="Book Antiqua"/>
        </w:rPr>
        <w:t>: 47-58 [PMID: 31568815 DOI: 10.1016/j.semcancer.2019.09.020]</w:t>
      </w:r>
    </w:p>
    <w:p w14:paraId="4D450AF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 </w:t>
      </w:r>
      <w:r w:rsidRPr="00BA2B87">
        <w:rPr>
          <w:rFonts w:ascii="Book Antiqua" w:hAnsi="Book Antiqua"/>
          <w:b/>
          <w:bCs/>
        </w:rPr>
        <w:t>Xue H</w:t>
      </w:r>
      <w:r w:rsidRPr="00BA2B87">
        <w:rPr>
          <w:rFonts w:ascii="Book Antiqua" w:hAnsi="Book Antiqua"/>
        </w:rPr>
        <w:t xml:space="preserve">, Li J, Xie H, Wang Y. Review of Drug Repositioning Approaches and Resources. </w:t>
      </w:r>
      <w:r w:rsidRPr="00BA2B87">
        <w:rPr>
          <w:rFonts w:ascii="Book Antiqua" w:hAnsi="Book Antiqua"/>
          <w:i/>
          <w:iCs/>
        </w:rPr>
        <w:t>Int J Biol Sci</w:t>
      </w:r>
      <w:r w:rsidRPr="00BA2B87">
        <w:rPr>
          <w:rFonts w:ascii="Book Antiqua" w:hAnsi="Book Antiqua"/>
        </w:rPr>
        <w:t xml:space="preserve"> 2018; </w:t>
      </w:r>
      <w:r w:rsidRPr="00BA2B87">
        <w:rPr>
          <w:rFonts w:ascii="Book Antiqua" w:hAnsi="Book Antiqua"/>
          <w:b/>
          <w:bCs/>
        </w:rPr>
        <w:t>14</w:t>
      </w:r>
      <w:r w:rsidRPr="00BA2B87">
        <w:rPr>
          <w:rFonts w:ascii="Book Antiqua" w:hAnsi="Book Antiqua"/>
        </w:rPr>
        <w:t>: 1232-1244 [PMID: 30123072 DOI: 10.7150/ijbs.24612]</w:t>
      </w:r>
    </w:p>
    <w:p w14:paraId="6CC3309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 </w:t>
      </w:r>
      <w:r w:rsidRPr="00BA2B87">
        <w:rPr>
          <w:rFonts w:ascii="Book Antiqua" w:hAnsi="Book Antiqua"/>
          <w:b/>
          <w:bCs/>
        </w:rPr>
        <w:t>Kitano H</w:t>
      </w:r>
      <w:r w:rsidRPr="00BA2B87">
        <w:rPr>
          <w:rFonts w:ascii="Book Antiqua" w:hAnsi="Book Antiqua"/>
        </w:rPr>
        <w:t xml:space="preserve">. Systems biology: a brief overview. </w:t>
      </w:r>
      <w:r w:rsidRPr="00BA2B87">
        <w:rPr>
          <w:rFonts w:ascii="Book Antiqua" w:hAnsi="Book Antiqua"/>
          <w:i/>
          <w:iCs/>
        </w:rPr>
        <w:t>Science</w:t>
      </w:r>
      <w:r w:rsidRPr="00BA2B87">
        <w:rPr>
          <w:rFonts w:ascii="Book Antiqua" w:hAnsi="Book Antiqua"/>
        </w:rPr>
        <w:t xml:space="preserve"> 2002; </w:t>
      </w:r>
      <w:r w:rsidRPr="00BA2B87">
        <w:rPr>
          <w:rFonts w:ascii="Book Antiqua" w:hAnsi="Book Antiqua"/>
          <w:b/>
          <w:bCs/>
        </w:rPr>
        <w:t>295</w:t>
      </w:r>
      <w:r w:rsidRPr="00BA2B87">
        <w:rPr>
          <w:rFonts w:ascii="Book Antiqua" w:hAnsi="Book Antiqua"/>
        </w:rPr>
        <w:t>: 1662-1664 [PMID: 11872829 DOI: 10.1126/science.1069492]</w:t>
      </w:r>
    </w:p>
    <w:p w14:paraId="172D441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 </w:t>
      </w:r>
      <w:r w:rsidRPr="00BA2B87">
        <w:rPr>
          <w:rFonts w:ascii="Book Antiqua" w:hAnsi="Book Antiqua"/>
          <w:b/>
          <w:bCs/>
        </w:rPr>
        <w:t>Rai S</w:t>
      </w:r>
      <w:r w:rsidRPr="00BA2B87">
        <w:rPr>
          <w:rFonts w:ascii="Book Antiqua" w:hAnsi="Book Antiqua"/>
        </w:rPr>
        <w:t xml:space="preserve">, Raj U, Varadwaj PK. Systems Biology: A Powerful Tool for Drug Development. </w:t>
      </w:r>
      <w:r w:rsidRPr="00BA2B87">
        <w:rPr>
          <w:rFonts w:ascii="Book Antiqua" w:hAnsi="Book Antiqua"/>
          <w:i/>
          <w:iCs/>
        </w:rPr>
        <w:t>Curr Top Med Chem</w:t>
      </w:r>
      <w:r w:rsidRPr="00BA2B87">
        <w:rPr>
          <w:rFonts w:ascii="Book Antiqua" w:hAnsi="Book Antiqua"/>
        </w:rPr>
        <w:t xml:space="preserve"> 2018; </w:t>
      </w:r>
      <w:r w:rsidRPr="00BA2B87">
        <w:rPr>
          <w:rFonts w:ascii="Book Antiqua" w:hAnsi="Book Antiqua"/>
          <w:b/>
          <w:bCs/>
        </w:rPr>
        <w:t>18</w:t>
      </w:r>
      <w:r w:rsidRPr="00BA2B87">
        <w:rPr>
          <w:rFonts w:ascii="Book Antiqua" w:hAnsi="Book Antiqua"/>
        </w:rPr>
        <w:t>: 1745-1754 [PMID: 30360720 DOI: 10.2174/1568026618666181025113226]</w:t>
      </w:r>
    </w:p>
    <w:p w14:paraId="3E9AEC38" w14:textId="5F81567E" w:rsidR="00ED2E77" w:rsidRPr="00BA2B87" w:rsidRDefault="00ED2E77" w:rsidP="00BA2B87">
      <w:pPr>
        <w:spacing w:line="360" w:lineRule="auto"/>
        <w:jc w:val="both"/>
        <w:rPr>
          <w:rFonts w:ascii="Book Antiqua" w:hAnsi="Book Antiqua"/>
        </w:rPr>
      </w:pPr>
      <w:r w:rsidRPr="00BA2B87">
        <w:rPr>
          <w:rFonts w:ascii="Book Antiqua" w:hAnsi="Book Antiqua"/>
        </w:rPr>
        <w:t xml:space="preserve">13 </w:t>
      </w:r>
      <w:r w:rsidRPr="00BA2B87">
        <w:rPr>
          <w:rFonts w:ascii="Book Antiqua" w:hAnsi="Book Antiqua"/>
          <w:b/>
          <w:bCs/>
        </w:rPr>
        <w:t>Cheasley D,</w:t>
      </w:r>
      <w:r w:rsidRPr="00BA2B87">
        <w:rPr>
          <w:rFonts w:ascii="Book Antiqua" w:hAnsi="Book Antiqua"/>
        </w:rPr>
        <w:t xml:space="preserve"> Jorissen RN, Liu S, Tan CW, Love C, Palmieri M, Sieber OM. Genomic approach to translational studies in colorectal cancer.</w:t>
      </w:r>
      <w:r w:rsidRPr="00BA2B87">
        <w:rPr>
          <w:rFonts w:ascii="Book Antiqua" w:hAnsi="Book Antiqua"/>
          <w:i/>
          <w:iCs/>
        </w:rPr>
        <w:t xml:space="preserve"> Transl Cancer Res</w:t>
      </w:r>
      <w:r w:rsidRPr="00BA2B87">
        <w:rPr>
          <w:rFonts w:ascii="Book Antiqua" w:hAnsi="Book Antiqua"/>
        </w:rPr>
        <w:t xml:space="preserve"> 2015; </w:t>
      </w:r>
      <w:r w:rsidRPr="00BA2B87">
        <w:rPr>
          <w:rFonts w:ascii="Book Antiqua" w:hAnsi="Book Antiqua"/>
          <w:b/>
          <w:bCs/>
        </w:rPr>
        <w:t>4:</w:t>
      </w:r>
      <w:r w:rsidRPr="00BA2B87">
        <w:rPr>
          <w:rFonts w:ascii="Book Antiqua" w:hAnsi="Book Antiqua"/>
        </w:rPr>
        <w:t xml:space="preserve"> 235</w:t>
      </w:r>
      <w:r w:rsidR="00F81FA1">
        <w:rPr>
          <w:rFonts w:ascii="Book Antiqua" w:hAnsi="Book Antiqua"/>
        </w:rPr>
        <w:t>-</w:t>
      </w:r>
      <w:r w:rsidRPr="00BA2B87">
        <w:rPr>
          <w:rFonts w:ascii="Book Antiqua" w:hAnsi="Book Antiqua"/>
        </w:rPr>
        <w:t>255 [DOI: 10.3978/j.issn.2218-676X.2015.05.02]</w:t>
      </w:r>
    </w:p>
    <w:p w14:paraId="5864F87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14 </w:t>
      </w:r>
      <w:r w:rsidRPr="00BA2B87">
        <w:rPr>
          <w:rFonts w:ascii="Book Antiqua" w:hAnsi="Book Antiqua"/>
          <w:b/>
          <w:bCs/>
        </w:rPr>
        <w:t>Dalal N</w:t>
      </w:r>
      <w:r w:rsidRPr="00BA2B87">
        <w:rPr>
          <w:rFonts w:ascii="Book Antiqua" w:hAnsi="Book Antiqua"/>
        </w:rPr>
        <w:t xml:space="preserve">, Jalandra R, Sharma M, Prakash H, Makharia GK, Solanki PR, Singh R, Kumar A. Omics technologies for improved diagnosis and treatment of colorectal cancer: Technical advancement and major perspectives. </w:t>
      </w:r>
      <w:r w:rsidRPr="00BA2B87">
        <w:rPr>
          <w:rFonts w:ascii="Book Antiqua" w:hAnsi="Book Antiqua"/>
          <w:i/>
          <w:iCs/>
        </w:rPr>
        <w:t>Biomed Pharmacother</w:t>
      </w:r>
      <w:r w:rsidRPr="00BA2B87">
        <w:rPr>
          <w:rFonts w:ascii="Book Antiqua" w:hAnsi="Book Antiqua"/>
        </w:rPr>
        <w:t xml:space="preserve"> 2020; </w:t>
      </w:r>
      <w:r w:rsidRPr="00BA2B87">
        <w:rPr>
          <w:rFonts w:ascii="Book Antiqua" w:hAnsi="Book Antiqua"/>
          <w:b/>
          <w:bCs/>
        </w:rPr>
        <w:t>131</w:t>
      </w:r>
      <w:r w:rsidRPr="00BA2B87">
        <w:rPr>
          <w:rFonts w:ascii="Book Antiqua" w:hAnsi="Book Antiqua"/>
        </w:rPr>
        <w:t>: 110648 [PMID: 33152902 DOI: 10.1016/j.biopha.2020.110648]</w:t>
      </w:r>
    </w:p>
    <w:p w14:paraId="349C91B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15 </w:t>
      </w:r>
      <w:r w:rsidRPr="00BA2B87">
        <w:rPr>
          <w:rFonts w:ascii="Book Antiqua" w:hAnsi="Book Antiqua"/>
          <w:b/>
          <w:bCs/>
        </w:rPr>
        <w:t>Nambiar PR</w:t>
      </w:r>
      <w:r w:rsidRPr="00BA2B87">
        <w:rPr>
          <w:rFonts w:ascii="Book Antiqua" w:hAnsi="Book Antiqua"/>
        </w:rPr>
        <w:t xml:space="preserve">, Gupta RR, Misra V. An "Omics" based survey of human colon cancer. </w:t>
      </w:r>
      <w:r w:rsidRPr="00BA2B87">
        <w:rPr>
          <w:rFonts w:ascii="Book Antiqua" w:hAnsi="Book Antiqua"/>
          <w:i/>
          <w:iCs/>
        </w:rPr>
        <w:t>Mutat Res</w:t>
      </w:r>
      <w:r w:rsidRPr="00BA2B87">
        <w:rPr>
          <w:rFonts w:ascii="Book Antiqua" w:hAnsi="Book Antiqua"/>
        </w:rPr>
        <w:t xml:space="preserve"> 2010; </w:t>
      </w:r>
      <w:r w:rsidRPr="00BA2B87">
        <w:rPr>
          <w:rFonts w:ascii="Book Antiqua" w:hAnsi="Book Antiqua"/>
          <w:b/>
          <w:bCs/>
        </w:rPr>
        <w:t>693</w:t>
      </w:r>
      <w:r w:rsidRPr="00BA2B87">
        <w:rPr>
          <w:rFonts w:ascii="Book Antiqua" w:hAnsi="Book Antiqua"/>
        </w:rPr>
        <w:t>: 3-18 [PMID: 20691711 DOI: 10.1016/j.mrfmmm.2010.07.008]</w:t>
      </w:r>
    </w:p>
    <w:p w14:paraId="758F2B4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16 </w:t>
      </w:r>
      <w:r w:rsidRPr="00BA2B87">
        <w:rPr>
          <w:rFonts w:ascii="Book Antiqua" w:hAnsi="Book Antiqua"/>
          <w:b/>
          <w:bCs/>
        </w:rPr>
        <w:t>Wang K</w:t>
      </w:r>
      <w:r w:rsidRPr="00BA2B87">
        <w:rPr>
          <w:rFonts w:ascii="Book Antiqua" w:hAnsi="Book Antiqua"/>
        </w:rPr>
        <w:t xml:space="preserve">, Huang C, Nice EC. Proteomics, genomics and transcriptomics: their emerging roles in the discovery and validation of colorectal cancer biomarkers. </w:t>
      </w:r>
      <w:r w:rsidRPr="00BA2B87">
        <w:rPr>
          <w:rFonts w:ascii="Book Antiqua" w:hAnsi="Book Antiqua"/>
          <w:i/>
          <w:iCs/>
        </w:rPr>
        <w:t>Expert Rev Proteomics</w:t>
      </w:r>
      <w:r w:rsidRPr="00BA2B87">
        <w:rPr>
          <w:rFonts w:ascii="Book Antiqua" w:hAnsi="Book Antiqua"/>
        </w:rPr>
        <w:t xml:space="preserve"> 2014; </w:t>
      </w:r>
      <w:r w:rsidRPr="00BA2B87">
        <w:rPr>
          <w:rFonts w:ascii="Book Antiqua" w:hAnsi="Book Antiqua"/>
          <w:b/>
          <w:bCs/>
        </w:rPr>
        <w:t>11</w:t>
      </w:r>
      <w:r w:rsidRPr="00BA2B87">
        <w:rPr>
          <w:rFonts w:ascii="Book Antiqua" w:hAnsi="Book Antiqua"/>
        </w:rPr>
        <w:t>: 179-205 [PMID: 24611605 DOI: 10.1586/14789450.2014.894466]</w:t>
      </w:r>
    </w:p>
    <w:p w14:paraId="107CA1D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17 </w:t>
      </w:r>
      <w:r w:rsidRPr="00BA2B87">
        <w:rPr>
          <w:rFonts w:ascii="Book Antiqua" w:hAnsi="Book Antiqua"/>
          <w:b/>
          <w:bCs/>
        </w:rPr>
        <w:t>Wan ML</w:t>
      </w:r>
      <w:r w:rsidRPr="00BA2B87">
        <w:rPr>
          <w:rFonts w:ascii="Book Antiqua" w:hAnsi="Book Antiqua"/>
        </w:rPr>
        <w:t xml:space="preserve">, Wang Y, Zeng Z, Deng B, Zhu BS, Cao T, Li YK, Xiao J, Han Q, Wu Q. Colorectal cancer (CRC) as a multifactorial disease and its causal correlations with </w:t>
      </w:r>
      <w:r w:rsidRPr="00BA2B87">
        <w:rPr>
          <w:rFonts w:ascii="Book Antiqua" w:hAnsi="Book Antiqua"/>
        </w:rPr>
        <w:lastRenderedPageBreak/>
        <w:t xml:space="preserve">multiple signaling pathways. </w:t>
      </w:r>
      <w:r w:rsidRPr="00BA2B87">
        <w:rPr>
          <w:rFonts w:ascii="Book Antiqua" w:hAnsi="Book Antiqua"/>
          <w:i/>
          <w:iCs/>
        </w:rPr>
        <w:t>Biosci Rep</w:t>
      </w:r>
      <w:r w:rsidRPr="00BA2B87">
        <w:rPr>
          <w:rFonts w:ascii="Book Antiqua" w:hAnsi="Book Antiqua"/>
        </w:rPr>
        <w:t xml:space="preserve"> 2020; </w:t>
      </w:r>
      <w:r w:rsidRPr="00BA2B87">
        <w:rPr>
          <w:rFonts w:ascii="Book Antiqua" w:hAnsi="Book Antiqua"/>
          <w:b/>
          <w:bCs/>
        </w:rPr>
        <w:t>40</w:t>
      </w:r>
      <w:r w:rsidRPr="00BA2B87">
        <w:rPr>
          <w:rFonts w:ascii="Book Antiqua" w:hAnsi="Book Antiqua"/>
        </w:rPr>
        <w:t xml:space="preserve"> [PMID: 32149326 DOI: 10.1042/BSR20200265]</w:t>
      </w:r>
    </w:p>
    <w:p w14:paraId="185A1EA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18 </w:t>
      </w:r>
      <w:r w:rsidRPr="00BA2B87">
        <w:rPr>
          <w:rFonts w:ascii="Book Antiqua" w:hAnsi="Book Antiqua"/>
          <w:b/>
          <w:bCs/>
        </w:rPr>
        <w:t>Califf RM</w:t>
      </w:r>
      <w:r w:rsidRPr="00BA2B87">
        <w:rPr>
          <w:rFonts w:ascii="Book Antiqua" w:hAnsi="Book Antiqua"/>
        </w:rPr>
        <w:t xml:space="preserve">. Biomarker definitions and their applications. </w:t>
      </w:r>
      <w:r w:rsidRPr="00BA2B87">
        <w:rPr>
          <w:rFonts w:ascii="Book Antiqua" w:hAnsi="Book Antiqua"/>
          <w:i/>
          <w:iCs/>
        </w:rPr>
        <w:t>Exp Biol Med (Maywood)</w:t>
      </w:r>
      <w:r w:rsidRPr="00BA2B87">
        <w:rPr>
          <w:rFonts w:ascii="Book Antiqua" w:hAnsi="Book Antiqua"/>
        </w:rPr>
        <w:t xml:space="preserve"> 2018; </w:t>
      </w:r>
      <w:r w:rsidRPr="00BA2B87">
        <w:rPr>
          <w:rFonts w:ascii="Book Antiqua" w:hAnsi="Book Antiqua"/>
          <w:b/>
          <w:bCs/>
        </w:rPr>
        <w:t>243</w:t>
      </w:r>
      <w:r w:rsidRPr="00BA2B87">
        <w:rPr>
          <w:rFonts w:ascii="Book Antiqua" w:hAnsi="Book Antiqua"/>
        </w:rPr>
        <w:t>: 213-221 [PMID: 29405771 DOI: 10.1177/1535370217750088]</w:t>
      </w:r>
    </w:p>
    <w:p w14:paraId="5456F38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19 </w:t>
      </w:r>
      <w:r w:rsidRPr="00BA2B87">
        <w:rPr>
          <w:rFonts w:ascii="Book Antiqua" w:hAnsi="Book Antiqua"/>
          <w:b/>
          <w:bCs/>
        </w:rPr>
        <w:t>Zauber AG</w:t>
      </w:r>
      <w:r w:rsidRPr="00BA2B87">
        <w:rPr>
          <w:rFonts w:ascii="Book Antiqua" w:hAnsi="Book Antiqua"/>
        </w:rPr>
        <w:t xml:space="preserve">, Winawer SJ, O'Brien MJ, Lansdorp-Vogelaar I, van Ballegooijen M, Hankey BF, Shi W, Bond JH, Schapiro M, Panish JF, Stewart ET, Waye JD. Colonoscopic polypectomy and long-term prevention of colorectal-cancer deaths. </w:t>
      </w:r>
      <w:r w:rsidRPr="00BA2B87">
        <w:rPr>
          <w:rFonts w:ascii="Book Antiqua" w:hAnsi="Book Antiqua"/>
          <w:i/>
          <w:iCs/>
        </w:rPr>
        <w:t>N Engl J Med</w:t>
      </w:r>
      <w:r w:rsidRPr="00BA2B87">
        <w:rPr>
          <w:rFonts w:ascii="Book Antiqua" w:hAnsi="Book Antiqua"/>
        </w:rPr>
        <w:t xml:space="preserve"> 2012; </w:t>
      </w:r>
      <w:r w:rsidRPr="00BA2B87">
        <w:rPr>
          <w:rFonts w:ascii="Book Antiqua" w:hAnsi="Book Antiqua"/>
          <w:b/>
          <w:bCs/>
        </w:rPr>
        <w:t>366</w:t>
      </w:r>
      <w:r w:rsidRPr="00BA2B87">
        <w:rPr>
          <w:rFonts w:ascii="Book Antiqua" w:hAnsi="Book Antiqua"/>
        </w:rPr>
        <w:t>: 687-696 [PMID: 22356322 DOI: 10.1056/NEJMoa1100370]</w:t>
      </w:r>
    </w:p>
    <w:p w14:paraId="26C9CD2D"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20 </w:t>
      </w:r>
      <w:r w:rsidRPr="00BA2B87">
        <w:rPr>
          <w:rFonts w:ascii="Book Antiqua" w:hAnsi="Book Antiqua"/>
          <w:b/>
          <w:bCs/>
        </w:rPr>
        <w:t>Oh T</w:t>
      </w:r>
      <w:r w:rsidRPr="00BA2B87">
        <w:rPr>
          <w:rFonts w:ascii="Book Antiqua" w:hAnsi="Book Antiqua"/>
        </w:rPr>
        <w:t xml:space="preserve">, Kim N, Moon Y, Kim MS, Hoehn BD, Park CH, Kim TS, Kim NK, Chung HC, An S. Genome-wide identification and validation of a novel methylation biomarker, SDC2, for blood-based detection of colorectal cancer. </w:t>
      </w:r>
      <w:r w:rsidRPr="00BA2B87">
        <w:rPr>
          <w:rFonts w:ascii="Book Antiqua" w:hAnsi="Book Antiqua"/>
          <w:i/>
          <w:iCs/>
        </w:rPr>
        <w:t>J Mol Diagn</w:t>
      </w:r>
      <w:r w:rsidRPr="00BA2B87">
        <w:rPr>
          <w:rFonts w:ascii="Book Antiqua" w:hAnsi="Book Antiqua"/>
        </w:rPr>
        <w:t xml:space="preserve"> 2013; </w:t>
      </w:r>
      <w:r w:rsidRPr="00BA2B87">
        <w:rPr>
          <w:rFonts w:ascii="Book Antiqua" w:hAnsi="Book Antiqua"/>
          <w:b/>
          <w:bCs/>
        </w:rPr>
        <w:t>15</w:t>
      </w:r>
      <w:r w:rsidRPr="00BA2B87">
        <w:rPr>
          <w:rFonts w:ascii="Book Antiqua" w:hAnsi="Book Antiqua"/>
        </w:rPr>
        <w:t>: 498-507 [PMID: 23747112 DOI: 10.1016/j.jmoldx.2013.03.004]</w:t>
      </w:r>
    </w:p>
    <w:p w14:paraId="26D0FB3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21 </w:t>
      </w:r>
      <w:r w:rsidRPr="00BA2B87">
        <w:rPr>
          <w:rFonts w:ascii="Book Antiqua" w:hAnsi="Book Antiqua"/>
          <w:b/>
          <w:bCs/>
        </w:rPr>
        <w:t>Li H</w:t>
      </w:r>
      <w:r w:rsidRPr="00BA2B87">
        <w:rPr>
          <w:rFonts w:ascii="Book Antiqua" w:hAnsi="Book Antiqua"/>
        </w:rPr>
        <w:t xml:space="preserve">, Du Y, Zhang D, Wang LN, Yang C, Liu B, Wang WJ, Shi L, Hong WG, Zhang L, Yang YX. Identification of novel DNA methylation markers in colorectal cancer using MIRA-based microarrays. </w:t>
      </w:r>
      <w:r w:rsidRPr="00BA2B87">
        <w:rPr>
          <w:rFonts w:ascii="Book Antiqua" w:hAnsi="Book Antiqua"/>
          <w:i/>
          <w:iCs/>
        </w:rPr>
        <w:t>Oncol Rep</w:t>
      </w:r>
      <w:r w:rsidRPr="00BA2B87">
        <w:rPr>
          <w:rFonts w:ascii="Book Antiqua" w:hAnsi="Book Antiqua"/>
        </w:rPr>
        <w:t xml:space="preserve"> 2012; </w:t>
      </w:r>
      <w:r w:rsidRPr="00BA2B87">
        <w:rPr>
          <w:rFonts w:ascii="Book Antiqua" w:hAnsi="Book Antiqua"/>
          <w:b/>
          <w:bCs/>
        </w:rPr>
        <w:t>28</w:t>
      </w:r>
      <w:r w:rsidRPr="00BA2B87">
        <w:rPr>
          <w:rFonts w:ascii="Book Antiqua" w:hAnsi="Book Antiqua"/>
        </w:rPr>
        <w:t>: 99-104 [PMID: 22552777 DOI: 10.3892/or.2012.1779]</w:t>
      </w:r>
    </w:p>
    <w:p w14:paraId="3A42F60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22 </w:t>
      </w:r>
      <w:r w:rsidRPr="00BA2B87">
        <w:rPr>
          <w:rFonts w:ascii="Book Antiqua" w:hAnsi="Book Antiqua"/>
          <w:b/>
          <w:bCs/>
        </w:rPr>
        <w:t>Mori Y</w:t>
      </w:r>
      <w:r w:rsidRPr="00BA2B87">
        <w:rPr>
          <w:rFonts w:ascii="Book Antiqua" w:hAnsi="Book Antiqua"/>
        </w:rPr>
        <w:t xml:space="preserve">, Olaru AV, Cheng Y, Agarwal R, Yang J, Luvsanjav D, Yu W, Selaru FM, Hutfless S, Lazarev M, Kwon JH, Brant SR, Marohn MR, Hutcheon DF, Duncan MD, Goel A, Meltzer SJ. Novel candidate colorectal cancer biomarkers identified by methylation microarray-based scanning. </w:t>
      </w:r>
      <w:r w:rsidRPr="00BA2B87">
        <w:rPr>
          <w:rFonts w:ascii="Book Antiqua" w:hAnsi="Book Antiqua"/>
          <w:i/>
          <w:iCs/>
        </w:rPr>
        <w:t>Endocr Relat Cancer</w:t>
      </w:r>
      <w:r w:rsidRPr="00BA2B87">
        <w:rPr>
          <w:rFonts w:ascii="Book Antiqua" w:hAnsi="Book Antiqua"/>
        </w:rPr>
        <w:t xml:space="preserve"> 2011; </w:t>
      </w:r>
      <w:r w:rsidRPr="00BA2B87">
        <w:rPr>
          <w:rFonts w:ascii="Book Antiqua" w:hAnsi="Book Antiqua"/>
          <w:b/>
          <w:bCs/>
        </w:rPr>
        <w:t>18</w:t>
      </w:r>
      <w:r w:rsidRPr="00BA2B87">
        <w:rPr>
          <w:rFonts w:ascii="Book Antiqua" w:hAnsi="Book Antiqua"/>
        </w:rPr>
        <w:t>: 465-478 [PMID: 21636702 DOI: 10.1530/ERC-11-0083]</w:t>
      </w:r>
    </w:p>
    <w:p w14:paraId="35E4499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23 </w:t>
      </w:r>
      <w:r w:rsidRPr="00BA2B87">
        <w:rPr>
          <w:rFonts w:ascii="Book Antiqua" w:hAnsi="Book Antiqua"/>
          <w:b/>
          <w:bCs/>
        </w:rPr>
        <w:t>Habermann JK</w:t>
      </w:r>
      <w:r w:rsidRPr="00BA2B87">
        <w:rPr>
          <w:rFonts w:ascii="Book Antiqua" w:hAnsi="Book Antiqua"/>
        </w:rPr>
        <w:t xml:space="preserve">, Bader FG, Franke C, Zimmermann K, Gemoll T, Fritzsche B, Ried T, Auer G, Bruch HP, Roblick UJ. From the genome to the proteome--biomarkers in colorectal cancer. </w:t>
      </w:r>
      <w:r w:rsidRPr="00BA2B87">
        <w:rPr>
          <w:rFonts w:ascii="Book Antiqua" w:hAnsi="Book Antiqua"/>
          <w:i/>
          <w:iCs/>
        </w:rPr>
        <w:t>Langenbecks Arch Surg</w:t>
      </w:r>
      <w:r w:rsidRPr="00BA2B87">
        <w:rPr>
          <w:rFonts w:ascii="Book Antiqua" w:hAnsi="Book Antiqua"/>
        </w:rPr>
        <w:t xml:space="preserve"> 2008; </w:t>
      </w:r>
      <w:r w:rsidRPr="00BA2B87">
        <w:rPr>
          <w:rFonts w:ascii="Book Antiqua" w:hAnsi="Book Antiqua"/>
          <w:b/>
          <w:bCs/>
        </w:rPr>
        <w:t>393</w:t>
      </w:r>
      <w:r w:rsidRPr="00BA2B87">
        <w:rPr>
          <w:rFonts w:ascii="Book Antiqua" w:hAnsi="Book Antiqua"/>
        </w:rPr>
        <w:t>: 93-104 [PMID: 17938952 DOI: 10.1007/s00423-007-0230-1]</w:t>
      </w:r>
    </w:p>
    <w:p w14:paraId="11E8462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24 </w:t>
      </w:r>
      <w:r w:rsidRPr="00BA2B87">
        <w:rPr>
          <w:rFonts w:ascii="Book Antiqua" w:hAnsi="Book Antiqua"/>
          <w:b/>
          <w:bCs/>
        </w:rPr>
        <w:t>Wang Z</w:t>
      </w:r>
      <w:r w:rsidRPr="00BA2B87">
        <w:rPr>
          <w:rFonts w:ascii="Book Antiqua" w:hAnsi="Book Antiqua"/>
        </w:rPr>
        <w:t xml:space="preserve">, Gerstein M, Snyder M. RNA-Seq: a revolutionary tool for transcriptomics. </w:t>
      </w:r>
      <w:r w:rsidRPr="00BA2B87">
        <w:rPr>
          <w:rFonts w:ascii="Book Antiqua" w:hAnsi="Book Antiqua"/>
          <w:i/>
          <w:iCs/>
        </w:rPr>
        <w:t>Nat Rev Genet</w:t>
      </w:r>
      <w:r w:rsidRPr="00BA2B87">
        <w:rPr>
          <w:rFonts w:ascii="Book Antiqua" w:hAnsi="Book Antiqua"/>
        </w:rPr>
        <w:t xml:space="preserve"> 2009; </w:t>
      </w:r>
      <w:r w:rsidRPr="00BA2B87">
        <w:rPr>
          <w:rFonts w:ascii="Book Antiqua" w:hAnsi="Book Antiqua"/>
          <w:b/>
          <w:bCs/>
        </w:rPr>
        <w:t>10</w:t>
      </w:r>
      <w:r w:rsidRPr="00BA2B87">
        <w:rPr>
          <w:rFonts w:ascii="Book Antiqua" w:hAnsi="Book Antiqua"/>
        </w:rPr>
        <w:t>: 57-63 [PMID: 19015660 DOI: 10.1038/nrg2484]</w:t>
      </w:r>
    </w:p>
    <w:p w14:paraId="16D727C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25 </w:t>
      </w:r>
      <w:r w:rsidRPr="00BA2B87">
        <w:rPr>
          <w:rFonts w:ascii="Book Antiqua" w:hAnsi="Book Antiqua"/>
          <w:b/>
          <w:bCs/>
        </w:rPr>
        <w:t>Ragusa M</w:t>
      </w:r>
      <w:r w:rsidRPr="00BA2B87">
        <w:rPr>
          <w:rFonts w:ascii="Book Antiqua" w:hAnsi="Book Antiqua"/>
        </w:rPr>
        <w:t xml:space="preserve">, Barbagallo C, Statello L, Condorelli AG, Battaglia R, Tamburello L, Barbagallo D, Di Pietro C, Purrello M. Non-coding landscapes of colorectal cancer. </w:t>
      </w:r>
      <w:r w:rsidRPr="00BA2B87">
        <w:rPr>
          <w:rFonts w:ascii="Book Antiqua" w:hAnsi="Book Antiqua"/>
          <w:i/>
          <w:iCs/>
        </w:rPr>
        <w:lastRenderedPageBreak/>
        <w:t>World J Gastroenterol</w:t>
      </w:r>
      <w:r w:rsidRPr="00BA2B87">
        <w:rPr>
          <w:rFonts w:ascii="Book Antiqua" w:hAnsi="Book Antiqua"/>
        </w:rPr>
        <w:t xml:space="preserve"> 2015; </w:t>
      </w:r>
      <w:r w:rsidRPr="00BA2B87">
        <w:rPr>
          <w:rFonts w:ascii="Book Antiqua" w:hAnsi="Book Antiqua"/>
          <w:b/>
          <w:bCs/>
        </w:rPr>
        <w:t>21</w:t>
      </w:r>
      <w:r w:rsidRPr="00BA2B87">
        <w:rPr>
          <w:rFonts w:ascii="Book Antiqua" w:hAnsi="Book Antiqua"/>
        </w:rPr>
        <w:t>: 11709-11739 [PMID: 26556998 DOI: 10.3748/wjg.v21.i41.11709]</w:t>
      </w:r>
    </w:p>
    <w:p w14:paraId="571D8AD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26 </w:t>
      </w:r>
      <w:r w:rsidRPr="00BA2B87">
        <w:rPr>
          <w:rFonts w:ascii="Book Antiqua" w:hAnsi="Book Antiqua"/>
          <w:b/>
          <w:bCs/>
        </w:rPr>
        <w:t>Slaby O</w:t>
      </w:r>
      <w:r w:rsidRPr="00BA2B87">
        <w:rPr>
          <w:rFonts w:ascii="Book Antiqua" w:hAnsi="Book Antiqua"/>
        </w:rPr>
        <w:t xml:space="preserve">, Svoboda M, Michalek J, Vyzula R. MicroRNAs in colorectal cancer: translation of molecular biology into clinical application. </w:t>
      </w:r>
      <w:r w:rsidRPr="00BA2B87">
        <w:rPr>
          <w:rFonts w:ascii="Book Antiqua" w:hAnsi="Book Antiqua"/>
          <w:i/>
          <w:iCs/>
        </w:rPr>
        <w:t>Mol Cancer</w:t>
      </w:r>
      <w:r w:rsidRPr="00BA2B87">
        <w:rPr>
          <w:rFonts w:ascii="Book Antiqua" w:hAnsi="Book Antiqua"/>
        </w:rPr>
        <w:t xml:space="preserve"> 2009; </w:t>
      </w:r>
      <w:r w:rsidRPr="00BA2B87">
        <w:rPr>
          <w:rFonts w:ascii="Book Antiqua" w:hAnsi="Book Antiqua"/>
          <w:b/>
          <w:bCs/>
        </w:rPr>
        <w:t>8</w:t>
      </w:r>
      <w:r w:rsidRPr="00BA2B87">
        <w:rPr>
          <w:rFonts w:ascii="Book Antiqua" w:hAnsi="Book Antiqua"/>
        </w:rPr>
        <w:t>: 102 [PMID: 19912656 DOI: 10.1186/1476-4598-8-102]</w:t>
      </w:r>
    </w:p>
    <w:p w14:paraId="2364C8A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27 </w:t>
      </w:r>
      <w:r w:rsidRPr="00BA2B87">
        <w:rPr>
          <w:rFonts w:ascii="Book Antiqua" w:hAnsi="Book Antiqua"/>
          <w:b/>
          <w:bCs/>
        </w:rPr>
        <w:t>Yamada A</w:t>
      </w:r>
      <w:r w:rsidRPr="00BA2B87">
        <w:rPr>
          <w:rFonts w:ascii="Book Antiqua" w:hAnsi="Book Antiqua"/>
        </w:rPr>
        <w:t xml:space="preserve">, Yu P, Lin W, Okugawa Y, Boland CR, Goel A. A RNA-Sequencing approach for the identification of novel long non-coding RNA biomarkers in colorectal cancer. </w:t>
      </w:r>
      <w:r w:rsidRPr="00BA2B87">
        <w:rPr>
          <w:rFonts w:ascii="Book Antiqua" w:hAnsi="Book Antiqua"/>
          <w:i/>
          <w:iCs/>
        </w:rPr>
        <w:t>Sci Rep</w:t>
      </w:r>
      <w:r w:rsidRPr="00BA2B87">
        <w:rPr>
          <w:rFonts w:ascii="Book Antiqua" w:hAnsi="Book Antiqua"/>
        </w:rPr>
        <w:t xml:space="preserve"> 2018; </w:t>
      </w:r>
      <w:r w:rsidRPr="00BA2B87">
        <w:rPr>
          <w:rFonts w:ascii="Book Antiqua" w:hAnsi="Book Antiqua"/>
          <w:b/>
          <w:bCs/>
        </w:rPr>
        <w:t>8</w:t>
      </w:r>
      <w:r w:rsidRPr="00BA2B87">
        <w:rPr>
          <w:rFonts w:ascii="Book Antiqua" w:hAnsi="Book Antiqua"/>
        </w:rPr>
        <w:t>: 575 [PMID: 29330370 DOI: 10.1038/s41598-017-18407-6]</w:t>
      </w:r>
    </w:p>
    <w:p w14:paraId="6C737BD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28 </w:t>
      </w:r>
      <w:r w:rsidRPr="00BA2B87">
        <w:rPr>
          <w:rFonts w:ascii="Book Antiqua" w:hAnsi="Book Antiqua"/>
          <w:b/>
          <w:bCs/>
        </w:rPr>
        <w:t>Zhang Z</w:t>
      </w:r>
      <w:r w:rsidRPr="00BA2B87">
        <w:rPr>
          <w:rFonts w:ascii="Book Antiqua" w:hAnsi="Book Antiqua"/>
        </w:rPr>
        <w:t xml:space="preserve">, Jia H, Gu T, Hu Q, Yu J, Zang D, Song N, Wang H. RNA sequencing and bioinformatics analysis of the long noncoding RNA-mRNA network in colorectal cancer. </w:t>
      </w:r>
      <w:r w:rsidRPr="00BA2B87">
        <w:rPr>
          <w:rFonts w:ascii="Book Antiqua" w:hAnsi="Book Antiqua"/>
          <w:i/>
          <w:iCs/>
        </w:rPr>
        <w:t>J Cell Biochem</w:t>
      </w:r>
      <w:r w:rsidRPr="00BA2B87">
        <w:rPr>
          <w:rFonts w:ascii="Book Antiqua" w:hAnsi="Book Antiqua"/>
        </w:rPr>
        <w:t xml:space="preserve"> 2018; </w:t>
      </w:r>
      <w:r w:rsidRPr="00BA2B87">
        <w:rPr>
          <w:rFonts w:ascii="Book Antiqua" w:hAnsi="Book Antiqua"/>
          <w:b/>
          <w:bCs/>
        </w:rPr>
        <w:t>119</w:t>
      </w:r>
      <w:r w:rsidRPr="00BA2B87">
        <w:rPr>
          <w:rFonts w:ascii="Book Antiqua" w:hAnsi="Book Antiqua"/>
        </w:rPr>
        <w:t>: 9957-9966 [PMID: 30145796 DOI: 10.1002/jcb.27319]</w:t>
      </w:r>
    </w:p>
    <w:p w14:paraId="256410D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29 </w:t>
      </w:r>
      <w:r w:rsidRPr="00BA2B87">
        <w:rPr>
          <w:rFonts w:ascii="Book Antiqua" w:hAnsi="Book Antiqua"/>
          <w:b/>
          <w:bCs/>
        </w:rPr>
        <w:t>Li XN</w:t>
      </w:r>
      <w:r w:rsidRPr="00BA2B87">
        <w:rPr>
          <w:rFonts w:ascii="Book Antiqua" w:hAnsi="Book Antiqua"/>
        </w:rPr>
        <w:t xml:space="preserve">, Wang ZJ, Ye CX, Zhao BC, Li ZL, Yang Y. RNA sequencing reveals the expression profiles of circRNA and indicates that circDDX17 acts as a tumor suppressor in colorectal cancer. </w:t>
      </w:r>
      <w:r w:rsidRPr="00BA2B87">
        <w:rPr>
          <w:rFonts w:ascii="Book Antiqua" w:hAnsi="Book Antiqua"/>
          <w:i/>
          <w:iCs/>
        </w:rPr>
        <w:t>J Exp Clin Cancer Res</w:t>
      </w:r>
      <w:r w:rsidRPr="00BA2B87">
        <w:rPr>
          <w:rFonts w:ascii="Book Antiqua" w:hAnsi="Book Antiqua"/>
        </w:rPr>
        <w:t xml:space="preserve"> 2018; </w:t>
      </w:r>
      <w:r w:rsidRPr="00BA2B87">
        <w:rPr>
          <w:rFonts w:ascii="Book Antiqua" w:hAnsi="Book Antiqua"/>
          <w:b/>
          <w:bCs/>
        </w:rPr>
        <w:t>37</w:t>
      </w:r>
      <w:r w:rsidRPr="00BA2B87">
        <w:rPr>
          <w:rFonts w:ascii="Book Antiqua" w:hAnsi="Book Antiqua"/>
        </w:rPr>
        <w:t>: 325 [PMID: 30591054 DOI: 10.1186/s13046-018-1006-x]</w:t>
      </w:r>
    </w:p>
    <w:p w14:paraId="0AE731F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30 </w:t>
      </w:r>
      <w:r w:rsidRPr="00BA2B87">
        <w:rPr>
          <w:rFonts w:ascii="Book Antiqua" w:hAnsi="Book Antiqua"/>
          <w:b/>
          <w:bCs/>
        </w:rPr>
        <w:t>Ghazanfar S</w:t>
      </w:r>
      <w:r w:rsidRPr="00BA2B87">
        <w:rPr>
          <w:rFonts w:ascii="Book Antiqua" w:hAnsi="Book Antiqua"/>
        </w:rPr>
        <w:t xml:space="preserve">, Fatima I, Aslam M, Musharraf SG, Sherman NE, Moskaluk C, Fox JW, Akhtar MW, Sadaf S. Identification of actin beta-like 2 (ACTBL2) as novel, upregulated protein in colorectal cancer. </w:t>
      </w:r>
      <w:r w:rsidRPr="00BA2B87">
        <w:rPr>
          <w:rFonts w:ascii="Book Antiqua" w:hAnsi="Book Antiqua"/>
          <w:i/>
          <w:iCs/>
        </w:rPr>
        <w:t>J Proteomics</w:t>
      </w:r>
      <w:r w:rsidRPr="00BA2B87">
        <w:rPr>
          <w:rFonts w:ascii="Book Antiqua" w:hAnsi="Book Antiqua"/>
        </w:rPr>
        <w:t xml:space="preserve"> 2017; </w:t>
      </w:r>
      <w:r w:rsidRPr="00BA2B87">
        <w:rPr>
          <w:rFonts w:ascii="Book Antiqua" w:hAnsi="Book Antiqua"/>
          <w:b/>
          <w:bCs/>
        </w:rPr>
        <w:t>152</w:t>
      </w:r>
      <w:r w:rsidRPr="00BA2B87">
        <w:rPr>
          <w:rFonts w:ascii="Book Antiqua" w:hAnsi="Book Antiqua"/>
        </w:rPr>
        <w:t>: 33-40 [PMID: 27989943 DOI: 10.1016/j.jprot.2016.10.011]</w:t>
      </w:r>
    </w:p>
    <w:p w14:paraId="6274C87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31 </w:t>
      </w:r>
      <w:r w:rsidRPr="00BA2B87">
        <w:rPr>
          <w:rFonts w:ascii="Book Antiqua" w:hAnsi="Book Antiqua"/>
          <w:b/>
          <w:bCs/>
        </w:rPr>
        <w:t>Hao JJ</w:t>
      </w:r>
      <w:r w:rsidRPr="00BA2B87">
        <w:rPr>
          <w:rFonts w:ascii="Book Antiqua" w:hAnsi="Book Antiqua"/>
        </w:rPr>
        <w:t xml:space="preserve">, Zhi X, Wang Y, Zhang Z, Hao Z, Ye R, Tang Z, Qian F, Wang Q, Zhu J. Comprehensive Proteomic Characterization of the Human Colorectal Carcinoma Reveals Signature Proteins and Perturbed Pathways. </w:t>
      </w:r>
      <w:r w:rsidRPr="00BA2B87">
        <w:rPr>
          <w:rFonts w:ascii="Book Antiqua" w:hAnsi="Book Antiqua"/>
          <w:i/>
          <w:iCs/>
        </w:rPr>
        <w:t>Sci Rep</w:t>
      </w:r>
      <w:r w:rsidRPr="00BA2B87">
        <w:rPr>
          <w:rFonts w:ascii="Book Antiqua" w:hAnsi="Book Antiqua"/>
        </w:rPr>
        <w:t xml:space="preserve"> 2017; </w:t>
      </w:r>
      <w:r w:rsidRPr="00BA2B87">
        <w:rPr>
          <w:rFonts w:ascii="Book Antiqua" w:hAnsi="Book Antiqua"/>
          <w:b/>
          <w:bCs/>
        </w:rPr>
        <w:t>7</w:t>
      </w:r>
      <w:r w:rsidRPr="00BA2B87">
        <w:rPr>
          <w:rFonts w:ascii="Book Antiqua" w:hAnsi="Book Antiqua"/>
        </w:rPr>
        <w:t>: 42436 [PMID: 28181595 DOI: 10.1038/srep42436]</w:t>
      </w:r>
    </w:p>
    <w:p w14:paraId="353B611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32 </w:t>
      </w:r>
      <w:r w:rsidRPr="00BA2B87">
        <w:rPr>
          <w:rFonts w:ascii="Book Antiqua" w:hAnsi="Book Antiqua"/>
          <w:b/>
          <w:bCs/>
        </w:rPr>
        <w:t>Quesada-Calvo F</w:t>
      </w:r>
      <w:r w:rsidRPr="00BA2B87">
        <w:rPr>
          <w:rFonts w:ascii="Book Antiqua" w:hAnsi="Book Antiqua"/>
        </w:rPr>
        <w:t xml:space="preserve">, Massot C, Bertrand V, Longuespée R, Blétard N, Somja J, Mazzucchelli G, Smargiasso N, Baiwir D, De Pauw-Gillet MC, Delvenne P, Malaise M, Coimbra Marques C, Polus M, De Pauw E, Meuwis MA, Louis E. OLFM4, KNG1 and Sec24C identified by proteomics and immunohistochemistry as potential markers of early colorectal cancer stages. </w:t>
      </w:r>
      <w:r w:rsidRPr="00BA2B87">
        <w:rPr>
          <w:rFonts w:ascii="Book Antiqua" w:hAnsi="Book Antiqua"/>
          <w:i/>
          <w:iCs/>
        </w:rPr>
        <w:t>Clin Proteomics</w:t>
      </w:r>
      <w:r w:rsidRPr="00BA2B87">
        <w:rPr>
          <w:rFonts w:ascii="Book Antiqua" w:hAnsi="Book Antiqua"/>
        </w:rPr>
        <w:t xml:space="preserve"> 2017; </w:t>
      </w:r>
      <w:r w:rsidRPr="00BA2B87">
        <w:rPr>
          <w:rFonts w:ascii="Book Antiqua" w:hAnsi="Book Antiqua"/>
          <w:b/>
          <w:bCs/>
        </w:rPr>
        <w:t>14</w:t>
      </w:r>
      <w:r w:rsidRPr="00BA2B87">
        <w:rPr>
          <w:rFonts w:ascii="Book Antiqua" w:hAnsi="Book Antiqua"/>
        </w:rPr>
        <w:t>: 9 [PMID: 28344541 DOI: 10.1186/s12014-017-9143-3]</w:t>
      </w:r>
    </w:p>
    <w:p w14:paraId="42094DE2"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33 </w:t>
      </w:r>
      <w:r w:rsidRPr="00BA2B87">
        <w:rPr>
          <w:rFonts w:ascii="Book Antiqua" w:hAnsi="Book Antiqua"/>
          <w:b/>
          <w:bCs/>
        </w:rPr>
        <w:t>Yamamoto T</w:t>
      </w:r>
      <w:r w:rsidRPr="00BA2B87">
        <w:rPr>
          <w:rFonts w:ascii="Book Antiqua" w:hAnsi="Book Antiqua"/>
        </w:rPr>
        <w:t xml:space="preserve">, Kudo M, Peng WX, Takata H, Takakura H, Teduka K, Fujii T, Mitamura K, Taga A, Uchida E, Naito Z. Identification of aldolase A as a potential diagnostic biomarker for colorectal cancer based on proteomic analysis using formalin-fixed paraffin-embedded tissue. </w:t>
      </w:r>
      <w:r w:rsidRPr="00BA2B87">
        <w:rPr>
          <w:rFonts w:ascii="Book Antiqua" w:hAnsi="Book Antiqua"/>
          <w:i/>
          <w:iCs/>
        </w:rPr>
        <w:t>Tumour Biol</w:t>
      </w:r>
      <w:r w:rsidRPr="00BA2B87">
        <w:rPr>
          <w:rFonts w:ascii="Book Antiqua" w:hAnsi="Book Antiqua"/>
        </w:rPr>
        <w:t xml:space="preserve"> 2016; </w:t>
      </w:r>
      <w:r w:rsidRPr="00BA2B87">
        <w:rPr>
          <w:rFonts w:ascii="Book Antiqua" w:hAnsi="Book Antiqua"/>
          <w:b/>
          <w:bCs/>
        </w:rPr>
        <w:t>37</w:t>
      </w:r>
      <w:r w:rsidRPr="00BA2B87">
        <w:rPr>
          <w:rFonts w:ascii="Book Antiqua" w:hAnsi="Book Antiqua"/>
        </w:rPr>
        <w:t>: 13595-13606 [PMID: 27468721 DOI: 10.1007/s13277-016-5275-8]</w:t>
      </w:r>
    </w:p>
    <w:p w14:paraId="79FDA15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34 </w:t>
      </w:r>
      <w:r w:rsidRPr="00BA2B87">
        <w:rPr>
          <w:rFonts w:ascii="Book Antiqua" w:hAnsi="Book Antiqua"/>
          <w:b/>
          <w:bCs/>
        </w:rPr>
        <w:t>Ilyas U</w:t>
      </w:r>
      <w:r w:rsidRPr="00BA2B87">
        <w:rPr>
          <w:rFonts w:ascii="Book Antiqua" w:hAnsi="Book Antiqua"/>
        </w:rPr>
        <w:t xml:space="preserve">, Zaman SU, Altaf R, Nadeem H, Muhammad SA. Genome wide meta-analysis of cDNA datasets reveals new target gene signatures of colorectal cancer based on systems biology approach. </w:t>
      </w:r>
      <w:r w:rsidRPr="00BA2B87">
        <w:rPr>
          <w:rFonts w:ascii="Book Antiqua" w:hAnsi="Book Antiqua"/>
          <w:i/>
          <w:iCs/>
        </w:rPr>
        <w:t>J Biol Res (Thessalon)</w:t>
      </w:r>
      <w:r w:rsidRPr="00BA2B87">
        <w:rPr>
          <w:rFonts w:ascii="Book Antiqua" w:hAnsi="Book Antiqua"/>
        </w:rPr>
        <w:t xml:space="preserve"> 2020; </w:t>
      </w:r>
      <w:r w:rsidRPr="00BA2B87">
        <w:rPr>
          <w:rFonts w:ascii="Book Antiqua" w:hAnsi="Book Antiqua"/>
          <w:b/>
          <w:bCs/>
        </w:rPr>
        <w:t>27</w:t>
      </w:r>
      <w:r w:rsidRPr="00BA2B87">
        <w:rPr>
          <w:rFonts w:ascii="Book Antiqua" w:hAnsi="Book Antiqua"/>
        </w:rPr>
        <w:t>: 8 [PMID: 32523911 DOI: 10.1186/s40709-020-00118-1]</w:t>
      </w:r>
    </w:p>
    <w:p w14:paraId="1223FA2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35 </w:t>
      </w:r>
      <w:r w:rsidRPr="00BA2B87">
        <w:rPr>
          <w:rFonts w:ascii="Book Antiqua" w:hAnsi="Book Antiqua"/>
          <w:b/>
          <w:bCs/>
        </w:rPr>
        <w:t>Marcuello M</w:t>
      </w:r>
      <w:r w:rsidRPr="00BA2B87">
        <w:rPr>
          <w:rFonts w:ascii="Book Antiqua" w:hAnsi="Book Antiqua"/>
        </w:rPr>
        <w:t xml:space="preserve">, Vymetalkova V, Neves RPL, Duran-Sanchon S, Vedeld HM, Tham E, van Dalum G, Flügen G, Garcia-Barberan V, Fijneman RJ, Castells A, Vodicka P, Lind GE, Stoecklein NH, Heitzer E, Gironella M. Circulating biomarkers for early detection and clinical management of colorectal cancer. </w:t>
      </w:r>
      <w:r w:rsidRPr="00BA2B87">
        <w:rPr>
          <w:rFonts w:ascii="Book Antiqua" w:hAnsi="Book Antiqua"/>
          <w:i/>
          <w:iCs/>
        </w:rPr>
        <w:t>Mol Aspects Med</w:t>
      </w:r>
      <w:r w:rsidRPr="00BA2B87">
        <w:rPr>
          <w:rFonts w:ascii="Book Antiqua" w:hAnsi="Book Antiqua"/>
        </w:rPr>
        <w:t xml:space="preserve"> 2019; </w:t>
      </w:r>
      <w:r w:rsidRPr="00BA2B87">
        <w:rPr>
          <w:rFonts w:ascii="Book Antiqua" w:hAnsi="Book Antiqua"/>
          <w:b/>
          <w:bCs/>
        </w:rPr>
        <w:t>69</w:t>
      </w:r>
      <w:r w:rsidRPr="00BA2B87">
        <w:rPr>
          <w:rFonts w:ascii="Book Antiqua" w:hAnsi="Book Antiqua"/>
        </w:rPr>
        <w:t>: 107-122 [PMID: 31189073 DOI: 10.1016/j.mam.2019.06.002]</w:t>
      </w:r>
    </w:p>
    <w:p w14:paraId="093F5DFE" w14:textId="003742EA" w:rsidR="00ED2E77" w:rsidRPr="00BA2B87" w:rsidRDefault="00ED2E77" w:rsidP="00BA2B87">
      <w:pPr>
        <w:spacing w:line="360" w:lineRule="auto"/>
        <w:jc w:val="both"/>
        <w:rPr>
          <w:rFonts w:ascii="Book Antiqua" w:hAnsi="Book Antiqua"/>
        </w:rPr>
      </w:pPr>
      <w:r w:rsidRPr="00BA2B87">
        <w:rPr>
          <w:rFonts w:ascii="Book Antiqua" w:hAnsi="Book Antiqua"/>
        </w:rPr>
        <w:t xml:space="preserve">36 </w:t>
      </w:r>
      <w:r w:rsidRPr="00BA2B87">
        <w:rPr>
          <w:rFonts w:ascii="Book Antiqua" w:hAnsi="Book Antiqua"/>
          <w:b/>
          <w:bCs/>
        </w:rPr>
        <w:t>Ivancic MM</w:t>
      </w:r>
      <w:r w:rsidRPr="00BA2B87">
        <w:rPr>
          <w:rFonts w:ascii="Book Antiqua" w:hAnsi="Book Antiqua"/>
        </w:rPr>
        <w:t xml:space="preserve">, Megna BW, Sverchkov Y, Craven M, Reichelderfer M, Pickhardt PJ, Sussman MR, Kennedy GD. Noninvasive Detection of Colorectal Carcinomas Using Serum Protein Biomarkers. </w:t>
      </w:r>
      <w:r w:rsidRPr="00BA2B87">
        <w:rPr>
          <w:rFonts w:ascii="Book Antiqua" w:hAnsi="Book Antiqua"/>
          <w:i/>
          <w:iCs/>
        </w:rPr>
        <w:t>J Surg Res</w:t>
      </w:r>
      <w:r w:rsidRPr="00BA2B87">
        <w:rPr>
          <w:rFonts w:ascii="Book Antiqua" w:hAnsi="Book Antiqua"/>
        </w:rPr>
        <w:t xml:space="preserve"> 2020; </w:t>
      </w:r>
      <w:r w:rsidRPr="00BA2B87">
        <w:rPr>
          <w:rFonts w:ascii="Book Antiqua" w:hAnsi="Book Antiqua"/>
          <w:b/>
          <w:bCs/>
        </w:rPr>
        <w:t>246</w:t>
      </w:r>
      <w:r w:rsidRPr="00BA2B87">
        <w:rPr>
          <w:rFonts w:ascii="Book Antiqua" w:hAnsi="Book Antiqua"/>
        </w:rPr>
        <w:t>: 160-169 [PMID: 31586890 DOI: 10.1016/j.jss.2019.08.004]</w:t>
      </w:r>
    </w:p>
    <w:p w14:paraId="5F058DD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37 </w:t>
      </w:r>
      <w:r w:rsidRPr="00BA2B87">
        <w:rPr>
          <w:rFonts w:ascii="Book Antiqua" w:hAnsi="Book Antiqua"/>
          <w:b/>
          <w:bCs/>
        </w:rPr>
        <w:t>Bhardwaj M</w:t>
      </w:r>
      <w:r w:rsidRPr="00BA2B87">
        <w:rPr>
          <w:rFonts w:ascii="Book Antiqua" w:hAnsi="Book Antiqua"/>
        </w:rPr>
        <w:t xml:space="preserve">, Gies A, Weigl K, Tikk K, Benner A, Schrotz-King P, Borchers CH, Brenner H. Evaluation and Validation of Plasma Proteins Using Two Different Protein Detection Methods for Early Detection of Colorectal Cancer. </w:t>
      </w:r>
      <w:r w:rsidRPr="00BA2B87">
        <w:rPr>
          <w:rFonts w:ascii="Book Antiqua" w:hAnsi="Book Antiqua"/>
          <w:i/>
          <w:iCs/>
        </w:rPr>
        <w:t>Cancers (Basel)</w:t>
      </w:r>
      <w:r w:rsidRPr="00BA2B87">
        <w:rPr>
          <w:rFonts w:ascii="Book Antiqua" w:hAnsi="Book Antiqua"/>
        </w:rPr>
        <w:t xml:space="preserve"> 2019; </w:t>
      </w:r>
      <w:r w:rsidRPr="00BA2B87">
        <w:rPr>
          <w:rFonts w:ascii="Book Antiqua" w:hAnsi="Book Antiqua"/>
          <w:b/>
          <w:bCs/>
        </w:rPr>
        <w:t>11</w:t>
      </w:r>
      <w:r w:rsidRPr="00BA2B87">
        <w:rPr>
          <w:rFonts w:ascii="Book Antiqua" w:hAnsi="Book Antiqua"/>
        </w:rPr>
        <w:t xml:space="preserve"> [PMID: 31557860 DOI: 10.3390/cancers11101426]</w:t>
      </w:r>
    </w:p>
    <w:p w14:paraId="7320917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38 </w:t>
      </w:r>
      <w:r w:rsidRPr="00BA2B87">
        <w:rPr>
          <w:rFonts w:ascii="Book Antiqua" w:hAnsi="Book Antiqua"/>
          <w:b/>
          <w:bCs/>
        </w:rPr>
        <w:t>Yu J</w:t>
      </w:r>
      <w:r w:rsidRPr="00BA2B87">
        <w:rPr>
          <w:rFonts w:ascii="Book Antiqua" w:hAnsi="Book Antiqua"/>
        </w:rPr>
        <w:t xml:space="preserve">, Zhai X, Li X, Zhong C, Guo C, Yang F, Yuan Y, Zheng S. Identification of MST1 as a potential early detection biomarker for colorectal cancer through a proteomic approach. </w:t>
      </w:r>
      <w:r w:rsidRPr="00BA2B87">
        <w:rPr>
          <w:rFonts w:ascii="Book Antiqua" w:hAnsi="Book Antiqua"/>
          <w:i/>
          <w:iCs/>
        </w:rPr>
        <w:t>Sci Rep</w:t>
      </w:r>
      <w:r w:rsidRPr="00BA2B87">
        <w:rPr>
          <w:rFonts w:ascii="Book Antiqua" w:hAnsi="Book Antiqua"/>
        </w:rPr>
        <w:t xml:space="preserve"> 2017; </w:t>
      </w:r>
      <w:r w:rsidRPr="00BA2B87">
        <w:rPr>
          <w:rFonts w:ascii="Book Antiqua" w:hAnsi="Book Antiqua"/>
          <w:b/>
          <w:bCs/>
        </w:rPr>
        <w:t>7</w:t>
      </w:r>
      <w:r w:rsidRPr="00BA2B87">
        <w:rPr>
          <w:rFonts w:ascii="Book Antiqua" w:hAnsi="Book Antiqua"/>
        </w:rPr>
        <w:t>: 14265 [PMID: 29079854 DOI: 10.1038/s41598-017-14539-x]</w:t>
      </w:r>
    </w:p>
    <w:p w14:paraId="437A03F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39 </w:t>
      </w:r>
      <w:r w:rsidRPr="00BA2B87">
        <w:rPr>
          <w:rFonts w:ascii="Book Antiqua" w:hAnsi="Book Antiqua"/>
          <w:b/>
          <w:bCs/>
        </w:rPr>
        <w:t>Fan NJ</w:t>
      </w:r>
      <w:r w:rsidRPr="00BA2B87">
        <w:rPr>
          <w:rFonts w:ascii="Book Antiqua" w:hAnsi="Book Antiqua"/>
        </w:rPr>
        <w:t xml:space="preserve">, Chen HM, Song W, Zhang ZY, Zhang MD, Feng LY, Gao CF. Macrophage mannose receptor 1 and S100A9 were identified as serum diagnostic biomarkers for colorectal cancer through a label-free quantitative proteomic analysis. </w:t>
      </w:r>
      <w:r w:rsidRPr="00BA2B87">
        <w:rPr>
          <w:rFonts w:ascii="Book Antiqua" w:hAnsi="Book Antiqua"/>
          <w:i/>
          <w:iCs/>
        </w:rPr>
        <w:t>Cancer Biomark</w:t>
      </w:r>
      <w:r w:rsidRPr="00BA2B87">
        <w:rPr>
          <w:rFonts w:ascii="Book Antiqua" w:hAnsi="Book Antiqua"/>
        </w:rPr>
        <w:t xml:space="preserve"> 2016; </w:t>
      </w:r>
      <w:r w:rsidRPr="00BA2B87">
        <w:rPr>
          <w:rFonts w:ascii="Book Antiqua" w:hAnsi="Book Antiqua"/>
          <w:b/>
          <w:bCs/>
        </w:rPr>
        <w:t>16</w:t>
      </w:r>
      <w:r w:rsidRPr="00BA2B87">
        <w:rPr>
          <w:rFonts w:ascii="Book Antiqua" w:hAnsi="Book Antiqua"/>
        </w:rPr>
        <w:t>: 235-243 [PMID: 26682511 DOI: 10.3233/CBM-150560]</w:t>
      </w:r>
    </w:p>
    <w:p w14:paraId="3AF7AE64"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40 </w:t>
      </w:r>
      <w:r w:rsidRPr="00BA2B87">
        <w:rPr>
          <w:rFonts w:ascii="Book Antiqua" w:hAnsi="Book Antiqua"/>
          <w:b/>
          <w:bCs/>
        </w:rPr>
        <w:t>Peltier J</w:t>
      </w:r>
      <w:r w:rsidRPr="00BA2B87">
        <w:rPr>
          <w:rFonts w:ascii="Book Antiqua" w:hAnsi="Book Antiqua"/>
        </w:rPr>
        <w:t xml:space="preserve">, Roperch JP, Audebert S, Borg JP, Camoin L. Quantitative proteomic analysis exploring progression of colorectal cancer: Modulation of the serpin family. </w:t>
      </w:r>
      <w:r w:rsidRPr="00BA2B87">
        <w:rPr>
          <w:rFonts w:ascii="Book Antiqua" w:hAnsi="Book Antiqua"/>
          <w:i/>
          <w:iCs/>
        </w:rPr>
        <w:t>J Proteomics</w:t>
      </w:r>
      <w:r w:rsidRPr="00BA2B87">
        <w:rPr>
          <w:rFonts w:ascii="Book Antiqua" w:hAnsi="Book Antiqua"/>
        </w:rPr>
        <w:t xml:space="preserve"> 2016; </w:t>
      </w:r>
      <w:r w:rsidRPr="00BA2B87">
        <w:rPr>
          <w:rFonts w:ascii="Book Antiqua" w:hAnsi="Book Antiqua"/>
          <w:b/>
          <w:bCs/>
        </w:rPr>
        <w:t>148</w:t>
      </w:r>
      <w:r w:rsidRPr="00BA2B87">
        <w:rPr>
          <w:rFonts w:ascii="Book Antiqua" w:hAnsi="Book Antiqua"/>
        </w:rPr>
        <w:t>: 139-148 [PMID: 27492143 DOI: 10.1016/j.jprot.2016.07.031]</w:t>
      </w:r>
    </w:p>
    <w:p w14:paraId="4AEA15F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41 </w:t>
      </w:r>
      <w:r w:rsidRPr="00BA2B87">
        <w:rPr>
          <w:rFonts w:ascii="Book Antiqua" w:hAnsi="Book Antiqua"/>
          <w:b/>
          <w:bCs/>
        </w:rPr>
        <w:t>Matsubara J</w:t>
      </w:r>
      <w:r w:rsidRPr="00BA2B87">
        <w:rPr>
          <w:rFonts w:ascii="Book Antiqua" w:hAnsi="Book Antiqua"/>
        </w:rPr>
        <w:t xml:space="preserve">, Honda K, Ono M, Sekine S, Tanaka Y, Kobayashi M, Jung G, Sakuma T, Nakamori S, Sata N, Nagai H, Ioka T, Okusaka T, Kosuge T, Tsuchida A, Shimahara M, Yasunami Y, Chiba T, Yamada T. Identification of adipophilin as a potential plasma biomarker for colorectal cancer using label-free quantitative mass spectrometry and protein microarray. </w:t>
      </w:r>
      <w:r w:rsidRPr="00BA2B87">
        <w:rPr>
          <w:rFonts w:ascii="Book Antiqua" w:hAnsi="Book Antiqua"/>
          <w:i/>
          <w:iCs/>
        </w:rPr>
        <w:t>Cancer Epidemiol Biomarkers Prev</w:t>
      </w:r>
      <w:r w:rsidRPr="00BA2B87">
        <w:rPr>
          <w:rFonts w:ascii="Book Antiqua" w:hAnsi="Book Antiqua"/>
        </w:rPr>
        <w:t xml:space="preserve"> 2011; </w:t>
      </w:r>
      <w:r w:rsidRPr="00BA2B87">
        <w:rPr>
          <w:rFonts w:ascii="Book Antiqua" w:hAnsi="Book Antiqua"/>
          <w:b/>
          <w:bCs/>
        </w:rPr>
        <w:t>20</w:t>
      </w:r>
      <w:r w:rsidRPr="00BA2B87">
        <w:rPr>
          <w:rFonts w:ascii="Book Antiqua" w:hAnsi="Book Antiqua"/>
        </w:rPr>
        <w:t>: 2195-2203 [PMID: 21828233 DOI: 10.1158/1055-9965.EPI-11-0400]</w:t>
      </w:r>
    </w:p>
    <w:p w14:paraId="115A2E5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42 </w:t>
      </w:r>
      <w:r w:rsidRPr="00BA2B87">
        <w:rPr>
          <w:rFonts w:ascii="Book Antiqua" w:hAnsi="Book Antiqua"/>
          <w:b/>
          <w:bCs/>
        </w:rPr>
        <w:t>Zhang A</w:t>
      </w:r>
      <w:r w:rsidRPr="00BA2B87">
        <w:rPr>
          <w:rFonts w:ascii="Book Antiqua" w:hAnsi="Book Antiqua"/>
        </w:rPr>
        <w:t xml:space="preserve">, Sun H, Yan G, Wang P, Han Y, Wang X. Metabolomics in diagnosis and biomarker discovery of colorectal cancer. </w:t>
      </w:r>
      <w:r w:rsidRPr="00BA2B87">
        <w:rPr>
          <w:rFonts w:ascii="Book Antiqua" w:hAnsi="Book Antiqua"/>
          <w:i/>
          <w:iCs/>
        </w:rPr>
        <w:t>Cancer Lett</w:t>
      </w:r>
      <w:r w:rsidRPr="00BA2B87">
        <w:rPr>
          <w:rFonts w:ascii="Book Antiqua" w:hAnsi="Book Antiqua"/>
        </w:rPr>
        <w:t xml:space="preserve"> 2014; </w:t>
      </w:r>
      <w:r w:rsidRPr="00BA2B87">
        <w:rPr>
          <w:rFonts w:ascii="Book Antiqua" w:hAnsi="Book Antiqua"/>
          <w:b/>
          <w:bCs/>
        </w:rPr>
        <w:t>345</w:t>
      </w:r>
      <w:r w:rsidRPr="00BA2B87">
        <w:rPr>
          <w:rFonts w:ascii="Book Antiqua" w:hAnsi="Book Antiqua"/>
        </w:rPr>
        <w:t>: 17-20 [PMID: 24333717 DOI: 10.1016/j.canlet.2013.11.011]</w:t>
      </w:r>
    </w:p>
    <w:p w14:paraId="4BB1095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43 </w:t>
      </w:r>
      <w:r w:rsidRPr="00BA2B87">
        <w:rPr>
          <w:rFonts w:ascii="Book Antiqua" w:hAnsi="Book Antiqua"/>
          <w:b/>
          <w:bCs/>
        </w:rPr>
        <w:t>Ma Y</w:t>
      </w:r>
      <w:r w:rsidRPr="00BA2B87">
        <w:rPr>
          <w:rFonts w:ascii="Book Antiqua" w:hAnsi="Book Antiqua"/>
        </w:rPr>
        <w:t xml:space="preserve">, Zhang P, Wang F, Liu W, Yang J, Qin H. An integrated proteomics and metabolomics approach for defining oncofetal biomarkers in the colorectal cancer. </w:t>
      </w:r>
      <w:r w:rsidRPr="00BA2B87">
        <w:rPr>
          <w:rFonts w:ascii="Book Antiqua" w:hAnsi="Book Antiqua"/>
          <w:i/>
          <w:iCs/>
        </w:rPr>
        <w:t>Ann Surg</w:t>
      </w:r>
      <w:r w:rsidRPr="00BA2B87">
        <w:rPr>
          <w:rFonts w:ascii="Book Antiqua" w:hAnsi="Book Antiqua"/>
        </w:rPr>
        <w:t xml:space="preserve"> 2012; </w:t>
      </w:r>
      <w:r w:rsidRPr="00BA2B87">
        <w:rPr>
          <w:rFonts w:ascii="Book Antiqua" w:hAnsi="Book Antiqua"/>
          <w:b/>
          <w:bCs/>
        </w:rPr>
        <w:t>255</w:t>
      </w:r>
      <w:r w:rsidRPr="00BA2B87">
        <w:rPr>
          <w:rFonts w:ascii="Book Antiqua" w:hAnsi="Book Antiqua"/>
        </w:rPr>
        <w:t>: 720-730 [PMID: 22395091 DOI: 10.1097/SLA.0b013e31824a9a8b]</w:t>
      </w:r>
    </w:p>
    <w:p w14:paraId="61BF1B0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44 </w:t>
      </w:r>
      <w:r w:rsidRPr="00BA2B87">
        <w:rPr>
          <w:rFonts w:ascii="Book Antiqua" w:hAnsi="Book Antiqua"/>
          <w:b/>
          <w:bCs/>
        </w:rPr>
        <w:t>Lin Y</w:t>
      </w:r>
      <w:r w:rsidRPr="00BA2B87">
        <w:rPr>
          <w:rFonts w:ascii="Book Antiqua" w:hAnsi="Book Antiqua"/>
        </w:rPr>
        <w:t xml:space="preserve">, Ma C, Liu C, Wang Z, Yang J, Liu X, Shen Z, Wu R. NMR-based fecal metabolomics fingerprinting as predictors of earlier diagnosis in patients with colorectal cancer. </w:t>
      </w:r>
      <w:r w:rsidRPr="00BA2B87">
        <w:rPr>
          <w:rFonts w:ascii="Book Antiqua" w:hAnsi="Book Antiqua"/>
          <w:i/>
          <w:iCs/>
        </w:rPr>
        <w:t>Oncotarget</w:t>
      </w:r>
      <w:r w:rsidRPr="00BA2B87">
        <w:rPr>
          <w:rFonts w:ascii="Book Antiqua" w:hAnsi="Book Antiqua"/>
        </w:rPr>
        <w:t xml:space="preserve"> 2016; </w:t>
      </w:r>
      <w:r w:rsidRPr="00BA2B87">
        <w:rPr>
          <w:rFonts w:ascii="Book Antiqua" w:hAnsi="Book Antiqua"/>
          <w:b/>
          <w:bCs/>
        </w:rPr>
        <w:t>7</w:t>
      </w:r>
      <w:r w:rsidRPr="00BA2B87">
        <w:rPr>
          <w:rFonts w:ascii="Book Antiqua" w:hAnsi="Book Antiqua"/>
        </w:rPr>
        <w:t>: 29454-29464 [PMID: 27107423 DOI: 10.18632/oncotarget.8762]</w:t>
      </w:r>
    </w:p>
    <w:p w14:paraId="7B7BC02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45 </w:t>
      </w:r>
      <w:r w:rsidRPr="00BA2B87">
        <w:rPr>
          <w:rFonts w:ascii="Book Antiqua" w:hAnsi="Book Antiqua"/>
          <w:b/>
          <w:bCs/>
        </w:rPr>
        <w:t>Gu J</w:t>
      </w:r>
      <w:r w:rsidRPr="00BA2B87">
        <w:rPr>
          <w:rFonts w:ascii="Book Antiqua" w:hAnsi="Book Antiqua"/>
        </w:rPr>
        <w:t xml:space="preserve">, Xiao Y, Shu D, Liang X, Hu X, Xie Y, Lin D, Li H. Metabolomics Analysis in Serum from Patients with Colorectal Polyp and Colorectal Cancer by </w:t>
      </w:r>
      <w:r w:rsidRPr="00BA2B87">
        <w:rPr>
          <w:rFonts w:ascii="Book Antiqua" w:hAnsi="Book Antiqua"/>
          <w:vertAlign w:val="superscript"/>
        </w:rPr>
        <w:t>1</w:t>
      </w:r>
      <w:r w:rsidRPr="00BA2B87">
        <w:rPr>
          <w:rFonts w:ascii="Book Antiqua" w:hAnsi="Book Antiqua"/>
        </w:rPr>
        <w:t xml:space="preserve">H-NMR Spectrometry. </w:t>
      </w:r>
      <w:r w:rsidRPr="00BA2B87">
        <w:rPr>
          <w:rFonts w:ascii="Book Antiqua" w:hAnsi="Book Antiqua"/>
          <w:i/>
          <w:iCs/>
        </w:rPr>
        <w:t>Dis Markers</w:t>
      </w:r>
      <w:r w:rsidRPr="00BA2B87">
        <w:rPr>
          <w:rFonts w:ascii="Book Antiqua" w:hAnsi="Book Antiqua"/>
        </w:rPr>
        <w:t xml:space="preserve"> 2019; </w:t>
      </w:r>
      <w:r w:rsidRPr="00BA2B87">
        <w:rPr>
          <w:rFonts w:ascii="Book Antiqua" w:hAnsi="Book Antiqua"/>
          <w:b/>
          <w:bCs/>
        </w:rPr>
        <w:t>2019</w:t>
      </w:r>
      <w:r w:rsidRPr="00BA2B87">
        <w:rPr>
          <w:rFonts w:ascii="Book Antiqua" w:hAnsi="Book Antiqua"/>
        </w:rPr>
        <w:t>: 3491852 [PMID: 31089393 DOI: 10.1155/2019/3491852]</w:t>
      </w:r>
    </w:p>
    <w:p w14:paraId="5587098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46 </w:t>
      </w:r>
      <w:r w:rsidRPr="00BA2B87">
        <w:rPr>
          <w:rFonts w:ascii="Book Antiqua" w:hAnsi="Book Antiqua"/>
          <w:b/>
          <w:bCs/>
        </w:rPr>
        <w:t>Nishiumi S</w:t>
      </w:r>
      <w:r w:rsidRPr="00BA2B87">
        <w:rPr>
          <w:rFonts w:ascii="Book Antiqua" w:hAnsi="Book Antiqua"/>
        </w:rPr>
        <w:t xml:space="preserve">, Kobayashi T, Ikeda A, Yoshie T, Kibi M, Izumi Y, Okuno T, Hayashi N, Kawano S, Takenawa T, Azuma T, Yoshida M. A novel serum metabolomics-based diagnostic approach for colorectal cancer. </w:t>
      </w:r>
      <w:r w:rsidRPr="00BA2B87">
        <w:rPr>
          <w:rFonts w:ascii="Book Antiqua" w:hAnsi="Book Antiqua"/>
          <w:i/>
          <w:iCs/>
        </w:rPr>
        <w:t>PLoS One</w:t>
      </w:r>
      <w:r w:rsidRPr="00BA2B87">
        <w:rPr>
          <w:rFonts w:ascii="Book Antiqua" w:hAnsi="Book Antiqua"/>
        </w:rPr>
        <w:t xml:space="preserve"> 2012; </w:t>
      </w:r>
      <w:r w:rsidRPr="00BA2B87">
        <w:rPr>
          <w:rFonts w:ascii="Book Antiqua" w:hAnsi="Book Antiqua"/>
          <w:b/>
          <w:bCs/>
        </w:rPr>
        <w:t>7</w:t>
      </w:r>
      <w:r w:rsidRPr="00BA2B87">
        <w:rPr>
          <w:rFonts w:ascii="Book Antiqua" w:hAnsi="Book Antiqua"/>
        </w:rPr>
        <w:t>: e40459 [PMID: 22792336 DOI: 10.1371/journal.pone.0040459]</w:t>
      </w:r>
    </w:p>
    <w:p w14:paraId="38867CC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47 </w:t>
      </w:r>
      <w:r w:rsidRPr="00BA2B87">
        <w:rPr>
          <w:rFonts w:ascii="Book Antiqua" w:hAnsi="Book Antiqua"/>
          <w:b/>
          <w:bCs/>
        </w:rPr>
        <w:t>Kim ER</w:t>
      </w:r>
      <w:r w:rsidRPr="00BA2B87">
        <w:rPr>
          <w:rFonts w:ascii="Book Antiqua" w:hAnsi="Book Antiqua"/>
        </w:rPr>
        <w:t xml:space="preserve">, Kwon HN, Nam H, Kim JJ, Park S, Kim YH. Urine-NMR metabolomics for screening of advanced colorectal adenoma and early stage colorectal cancer. </w:t>
      </w:r>
      <w:r w:rsidRPr="00BA2B87">
        <w:rPr>
          <w:rFonts w:ascii="Book Antiqua" w:hAnsi="Book Antiqua"/>
          <w:i/>
          <w:iCs/>
        </w:rPr>
        <w:t>Sci Rep</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4786 [PMID: 30886205 DOI: 10.1038/s41598-019-41216-y]</w:t>
      </w:r>
    </w:p>
    <w:p w14:paraId="1A6CCEBC"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48 </w:t>
      </w:r>
      <w:r w:rsidRPr="00BA2B87">
        <w:rPr>
          <w:rFonts w:ascii="Book Antiqua" w:hAnsi="Book Antiqua"/>
          <w:b/>
          <w:bCs/>
        </w:rPr>
        <w:t>Wang Z</w:t>
      </w:r>
      <w:r w:rsidRPr="00BA2B87">
        <w:rPr>
          <w:rFonts w:ascii="Book Antiqua" w:hAnsi="Book Antiqua"/>
        </w:rPr>
        <w:t xml:space="preserve">, Lin Y, Liang J, Huang Y, Ma C, Liu X, Yang J. NMR-based metabolomic techniques identify potential urinary biomarkers for early colorectal cancer detection. </w:t>
      </w:r>
      <w:r w:rsidRPr="00BA2B87">
        <w:rPr>
          <w:rFonts w:ascii="Book Antiqua" w:hAnsi="Book Antiqua"/>
          <w:i/>
          <w:iCs/>
        </w:rPr>
        <w:t>Oncotarget</w:t>
      </w:r>
      <w:r w:rsidRPr="00BA2B87">
        <w:rPr>
          <w:rFonts w:ascii="Book Antiqua" w:hAnsi="Book Antiqua"/>
        </w:rPr>
        <w:t xml:space="preserve"> 2017; </w:t>
      </w:r>
      <w:r w:rsidRPr="00BA2B87">
        <w:rPr>
          <w:rFonts w:ascii="Book Antiqua" w:hAnsi="Book Antiqua"/>
          <w:b/>
          <w:bCs/>
        </w:rPr>
        <w:t>8</w:t>
      </w:r>
      <w:r w:rsidRPr="00BA2B87">
        <w:rPr>
          <w:rFonts w:ascii="Book Antiqua" w:hAnsi="Book Antiqua"/>
        </w:rPr>
        <w:t>: 105819-105831 [PMID: 29285295 DOI: 10.18632/oncotarget.22402]</w:t>
      </w:r>
    </w:p>
    <w:p w14:paraId="5B43B4D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49 </w:t>
      </w:r>
      <w:r w:rsidRPr="00BA2B87">
        <w:rPr>
          <w:rFonts w:ascii="Book Antiqua" w:hAnsi="Book Antiqua"/>
          <w:b/>
          <w:bCs/>
        </w:rPr>
        <w:t>Uchiyama K</w:t>
      </w:r>
      <w:r w:rsidRPr="00BA2B87">
        <w:rPr>
          <w:rFonts w:ascii="Book Antiqua" w:hAnsi="Book Antiqua"/>
        </w:rPr>
        <w:t xml:space="preserve">, Yagi N, Mizushima K, Higashimura Y, Hirai Y, Okayama T, Yoshida N, Katada K, Kamada K, Handa O, Ishikawa T, Takagi T, Konishi H, Kuriu Y, Nakanishi M, Otsuji E, Itoh Y, Naito Y. Serum metabolomics analysis for early detection of colorectal cancer. </w:t>
      </w:r>
      <w:r w:rsidRPr="00BA2B87">
        <w:rPr>
          <w:rFonts w:ascii="Book Antiqua" w:hAnsi="Book Antiqua"/>
          <w:i/>
          <w:iCs/>
        </w:rPr>
        <w:t>J Gastroenterol</w:t>
      </w:r>
      <w:r w:rsidRPr="00BA2B87">
        <w:rPr>
          <w:rFonts w:ascii="Book Antiqua" w:hAnsi="Book Antiqua"/>
        </w:rPr>
        <w:t xml:space="preserve"> 2017; </w:t>
      </w:r>
      <w:r w:rsidRPr="00BA2B87">
        <w:rPr>
          <w:rFonts w:ascii="Book Antiqua" w:hAnsi="Book Antiqua"/>
          <w:b/>
          <w:bCs/>
        </w:rPr>
        <w:t>52</w:t>
      </w:r>
      <w:r w:rsidRPr="00BA2B87">
        <w:rPr>
          <w:rFonts w:ascii="Book Antiqua" w:hAnsi="Book Antiqua"/>
        </w:rPr>
        <w:t>: 677-694 [PMID: 27650200 DOI: 10.1007/s00535-016-1261-6]</w:t>
      </w:r>
    </w:p>
    <w:p w14:paraId="4F7EC027"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50 </w:t>
      </w:r>
      <w:r w:rsidRPr="00BA2B87">
        <w:rPr>
          <w:rFonts w:ascii="Book Antiqua" w:hAnsi="Book Antiqua"/>
          <w:b/>
          <w:bCs/>
        </w:rPr>
        <w:t>Liu HN</w:t>
      </w:r>
      <w:r w:rsidRPr="00BA2B87">
        <w:rPr>
          <w:rFonts w:ascii="Book Antiqua" w:hAnsi="Book Antiqua"/>
        </w:rPr>
        <w:t xml:space="preserve">, Liu TT, Wu H, Chen YJ, Tseng YJ, Yao C, Weng SQ, Dong L, Shen XZ. Serum microRNA signatures and metabolomics have high diagnostic value in colorectal cancer using two novel methods. </w:t>
      </w:r>
      <w:r w:rsidRPr="00BA2B87">
        <w:rPr>
          <w:rFonts w:ascii="Book Antiqua" w:hAnsi="Book Antiqua"/>
          <w:i/>
          <w:iCs/>
          <w:lang w:val="pt-BR"/>
        </w:rPr>
        <w:t>Cancer Sci</w:t>
      </w:r>
      <w:r w:rsidRPr="00BA2B87">
        <w:rPr>
          <w:rFonts w:ascii="Book Antiqua" w:hAnsi="Book Antiqua"/>
          <w:lang w:val="pt-BR"/>
        </w:rPr>
        <w:t xml:space="preserve"> 2018; </w:t>
      </w:r>
      <w:r w:rsidRPr="00BA2B87">
        <w:rPr>
          <w:rFonts w:ascii="Book Antiqua" w:hAnsi="Book Antiqua"/>
          <w:b/>
          <w:bCs/>
          <w:lang w:val="pt-BR"/>
        </w:rPr>
        <w:t>109</w:t>
      </w:r>
      <w:r w:rsidRPr="00BA2B87">
        <w:rPr>
          <w:rFonts w:ascii="Book Antiqua" w:hAnsi="Book Antiqua"/>
          <w:lang w:val="pt-BR"/>
        </w:rPr>
        <w:t>: 1185-1194 [PMID: 29363233 DOI: 10.1111/cas.13514]</w:t>
      </w:r>
    </w:p>
    <w:p w14:paraId="4C9E7CA5"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51 </w:t>
      </w:r>
      <w:r w:rsidRPr="00BA2B87">
        <w:rPr>
          <w:rFonts w:ascii="Book Antiqua" w:hAnsi="Book Antiqua"/>
          <w:b/>
          <w:bCs/>
          <w:lang w:val="pt-BR"/>
        </w:rPr>
        <w:t>Martín-Blázquez A</w:t>
      </w:r>
      <w:r w:rsidRPr="00BA2B87">
        <w:rPr>
          <w:rFonts w:ascii="Book Antiqua" w:hAnsi="Book Antiqua"/>
          <w:lang w:val="pt-BR"/>
        </w:rPr>
        <w:t xml:space="preserve">, Díaz C, González-Flores E, Franco-Rivas D, Jiménez-Luna C, Melguizo C, Prados J, Genilloud O, Vicente F, Caba O, Pérez Del Palacio J. Untargeted LC-HRMS-based metabolomics to identify novel biomarkers of metastatic colorectal cancer. </w:t>
      </w:r>
      <w:r w:rsidRPr="00BA2B87">
        <w:rPr>
          <w:rFonts w:ascii="Book Antiqua" w:hAnsi="Book Antiqua"/>
          <w:i/>
          <w:iCs/>
        </w:rPr>
        <w:t>Sci Rep</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20198 [PMID: 31882610 DOI: 10.1038/s41598-019-55952-8]</w:t>
      </w:r>
    </w:p>
    <w:p w14:paraId="7720B60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52 </w:t>
      </w:r>
      <w:r w:rsidRPr="00BA2B87">
        <w:rPr>
          <w:rFonts w:ascii="Book Antiqua" w:hAnsi="Book Antiqua"/>
          <w:b/>
          <w:bCs/>
        </w:rPr>
        <w:t>Alomair AO</w:t>
      </w:r>
      <w:r w:rsidRPr="00BA2B87">
        <w:rPr>
          <w:rFonts w:ascii="Book Antiqua" w:hAnsi="Book Antiqua"/>
        </w:rPr>
        <w:t xml:space="preserve">, Masoodi I, Alyamani EJ, Allehibi AA, Qutub AN, Alsayari KN, Altammami MA, Alshanqeeti AS. Colonic Mucosal Microbiota in Colorectal Cancer: A Single-Center Metagenomic Study in Saudi Arabia. </w:t>
      </w:r>
      <w:r w:rsidRPr="00BA2B87">
        <w:rPr>
          <w:rFonts w:ascii="Book Antiqua" w:hAnsi="Book Antiqua"/>
          <w:i/>
          <w:iCs/>
        </w:rPr>
        <w:t>Gastroenterol Res Pract</w:t>
      </w:r>
      <w:r w:rsidRPr="00BA2B87">
        <w:rPr>
          <w:rFonts w:ascii="Book Antiqua" w:hAnsi="Book Antiqua"/>
        </w:rPr>
        <w:t xml:space="preserve"> 2018; </w:t>
      </w:r>
      <w:r w:rsidRPr="00BA2B87">
        <w:rPr>
          <w:rFonts w:ascii="Book Antiqua" w:hAnsi="Book Antiqua"/>
          <w:b/>
          <w:bCs/>
        </w:rPr>
        <w:t>2018</w:t>
      </w:r>
      <w:r w:rsidRPr="00BA2B87">
        <w:rPr>
          <w:rFonts w:ascii="Book Antiqua" w:hAnsi="Book Antiqua"/>
        </w:rPr>
        <w:t>: 5284754 [PMID: 29887882 DOI: 10.1155/2018/5284754]</w:t>
      </w:r>
    </w:p>
    <w:p w14:paraId="3CF446E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53 </w:t>
      </w:r>
      <w:r w:rsidRPr="00BA2B87">
        <w:rPr>
          <w:rFonts w:ascii="Book Antiqua" w:hAnsi="Book Antiqua"/>
          <w:b/>
          <w:bCs/>
        </w:rPr>
        <w:t>Kostic AD</w:t>
      </w:r>
      <w:r w:rsidRPr="00BA2B87">
        <w:rPr>
          <w:rFonts w:ascii="Book Antiqua" w:hAnsi="Book Antiqua"/>
        </w:rPr>
        <w:t xml:space="preserve">, Gevers D, Pedamallu CS, Michaud M, Duke F, Earl AM, Ojesina AI, Jung J, Bass AJ, Tabernero J, Baselga J, Liu C, Shivdasani RA, Ogino S, Birren BW, Huttenhower C, Garrett WS, Meyerson M. Genomic analysis identifies association of Fusobacterium with colorectal carcinoma. </w:t>
      </w:r>
      <w:r w:rsidRPr="00BA2B87">
        <w:rPr>
          <w:rFonts w:ascii="Book Antiqua" w:hAnsi="Book Antiqua"/>
          <w:i/>
          <w:iCs/>
        </w:rPr>
        <w:t>Genome Res</w:t>
      </w:r>
      <w:r w:rsidRPr="00BA2B87">
        <w:rPr>
          <w:rFonts w:ascii="Book Antiqua" w:hAnsi="Book Antiqua"/>
        </w:rPr>
        <w:t xml:space="preserve"> 2012; </w:t>
      </w:r>
      <w:r w:rsidRPr="00BA2B87">
        <w:rPr>
          <w:rFonts w:ascii="Book Antiqua" w:hAnsi="Book Antiqua"/>
          <w:b/>
          <w:bCs/>
        </w:rPr>
        <w:t>22</w:t>
      </w:r>
      <w:r w:rsidRPr="00BA2B87">
        <w:rPr>
          <w:rFonts w:ascii="Book Antiqua" w:hAnsi="Book Antiqua"/>
        </w:rPr>
        <w:t>: 292-298 [PMID: 22009990 DOI: 10.1101/gr.126573.111]</w:t>
      </w:r>
    </w:p>
    <w:p w14:paraId="0251828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54 </w:t>
      </w:r>
      <w:r w:rsidRPr="00BA2B87">
        <w:rPr>
          <w:rFonts w:ascii="Book Antiqua" w:hAnsi="Book Antiqua"/>
          <w:b/>
          <w:bCs/>
        </w:rPr>
        <w:t>Zeller G</w:t>
      </w:r>
      <w:r w:rsidRPr="00BA2B87">
        <w:rPr>
          <w:rFonts w:ascii="Book Antiqua" w:hAnsi="Book Antiqua"/>
        </w:rPr>
        <w:t xml:space="preserve">, Tap J, Voigt AY, Sunagawa S, Kultima JR, Costea PI, Amiot A, Böhm J, Brunetti F, Habermann N, Hercog R, Koch M, Luciani A, Mende DR, Schneider MA, Schrotz-King P, Tournigand C, Tran Van Nhieu J, Yamada T, Zimmermann J, Benes V, Kloor M, Ulrich CM, von Knebel Doeberitz M, Sobhani I, Bork P. Potential of fecal </w:t>
      </w:r>
      <w:r w:rsidRPr="00BA2B87">
        <w:rPr>
          <w:rFonts w:ascii="Book Antiqua" w:hAnsi="Book Antiqua"/>
        </w:rPr>
        <w:lastRenderedPageBreak/>
        <w:t xml:space="preserve">microbiota for early-stage detection of colorectal cancer. </w:t>
      </w:r>
      <w:r w:rsidRPr="00BA2B87">
        <w:rPr>
          <w:rFonts w:ascii="Book Antiqua" w:hAnsi="Book Antiqua"/>
          <w:i/>
          <w:iCs/>
        </w:rPr>
        <w:t>Mol Syst Biol</w:t>
      </w:r>
      <w:r w:rsidRPr="00BA2B87">
        <w:rPr>
          <w:rFonts w:ascii="Book Antiqua" w:hAnsi="Book Antiqua"/>
        </w:rPr>
        <w:t xml:space="preserve"> 2014; </w:t>
      </w:r>
      <w:r w:rsidRPr="00BA2B87">
        <w:rPr>
          <w:rFonts w:ascii="Book Antiqua" w:hAnsi="Book Antiqua"/>
          <w:b/>
          <w:bCs/>
        </w:rPr>
        <w:t>10</w:t>
      </w:r>
      <w:r w:rsidRPr="00BA2B87">
        <w:rPr>
          <w:rFonts w:ascii="Book Antiqua" w:hAnsi="Book Antiqua"/>
        </w:rPr>
        <w:t>: 766 [PMID: 25432777 DOI: 10.15252/msb.20145645]</w:t>
      </w:r>
    </w:p>
    <w:p w14:paraId="0C08869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55 </w:t>
      </w:r>
      <w:r w:rsidRPr="00BA2B87">
        <w:rPr>
          <w:rFonts w:ascii="Book Antiqua" w:hAnsi="Book Antiqua"/>
          <w:b/>
          <w:bCs/>
        </w:rPr>
        <w:t>Oldenhuis CN</w:t>
      </w:r>
      <w:r w:rsidRPr="00BA2B87">
        <w:rPr>
          <w:rFonts w:ascii="Book Antiqua" w:hAnsi="Book Antiqua"/>
        </w:rPr>
        <w:t xml:space="preserve">, Oosting SF, Gietema JA, de Vries EG. Prognostic versus predictive value of biomarkers in oncology. </w:t>
      </w:r>
      <w:r w:rsidRPr="00BA2B87">
        <w:rPr>
          <w:rFonts w:ascii="Book Antiqua" w:hAnsi="Book Antiqua"/>
          <w:i/>
          <w:iCs/>
        </w:rPr>
        <w:t>Eur J Cancer</w:t>
      </w:r>
      <w:r w:rsidRPr="00BA2B87">
        <w:rPr>
          <w:rFonts w:ascii="Book Antiqua" w:hAnsi="Book Antiqua"/>
        </w:rPr>
        <w:t xml:space="preserve"> 2008; </w:t>
      </w:r>
      <w:r w:rsidRPr="00BA2B87">
        <w:rPr>
          <w:rFonts w:ascii="Book Antiqua" w:hAnsi="Book Antiqua"/>
          <w:b/>
          <w:bCs/>
        </w:rPr>
        <w:t>44</w:t>
      </w:r>
      <w:r w:rsidRPr="00BA2B87">
        <w:rPr>
          <w:rFonts w:ascii="Book Antiqua" w:hAnsi="Book Antiqua"/>
        </w:rPr>
        <w:t>: 946-953 [PMID: 18396036 DOI: 10.1016/j.ejca.2008.03.006]</w:t>
      </w:r>
    </w:p>
    <w:p w14:paraId="3E207F7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56 </w:t>
      </w:r>
      <w:r w:rsidRPr="00BA2B87">
        <w:rPr>
          <w:rFonts w:ascii="Book Antiqua" w:hAnsi="Book Antiqua"/>
          <w:b/>
          <w:bCs/>
        </w:rPr>
        <w:t>Patel JN</w:t>
      </w:r>
      <w:r w:rsidRPr="00BA2B87">
        <w:rPr>
          <w:rFonts w:ascii="Book Antiqua" w:hAnsi="Book Antiqua"/>
        </w:rPr>
        <w:t xml:space="preserve">, Fong MK, Jagosky M. Colorectal Cancer Biomarkers in the Era of Personalized Medicine. </w:t>
      </w:r>
      <w:r w:rsidRPr="00BA2B87">
        <w:rPr>
          <w:rFonts w:ascii="Book Antiqua" w:hAnsi="Book Antiqua"/>
          <w:i/>
          <w:iCs/>
        </w:rPr>
        <w:t>J Pers Med</w:t>
      </w:r>
      <w:r w:rsidRPr="00BA2B87">
        <w:rPr>
          <w:rFonts w:ascii="Book Antiqua" w:hAnsi="Book Antiqua"/>
        </w:rPr>
        <w:t xml:space="preserve"> 2019; </w:t>
      </w:r>
      <w:r w:rsidRPr="00BA2B87">
        <w:rPr>
          <w:rFonts w:ascii="Book Antiqua" w:hAnsi="Book Antiqua"/>
          <w:b/>
          <w:bCs/>
        </w:rPr>
        <w:t>9</w:t>
      </w:r>
      <w:r w:rsidRPr="00BA2B87">
        <w:rPr>
          <w:rFonts w:ascii="Book Antiqua" w:hAnsi="Book Antiqua"/>
        </w:rPr>
        <w:t xml:space="preserve"> [PMID: 30646508 DOI: 10.3390/jpm9010003]</w:t>
      </w:r>
    </w:p>
    <w:p w14:paraId="7FC6C79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57 </w:t>
      </w:r>
      <w:r w:rsidRPr="00BA2B87">
        <w:rPr>
          <w:rFonts w:ascii="Book Antiqua" w:hAnsi="Book Antiqua"/>
          <w:b/>
          <w:bCs/>
        </w:rPr>
        <w:t>Pellino G</w:t>
      </w:r>
      <w:r w:rsidRPr="00BA2B87">
        <w:rPr>
          <w:rFonts w:ascii="Book Antiqua" w:hAnsi="Book Antiqua"/>
        </w:rPr>
        <w:t xml:space="preserve">, Gallo G, Pallante P, Capasso R, De Stefano A, Maretto I, Malapelle U, Qiu S, Nikolaou S, Barina A, Clerico G, Reginelli A, Giuliani A, Sciaudone G, Kontovounisios C, Brunese L, Trompetto M, Selvaggi F. Noninvasive Biomarkers of Colorectal Cancer: Role in Diagnosis and Personalised Treatment Perspectives. </w:t>
      </w:r>
      <w:r w:rsidRPr="00BA2B87">
        <w:rPr>
          <w:rFonts w:ascii="Book Antiqua" w:hAnsi="Book Antiqua"/>
          <w:i/>
          <w:iCs/>
        </w:rPr>
        <w:t>Gastroenterol Res Pract</w:t>
      </w:r>
      <w:r w:rsidRPr="00BA2B87">
        <w:rPr>
          <w:rFonts w:ascii="Book Antiqua" w:hAnsi="Book Antiqua"/>
        </w:rPr>
        <w:t xml:space="preserve"> 2018; </w:t>
      </w:r>
      <w:r w:rsidRPr="00BA2B87">
        <w:rPr>
          <w:rFonts w:ascii="Book Antiqua" w:hAnsi="Book Antiqua"/>
          <w:b/>
          <w:bCs/>
        </w:rPr>
        <w:t>2018</w:t>
      </w:r>
      <w:r w:rsidRPr="00BA2B87">
        <w:rPr>
          <w:rFonts w:ascii="Book Antiqua" w:hAnsi="Book Antiqua"/>
        </w:rPr>
        <w:t>: 2397863 [PMID: 30008744 DOI: 10.1155/2018/2397863]</w:t>
      </w:r>
    </w:p>
    <w:p w14:paraId="07E3044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58 </w:t>
      </w:r>
      <w:r w:rsidRPr="00BA2B87">
        <w:rPr>
          <w:rFonts w:ascii="Book Antiqua" w:hAnsi="Book Antiqua"/>
          <w:b/>
          <w:bCs/>
        </w:rPr>
        <w:t>Chen Y</w:t>
      </w:r>
      <w:r w:rsidRPr="00BA2B87">
        <w:rPr>
          <w:rFonts w:ascii="Book Antiqua" w:hAnsi="Book Antiqua"/>
        </w:rPr>
        <w:t xml:space="preserve">, Li J, Yu X, Li S, Zhang X, Mo Z, Hu Y. APC gene hypermethylation and prostate cancer: a systematic review and meta-analysis. </w:t>
      </w:r>
      <w:r w:rsidRPr="00BA2B87">
        <w:rPr>
          <w:rFonts w:ascii="Book Antiqua" w:hAnsi="Book Antiqua"/>
          <w:i/>
          <w:iCs/>
        </w:rPr>
        <w:t>Eur J Hum Genet</w:t>
      </w:r>
      <w:r w:rsidRPr="00BA2B87">
        <w:rPr>
          <w:rFonts w:ascii="Book Antiqua" w:hAnsi="Book Antiqua"/>
        </w:rPr>
        <w:t xml:space="preserve"> 2013; </w:t>
      </w:r>
      <w:r w:rsidRPr="00BA2B87">
        <w:rPr>
          <w:rFonts w:ascii="Book Antiqua" w:hAnsi="Book Antiqua"/>
          <w:b/>
          <w:bCs/>
        </w:rPr>
        <w:t>21</w:t>
      </w:r>
      <w:r w:rsidRPr="00BA2B87">
        <w:rPr>
          <w:rFonts w:ascii="Book Antiqua" w:hAnsi="Book Antiqua"/>
        </w:rPr>
        <w:t>: 929-935 [PMID: 23299921 DOI: 10.1038/ejhg.2012.281]</w:t>
      </w:r>
    </w:p>
    <w:p w14:paraId="2B28FD4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59 </w:t>
      </w:r>
      <w:r w:rsidRPr="00BA2B87">
        <w:rPr>
          <w:rFonts w:ascii="Book Antiqua" w:hAnsi="Book Antiqua"/>
          <w:b/>
          <w:bCs/>
        </w:rPr>
        <w:t>Ting WC</w:t>
      </w:r>
      <w:r w:rsidRPr="00BA2B87">
        <w:rPr>
          <w:rFonts w:ascii="Book Antiqua" w:hAnsi="Book Antiqua"/>
        </w:rPr>
        <w:t xml:space="preserve">, Chen LM, Pao JB, Yang YP, You BJ, Chang TY, Lan YH, Lee HZ, Bao BY. Common genetic variants in Wnt signaling pathway genes as potential prognostic biomarkers for colorectal cancer. </w:t>
      </w:r>
      <w:r w:rsidRPr="00BA2B87">
        <w:rPr>
          <w:rFonts w:ascii="Book Antiqua" w:hAnsi="Book Antiqua"/>
          <w:i/>
          <w:iCs/>
        </w:rPr>
        <w:t>PLoS One</w:t>
      </w:r>
      <w:r w:rsidRPr="00BA2B87">
        <w:rPr>
          <w:rFonts w:ascii="Book Antiqua" w:hAnsi="Book Antiqua"/>
        </w:rPr>
        <w:t xml:space="preserve"> 2013; </w:t>
      </w:r>
      <w:r w:rsidRPr="00BA2B87">
        <w:rPr>
          <w:rFonts w:ascii="Book Antiqua" w:hAnsi="Book Antiqua"/>
          <w:b/>
          <w:bCs/>
        </w:rPr>
        <w:t>8</w:t>
      </w:r>
      <w:r w:rsidRPr="00BA2B87">
        <w:rPr>
          <w:rFonts w:ascii="Book Antiqua" w:hAnsi="Book Antiqua"/>
        </w:rPr>
        <w:t>: e56196 [PMID: 23405266 DOI: 10.1371/journal.pone.0056196]</w:t>
      </w:r>
    </w:p>
    <w:p w14:paraId="5E89579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60 </w:t>
      </w:r>
      <w:r w:rsidRPr="00BA2B87">
        <w:rPr>
          <w:rFonts w:ascii="Book Antiqua" w:hAnsi="Book Antiqua"/>
          <w:b/>
          <w:bCs/>
        </w:rPr>
        <w:t>Kandioler D</w:t>
      </w:r>
      <w:r w:rsidRPr="00BA2B87">
        <w:rPr>
          <w:rFonts w:ascii="Book Antiqua" w:hAnsi="Book Antiqua"/>
        </w:rPr>
        <w:t xml:space="preserve">, Mittlböck M, Kappel S, Puhalla H, Herbst F, Langner C, Wolf B, Tschmelitsch J, Schippinger W, Steger G, Hofbauer F, Samonigg H, Gnant M, Teleky B, Kührer I; p53 Research Group and the Austrian Breast and Colorectal Study Group (ABCSG). TP53 Mutational Status and Prediction of Benefit from Adjuvant 5-Fluorouracil in Stage III Colon Cancer Patients. </w:t>
      </w:r>
      <w:r w:rsidRPr="00BA2B87">
        <w:rPr>
          <w:rFonts w:ascii="Book Antiqua" w:hAnsi="Book Antiqua"/>
          <w:i/>
          <w:iCs/>
        </w:rPr>
        <w:t>EBioMedicine</w:t>
      </w:r>
      <w:r w:rsidRPr="00BA2B87">
        <w:rPr>
          <w:rFonts w:ascii="Book Antiqua" w:hAnsi="Book Antiqua"/>
        </w:rPr>
        <w:t xml:space="preserve"> 2015; </w:t>
      </w:r>
      <w:r w:rsidRPr="00BA2B87">
        <w:rPr>
          <w:rFonts w:ascii="Book Antiqua" w:hAnsi="Book Antiqua"/>
          <w:b/>
          <w:bCs/>
        </w:rPr>
        <w:t>2</w:t>
      </w:r>
      <w:r w:rsidRPr="00BA2B87">
        <w:rPr>
          <w:rFonts w:ascii="Book Antiqua" w:hAnsi="Book Antiqua"/>
        </w:rPr>
        <w:t>: 825-830 [PMID: 26425688 DOI: 10.1016/j.ebiom.2015.06.003]</w:t>
      </w:r>
    </w:p>
    <w:p w14:paraId="55F16084"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61 </w:t>
      </w:r>
      <w:r w:rsidRPr="00BA2B87">
        <w:rPr>
          <w:rFonts w:ascii="Book Antiqua" w:hAnsi="Book Antiqua"/>
          <w:b/>
          <w:bCs/>
        </w:rPr>
        <w:t>Pilat N</w:t>
      </w:r>
      <w:r w:rsidRPr="00BA2B87">
        <w:rPr>
          <w:rFonts w:ascii="Book Antiqua" w:hAnsi="Book Antiqua"/>
        </w:rPr>
        <w:t xml:space="preserve">, Grünberger T, Längle F, Mittlböck M, Perisanidis B, Kappel S, Wolf B, Starlinger P, Kührer I, Mühlbacher F, Kandioler D. Assessing the TP53 marker type in patients treated with or without neoadjuvant chemotherapy for resectable colorectal </w:t>
      </w:r>
      <w:r w:rsidRPr="00BA2B87">
        <w:rPr>
          <w:rFonts w:ascii="Book Antiqua" w:hAnsi="Book Antiqua"/>
        </w:rPr>
        <w:lastRenderedPageBreak/>
        <w:t xml:space="preserve">liver metastases: a p53 Research Group study. </w:t>
      </w:r>
      <w:r w:rsidRPr="00BA2B87">
        <w:rPr>
          <w:rFonts w:ascii="Book Antiqua" w:hAnsi="Book Antiqua"/>
          <w:i/>
          <w:iCs/>
        </w:rPr>
        <w:t>Eur J Surg Oncol</w:t>
      </w:r>
      <w:r w:rsidRPr="00BA2B87">
        <w:rPr>
          <w:rFonts w:ascii="Book Antiqua" w:hAnsi="Book Antiqua"/>
        </w:rPr>
        <w:t xml:space="preserve"> 2015; </w:t>
      </w:r>
      <w:r w:rsidRPr="00BA2B87">
        <w:rPr>
          <w:rFonts w:ascii="Book Antiqua" w:hAnsi="Book Antiqua"/>
          <w:b/>
          <w:bCs/>
        </w:rPr>
        <w:t>41</w:t>
      </w:r>
      <w:r w:rsidRPr="00BA2B87">
        <w:rPr>
          <w:rFonts w:ascii="Book Antiqua" w:hAnsi="Book Antiqua"/>
        </w:rPr>
        <w:t>: 683-689 [PMID: 25773284 DOI: 10.1016/j.ejso.2015.02.003]</w:t>
      </w:r>
    </w:p>
    <w:p w14:paraId="2810980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62 </w:t>
      </w:r>
      <w:r w:rsidRPr="00BA2B87">
        <w:rPr>
          <w:rFonts w:ascii="Book Antiqua" w:hAnsi="Book Antiqua"/>
          <w:b/>
          <w:bCs/>
        </w:rPr>
        <w:t>Micu BV</w:t>
      </w:r>
      <w:r w:rsidRPr="00BA2B87">
        <w:rPr>
          <w:rFonts w:ascii="Book Antiqua" w:hAnsi="Book Antiqua"/>
        </w:rPr>
        <w:t xml:space="preserve">, Andercou O, Vesa SC, Micu CM, Pop TR, Constantea N. The prognostic role of microsatellite instability in colorectal cancer patients. </w:t>
      </w:r>
      <w:r w:rsidRPr="00BA2B87">
        <w:rPr>
          <w:rFonts w:ascii="Book Antiqua" w:hAnsi="Book Antiqua"/>
          <w:i/>
          <w:iCs/>
        </w:rPr>
        <w:t>Ann Ital Chir</w:t>
      </w:r>
      <w:r w:rsidRPr="00BA2B87">
        <w:rPr>
          <w:rFonts w:ascii="Book Antiqua" w:hAnsi="Book Antiqua"/>
        </w:rPr>
        <w:t xml:space="preserve"> 2017; </w:t>
      </w:r>
      <w:r w:rsidRPr="00BA2B87">
        <w:rPr>
          <w:rFonts w:ascii="Book Antiqua" w:hAnsi="Book Antiqua"/>
          <w:b/>
          <w:bCs/>
        </w:rPr>
        <w:t>6</w:t>
      </w:r>
      <w:r w:rsidRPr="00BA2B87">
        <w:rPr>
          <w:rFonts w:ascii="Book Antiqua" w:hAnsi="Book Antiqua"/>
        </w:rPr>
        <w:t>: 425-432 [PMID: 28874631]</w:t>
      </w:r>
    </w:p>
    <w:p w14:paraId="1FA5D40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63 </w:t>
      </w:r>
      <w:r w:rsidRPr="00BA2B87">
        <w:rPr>
          <w:rFonts w:ascii="Book Antiqua" w:hAnsi="Book Antiqua"/>
          <w:b/>
          <w:bCs/>
        </w:rPr>
        <w:t>Romiti A</w:t>
      </w:r>
      <w:r w:rsidRPr="00BA2B87">
        <w:rPr>
          <w:rFonts w:ascii="Book Antiqua" w:hAnsi="Book Antiqua"/>
        </w:rPr>
        <w:t xml:space="preserve">, Rulli E, Pilozzi E, Gerardi C, Roberto M, Legramandi L, Falcone R, Pacchetti I, Marchetti P, Floriani I. Exploring the Prognostic Role of Microsatellite Instability in Patients With Stage II Colorectal Cancer: A Systematic Review and Meta-Analysis. </w:t>
      </w:r>
      <w:r w:rsidRPr="00BA2B87">
        <w:rPr>
          <w:rFonts w:ascii="Book Antiqua" w:hAnsi="Book Antiqua"/>
          <w:i/>
          <w:iCs/>
        </w:rPr>
        <w:t>Clin Colorectal Cancer</w:t>
      </w:r>
      <w:r w:rsidRPr="00BA2B87">
        <w:rPr>
          <w:rFonts w:ascii="Book Antiqua" w:hAnsi="Book Antiqua"/>
        </w:rPr>
        <w:t xml:space="preserve"> 2017; </w:t>
      </w:r>
      <w:r w:rsidRPr="00BA2B87">
        <w:rPr>
          <w:rFonts w:ascii="Book Antiqua" w:hAnsi="Book Antiqua"/>
          <w:b/>
          <w:bCs/>
        </w:rPr>
        <w:t>16</w:t>
      </w:r>
      <w:r w:rsidRPr="00BA2B87">
        <w:rPr>
          <w:rFonts w:ascii="Book Antiqua" w:hAnsi="Book Antiqua"/>
        </w:rPr>
        <w:t>: e55-e59 [PMID: 27670891 DOI: 10.1016/j.clcc.2016.08.007]</w:t>
      </w:r>
    </w:p>
    <w:p w14:paraId="37C32DC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64 </w:t>
      </w:r>
      <w:r w:rsidRPr="00BA2B87">
        <w:rPr>
          <w:rFonts w:ascii="Book Antiqua" w:hAnsi="Book Antiqua"/>
          <w:b/>
          <w:bCs/>
        </w:rPr>
        <w:t>Mizuno T</w:t>
      </w:r>
      <w:r w:rsidRPr="00BA2B87">
        <w:rPr>
          <w:rFonts w:ascii="Book Antiqua" w:hAnsi="Book Antiqua"/>
        </w:rPr>
        <w:t xml:space="preserve">, Cloyd JM, Vicente D, Omichi K, Chun YS, Kopetz SE, Maru D, Conrad C, Tzeng CD, Wei SH, Aloia TA, Vauthey JN. SMAD4 gene mutation predicts poor prognosis in patients undergoing resection for colorectal liver metastases. </w:t>
      </w:r>
      <w:r w:rsidRPr="00BA2B87">
        <w:rPr>
          <w:rFonts w:ascii="Book Antiqua" w:hAnsi="Book Antiqua"/>
          <w:i/>
          <w:iCs/>
        </w:rPr>
        <w:t>Eur J Surg Oncol</w:t>
      </w:r>
      <w:r w:rsidRPr="00BA2B87">
        <w:rPr>
          <w:rFonts w:ascii="Book Antiqua" w:hAnsi="Book Antiqua"/>
        </w:rPr>
        <w:t xml:space="preserve"> 2018; </w:t>
      </w:r>
      <w:r w:rsidRPr="00BA2B87">
        <w:rPr>
          <w:rFonts w:ascii="Book Antiqua" w:hAnsi="Book Antiqua"/>
          <w:b/>
          <w:bCs/>
        </w:rPr>
        <w:t>44</w:t>
      </w:r>
      <w:r w:rsidRPr="00BA2B87">
        <w:rPr>
          <w:rFonts w:ascii="Book Antiqua" w:hAnsi="Book Antiqua"/>
        </w:rPr>
        <w:t>: 684-692 [PMID: 29551247 DOI: 10.1016/j.ejso.2018.02.247]</w:t>
      </w:r>
    </w:p>
    <w:p w14:paraId="55C068C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65 </w:t>
      </w:r>
      <w:r w:rsidRPr="00BA2B87">
        <w:rPr>
          <w:rFonts w:ascii="Book Antiqua" w:hAnsi="Book Antiqua"/>
          <w:b/>
          <w:bCs/>
        </w:rPr>
        <w:t>Mei Z</w:t>
      </w:r>
      <w:r w:rsidRPr="00BA2B87">
        <w:rPr>
          <w:rFonts w:ascii="Book Antiqua" w:hAnsi="Book Antiqua"/>
        </w:rPr>
        <w:t xml:space="preserve">, Shao YW, Lin P, Cai X, Wang B, Ding Y, Ma X, Wu X, Xia Y, Zhu D, Shu Y, Fu Z, Gu Y. SMAD4 and NF1 mutations as potential biomarkers for poor prognosis to cetuximab-based therapy in Chinese metastatic colorectal cancer patients. </w:t>
      </w:r>
      <w:r w:rsidRPr="00BA2B87">
        <w:rPr>
          <w:rFonts w:ascii="Book Antiqua" w:hAnsi="Book Antiqua"/>
          <w:i/>
          <w:iCs/>
        </w:rPr>
        <w:t>BMC Cancer</w:t>
      </w:r>
      <w:r w:rsidRPr="00BA2B87">
        <w:rPr>
          <w:rFonts w:ascii="Book Antiqua" w:hAnsi="Book Antiqua"/>
        </w:rPr>
        <w:t xml:space="preserve"> 2018; </w:t>
      </w:r>
      <w:r w:rsidRPr="00BA2B87">
        <w:rPr>
          <w:rFonts w:ascii="Book Antiqua" w:hAnsi="Book Antiqua"/>
          <w:b/>
          <w:bCs/>
        </w:rPr>
        <w:t>18</w:t>
      </w:r>
      <w:r w:rsidRPr="00BA2B87">
        <w:rPr>
          <w:rFonts w:ascii="Book Antiqua" w:hAnsi="Book Antiqua"/>
        </w:rPr>
        <w:t>: 479 [PMID: 29703253 DOI: 10.1186/s12885-018-4298-5]</w:t>
      </w:r>
    </w:p>
    <w:p w14:paraId="5180CF0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66 </w:t>
      </w:r>
      <w:r w:rsidRPr="00BA2B87">
        <w:rPr>
          <w:rFonts w:ascii="Book Antiqua" w:hAnsi="Book Antiqua"/>
          <w:b/>
          <w:bCs/>
        </w:rPr>
        <w:t>de Cuba EM</w:t>
      </w:r>
      <w:r w:rsidRPr="00BA2B87">
        <w:rPr>
          <w:rFonts w:ascii="Book Antiqua" w:hAnsi="Book Antiqua"/>
        </w:rPr>
        <w:t xml:space="preserve">, Snaebjornsson P, Heideman DA, van Grieken NC, Bosch LJ, Fijneman RJ, Belt E, Bril H, Stockmann HB, Hooijberg E, Punt CJ, Koopman M, Nagtegaal ID, Coupé VH, Carvalho B, Meijer GA. Prognostic value of BRAF and KRAS mutation status in stage II and III microsatellite instable colon cancers. </w:t>
      </w:r>
      <w:r w:rsidRPr="00BA2B87">
        <w:rPr>
          <w:rFonts w:ascii="Book Antiqua" w:hAnsi="Book Antiqua"/>
          <w:i/>
          <w:iCs/>
        </w:rPr>
        <w:t>Int J Cancer</w:t>
      </w:r>
      <w:r w:rsidRPr="00BA2B87">
        <w:rPr>
          <w:rFonts w:ascii="Book Antiqua" w:hAnsi="Book Antiqua"/>
        </w:rPr>
        <w:t xml:space="preserve"> 2016; </w:t>
      </w:r>
      <w:r w:rsidRPr="00BA2B87">
        <w:rPr>
          <w:rFonts w:ascii="Book Antiqua" w:hAnsi="Book Antiqua"/>
          <w:b/>
          <w:bCs/>
        </w:rPr>
        <w:t>138</w:t>
      </w:r>
      <w:r w:rsidRPr="00BA2B87">
        <w:rPr>
          <w:rFonts w:ascii="Book Antiqua" w:hAnsi="Book Antiqua"/>
        </w:rPr>
        <w:t>: 1139-1145 [PMID: 26376292 DOI: 10.1002/ijc.29855]</w:t>
      </w:r>
    </w:p>
    <w:p w14:paraId="5592D12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67 </w:t>
      </w:r>
      <w:r w:rsidRPr="00BA2B87">
        <w:rPr>
          <w:rFonts w:ascii="Book Antiqua" w:hAnsi="Book Antiqua"/>
          <w:b/>
          <w:bCs/>
        </w:rPr>
        <w:t>Kadowaki S</w:t>
      </w:r>
      <w:r w:rsidRPr="00BA2B87">
        <w:rPr>
          <w:rFonts w:ascii="Book Antiqua" w:hAnsi="Book Antiqua"/>
        </w:rPr>
        <w:t xml:space="preserve">, Kakuta M, Takahashi S, Takahashi A, Arai Y, Nishimura Y, Yatsuoka T, Ooki A, Yamaguchi K, Matsuo K, Muro K, Akagi K. Prognostic value of KRAS and BRAF mutations in curatively resected colorectal cancer. </w:t>
      </w:r>
      <w:r w:rsidRPr="00BA2B87">
        <w:rPr>
          <w:rFonts w:ascii="Book Antiqua" w:hAnsi="Book Antiqua"/>
          <w:i/>
          <w:iCs/>
        </w:rPr>
        <w:t>World J Gastroenterol</w:t>
      </w:r>
      <w:r w:rsidRPr="00BA2B87">
        <w:rPr>
          <w:rFonts w:ascii="Book Antiqua" w:hAnsi="Book Antiqua"/>
        </w:rPr>
        <w:t xml:space="preserve"> 2015; </w:t>
      </w:r>
      <w:r w:rsidRPr="00BA2B87">
        <w:rPr>
          <w:rFonts w:ascii="Book Antiqua" w:hAnsi="Book Antiqua"/>
          <w:b/>
          <w:bCs/>
        </w:rPr>
        <w:t>21</w:t>
      </w:r>
      <w:r w:rsidRPr="00BA2B87">
        <w:rPr>
          <w:rFonts w:ascii="Book Antiqua" w:hAnsi="Book Antiqua"/>
        </w:rPr>
        <w:t>: 1275-1283 [PMID: 25632202 DOI: 10.3748/wjg.v21.i4.1275]</w:t>
      </w:r>
    </w:p>
    <w:p w14:paraId="7C6E92F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68 </w:t>
      </w:r>
      <w:r w:rsidRPr="00BA2B87">
        <w:rPr>
          <w:rFonts w:ascii="Book Antiqua" w:hAnsi="Book Antiqua"/>
          <w:b/>
          <w:bCs/>
        </w:rPr>
        <w:t>Nguyen MN</w:t>
      </w:r>
      <w:r w:rsidRPr="00BA2B87">
        <w:rPr>
          <w:rFonts w:ascii="Book Antiqua" w:hAnsi="Book Antiqua"/>
        </w:rPr>
        <w:t xml:space="preserve">, Choi TG, Nguyen DT, Kim JH, Jo YH, Shahid M, Akter S, Aryal SN, Yoo JY, Ahn YJ, Cho KM, Lee JS, Choe W, Kang I, Ha J, Kim SS. CRC-113 gene </w:t>
      </w:r>
      <w:r w:rsidRPr="00BA2B87">
        <w:rPr>
          <w:rFonts w:ascii="Book Antiqua" w:hAnsi="Book Antiqua"/>
        </w:rPr>
        <w:lastRenderedPageBreak/>
        <w:t xml:space="preserve">expression signature for predicting prognosis in patients with colorectal cancer. </w:t>
      </w:r>
      <w:r w:rsidRPr="00BA2B87">
        <w:rPr>
          <w:rFonts w:ascii="Book Antiqua" w:hAnsi="Book Antiqua"/>
          <w:i/>
          <w:iCs/>
        </w:rPr>
        <w:t>Oncotarget</w:t>
      </w:r>
      <w:r w:rsidRPr="00BA2B87">
        <w:rPr>
          <w:rFonts w:ascii="Book Antiqua" w:hAnsi="Book Antiqua"/>
        </w:rPr>
        <w:t xml:space="preserve"> 2015; </w:t>
      </w:r>
      <w:r w:rsidRPr="00BA2B87">
        <w:rPr>
          <w:rFonts w:ascii="Book Antiqua" w:hAnsi="Book Antiqua"/>
          <w:b/>
          <w:bCs/>
        </w:rPr>
        <w:t>6</w:t>
      </w:r>
      <w:r w:rsidRPr="00BA2B87">
        <w:rPr>
          <w:rFonts w:ascii="Book Antiqua" w:hAnsi="Book Antiqua"/>
        </w:rPr>
        <w:t>: 31674-31692 [PMID: 26397224 DOI: 10.18632/oncotarget.5183]</w:t>
      </w:r>
    </w:p>
    <w:p w14:paraId="3908163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69 </w:t>
      </w:r>
      <w:r w:rsidRPr="00BA2B87">
        <w:rPr>
          <w:rFonts w:ascii="Book Antiqua" w:hAnsi="Book Antiqua"/>
          <w:b/>
          <w:bCs/>
        </w:rPr>
        <w:t>Zheng HT</w:t>
      </w:r>
      <w:r w:rsidRPr="00BA2B87">
        <w:rPr>
          <w:rFonts w:ascii="Book Antiqua" w:hAnsi="Book Antiqua"/>
        </w:rPr>
        <w:t xml:space="preserve">, Shi DB, Wang YW, Li XX, Xu Y, Tripathi P, Gu WL, Cai GX, Cai SJ. High expression of lncRNA MALAT1 suggests a biomarker of poor prognosis in colorectal cancer. </w:t>
      </w:r>
      <w:r w:rsidRPr="00BA2B87">
        <w:rPr>
          <w:rFonts w:ascii="Book Antiqua" w:hAnsi="Book Antiqua"/>
          <w:i/>
          <w:iCs/>
        </w:rPr>
        <w:t>Int J Clin Exp Pathol</w:t>
      </w:r>
      <w:r w:rsidRPr="00BA2B87">
        <w:rPr>
          <w:rFonts w:ascii="Book Antiqua" w:hAnsi="Book Antiqua"/>
        </w:rPr>
        <w:t xml:space="preserve"> 2014; </w:t>
      </w:r>
      <w:r w:rsidRPr="00BA2B87">
        <w:rPr>
          <w:rFonts w:ascii="Book Antiqua" w:hAnsi="Book Antiqua"/>
          <w:b/>
          <w:bCs/>
        </w:rPr>
        <w:t>7</w:t>
      </w:r>
      <w:r w:rsidRPr="00BA2B87">
        <w:rPr>
          <w:rFonts w:ascii="Book Antiqua" w:hAnsi="Book Antiqua"/>
        </w:rPr>
        <w:t>: 3174-3181 [PMID: 25031737]</w:t>
      </w:r>
    </w:p>
    <w:p w14:paraId="0649472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70 </w:t>
      </w:r>
      <w:r w:rsidRPr="00BA2B87">
        <w:rPr>
          <w:rFonts w:ascii="Book Antiqua" w:hAnsi="Book Antiqua"/>
          <w:b/>
          <w:bCs/>
        </w:rPr>
        <w:t>Ohtsuka M</w:t>
      </w:r>
      <w:r w:rsidRPr="00BA2B87">
        <w:rPr>
          <w:rFonts w:ascii="Book Antiqua" w:hAnsi="Book Antiqua"/>
        </w:rPr>
        <w:t xml:space="preserve">, Ling H, Ivan C, Pichler M, Matsushita D, Goblirsch M, Stiegelbauer V, Shigeyasu K, Zhang X, Chen M, Vidhu F, Bartholomeusz GA, Toiyama Y, Kusunoki M, Doki Y, Mori M, Song S, Gunther JR, Krishnan S, Slaby O, Goel A, Ajani JA, Radovich M, Calin GA. H19 Noncoding RNA, an Independent Prognostic Factor, Regulates Essential Rb-E2F and CDK8-β-Catenin Signaling in Colorectal Cancer. </w:t>
      </w:r>
      <w:r w:rsidRPr="00BA2B87">
        <w:rPr>
          <w:rFonts w:ascii="Book Antiqua" w:hAnsi="Book Antiqua"/>
          <w:i/>
          <w:iCs/>
        </w:rPr>
        <w:t>EBioMedicine</w:t>
      </w:r>
      <w:r w:rsidRPr="00BA2B87">
        <w:rPr>
          <w:rFonts w:ascii="Book Antiqua" w:hAnsi="Book Antiqua"/>
        </w:rPr>
        <w:t xml:space="preserve"> 2016; </w:t>
      </w:r>
      <w:r w:rsidRPr="00BA2B87">
        <w:rPr>
          <w:rFonts w:ascii="Book Antiqua" w:hAnsi="Book Antiqua"/>
          <w:b/>
          <w:bCs/>
        </w:rPr>
        <w:t>13</w:t>
      </w:r>
      <w:r w:rsidRPr="00BA2B87">
        <w:rPr>
          <w:rFonts w:ascii="Book Antiqua" w:hAnsi="Book Antiqua"/>
        </w:rPr>
        <w:t>: 113-124 [PMID: 27789274 DOI: 10.1016/j.ebiom.2016.10.026]</w:t>
      </w:r>
    </w:p>
    <w:p w14:paraId="443A55DD"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71 </w:t>
      </w:r>
      <w:r w:rsidRPr="00BA2B87">
        <w:rPr>
          <w:rFonts w:ascii="Book Antiqua" w:hAnsi="Book Antiqua"/>
          <w:b/>
          <w:bCs/>
        </w:rPr>
        <w:t>Han D</w:t>
      </w:r>
      <w:r w:rsidRPr="00BA2B87">
        <w:rPr>
          <w:rFonts w:ascii="Book Antiqua" w:hAnsi="Book Antiqua"/>
        </w:rPr>
        <w:t xml:space="preserve">, Gao X, Wang M, Qiao Y, Xu Y, Yang J, Dong N, He J, Sun Q, Lv G, Xu C, Tao J, Ma N. Long noncoding RNA H19 indicates a poor prognosis of colorectal cancer and promotes tumor growth by recruiting and binding to eIF4A3. </w:t>
      </w:r>
      <w:r w:rsidRPr="00BA2B87">
        <w:rPr>
          <w:rFonts w:ascii="Book Antiqua" w:hAnsi="Book Antiqua"/>
          <w:i/>
          <w:iCs/>
        </w:rPr>
        <w:t>Oncotarget</w:t>
      </w:r>
      <w:r w:rsidRPr="00BA2B87">
        <w:rPr>
          <w:rFonts w:ascii="Book Antiqua" w:hAnsi="Book Antiqua"/>
        </w:rPr>
        <w:t xml:space="preserve"> 2016; </w:t>
      </w:r>
      <w:r w:rsidRPr="00BA2B87">
        <w:rPr>
          <w:rFonts w:ascii="Book Antiqua" w:hAnsi="Book Antiqua"/>
          <w:b/>
          <w:bCs/>
        </w:rPr>
        <w:t>7</w:t>
      </w:r>
      <w:r w:rsidRPr="00BA2B87">
        <w:rPr>
          <w:rFonts w:ascii="Book Antiqua" w:hAnsi="Book Antiqua"/>
        </w:rPr>
        <w:t>: 22159-22173 [PMID: 26989025 DOI: 10.18632/oncotarget.8063]</w:t>
      </w:r>
    </w:p>
    <w:p w14:paraId="0CFCE4D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72 </w:t>
      </w:r>
      <w:r w:rsidRPr="00BA2B87">
        <w:rPr>
          <w:rFonts w:ascii="Book Antiqua" w:hAnsi="Book Antiqua"/>
          <w:b/>
          <w:bCs/>
        </w:rPr>
        <w:t>Li Q</w:t>
      </w:r>
      <w:r w:rsidRPr="00BA2B87">
        <w:rPr>
          <w:rFonts w:ascii="Book Antiqua" w:hAnsi="Book Antiqua"/>
        </w:rPr>
        <w:t xml:space="preserve">, Dai Y, Wang F, Hou S. Differentially expressed long non-coding RNAs and the prognostic potential in colorectal cancer. </w:t>
      </w:r>
      <w:r w:rsidRPr="00BA2B87">
        <w:rPr>
          <w:rFonts w:ascii="Book Antiqua" w:hAnsi="Book Antiqua"/>
          <w:i/>
          <w:iCs/>
        </w:rPr>
        <w:t>Neoplasma</w:t>
      </w:r>
      <w:r w:rsidRPr="00BA2B87">
        <w:rPr>
          <w:rFonts w:ascii="Book Antiqua" w:hAnsi="Book Antiqua"/>
        </w:rPr>
        <w:t xml:space="preserve"> 2016; </w:t>
      </w:r>
      <w:r w:rsidRPr="00BA2B87">
        <w:rPr>
          <w:rFonts w:ascii="Book Antiqua" w:hAnsi="Book Antiqua"/>
          <w:b/>
          <w:bCs/>
        </w:rPr>
        <w:t>63</w:t>
      </w:r>
      <w:r w:rsidRPr="00BA2B87">
        <w:rPr>
          <w:rFonts w:ascii="Book Antiqua" w:hAnsi="Book Antiqua"/>
        </w:rPr>
        <w:t>: 977-983 [PMID: 27596298 DOI: 10.4149/neo_2016_617]</w:t>
      </w:r>
    </w:p>
    <w:p w14:paraId="5CE2DE1F"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73 </w:t>
      </w:r>
      <w:r w:rsidRPr="00BA2B87">
        <w:rPr>
          <w:rFonts w:ascii="Book Antiqua" w:hAnsi="Book Antiqua"/>
          <w:b/>
          <w:bCs/>
        </w:rPr>
        <w:t>Li J</w:t>
      </w:r>
      <w:r w:rsidRPr="00BA2B87">
        <w:rPr>
          <w:rFonts w:ascii="Book Antiqua" w:hAnsi="Book Antiqua"/>
        </w:rPr>
        <w:t xml:space="preserve">, Du L, Yang Y, Wang C, Liu H, Wang L, Zhang X, Li W, Zheng G, Dong Z. MiR-429 is an independent prognostic factor in colorectal cancer and exerts its anti-apoptotic function by targeting SOX2. </w:t>
      </w:r>
      <w:r w:rsidRPr="00BA2B87">
        <w:rPr>
          <w:rFonts w:ascii="Book Antiqua" w:hAnsi="Book Antiqua"/>
          <w:i/>
          <w:iCs/>
        </w:rPr>
        <w:t>Cancer Lett</w:t>
      </w:r>
      <w:r w:rsidRPr="00BA2B87">
        <w:rPr>
          <w:rFonts w:ascii="Book Antiqua" w:hAnsi="Book Antiqua"/>
        </w:rPr>
        <w:t xml:space="preserve"> 2013; </w:t>
      </w:r>
      <w:r w:rsidRPr="00BA2B87">
        <w:rPr>
          <w:rFonts w:ascii="Book Antiqua" w:hAnsi="Book Antiqua"/>
          <w:b/>
          <w:bCs/>
        </w:rPr>
        <w:t>329</w:t>
      </w:r>
      <w:r w:rsidRPr="00BA2B87">
        <w:rPr>
          <w:rFonts w:ascii="Book Antiqua" w:hAnsi="Book Antiqua"/>
        </w:rPr>
        <w:t>: 84-90 [PMID: 23111103 DOI: 10.1016/j.canlet.2012.10.019]</w:t>
      </w:r>
    </w:p>
    <w:p w14:paraId="06702DF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74 </w:t>
      </w:r>
      <w:r w:rsidRPr="00BA2B87">
        <w:rPr>
          <w:rFonts w:ascii="Book Antiqua" w:hAnsi="Book Antiqua"/>
          <w:b/>
          <w:bCs/>
        </w:rPr>
        <w:t>Sun Y</w:t>
      </w:r>
      <w:r w:rsidRPr="00BA2B87">
        <w:rPr>
          <w:rFonts w:ascii="Book Antiqua" w:hAnsi="Book Antiqua"/>
        </w:rPr>
        <w:t xml:space="preserve">, Shen S, Liu X, Tang H, Wang Z, Yu Z, Li X, Wu M. MiR-429 inhibits cells growth and invasion and regulates EMT-related marker genes by targeting Onecut2 in colorectal carcinoma. </w:t>
      </w:r>
      <w:r w:rsidRPr="00BA2B87">
        <w:rPr>
          <w:rFonts w:ascii="Book Antiqua" w:hAnsi="Book Antiqua"/>
          <w:i/>
          <w:iCs/>
        </w:rPr>
        <w:t>Mol Cell Biochem</w:t>
      </w:r>
      <w:r w:rsidRPr="00BA2B87">
        <w:rPr>
          <w:rFonts w:ascii="Book Antiqua" w:hAnsi="Book Antiqua"/>
        </w:rPr>
        <w:t xml:space="preserve"> 2014; </w:t>
      </w:r>
      <w:r w:rsidRPr="00BA2B87">
        <w:rPr>
          <w:rFonts w:ascii="Book Antiqua" w:hAnsi="Book Antiqua"/>
          <w:b/>
          <w:bCs/>
        </w:rPr>
        <w:t>390</w:t>
      </w:r>
      <w:r w:rsidRPr="00BA2B87">
        <w:rPr>
          <w:rFonts w:ascii="Book Antiqua" w:hAnsi="Book Antiqua"/>
        </w:rPr>
        <w:t>: 19-30 [PMID: 24402783 DOI: 10.1007/s11010-013-1950-x]</w:t>
      </w:r>
    </w:p>
    <w:p w14:paraId="189F58D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75 </w:t>
      </w:r>
      <w:r w:rsidRPr="00BA2B87">
        <w:rPr>
          <w:rFonts w:ascii="Book Antiqua" w:hAnsi="Book Antiqua"/>
          <w:b/>
          <w:bCs/>
        </w:rPr>
        <w:t>Kandimalla R</w:t>
      </w:r>
      <w:r w:rsidRPr="00BA2B87">
        <w:rPr>
          <w:rFonts w:ascii="Book Antiqua" w:hAnsi="Book Antiqua"/>
        </w:rPr>
        <w:t xml:space="preserve">, Gao F, Matsuyama T, Ishikawa T, Uetake H, Takahashi N, Yamada Y, Becerra C, Kopetz S, Wang X, Goel A. Genome-wide Discovery and Identification of a Novel miRNA Signature for Recurrence Prediction in Stage II and III Colorectal Cancer. </w:t>
      </w:r>
      <w:r w:rsidRPr="00BA2B87">
        <w:rPr>
          <w:rFonts w:ascii="Book Antiqua" w:hAnsi="Book Antiqua"/>
          <w:i/>
          <w:iCs/>
        </w:rPr>
        <w:lastRenderedPageBreak/>
        <w:t>Clin Cancer Res</w:t>
      </w:r>
      <w:r w:rsidRPr="00BA2B87">
        <w:rPr>
          <w:rFonts w:ascii="Book Antiqua" w:hAnsi="Book Antiqua"/>
        </w:rPr>
        <w:t xml:space="preserve"> 2018; </w:t>
      </w:r>
      <w:r w:rsidRPr="00BA2B87">
        <w:rPr>
          <w:rFonts w:ascii="Book Antiqua" w:hAnsi="Book Antiqua"/>
          <w:b/>
          <w:bCs/>
        </w:rPr>
        <w:t>24</w:t>
      </w:r>
      <w:r w:rsidRPr="00BA2B87">
        <w:rPr>
          <w:rFonts w:ascii="Book Antiqua" w:hAnsi="Book Antiqua"/>
        </w:rPr>
        <w:t>: 3867-3877 [PMID: 29514841 DOI: 10.1158/1078-0432.CCR-17-3236]</w:t>
      </w:r>
    </w:p>
    <w:p w14:paraId="3420AF6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76 </w:t>
      </w:r>
      <w:r w:rsidRPr="00BA2B87">
        <w:rPr>
          <w:rFonts w:ascii="Book Antiqua" w:hAnsi="Book Antiqua"/>
          <w:b/>
          <w:bCs/>
        </w:rPr>
        <w:t>Løvf M</w:t>
      </w:r>
      <w:r w:rsidRPr="00BA2B87">
        <w:rPr>
          <w:rFonts w:ascii="Book Antiqua" w:hAnsi="Book Antiqua"/>
        </w:rPr>
        <w:t xml:space="preserve">, Nome T, Bruun J, Eknaes M, Bakken AC, Mpindi JP, Kilpinen S, Rognum TO, Nesbakken A, Kallioniemi O, Lothe RA, Skotheim RI. A novel transcript, VNN1-AB, as a biomarker for colorectal cancer. </w:t>
      </w:r>
      <w:r w:rsidRPr="00BA2B87">
        <w:rPr>
          <w:rFonts w:ascii="Book Antiqua" w:hAnsi="Book Antiqua"/>
          <w:i/>
          <w:iCs/>
        </w:rPr>
        <w:t>Int J Cancer</w:t>
      </w:r>
      <w:r w:rsidRPr="00BA2B87">
        <w:rPr>
          <w:rFonts w:ascii="Book Antiqua" w:hAnsi="Book Antiqua"/>
        </w:rPr>
        <w:t xml:space="preserve"> 2014; </w:t>
      </w:r>
      <w:r w:rsidRPr="00BA2B87">
        <w:rPr>
          <w:rFonts w:ascii="Book Antiqua" w:hAnsi="Book Antiqua"/>
          <w:b/>
          <w:bCs/>
        </w:rPr>
        <w:t>135</w:t>
      </w:r>
      <w:r w:rsidRPr="00BA2B87">
        <w:rPr>
          <w:rFonts w:ascii="Book Antiqua" w:hAnsi="Book Antiqua"/>
        </w:rPr>
        <w:t>: 2077-2084 [PMID: 24687856 DOI: 10.1002/ijc.28855]</w:t>
      </w:r>
    </w:p>
    <w:p w14:paraId="64F53D0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77 </w:t>
      </w:r>
      <w:r w:rsidRPr="00BA2B87">
        <w:rPr>
          <w:rFonts w:ascii="Book Antiqua" w:hAnsi="Book Antiqua"/>
          <w:b/>
          <w:bCs/>
        </w:rPr>
        <w:t>Campos-da-Paz M</w:t>
      </w:r>
      <w:r w:rsidRPr="00BA2B87">
        <w:rPr>
          <w:rFonts w:ascii="Book Antiqua" w:hAnsi="Book Antiqua"/>
        </w:rPr>
        <w:t xml:space="preserve">, Dórea JG, Galdino AS, Lacava ZGM, de Fatima Menezes Almeida Santos M. Carcinoembryonic Antigen (CEA) and Hepatic Metastasis in Colorectal Cancer: Update on Biomarker for Clinical and Biotechnological Approaches. </w:t>
      </w:r>
      <w:r w:rsidRPr="00BA2B87">
        <w:rPr>
          <w:rFonts w:ascii="Book Antiqua" w:hAnsi="Book Antiqua"/>
          <w:i/>
          <w:iCs/>
        </w:rPr>
        <w:t>Recent Pat Biotechnol</w:t>
      </w:r>
      <w:r w:rsidRPr="00BA2B87">
        <w:rPr>
          <w:rFonts w:ascii="Book Antiqua" w:hAnsi="Book Antiqua"/>
        </w:rPr>
        <w:t xml:space="preserve"> 2018; </w:t>
      </w:r>
      <w:r w:rsidRPr="00BA2B87">
        <w:rPr>
          <w:rFonts w:ascii="Book Antiqua" w:hAnsi="Book Antiqua"/>
          <w:b/>
          <w:bCs/>
        </w:rPr>
        <w:t>12</w:t>
      </w:r>
      <w:r w:rsidRPr="00BA2B87">
        <w:rPr>
          <w:rFonts w:ascii="Book Antiqua" w:hAnsi="Book Antiqua"/>
        </w:rPr>
        <w:t>: 269-279 [PMID: 30062978 DOI: 10.2174/1872208312666180731104244]</w:t>
      </w:r>
    </w:p>
    <w:p w14:paraId="2F33547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78 </w:t>
      </w:r>
      <w:r w:rsidRPr="00BA2B87">
        <w:rPr>
          <w:rFonts w:ascii="Book Antiqua" w:hAnsi="Book Antiqua"/>
          <w:b/>
          <w:bCs/>
        </w:rPr>
        <w:t>Gonzalez-Pons M</w:t>
      </w:r>
      <w:r w:rsidRPr="00BA2B87">
        <w:rPr>
          <w:rFonts w:ascii="Book Antiqua" w:hAnsi="Book Antiqua"/>
        </w:rPr>
        <w:t xml:space="preserve">, Cruz-Correa M. Colorectal Cancer Biomarkers: Where Are We Now? </w:t>
      </w:r>
      <w:r w:rsidRPr="00BA2B87">
        <w:rPr>
          <w:rFonts w:ascii="Book Antiqua" w:hAnsi="Book Antiqua"/>
          <w:i/>
          <w:iCs/>
        </w:rPr>
        <w:t>Biomed Res Int</w:t>
      </w:r>
      <w:r w:rsidRPr="00BA2B87">
        <w:rPr>
          <w:rFonts w:ascii="Book Antiqua" w:hAnsi="Book Antiqua"/>
        </w:rPr>
        <w:t xml:space="preserve"> 2015; </w:t>
      </w:r>
      <w:r w:rsidRPr="00BA2B87">
        <w:rPr>
          <w:rFonts w:ascii="Book Antiqua" w:hAnsi="Book Antiqua"/>
          <w:b/>
          <w:bCs/>
        </w:rPr>
        <w:t>2015</w:t>
      </w:r>
      <w:r w:rsidRPr="00BA2B87">
        <w:rPr>
          <w:rFonts w:ascii="Book Antiqua" w:hAnsi="Book Antiqua"/>
        </w:rPr>
        <w:t>: 149014 [PMID: 26106599 DOI: 10.1155/2015/149014]</w:t>
      </w:r>
    </w:p>
    <w:p w14:paraId="5F3C3D0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79 </w:t>
      </w:r>
      <w:r w:rsidRPr="00BA2B87">
        <w:rPr>
          <w:rFonts w:ascii="Book Antiqua" w:hAnsi="Book Antiqua"/>
          <w:b/>
          <w:bCs/>
        </w:rPr>
        <w:t>Li H</w:t>
      </w:r>
      <w:r w:rsidRPr="00BA2B87">
        <w:rPr>
          <w:rFonts w:ascii="Book Antiqua" w:hAnsi="Book Antiqua"/>
        </w:rPr>
        <w:t xml:space="preserve">, Zhao S, Jing Z, Li J, Shuanying Y, Zhang N. Combination of D-dimer and carcinoembryonic antigen levels as a predictive and prognostic biomarker in advanced colorectal cancer patients. </w:t>
      </w:r>
      <w:r w:rsidRPr="00BA2B87">
        <w:rPr>
          <w:rFonts w:ascii="Book Antiqua" w:hAnsi="Book Antiqua"/>
          <w:i/>
          <w:iCs/>
        </w:rPr>
        <w:t>J Cell Biochem</w:t>
      </w:r>
      <w:r w:rsidRPr="00BA2B87">
        <w:rPr>
          <w:rFonts w:ascii="Book Antiqua" w:hAnsi="Book Antiqua"/>
        </w:rPr>
        <w:t xml:space="preserve"> 2018 [PMID: 30592316 DOI: 10.1002/jcb.28087]</w:t>
      </w:r>
    </w:p>
    <w:p w14:paraId="24FE5A0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80 </w:t>
      </w:r>
      <w:r w:rsidRPr="00BA2B87">
        <w:rPr>
          <w:rFonts w:ascii="Book Antiqua" w:hAnsi="Book Antiqua"/>
          <w:b/>
          <w:bCs/>
        </w:rPr>
        <w:t>Kirana C</w:t>
      </w:r>
      <w:r w:rsidRPr="00BA2B87">
        <w:rPr>
          <w:rFonts w:ascii="Book Antiqua" w:hAnsi="Book Antiqua"/>
        </w:rPr>
        <w:t xml:space="preserve">, Peng L, Miller R, Keating JP, Glenn C, Shi H, Jordan TW, Maddern GJ, Stubbs RS. Combination of laser microdissection, 2D-DIGE and MALDI-TOF MS to identify protein biomarkers to predict colorectal cancer spread. </w:t>
      </w:r>
      <w:r w:rsidRPr="00BA2B87">
        <w:rPr>
          <w:rFonts w:ascii="Book Antiqua" w:hAnsi="Book Antiqua"/>
          <w:i/>
          <w:iCs/>
        </w:rPr>
        <w:t>Clin Proteomics</w:t>
      </w:r>
      <w:r w:rsidRPr="00BA2B87">
        <w:rPr>
          <w:rFonts w:ascii="Book Antiqua" w:hAnsi="Book Antiqua"/>
        </w:rPr>
        <w:t xml:space="preserve"> 2019; </w:t>
      </w:r>
      <w:r w:rsidRPr="00BA2B87">
        <w:rPr>
          <w:rFonts w:ascii="Book Antiqua" w:hAnsi="Book Antiqua"/>
          <w:b/>
          <w:bCs/>
        </w:rPr>
        <w:t>16</w:t>
      </w:r>
      <w:r w:rsidRPr="00BA2B87">
        <w:rPr>
          <w:rFonts w:ascii="Book Antiqua" w:hAnsi="Book Antiqua"/>
        </w:rPr>
        <w:t>: 3 [PMID: 30679934 DOI: 10.1186/s12014-019-9223-7]</w:t>
      </w:r>
    </w:p>
    <w:p w14:paraId="4CCFF37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81 </w:t>
      </w:r>
      <w:r w:rsidRPr="00BA2B87">
        <w:rPr>
          <w:rFonts w:ascii="Book Antiqua" w:hAnsi="Book Antiqua"/>
          <w:b/>
          <w:bCs/>
        </w:rPr>
        <w:t>van Huizen NA</w:t>
      </w:r>
      <w:r w:rsidRPr="00BA2B87">
        <w:rPr>
          <w:rFonts w:ascii="Book Antiqua" w:hAnsi="Book Antiqua"/>
        </w:rPr>
        <w:t xml:space="preserve">, Coebergh van den Braak RRJ, Doukas M, Dekker LJM, IJzermans JNM, Luider TM. Up-regulation of collagen proteins in colorectal liver metastasis compared with normal liver tissue. </w:t>
      </w:r>
      <w:r w:rsidRPr="00BA2B87">
        <w:rPr>
          <w:rFonts w:ascii="Book Antiqua" w:hAnsi="Book Antiqua"/>
          <w:i/>
          <w:iCs/>
        </w:rPr>
        <w:t>J Biol Chem</w:t>
      </w:r>
      <w:r w:rsidRPr="00BA2B87">
        <w:rPr>
          <w:rFonts w:ascii="Book Antiqua" w:hAnsi="Book Antiqua"/>
        </w:rPr>
        <w:t xml:space="preserve"> 2019; </w:t>
      </w:r>
      <w:r w:rsidRPr="00BA2B87">
        <w:rPr>
          <w:rFonts w:ascii="Book Antiqua" w:hAnsi="Book Antiqua"/>
          <w:b/>
          <w:bCs/>
        </w:rPr>
        <w:t>294</w:t>
      </w:r>
      <w:r w:rsidRPr="00BA2B87">
        <w:rPr>
          <w:rFonts w:ascii="Book Antiqua" w:hAnsi="Book Antiqua"/>
        </w:rPr>
        <w:t>: 281-289 [PMID: 30409905 DOI: 10.1074/jbc.RA118.005087]</w:t>
      </w:r>
    </w:p>
    <w:p w14:paraId="60BBF5E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82 </w:t>
      </w:r>
      <w:r w:rsidRPr="00BA2B87">
        <w:rPr>
          <w:rFonts w:ascii="Book Antiqua" w:hAnsi="Book Antiqua"/>
          <w:b/>
          <w:bCs/>
        </w:rPr>
        <w:t>Mori K</w:t>
      </w:r>
      <w:r w:rsidRPr="00BA2B87">
        <w:rPr>
          <w:rFonts w:ascii="Book Antiqua" w:hAnsi="Book Antiqua"/>
        </w:rPr>
        <w:t xml:space="preserve">, Toiyama Y, Otake K, Fujikawa H, Saigusa S, Hiro J, Kobayashi M, Ohi M, Tanaka K, Inoue Y, Kobayashi Y, Kobayashi I, Mohri Y, Goel A, Kusunoki M. Proteomics analysis of differential protein expression identifies heat shock protein 47 as a predictive marker for lymph node metastasis in patients with colorectal cancer. </w:t>
      </w:r>
      <w:r w:rsidRPr="00BA2B87">
        <w:rPr>
          <w:rFonts w:ascii="Book Antiqua" w:hAnsi="Book Antiqua"/>
          <w:i/>
          <w:iCs/>
        </w:rPr>
        <w:t>Int J Cancer</w:t>
      </w:r>
      <w:r w:rsidRPr="00BA2B87">
        <w:rPr>
          <w:rFonts w:ascii="Book Antiqua" w:hAnsi="Book Antiqua"/>
        </w:rPr>
        <w:t xml:space="preserve"> 2017; </w:t>
      </w:r>
      <w:r w:rsidRPr="00BA2B87">
        <w:rPr>
          <w:rFonts w:ascii="Book Antiqua" w:hAnsi="Book Antiqua"/>
          <w:b/>
          <w:bCs/>
        </w:rPr>
        <w:t>140</w:t>
      </w:r>
      <w:r w:rsidRPr="00BA2B87">
        <w:rPr>
          <w:rFonts w:ascii="Book Antiqua" w:hAnsi="Book Antiqua"/>
        </w:rPr>
        <w:t>: 1425-1435 [PMID: 27925182 DOI: 10.1002/ijc.30557]</w:t>
      </w:r>
    </w:p>
    <w:p w14:paraId="25D62279"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83 </w:t>
      </w:r>
      <w:r w:rsidRPr="00BA2B87">
        <w:rPr>
          <w:rFonts w:ascii="Book Antiqua" w:hAnsi="Book Antiqua"/>
          <w:b/>
          <w:bCs/>
        </w:rPr>
        <w:t>Mori K</w:t>
      </w:r>
      <w:r w:rsidRPr="00BA2B87">
        <w:rPr>
          <w:rFonts w:ascii="Book Antiqua" w:hAnsi="Book Antiqua"/>
        </w:rPr>
        <w:t xml:space="preserve">, Toiyama Y, Otake K, Ide S, Imaoka H, Okigami M, Okugawa Y, Fujikawa H, Saigusa S, Hiro J, Kobayashi M, Ohi M, Tanaka K, Inoue Y, Kobayashi Y, Mohri Y, Kobayashi I, Goel A, Kusunoki M. Successful identification of a predictive biomarker for lymph node metastasis in colorectal cancer using a proteomic approach. </w:t>
      </w:r>
      <w:r w:rsidRPr="00BA2B87">
        <w:rPr>
          <w:rFonts w:ascii="Book Antiqua" w:hAnsi="Book Antiqua"/>
          <w:i/>
          <w:iCs/>
        </w:rPr>
        <w:t>Oncotarget</w:t>
      </w:r>
      <w:r w:rsidRPr="00BA2B87">
        <w:rPr>
          <w:rFonts w:ascii="Book Antiqua" w:hAnsi="Book Antiqua"/>
        </w:rPr>
        <w:t xml:space="preserve"> 2017; </w:t>
      </w:r>
      <w:r w:rsidRPr="00BA2B87">
        <w:rPr>
          <w:rFonts w:ascii="Book Antiqua" w:hAnsi="Book Antiqua"/>
          <w:b/>
          <w:bCs/>
        </w:rPr>
        <w:t>8</w:t>
      </w:r>
      <w:r w:rsidRPr="00BA2B87">
        <w:rPr>
          <w:rFonts w:ascii="Book Antiqua" w:hAnsi="Book Antiqua"/>
        </w:rPr>
        <w:t>: 106935-106947 [PMID: 29291001 DOI: 10.18632/oncotarget.22149]</w:t>
      </w:r>
    </w:p>
    <w:p w14:paraId="22F5373A"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84 </w:t>
      </w:r>
      <w:r w:rsidRPr="00BA2B87">
        <w:rPr>
          <w:rFonts w:ascii="Book Antiqua" w:hAnsi="Book Antiqua"/>
          <w:b/>
          <w:bCs/>
        </w:rPr>
        <w:t>Jörgren F</w:t>
      </w:r>
      <w:r w:rsidRPr="00BA2B87">
        <w:rPr>
          <w:rFonts w:ascii="Book Antiqua" w:hAnsi="Book Antiqua"/>
        </w:rPr>
        <w:t xml:space="preserve">, Nilbert M, Rambech E, Bendahl PO, Lindmark G. Ezrin expression in rectal cancer predicts time to development of local recurrence. </w:t>
      </w:r>
      <w:r w:rsidRPr="00BA2B87">
        <w:rPr>
          <w:rFonts w:ascii="Book Antiqua" w:hAnsi="Book Antiqua"/>
          <w:i/>
          <w:iCs/>
          <w:lang w:val="pt-BR"/>
        </w:rPr>
        <w:t>Int J Colorectal Dis</w:t>
      </w:r>
      <w:r w:rsidRPr="00BA2B87">
        <w:rPr>
          <w:rFonts w:ascii="Book Antiqua" w:hAnsi="Book Antiqua"/>
          <w:lang w:val="pt-BR"/>
        </w:rPr>
        <w:t xml:space="preserve"> 2012; </w:t>
      </w:r>
      <w:r w:rsidRPr="00BA2B87">
        <w:rPr>
          <w:rFonts w:ascii="Book Antiqua" w:hAnsi="Book Antiqua"/>
          <w:b/>
          <w:bCs/>
          <w:lang w:val="pt-BR"/>
        </w:rPr>
        <w:t>27</w:t>
      </w:r>
      <w:r w:rsidRPr="00BA2B87">
        <w:rPr>
          <w:rFonts w:ascii="Book Antiqua" w:hAnsi="Book Antiqua"/>
          <w:lang w:val="pt-BR"/>
        </w:rPr>
        <w:t>: 893-899 [PMID: 22234584 DOI: 10.1007/s00384-011-1397-z]</w:t>
      </w:r>
    </w:p>
    <w:p w14:paraId="3454798C"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85 </w:t>
      </w:r>
      <w:r w:rsidRPr="00BA2B87">
        <w:rPr>
          <w:rFonts w:ascii="Book Antiqua" w:hAnsi="Book Antiqua"/>
          <w:b/>
          <w:bCs/>
          <w:lang w:val="pt-BR"/>
        </w:rPr>
        <w:t>Patara M</w:t>
      </w:r>
      <w:r w:rsidRPr="00BA2B87">
        <w:rPr>
          <w:rFonts w:ascii="Book Antiqua" w:hAnsi="Book Antiqua"/>
          <w:lang w:val="pt-BR"/>
        </w:rPr>
        <w:t xml:space="preserve">, Santos EM, Coudry Rde A, Soares FA, Ferreira FO, Rossi BM. </w:t>
      </w:r>
      <w:r w:rsidRPr="00BA2B87">
        <w:rPr>
          <w:rFonts w:ascii="Book Antiqua" w:hAnsi="Book Antiqua"/>
        </w:rPr>
        <w:t xml:space="preserve">Ezrin expression as a prognostic marker in colorectal adenocarcinoma. </w:t>
      </w:r>
      <w:r w:rsidRPr="00BA2B87">
        <w:rPr>
          <w:rFonts w:ascii="Book Antiqua" w:hAnsi="Book Antiqua"/>
          <w:i/>
          <w:iCs/>
        </w:rPr>
        <w:t>Pathol Oncol Res</w:t>
      </w:r>
      <w:r w:rsidRPr="00BA2B87">
        <w:rPr>
          <w:rFonts w:ascii="Book Antiqua" w:hAnsi="Book Antiqua"/>
        </w:rPr>
        <w:t xml:space="preserve"> 2011; </w:t>
      </w:r>
      <w:r w:rsidRPr="00BA2B87">
        <w:rPr>
          <w:rFonts w:ascii="Book Antiqua" w:hAnsi="Book Antiqua"/>
          <w:b/>
          <w:bCs/>
        </w:rPr>
        <w:t>17</w:t>
      </w:r>
      <w:r w:rsidRPr="00BA2B87">
        <w:rPr>
          <w:rFonts w:ascii="Book Antiqua" w:hAnsi="Book Antiqua"/>
        </w:rPr>
        <w:t>: 827-833 [PMID: 21465252 DOI: 10.1007/s12253-011-9389-4]</w:t>
      </w:r>
    </w:p>
    <w:p w14:paraId="27C7C2A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86 </w:t>
      </w:r>
      <w:r w:rsidRPr="00BA2B87">
        <w:rPr>
          <w:rFonts w:ascii="Book Antiqua" w:hAnsi="Book Antiqua"/>
          <w:b/>
          <w:bCs/>
        </w:rPr>
        <w:t>Clarke CN</w:t>
      </w:r>
      <w:r w:rsidRPr="00BA2B87">
        <w:rPr>
          <w:rFonts w:ascii="Book Antiqua" w:hAnsi="Book Antiqua"/>
        </w:rPr>
        <w:t xml:space="preserve">, Lee MS, Wei W, Manyam G, Jiang ZQ, Lu Y, Morris J, Broom B, Menter D, Vilar-Sanchez E, Raghav K, Eng C, Chang GJ, Simon I, Bernards R, Overman M, Mills GB, Maru D, Kopetz S. Proteomic Features of Colorectal Cancer Identify Tumor Subtypes Independent of Oncogenic Mutations and Independently Predict Relapse-Free Survival. </w:t>
      </w:r>
      <w:r w:rsidRPr="00BA2B87">
        <w:rPr>
          <w:rFonts w:ascii="Book Antiqua" w:hAnsi="Book Antiqua"/>
          <w:i/>
          <w:iCs/>
        </w:rPr>
        <w:t>Ann Surg Oncol</w:t>
      </w:r>
      <w:r w:rsidRPr="00BA2B87">
        <w:rPr>
          <w:rFonts w:ascii="Book Antiqua" w:hAnsi="Book Antiqua"/>
        </w:rPr>
        <w:t xml:space="preserve"> 2017; </w:t>
      </w:r>
      <w:r w:rsidRPr="00BA2B87">
        <w:rPr>
          <w:rFonts w:ascii="Book Antiqua" w:hAnsi="Book Antiqua"/>
          <w:b/>
          <w:bCs/>
        </w:rPr>
        <w:t>24</w:t>
      </w:r>
      <w:r w:rsidRPr="00BA2B87">
        <w:rPr>
          <w:rFonts w:ascii="Book Antiqua" w:hAnsi="Book Antiqua"/>
        </w:rPr>
        <w:t>: 4051-4058 [PMID: 28936799 DOI: 10.1245/s10434-017-6054-5]</w:t>
      </w:r>
    </w:p>
    <w:p w14:paraId="358375DB"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87 </w:t>
      </w:r>
      <w:r w:rsidRPr="00BA2B87">
        <w:rPr>
          <w:rFonts w:ascii="Book Antiqua" w:hAnsi="Book Antiqua"/>
          <w:b/>
          <w:bCs/>
        </w:rPr>
        <w:t>Snoeren N</w:t>
      </w:r>
      <w:r w:rsidRPr="00BA2B87">
        <w:rPr>
          <w:rFonts w:ascii="Book Antiqua" w:hAnsi="Book Antiqua"/>
        </w:rPr>
        <w:t xml:space="preserve">, Emmink BL, Koerkamp MJ, van Hooff SR, Goos JA, van Houdt WJ, de Wit M, Prins AM, Piersma SR, Pham TV, Belt EJ, Bril H, Stockmann HB, Meijer GA, van Hillegersberg R, Holstege FC, Jimenez CR, Fijneman RJ, Kranenburg OW, Rinkes IH. Maspin is a marker for early recurrence in primary stage III and IV colorectal cancer. </w:t>
      </w:r>
      <w:r w:rsidRPr="00BA2B87">
        <w:rPr>
          <w:rFonts w:ascii="Book Antiqua" w:hAnsi="Book Antiqua"/>
          <w:i/>
          <w:iCs/>
        </w:rPr>
        <w:t>Br J Cancer</w:t>
      </w:r>
      <w:r w:rsidRPr="00BA2B87">
        <w:rPr>
          <w:rFonts w:ascii="Book Antiqua" w:hAnsi="Book Antiqua"/>
        </w:rPr>
        <w:t xml:space="preserve"> 2013; </w:t>
      </w:r>
      <w:r w:rsidRPr="00BA2B87">
        <w:rPr>
          <w:rFonts w:ascii="Book Antiqua" w:hAnsi="Book Antiqua"/>
          <w:b/>
          <w:bCs/>
        </w:rPr>
        <w:t>109</w:t>
      </w:r>
      <w:r w:rsidRPr="00BA2B87">
        <w:rPr>
          <w:rFonts w:ascii="Book Antiqua" w:hAnsi="Book Antiqua"/>
        </w:rPr>
        <w:t>: 1636-1647 [PMID: 24002600 DOI: 10.1038/bjc.2013.489]</w:t>
      </w:r>
    </w:p>
    <w:p w14:paraId="0F4D2FB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88 </w:t>
      </w:r>
      <w:r w:rsidRPr="00BA2B87">
        <w:rPr>
          <w:rFonts w:ascii="Book Antiqua" w:hAnsi="Book Antiqua"/>
          <w:b/>
          <w:bCs/>
        </w:rPr>
        <w:t>Zhu D</w:t>
      </w:r>
      <w:r w:rsidRPr="00BA2B87">
        <w:rPr>
          <w:rFonts w:ascii="Book Antiqua" w:hAnsi="Book Antiqua"/>
        </w:rPr>
        <w:t xml:space="preserve">, Zhong Y, Wu H, Ye L, Wang J, Li Y, Wei Y, Ren L, Xu B, Xu J, Qin X. Predicting metachronous liver metastasis from colorectal cancer using serum proteomic fingerprinting. </w:t>
      </w:r>
      <w:r w:rsidRPr="00BA2B87">
        <w:rPr>
          <w:rFonts w:ascii="Book Antiqua" w:hAnsi="Book Antiqua"/>
          <w:i/>
          <w:iCs/>
        </w:rPr>
        <w:t>J Surg Res</w:t>
      </w:r>
      <w:r w:rsidRPr="00BA2B87">
        <w:rPr>
          <w:rFonts w:ascii="Book Antiqua" w:hAnsi="Book Antiqua"/>
        </w:rPr>
        <w:t xml:space="preserve"> 2013; </w:t>
      </w:r>
      <w:r w:rsidRPr="00BA2B87">
        <w:rPr>
          <w:rFonts w:ascii="Book Antiqua" w:hAnsi="Book Antiqua"/>
          <w:b/>
          <w:bCs/>
        </w:rPr>
        <w:t>184</w:t>
      </w:r>
      <w:r w:rsidRPr="00BA2B87">
        <w:rPr>
          <w:rFonts w:ascii="Book Antiqua" w:hAnsi="Book Antiqua"/>
        </w:rPr>
        <w:t>: 861-866 [PMID: 23721930 DOI: 10.1016/j.jss.2013.04.065]</w:t>
      </w:r>
    </w:p>
    <w:p w14:paraId="1F2B910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89 </w:t>
      </w:r>
      <w:r w:rsidRPr="00BA2B87">
        <w:rPr>
          <w:rFonts w:ascii="Book Antiqua" w:hAnsi="Book Antiqua"/>
          <w:b/>
          <w:bCs/>
        </w:rPr>
        <w:t>Liesenfeld DB</w:t>
      </w:r>
      <w:r w:rsidRPr="00BA2B87">
        <w:rPr>
          <w:rFonts w:ascii="Book Antiqua" w:hAnsi="Book Antiqua"/>
        </w:rPr>
        <w:t xml:space="preserve">, Habermann N, Toth R, Owen RW, Frei E, Staffa J, Schrotz-King P, Klika KD, Ulrich CM. Changes in urinary metabolic profiles of colorectal cancer </w:t>
      </w:r>
      <w:r w:rsidRPr="00BA2B87">
        <w:rPr>
          <w:rFonts w:ascii="Book Antiqua" w:hAnsi="Book Antiqua"/>
        </w:rPr>
        <w:lastRenderedPageBreak/>
        <w:t xml:space="preserve">patients enrolled in a prospective cohort study (ColoCare). </w:t>
      </w:r>
      <w:r w:rsidRPr="00BA2B87">
        <w:rPr>
          <w:rFonts w:ascii="Book Antiqua" w:hAnsi="Book Antiqua"/>
          <w:i/>
          <w:iCs/>
        </w:rPr>
        <w:t>Metabolomics</w:t>
      </w:r>
      <w:r w:rsidRPr="00BA2B87">
        <w:rPr>
          <w:rFonts w:ascii="Book Antiqua" w:hAnsi="Book Antiqua"/>
        </w:rPr>
        <w:t xml:space="preserve"> 2015; </w:t>
      </w:r>
      <w:r w:rsidRPr="00BA2B87">
        <w:rPr>
          <w:rFonts w:ascii="Book Antiqua" w:hAnsi="Book Antiqua"/>
          <w:b/>
          <w:bCs/>
        </w:rPr>
        <w:t>11</w:t>
      </w:r>
      <w:r w:rsidRPr="00BA2B87">
        <w:rPr>
          <w:rFonts w:ascii="Book Antiqua" w:hAnsi="Book Antiqua"/>
        </w:rPr>
        <w:t>: 998-1012 [PMID: 29250455 DOI: 10.1007/s11306-014-0758-3]</w:t>
      </w:r>
    </w:p>
    <w:p w14:paraId="6567EA2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90 </w:t>
      </w:r>
      <w:r w:rsidRPr="00BA2B87">
        <w:rPr>
          <w:rFonts w:ascii="Book Antiqua" w:hAnsi="Book Antiqua"/>
          <w:b/>
          <w:bCs/>
        </w:rPr>
        <w:t>Jiménez B</w:t>
      </w:r>
      <w:r w:rsidRPr="00BA2B87">
        <w:rPr>
          <w:rFonts w:ascii="Book Antiqua" w:hAnsi="Book Antiqua"/>
        </w:rPr>
        <w:t xml:space="preserve">, Mirnezami R, Kinross J, Cloarec O, Keun HC, Holmes E, Goldin RD, Ziprin P, Darzi A, Nicholson JK. 1H HR-MAS NMR spectroscopy of tumor-induced local metabolic "field-effects" enables colorectal cancer staging and prognostication. </w:t>
      </w:r>
      <w:r w:rsidRPr="00BA2B87">
        <w:rPr>
          <w:rFonts w:ascii="Book Antiqua" w:hAnsi="Book Antiqua"/>
          <w:i/>
          <w:iCs/>
        </w:rPr>
        <w:t>J Proteome Res</w:t>
      </w:r>
      <w:r w:rsidRPr="00BA2B87">
        <w:rPr>
          <w:rFonts w:ascii="Book Antiqua" w:hAnsi="Book Antiqua"/>
        </w:rPr>
        <w:t xml:space="preserve"> 2013; </w:t>
      </w:r>
      <w:r w:rsidRPr="00BA2B87">
        <w:rPr>
          <w:rFonts w:ascii="Book Antiqua" w:hAnsi="Book Antiqua"/>
          <w:b/>
          <w:bCs/>
        </w:rPr>
        <w:t>12</w:t>
      </w:r>
      <w:r w:rsidRPr="00BA2B87">
        <w:rPr>
          <w:rFonts w:ascii="Book Antiqua" w:hAnsi="Book Antiqua"/>
        </w:rPr>
        <w:t>: 959-968 [PMID: 23240862 DOI: 10.1021/pr3010106]</w:t>
      </w:r>
    </w:p>
    <w:p w14:paraId="5E8E928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91 </w:t>
      </w:r>
      <w:r w:rsidRPr="00BA2B87">
        <w:rPr>
          <w:rFonts w:ascii="Book Antiqua" w:hAnsi="Book Antiqua"/>
          <w:b/>
          <w:bCs/>
        </w:rPr>
        <w:t>Qiu Y</w:t>
      </w:r>
      <w:r w:rsidRPr="00BA2B87">
        <w:rPr>
          <w:rFonts w:ascii="Book Antiqua" w:hAnsi="Book Antiqua"/>
        </w:rPr>
        <w:t xml:space="preserve">, Cai G, Zhou B, Li D, Zhao A, Xie G, Li H, Cai S, Xie D, Huang C, Ge W, Zhou Z, Xu LX, Jia W, Zheng S, Yen Y, Jia W. A distinct metabolic signature of human colorectal cancer with prognostic potential. </w:t>
      </w:r>
      <w:r w:rsidRPr="00BA2B87">
        <w:rPr>
          <w:rFonts w:ascii="Book Antiqua" w:hAnsi="Book Antiqua"/>
          <w:i/>
          <w:iCs/>
        </w:rPr>
        <w:t>Clin Cancer Res</w:t>
      </w:r>
      <w:r w:rsidRPr="00BA2B87">
        <w:rPr>
          <w:rFonts w:ascii="Book Antiqua" w:hAnsi="Book Antiqua"/>
        </w:rPr>
        <w:t xml:space="preserve"> 2014; </w:t>
      </w:r>
      <w:r w:rsidRPr="00BA2B87">
        <w:rPr>
          <w:rFonts w:ascii="Book Antiqua" w:hAnsi="Book Antiqua"/>
          <w:b/>
          <w:bCs/>
        </w:rPr>
        <w:t>20</w:t>
      </w:r>
      <w:r w:rsidRPr="00BA2B87">
        <w:rPr>
          <w:rFonts w:ascii="Book Antiqua" w:hAnsi="Book Antiqua"/>
        </w:rPr>
        <w:t>: 2136-2146 [PMID: 24526730 DOI: 10.1158/1078-0432.CCR-13-1939]</w:t>
      </w:r>
    </w:p>
    <w:p w14:paraId="1E979C3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92 </w:t>
      </w:r>
      <w:r w:rsidRPr="00BA2B87">
        <w:rPr>
          <w:rFonts w:ascii="Book Antiqua" w:hAnsi="Book Antiqua"/>
          <w:b/>
          <w:bCs/>
        </w:rPr>
        <w:t>Chan EC</w:t>
      </w:r>
      <w:r w:rsidRPr="00BA2B87">
        <w:rPr>
          <w:rFonts w:ascii="Book Antiqua" w:hAnsi="Book Antiqua"/>
        </w:rPr>
        <w:t xml:space="preserve">, Koh PK, Mal M, Cheah PY, Eu KW, Backshall A, Cavill R, Nicholson JK, Keun HC. Metabolic profiling of human colorectal cancer using high-resolution magic angle spinning nuclear magnetic resonance (HR-MAS NMR) spectroscopy and gas chromatography mass spectrometry (GC/MS). </w:t>
      </w:r>
      <w:r w:rsidRPr="00BA2B87">
        <w:rPr>
          <w:rFonts w:ascii="Book Antiqua" w:hAnsi="Book Antiqua"/>
          <w:i/>
          <w:iCs/>
        </w:rPr>
        <w:t>J Proteome Res</w:t>
      </w:r>
      <w:r w:rsidRPr="00BA2B87">
        <w:rPr>
          <w:rFonts w:ascii="Book Antiqua" w:hAnsi="Book Antiqua"/>
        </w:rPr>
        <w:t xml:space="preserve"> 2009; </w:t>
      </w:r>
      <w:r w:rsidRPr="00BA2B87">
        <w:rPr>
          <w:rFonts w:ascii="Book Antiqua" w:hAnsi="Book Antiqua"/>
          <w:b/>
          <w:bCs/>
        </w:rPr>
        <w:t>8</w:t>
      </w:r>
      <w:r w:rsidRPr="00BA2B87">
        <w:rPr>
          <w:rFonts w:ascii="Book Antiqua" w:hAnsi="Book Antiqua"/>
        </w:rPr>
        <w:t>: 352-361 [PMID: 19063642 DOI: 10.1021/pr8006232]</w:t>
      </w:r>
    </w:p>
    <w:p w14:paraId="3950775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93 </w:t>
      </w:r>
      <w:r w:rsidRPr="00BA2B87">
        <w:rPr>
          <w:rFonts w:ascii="Book Antiqua" w:hAnsi="Book Antiqua"/>
          <w:b/>
          <w:bCs/>
        </w:rPr>
        <w:t>Arga KY</w:t>
      </w:r>
      <w:r w:rsidRPr="00BA2B87">
        <w:rPr>
          <w:rFonts w:ascii="Book Antiqua" w:hAnsi="Book Antiqua"/>
        </w:rPr>
        <w:t xml:space="preserve">. Interview with Prof. K. Yalçın Arga: A Pioneer of Multi-Omics Science and Health Care Innovation. </w:t>
      </w:r>
      <w:r w:rsidRPr="00BA2B87">
        <w:rPr>
          <w:rFonts w:ascii="Book Antiqua" w:hAnsi="Book Antiqua"/>
          <w:i/>
          <w:iCs/>
        </w:rPr>
        <w:t>OMICS</w:t>
      </w:r>
      <w:r w:rsidRPr="00BA2B87">
        <w:rPr>
          <w:rFonts w:ascii="Book Antiqua" w:hAnsi="Book Antiqua"/>
        </w:rPr>
        <w:t xml:space="preserve"> 2019; </w:t>
      </w:r>
      <w:r w:rsidRPr="00BA2B87">
        <w:rPr>
          <w:rFonts w:ascii="Book Antiqua" w:hAnsi="Book Antiqua"/>
          <w:b/>
          <w:bCs/>
        </w:rPr>
        <w:t>23</w:t>
      </w:r>
      <w:r w:rsidRPr="00BA2B87">
        <w:rPr>
          <w:rFonts w:ascii="Book Antiqua" w:hAnsi="Book Antiqua"/>
        </w:rPr>
        <w:t>: 460-462 [PMID: 31429661 DOI: 10.1089/omi.2019.0131]</w:t>
      </w:r>
    </w:p>
    <w:p w14:paraId="5EFE450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94 </w:t>
      </w:r>
      <w:r w:rsidRPr="00BA2B87">
        <w:rPr>
          <w:rFonts w:ascii="Book Antiqua" w:hAnsi="Book Antiqua"/>
          <w:b/>
          <w:bCs/>
        </w:rPr>
        <w:t>Yella JK</w:t>
      </w:r>
      <w:r w:rsidRPr="00BA2B87">
        <w:rPr>
          <w:rFonts w:ascii="Book Antiqua" w:hAnsi="Book Antiqua"/>
        </w:rPr>
        <w:t xml:space="preserve">, Yaddanapudi S, Wang Y, Jegga AG. Changing Trends in Computational Drug Repositioning. </w:t>
      </w:r>
      <w:r w:rsidRPr="00BA2B87">
        <w:rPr>
          <w:rFonts w:ascii="Book Antiqua" w:hAnsi="Book Antiqua"/>
          <w:i/>
          <w:iCs/>
        </w:rPr>
        <w:t>Pharmaceuticals (Basel)</w:t>
      </w:r>
      <w:r w:rsidRPr="00BA2B87">
        <w:rPr>
          <w:rFonts w:ascii="Book Antiqua" w:hAnsi="Book Antiqua"/>
        </w:rPr>
        <w:t xml:space="preserve"> 2018; </w:t>
      </w:r>
      <w:r w:rsidRPr="00BA2B87">
        <w:rPr>
          <w:rFonts w:ascii="Book Antiqua" w:hAnsi="Book Antiqua"/>
          <w:b/>
          <w:bCs/>
        </w:rPr>
        <w:t>11</w:t>
      </w:r>
      <w:r w:rsidRPr="00BA2B87">
        <w:rPr>
          <w:rFonts w:ascii="Book Antiqua" w:hAnsi="Book Antiqua"/>
        </w:rPr>
        <w:t xml:space="preserve"> [PMID: 29874824 DOI: 10.3390/ph11020057]</w:t>
      </w:r>
    </w:p>
    <w:p w14:paraId="5BAA046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95 </w:t>
      </w:r>
      <w:r w:rsidRPr="00BA2B87">
        <w:rPr>
          <w:rFonts w:ascii="Book Antiqua" w:hAnsi="Book Antiqua"/>
          <w:b/>
          <w:bCs/>
        </w:rPr>
        <w:t>Lamb J</w:t>
      </w:r>
      <w:r w:rsidRPr="00BA2B87">
        <w:rPr>
          <w:rFonts w:ascii="Book Antiqua" w:hAnsi="Book Antiqua"/>
        </w:rPr>
        <w:t xml:space="preserve">, Crawford ED, Peck D, Modell JW, Blat IC, Wrobel MJ, Lerner J, Brunet JP, Subramanian A, Ross KN, Reich M, Hieronymus H, Wei G, Armstrong SA, Haggarty SJ, Clemons PA, Wei R, Carr SA, Lander ES, Golub TR. The Connectivity Map: using gene-expression signatures to connect small molecules, genes, and disease. </w:t>
      </w:r>
      <w:r w:rsidRPr="00BA2B87">
        <w:rPr>
          <w:rFonts w:ascii="Book Antiqua" w:hAnsi="Book Antiqua"/>
          <w:i/>
          <w:iCs/>
        </w:rPr>
        <w:t>Science</w:t>
      </w:r>
      <w:r w:rsidRPr="00BA2B87">
        <w:rPr>
          <w:rFonts w:ascii="Book Antiqua" w:hAnsi="Book Antiqua"/>
        </w:rPr>
        <w:t xml:space="preserve"> 2006; </w:t>
      </w:r>
      <w:r w:rsidRPr="00BA2B87">
        <w:rPr>
          <w:rFonts w:ascii="Book Antiqua" w:hAnsi="Book Antiqua"/>
          <w:b/>
          <w:bCs/>
        </w:rPr>
        <w:t>313</w:t>
      </w:r>
      <w:r w:rsidRPr="00BA2B87">
        <w:rPr>
          <w:rFonts w:ascii="Book Antiqua" w:hAnsi="Book Antiqua"/>
        </w:rPr>
        <w:t>: 1929-1935 [PMID: 17008526 DOI: 10.1126/science.1132939]</w:t>
      </w:r>
    </w:p>
    <w:p w14:paraId="24773FA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96 </w:t>
      </w:r>
      <w:r w:rsidRPr="00BA2B87">
        <w:rPr>
          <w:rFonts w:ascii="Book Antiqua" w:hAnsi="Book Antiqua"/>
          <w:b/>
          <w:bCs/>
        </w:rPr>
        <w:t>Lotfi Shahreza M</w:t>
      </w:r>
      <w:r w:rsidRPr="00BA2B87">
        <w:rPr>
          <w:rFonts w:ascii="Book Antiqua" w:hAnsi="Book Antiqua"/>
        </w:rPr>
        <w:t xml:space="preserve">, Ghadiri N, Mousavi SR, Varshosaz J, Green JR. A review of network-based approaches to drug repositioning. </w:t>
      </w:r>
      <w:r w:rsidRPr="00BA2B87">
        <w:rPr>
          <w:rFonts w:ascii="Book Antiqua" w:hAnsi="Book Antiqua"/>
          <w:i/>
          <w:iCs/>
        </w:rPr>
        <w:t>Brief Bioinform</w:t>
      </w:r>
      <w:r w:rsidRPr="00BA2B87">
        <w:rPr>
          <w:rFonts w:ascii="Book Antiqua" w:hAnsi="Book Antiqua"/>
        </w:rPr>
        <w:t xml:space="preserve"> 2018; </w:t>
      </w:r>
      <w:r w:rsidRPr="00BA2B87">
        <w:rPr>
          <w:rFonts w:ascii="Book Antiqua" w:hAnsi="Book Antiqua"/>
          <w:b/>
          <w:bCs/>
        </w:rPr>
        <w:t>19</w:t>
      </w:r>
      <w:r w:rsidRPr="00BA2B87">
        <w:rPr>
          <w:rFonts w:ascii="Book Antiqua" w:hAnsi="Book Antiqua"/>
        </w:rPr>
        <w:t>: 878-892 [PMID: 28334136 DOI: 10.1093/bib/bbx017]</w:t>
      </w:r>
    </w:p>
    <w:p w14:paraId="0DD2B767"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97 </w:t>
      </w:r>
      <w:r w:rsidRPr="00BA2B87">
        <w:rPr>
          <w:rFonts w:ascii="Book Antiqua" w:hAnsi="Book Antiqua"/>
          <w:b/>
          <w:bCs/>
        </w:rPr>
        <w:t>Chung FH</w:t>
      </w:r>
      <w:r w:rsidRPr="00BA2B87">
        <w:rPr>
          <w:rFonts w:ascii="Book Antiqua" w:hAnsi="Book Antiqua"/>
        </w:rPr>
        <w:t xml:space="preserve">, Chiang YR, Tseng AL, Sung YC, Lu J, Huang MC, Ma N, Lee HC. Functional Module Connectivity Map (FMCM): a framework for searching repurposed drug compounds for systems treatment of cancer and an application to colorectal adenocarcinoma. </w:t>
      </w:r>
      <w:r w:rsidRPr="00BA2B87">
        <w:rPr>
          <w:rFonts w:ascii="Book Antiqua" w:hAnsi="Book Antiqua"/>
          <w:i/>
          <w:iCs/>
        </w:rPr>
        <w:t>PLoS One</w:t>
      </w:r>
      <w:r w:rsidRPr="00BA2B87">
        <w:rPr>
          <w:rFonts w:ascii="Book Antiqua" w:hAnsi="Book Antiqua"/>
        </w:rPr>
        <w:t xml:space="preserve"> 2014; </w:t>
      </w:r>
      <w:r w:rsidRPr="00BA2B87">
        <w:rPr>
          <w:rFonts w:ascii="Book Antiqua" w:hAnsi="Book Antiqua"/>
          <w:b/>
          <w:bCs/>
        </w:rPr>
        <w:t>9</w:t>
      </w:r>
      <w:r w:rsidRPr="00BA2B87">
        <w:rPr>
          <w:rFonts w:ascii="Book Antiqua" w:hAnsi="Book Antiqua"/>
        </w:rPr>
        <w:t>: e86299 [PMID: 24475102 DOI: 10.1371/journal.pone.0086299]</w:t>
      </w:r>
    </w:p>
    <w:p w14:paraId="67D29EF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98 </w:t>
      </w:r>
      <w:r w:rsidRPr="00BA2B87">
        <w:rPr>
          <w:rFonts w:ascii="Book Antiqua" w:hAnsi="Book Antiqua"/>
          <w:b/>
          <w:bCs/>
        </w:rPr>
        <w:t>Hsieh YY</w:t>
      </w:r>
      <w:r w:rsidRPr="00BA2B87">
        <w:rPr>
          <w:rFonts w:ascii="Book Antiqua" w:hAnsi="Book Antiqua"/>
        </w:rPr>
        <w:t xml:space="preserve">, Chou CJ, Lo HL, Yang PM. Repositioning of a cyclin-dependent kinase inhibitor GW8510 as a ribonucleotide reductase M2 inhibitor to treat human colorectal cancer. </w:t>
      </w:r>
      <w:r w:rsidRPr="00BA2B87">
        <w:rPr>
          <w:rFonts w:ascii="Book Antiqua" w:hAnsi="Book Antiqua"/>
          <w:i/>
          <w:iCs/>
        </w:rPr>
        <w:t>Cell Death Discov</w:t>
      </w:r>
      <w:r w:rsidRPr="00BA2B87">
        <w:rPr>
          <w:rFonts w:ascii="Book Antiqua" w:hAnsi="Book Antiqua"/>
        </w:rPr>
        <w:t xml:space="preserve"> 2016; </w:t>
      </w:r>
      <w:r w:rsidRPr="00BA2B87">
        <w:rPr>
          <w:rFonts w:ascii="Book Antiqua" w:hAnsi="Book Antiqua"/>
          <w:b/>
          <w:bCs/>
        </w:rPr>
        <w:t>2</w:t>
      </w:r>
      <w:r w:rsidRPr="00BA2B87">
        <w:rPr>
          <w:rFonts w:ascii="Book Antiqua" w:hAnsi="Book Antiqua"/>
        </w:rPr>
        <w:t>: 16027 [PMID: 27551518 DOI: 10.1038/cddiscovery.2016.27]</w:t>
      </w:r>
    </w:p>
    <w:p w14:paraId="16286A0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99 </w:t>
      </w:r>
      <w:r w:rsidRPr="00BA2B87">
        <w:rPr>
          <w:rFonts w:ascii="Book Antiqua" w:hAnsi="Book Antiqua"/>
          <w:b/>
          <w:bCs/>
        </w:rPr>
        <w:t>Liñares-Blanco J</w:t>
      </w:r>
      <w:r w:rsidRPr="00BA2B87">
        <w:rPr>
          <w:rFonts w:ascii="Book Antiqua" w:hAnsi="Book Antiqua"/>
        </w:rPr>
        <w:t xml:space="preserve">, Munteanu CR, Pazos A, Fernandez-Lozano C. Molecular docking and machine learning analysis of Abemaciclib in colon cancer. </w:t>
      </w:r>
      <w:r w:rsidRPr="00BA2B87">
        <w:rPr>
          <w:rFonts w:ascii="Book Antiqua" w:hAnsi="Book Antiqua"/>
          <w:i/>
          <w:iCs/>
        </w:rPr>
        <w:t>BMC Mol Cell Biol</w:t>
      </w:r>
      <w:r w:rsidRPr="00BA2B87">
        <w:rPr>
          <w:rFonts w:ascii="Book Antiqua" w:hAnsi="Book Antiqua"/>
        </w:rPr>
        <w:t xml:space="preserve"> 2020; </w:t>
      </w:r>
      <w:r w:rsidRPr="00BA2B87">
        <w:rPr>
          <w:rFonts w:ascii="Book Antiqua" w:hAnsi="Book Antiqua"/>
          <w:b/>
          <w:bCs/>
        </w:rPr>
        <w:t>21</w:t>
      </w:r>
      <w:r w:rsidRPr="00BA2B87">
        <w:rPr>
          <w:rFonts w:ascii="Book Antiqua" w:hAnsi="Book Antiqua"/>
        </w:rPr>
        <w:t>: 52 [PMID: 32640984 DOI: 10.1186/s12860-020-00295-w]</w:t>
      </w:r>
    </w:p>
    <w:p w14:paraId="2779612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100 </w:t>
      </w:r>
      <w:r w:rsidRPr="00BA2B87">
        <w:rPr>
          <w:rFonts w:ascii="Book Antiqua" w:hAnsi="Book Antiqua"/>
          <w:b/>
          <w:bCs/>
        </w:rPr>
        <w:t>Beklen H</w:t>
      </w:r>
      <w:r w:rsidRPr="00BA2B87">
        <w:rPr>
          <w:rFonts w:ascii="Book Antiqua" w:hAnsi="Book Antiqua"/>
        </w:rPr>
        <w:t xml:space="preserve">, Gulfidan G, Arga KY, Mardinoglu A, Turanli B. Drug Repositioning for P-Glycoprotein Mediated Co-Expression Networks in Colorectal Cancer. </w:t>
      </w:r>
      <w:r w:rsidRPr="00BA2B87">
        <w:rPr>
          <w:rFonts w:ascii="Book Antiqua" w:hAnsi="Book Antiqua"/>
          <w:i/>
          <w:iCs/>
        </w:rPr>
        <w:t>Front Oncol</w:t>
      </w:r>
      <w:r w:rsidRPr="00BA2B87">
        <w:rPr>
          <w:rFonts w:ascii="Book Antiqua" w:hAnsi="Book Antiqua"/>
        </w:rPr>
        <w:t xml:space="preserve"> 2020; </w:t>
      </w:r>
      <w:r w:rsidRPr="00BA2B87">
        <w:rPr>
          <w:rFonts w:ascii="Book Antiqua" w:hAnsi="Book Antiqua"/>
          <w:b/>
          <w:bCs/>
        </w:rPr>
        <w:t>10</w:t>
      </w:r>
      <w:r w:rsidRPr="00BA2B87">
        <w:rPr>
          <w:rFonts w:ascii="Book Antiqua" w:hAnsi="Book Antiqua"/>
        </w:rPr>
        <w:t>: 1273 [PMID: 32903699 DOI: 10.3389/fonc.2020.01273]</w:t>
      </w:r>
    </w:p>
    <w:p w14:paraId="76909BE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101 </w:t>
      </w:r>
      <w:r w:rsidRPr="00BA2B87">
        <w:rPr>
          <w:rFonts w:ascii="Book Antiqua" w:hAnsi="Book Antiqua"/>
          <w:b/>
          <w:bCs/>
        </w:rPr>
        <w:t>Wang YW</w:t>
      </w:r>
      <w:r w:rsidRPr="00BA2B87">
        <w:rPr>
          <w:rFonts w:ascii="Book Antiqua" w:hAnsi="Book Antiqua"/>
        </w:rPr>
        <w:t xml:space="preserve">, He SJ, Feng X, Cheng J, Luo YT, Tian L, Huang Q. Metformin: a review of its potential indications. </w:t>
      </w:r>
      <w:r w:rsidRPr="00BA2B87">
        <w:rPr>
          <w:rFonts w:ascii="Book Antiqua" w:hAnsi="Book Antiqua"/>
          <w:i/>
          <w:iCs/>
        </w:rPr>
        <w:t>Drug Des Devel Ther</w:t>
      </w:r>
      <w:r w:rsidRPr="00BA2B87">
        <w:rPr>
          <w:rFonts w:ascii="Book Antiqua" w:hAnsi="Book Antiqua"/>
        </w:rPr>
        <w:t xml:space="preserve"> 2017; </w:t>
      </w:r>
      <w:r w:rsidRPr="00BA2B87">
        <w:rPr>
          <w:rFonts w:ascii="Book Antiqua" w:hAnsi="Book Antiqua"/>
          <w:b/>
          <w:bCs/>
        </w:rPr>
        <w:t>11</w:t>
      </w:r>
      <w:r w:rsidRPr="00BA2B87">
        <w:rPr>
          <w:rFonts w:ascii="Book Antiqua" w:hAnsi="Book Antiqua"/>
        </w:rPr>
        <w:t>: 2421-2429 [PMID: 28860713 DOI: 10.2147/DDDT.S141675]</w:t>
      </w:r>
    </w:p>
    <w:p w14:paraId="24BA20D3"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102 </w:t>
      </w:r>
      <w:r w:rsidRPr="00BA2B87">
        <w:rPr>
          <w:rFonts w:ascii="Book Antiqua" w:hAnsi="Book Antiqua"/>
          <w:b/>
          <w:bCs/>
        </w:rPr>
        <w:t>Jia Y</w:t>
      </w:r>
      <w:r w:rsidRPr="00BA2B87">
        <w:rPr>
          <w:rFonts w:ascii="Book Antiqua" w:hAnsi="Book Antiqua"/>
        </w:rPr>
        <w:t xml:space="preserve">, Ma Z, Liu X, Zhou W, He S, Xu X, Ren G, Xu G, Tian K. Metformin prevents DMH-induced colorectal cancer in diabetic rats by reversing the warburg effect. </w:t>
      </w:r>
      <w:r w:rsidRPr="00BA2B87">
        <w:rPr>
          <w:rFonts w:ascii="Book Antiqua" w:hAnsi="Book Antiqua"/>
          <w:i/>
          <w:iCs/>
        </w:rPr>
        <w:t>Cancer Med</w:t>
      </w:r>
      <w:r w:rsidRPr="00BA2B87">
        <w:rPr>
          <w:rFonts w:ascii="Book Antiqua" w:hAnsi="Book Antiqua"/>
        </w:rPr>
        <w:t xml:space="preserve"> 2015; </w:t>
      </w:r>
      <w:r w:rsidRPr="00BA2B87">
        <w:rPr>
          <w:rFonts w:ascii="Book Antiqua" w:hAnsi="Book Antiqua"/>
          <w:b/>
          <w:bCs/>
        </w:rPr>
        <w:t>4</w:t>
      </w:r>
      <w:r w:rsidRPr="00BA2B87">
        <w:rPr>
          <w:rFonts w:ascii="Book Antiqua" w:hAnsi="Book Antiqua"/>
        </w:rPr>
        <w:t>: 1730-1741 [PMID: 26376762 DOI: 10.1002/cam4.521]</w:t>
      </w:r>
    </w:p>
    <w:p w14:paraId="1389F6C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103 </w:t>
      </w:r>
      <w:r w:rsidRPr="00BA2B87">
        <w:rPr>
          <w:rFonts w:ascii="Book Antiqua" w:hAnsi="Book Antiqua"/>
          <w:b/>
          <w:bCs/>
        </w:rPr>
        <w:t>Sena P</w:t>
      </w:r>
      <w:r w:rsidRPr="00BA2B87">
        <w:rPr>
          <w:rFonts w:ascii="Book Antiqua" w:hAnsi="Book Antiqua"/>
        </w:rPr>
        <w:t xml:space="preserve">, Mancini S, Benincasa M, Mariani F, Palumbo C, Roncucci L. Metformin Induces Apoptosis and Alters Cellular Responses to Oxidative Stress in Ht29 Colon Cancer Cells: Preliminary Findings. </w:t>
      </w:r>
      <w:r w:rsidRPr="00BA2B87">
        <w:rPr>
          <w:rFonts w:ascii="Book Antiqua" w:hAnsi="Book Antiqua"/>
          <w:i/>
          <w:iCs/>
        </w:rPr>
        <w:t>Int J Mol Sci</w:t>
      </w:r>
      <w:r w:rsidRPr="00BA2B87">
        <w:rPr>
          <w:rFonts w:ascii="Book Antiqua" w:hAnsi="Book Antiqua"/>
        </w:rPr>
        <w:t xml:space="preserve"> 2018; </w:t>
      </w:r>
      <w:r w:rsidRPr="00BA2B87">
        <w:rPr>
          <w:rFonts w:ascii="Book Antiqua" w:hAnsi="Book Antiqua"/>
          <w:b/>
          <w:bCs/>
        </w:rPr>
        <w:t>19</w:t>
      </w:r>
      <w:r w:rsidRPr="00BA2B87">
        <w:rPr>
          <w:rFonts w:ascii="Book Antiqua" w:hAnsi="Book Antiqua"/>
        </w:rPr>
        <w:t xml:space="preserve"> [PMID: 29772687 DOI: 10.3390/ijms19051478]</w:t>
      </w:r>
    </w:p>
    <w:p w14:paraId="2ECCE5A5" w14:textId="6F4189D1" w:rsidR="00ED2E77" w:rsidRPr="00BA2B87" w:rsidRDefault="00ED2E77" w:rsidP="00BA2B87">
      <w:pPr>
        <w:spacing w:line="360" w:lineRule="auto"/>
        <w:jc w:val="both"/>
        <w:rPr>
          <w:rFonts w:ascii="Book Antiqua" w:hAnsi="Book Antiqua"/>
        </w:rPr>
      </w:pPr>
      <w:r w:rsidRPr="00BA2B87">
        <w:rPr>
          <w:rFonts w:ascii="Book Antiqua" w:hAnsi="Book Antiqua"/>
        </w:rPr>
        <w:t xml:space="preserve">104 </w:t>
      </w:r>
      <w:r w:rsidRPr="00BA2B87">
        <w:rPr>
          <w:rFonts w:ascii="Book Antiqua" w:hAnsi="Book Antiqua"/>
          <w:b/>
          <w:bCs/>
        </w:rPr>
        <w:t>Bishnoi R,</w:t>
      </w:r>
      <w:r w:rsidRPr="00BA2B87">
        <w:rPr>
          <w:rFonts w:ascii="Book Antiqua" w:hAnsi="Book Antiqua"/>
        </w:rPr>
        <w:t xml:space="preserve"> Shah C, Schmit JM, Huo J (Stephen). Metformin and stage IV colorectal cancer in elderly. </w:t>
      </w:r>
      <w:r w:rsidRPr="00BA2B87">
        <w:rPr>
          <w:rFonts w:ascii="Book Antiqua" w:hAnsi="Book Antiqua"/>
          <w:i/>
          <w:iCs/>
        </w:rPr>
        <w:t>J Clin Oncol</w:t>
      </w:r>
      <w:r w:rsidRPr="00BA2B87">
        <w:rPr>
          <w:rFonts w:ascii="Book Antiqua" w:hAnsi="Book Antiqua"/>
        </w:rPr>
        <w:t xml:space="preserve"> 2018; </w:t>
      </w:r>
      <w:r w:rsidRPr="00BA2B87">
        <w:rPr>
          <w:rFonts w:ascii="Book Antiqua" w:hAnsi="Book Antiqua"/>
          <w:b/>
          <w:bCs/>
        </w:rPr>
        <w:t>36:</w:t>
      </w:r>
      <w:r w:rsidRPr="00BA2B87">
        <w:rPr>
          <w:rFonts w:ascii="Book Antiqua" w:hAnsi="Book Antiqua"/>
        </w:rPr>
        <w:t xml:space="preserve"> e15636-e15636 [DOI: 10.1200/jco.2018.36.15_suppl.e15636]</w:t>
      </w:r>
    </w:p>
    <w:p w14:paraId="0592AB02" w14:textId="77777777"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105 </w:t>
      </w:r>
      <w:r w:rsidRPr="00BA2B87">
        <w:rPr>
          <w:rFonts w:ascii="Book Antiqua" w:hAnsi="Book Antiqua"/>
          <w:b/>
          <w:bCs/>
        </w:rPr>
        <w:t>Chan AT</w:t>
      </w:r>
      <w:r w:rsidRPr="00BA2B87">
        <w:rPr>
          <w:rFonts w:ascii="Book Antiqua" w:hAnsi="Book Antiqua"/>
        </w:rPr>
        <w:t xml:space="preserve">, Giovannucci EL, Meyerhardt JA, Schernhammer ES, Curhan GC, Fuchs CS. Long-term use of aspirin and nonsteroidal anti-inflammatory drugs and risk of colorectal cancer. </w:t>
      </w:r>
      <w:r w:rsidRPr="00BA2B87">
        <w:rPr>
          <w:rFonts w:ascii="Book Antiqua" w:hAnsi="Book Antiqua"/>
          <w:i/>
          <w:iCs/>
        </w:rPr>
        <w:t>JAMA</w:t>
      </w:r>
      <w:r w:rsidRPr="00BA2B87">
        <w:rPr>
          <w:rFonts w:ascii="Book Antiqua" w:hAnsi="Book Antiqua"/>
        </w:rPr>
        <w:t xml:space="preserve"> 2005; </w:t>
      </w:r>
      <w:r w:rsidRPr="00BA2B87">
        <w:rPr>
          <w:rFonts w:ascii="Book Antiqua" w:hAnsi="Book Antiqua"/>
          <w:b/>
          <w:bCs/>
        </w:rPr>
        <w:t>294</w:t>
      </w:r>
      <w:r w:rsidRPr="00BA2B87">
        <w:rPr>
          <w:rFonts w:ascii="Book Antiqua" w:hAnsi="Book Antiqua"/>
        </w:rPr>
        <w:t>: 914-923 [PMID: 16118381 DOI: 10.1001/jama.294.8.914]</w:t>
      </w:r>
    </w:p>
    <w:p w14:paraId="66B72AD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106 </w:t>
      </w:r>
      <w:r w:rsidRPr="00BA2B87">
        <w:rPr>
          <w:rFonts w:ascii="Book Antiqua" w:hAnsi="Book Antiqua"/>
          <w:b/>
          <w:bCs/>
        </w:rPr>
        <w:t>Reddy BS</w:t>
      </w:r>
      <w:r w:rsidRPr="00BA2B87">
        <w:rPr>
          <w:rFonts w:ascii="Book Antiqua" w:hAnsi="Book Antiqua"/>
        </w:rPr>
        <w:t xml:space="preserve">, Wang CX, Kong AN, Khor TO, Zheng X, Steele VE, Kopelovich L, Rao CV. Prevention of azoxymethane-induced colon cancer by combination of low doses of atorvastatin, aspirin, and celecoxib in F 344 rats. </w:t>
      </w:r>
      <w:r w:rsidRPr="00BA2B87">
        <w:rPr>
          <w:rFonts w:ascii="Book Antiqua" w:hAnsi="Book Antiqua"/>
          <w:i/>
          <w:iCs/>
        </w:rPr>
        <w:t>Cancer Res</w:t>
      </w:r>
      <w:r w:rsidRPr="00BA2B87">
        <w:rPr>
          <w:rFonts w:ascii="Book Antiqua" w:hAnsi="Book Antiqua"/>
        </w:rPr>
        <w:t xml:space="preserve"> 2006; </w:t>
      </w:r>
      <w:r w:rsidRPr="00BA2B87">
        <w:rPr>
          <w:rFonts w:ascii="Book Antiqua" w:hAnsi="Book Antiqua"/>
          <w:b/>
          <w:bCs/>
        </w:rPr>
        <w:t>66</w:t>
      </w:r>
      <w:r w:rsidRPr="00BA2B87">
        <w:rPr>
          <w:rFonts w:ascii="Book Antiqua" w:hAnsi="Book Antiqua"/>
        </w:rPr>
        <w:t>: 4542-4546 [PMID: 16618783 DOI: 10.1158/0008-5472.CAN-05-4428]</w:t>
      </w:r>
    </w:p>
    <w:p w14:paraId="1BF26B8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107 </w:t>
      </w:r>
      <w:r w:rsidRPr="00BA2B87">
        <w:rPr>
          <w:rFonts w:ascii="Book Antiqua" w:hAnsi="Book Antiqua"/>
          <w:b/>
          <w:bCs/>
        </w:rPr>
        <w:t>Flossmann E</w:t>
      </w:r>
      <w:r w:rsidRPr="00BA2B87">
        <w:rPr>
          <w:rFonts w:ascii="Book Antiqua" w:hAnsi="Book Antiqua"/>
        </w:rPr>
        <w:t xml:space="preserve">, Rothwell PM; British Doctors Aspirin Trial and the UK-TIA Aspirin Trial. Effect of aspirin on long-term risk of colorectal cancer: consistent evidence from randomised and observational studies. </w:t>
      </w:r>
      <w:r w:rsidRPr="00BA2B87">
        <w:rPr>
          <w:rFonts w:ascii="Book Antiqua" w:hAnsi="Book Antiqua"/>
          <w:i/>
          <w:iCs/>
        </w:rPr>
        <w:t>Lancet</w:t>
      </w:r>
      <w:r w:rsidRPr="00BA2B87">
        <w:rPr>
          <w:rFonts w:ascii="Book Antiqua" w:hAnsi="Book Antiqua"/>
        </w:rPr>
        <w:t xml:space="preserve"> 2007; </w:t>
      </w:r>
      <w:r w:rsidRPr="00BA2B87">
        <w:rPr>
          <w:rFonts w:ascii="Book Antiqua" w:hAnsi="Book Antiqua"/>
          <w:b/>
          <w:bCs/>
        </w:rPr>
        <w:t>369</w:t>
      </w:r>
      <w:r w:rsidRPr="00BA2B87">
        <w:rPr>
          <w:rFonts w:ascii="Book Antiqua" w:hAnsi="Book Antiqua"/>
        </w:rPr>
        <w:t>: 1603-1613 [PMID: 17499602 DOI: 10.1016/S0140-6736(07)60747-8]</w:t>
      </w:r>
    </w:p>
    <w:p w14:paraId="3E138DC1" w14:textId="77777777" w:rsidR="00ED2E77" w:rsidRPr="00BA2B87" w:rsidRDefault="00ED2E77" w:rsidP="00BA2B87">
      <w:pPr>
        <w:spacing w:line="360" w:lineRule="auto"/>
        <w:jc w:val="both"/>
        <w:rPr>
          <w:rFonts w:ascii="Book Antiqua" w:hAnsi="Book Antiqua"/>
          <w:lang w:val="pt-BR"/>
        </w:rPr>
      </w:pPr>
      <w:r w:rsidRPr="00BA2B87">
        <w:rPr>
          <w:rFonts w:ascii="Book Antiqua" w:hAnsi="Book Antiqua"/>
        </w:rPr>
        <w:t xml:space="preserve">108 </w:t>
      </w:r>
      <w:r w:rsidRPr="00BA2B87">
        <w:rPr>
          <w:rFonts w:ascii="Book Antiqua" w:hAnsi="Book Antiqua"/>
          <w:b/>
          <w:bCs/>
        </w:rPr>
        <w:t>Jin S</w:t>
      </w:r>
      <w:r w:rsidRPr="00BA2B87">
        <w:rPr>
          <w:rFonts w:ascii="Book Antiqua" w:hAnsi="Book Antiqua"/>
        </w:rPr>
        <w:t xml:space="preserve">, Wu X. Aspirin inhibits colon cancer cell line migration through regulating epithelial-mesenchymal transition via Wnt signaling. </w:t>
      </w:r>
      <w:r w:rsidRPr="00BA2B87">
        <w:rPr>
          <w:rFonts w:ascii="Book Antiqua" w:hAnsi="Book Antiqua"/>
          <w:i/>
          <w:iCs/>
          <w:lang w:val="pt-BR"/>
        </w:rPr>
        <w:t>Oncol Lett</w:t>
      </w:r>
      <w:r w:rsidRPr="00BA2B87">
        <w:rPr>
          <w:rFonts w:ascii="Book Antiqua" w:hAnsi="Book Antiqua"/>
          <w:lang w:val="pt-BR"/>
        </w:rPr>
        <w:t xml:space="preserve"> 2019; </w:t>
      </w:r>
      <w:r w:rsidRPr="00BA2B87">
        <w:rPr>
          <w:rFonts w:ascii="Book Antiqua" w:hAnsi="Book Antiqua"/>
          <w:b/>
          <w:bCs/>
          <w:lang w:val="pt-BR"/>
        </w:rPr>
        <w:t>17</w:t>
      </w:r>
      <w:r w:rsidRPr="00BA2B87">
        <w:rPr>
          <w:rFonts w:ascii="Book Antiqua" w:hAnsi="Book Antiqua"/>
          <w:lang w:val="pt-BR"/>
        </w:rPr>
        <w:t>: 4675-4682 [PMID: 30944655 DOI: 10.3892/ol.2019.10089]</w:t>
      </w:r>
    </w:p>
    <w:p w14:paraId="0F32070C" w14:textId="77777777" w:rsidR="00ED2E77" w:rsidRPr="00BA2B87" w:rsidRDefault="00ED2E77" w:rsidP="00BA2B87">
      <w:pPr>
        <w:spacing w:line="360" w:lineRule="auto"/>
        <w:jc w:val="both"/>
        <w:rPr>
          <w:rFonts w:ascii="Book Antiqua" w:hAnsi="Book Antiqua"/>
        </w:rPr>
      </w:pPr>
      <w:r w:rsidRPr="00BA2B87">
        <w:rPr>
          <w:rFonts w:ascii="Book Antiqua" w:hAnsi="Book Antiqua"/>
          <w:lang w:val="pt-BR"/>
        </w:rPr>
        <w:t xml:space="preserve">109 </w:t>
      </w:r>
      <w:r w:rsidRPr="00BA2B87">
        <w:rPr>
          <w:rFonts w:ascii="Book Antiqua" w:hAnsi="Book Antiqua"/>
          <w:b/>
          <w:bCs/>
          <w:lang w:val="pt-BR"/>
        </w:rPr>
        <w:t>Jafarzadeh A</w:t>
      </w:r>
      <w:r w:rsidRPr="00BA2B87">
        <w:rPr>
          <w:rFonts w:ascii="Book Antiqua" w:hAnsi="Book Antiqua"/>
          <w:lang w:val="pt-BR"/>
        </w:rPr>
        <w:t xml:space="preserve">, Nemati M, Khorramdelazad H, Hassan ZM. </w:t>
      </w:r>
      <w:r w:rsidRPr="00BA2B87">
        <w:rPr>
          <w:rFonts w:ascii="Book Antiqua" w:hAnsi="Book Antiqua"/>
        </w:rPr>
        <w:t xml:space="preserve">Immunomodulatory properties of cimetidine: Its therapeutic potentials for treatment of immune-related diseases. </w:t>
      </w:r>
      <w:r w:rsidRPr="00BA2B87">
        <w:rPr>
          <w:rFonts w:ascii="Book Antiqua" w:hAnsi="Book Antiqua"/>
          <w:i/>
          <w:iCs/>
        </w:rPr>
        <w:t>Int Immunopharmacol</w:t>
      </w:r>
      <w:r w:rsidRPr="00BA2B87">
        <w:rPr>
          <w:rFonts w:ascii="Book Antiqua" w:hAnsi="Book Antiqua"/>
        </w:rPr>
        <w:t xml:space="preserve"> 2019; </w:t>
      </w:r>
      <w:r w:rsidRPr="00BA2B87">
        <w:rPr>
          <w:rFonts w:ascii="Book Antiqua" w:hAnsi="Book Antiqua"/>
          <w:b/>
          <w:bCs/>
        </w:rPr>
        <w:t>70</w:t>
      </w:r>
      <w:r w:rsidRPr="00BA2B87">
        <w:rPr>
          <w:rFonts w:ascii="Book Antiqua" w:hAnsi="Book Antiqua"/>
        </w:rPr>
        <w:t>: 156-166 [PMID: 30802678 DOI: 10.1016/j.intimp.2019.02.026]</w:t>
      </w:r>
    </w:p>
    <w:p w14:paraId="0D451A59"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110 </w:t>
      </w:r>
      <w:r w:rsidRPr="00BA2B87">
        <w:rPr>
          <w:rFonts w:ascii="Book Antiqua" w:hAnsi="Book Antiqua"/>
          <w:b/>
          <w:bCs/>
        </w:rPr>
        <w:t>Kelly MD</w:t>
      </w:r>
      <w:r w:rsidRPr="00BA2B87">
        <w:rPr>
          <w:rFonts w:ascii="Book Antiqua" w:hAnsi="Book Antiqua"/>
        </w:rPr>
        <w:t xml:space="preserve">, King J, Cherian M, Dwerryhouse SJ, Finlay IG, Adams WJ, King DW, Lubowski DZ, Morris DL. Randomized trial of preoperative cimetidine in patients with colorectal carcinoma with quantitative assessment of tumor-associated lymphocytes. </w:t>
      </w:r>
      <w:r w:rsidRPr="00BA2B87">
        <w:rPr>
          <w:rFonts w:ascii="Book Antiqua" w:hAnsi="Book Antiqua"/>
          <w:i/>
          <w:iCs/>
        </w:rPr>
        <w:t>Cancer</w:t>
      </w:r>
      <w:r w:rsidRPr="00BA2B87">
        <w:rPr>
          <w:rFonts w:ascii="Book Antiqua" w:hAnsi="Book Antiqua"/>
        </w:rPr>
        <w:t xml:space="preserve"> 1999; </w:t>
      </w:r>
      <w:r w:rsidRPr="00BA2B87">
        <w:rPr>
          <w:rFonts w:ascii="Book Antiqua" w:hAnsi="Book Antiqua"/>
          <w:b/>
          <w:bCs/>
        </w:rPr>
        <w:t>85</w:t>
      </w:r>
      <w:r w:rsidRPr="00BA2B87">
        <w:rPr>
          <w:rFonts w:ascii="Book Antiqua" w:hAnsi="Book Antiqua"/>
        </w:rPr>
        <w:t>: 1658-1663 [PMID: 10223557 DOI: 10.1002/(sici)1097-0142(19990415)85:8&lt;1658::aid-cncr3&gt;3.0.co;2-q]</w:t>
      </w:r>
    </w:p>
    <w:p w14:paraId="2F108AA5"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111 </w:t>
      </w:r>
      <w:r w:rsidRPr="00BA2B87">
        <w:rPr>
          <w:rFonts w:ascii="Book Antiqua" w:hAnsi="Book Antiqua"/>
          <w:b/>
          <w:bCs/>
        </w:rPr>
        <w:t>Kobayashi K</w:t>
      </w:r>
      <w:r w:rsidRPr="00BA2B87">
        <w:rPr>
          <w:rFonts w:ascii="Book Antiqua" w:hAnsi="Book Antiqua"/>
        </w:rPr>
        <w:t xml:space="preserve">, Matsumoto S, Morishima T, Kawabe T, Okamoto T. Cimetidine inhibits cancer cell adhesion to endothelial cells and prevents metastasis by blocking E-selectin expression. </w:t>
      </w:r>
      <w:r w:rsidRPr="00BA2B87">
        <w:rPr>
          <w:rFonts w:ascii="Book Antiqua" w:hAnsi="Book Antiqua"/>
          <w:i/>
          <w:iCs/>
        </w:rPr>
        <w:t>Cancer Res</w:t>
      </w:r>
      <w:r w:rsidRPr="00BA2B87">
        <w:rPr>
          <w:rFonts w:ascii="Book Antiqua" w:hAnsi="Book Antiqua"/>
        </w:rPr>
        <w:t xml:space="preserve"> 2000; </w:t>
      </w:r>
      <w:r w:rsidRPr="00BA2B87">
        <w:rPr>
          <w:rFonts w:ascii="Book Antiqua" w:hAnsi="Book Antiqua"/>
          <w:b/>
          <w:bCs/>
        </w:rPr>
        <w:t>60</w:t>
      </w:r>
      <w:r w:rsidRPr="00BA2B87">
        <w:rPr>
          <w:rFonts w:ascii="Book Antiqua" w:hAnsi="Book Antiqua"/>
        </w:rPr>
        <w:t>: 3978-3984 [PMID: 10919677]</w:t>
      </w:r>
    </w:p>
    <w:p w14:paraId="28A3AC44"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112 </w:t>
      </w:r>
      <w:r w:rsidRPr="00BA2B87">
        <w:rPr>
          <w:rFonts w:ascii="Book Antiqua" w:hAnsi="Book Antiqua"/>
          <w:b/>
          <w:bCs/>
        </w:rPr>
        <w:t>Matsumoto S</w:t>
      </w:r>
      <w:r w:rsidRPr="00BA2B87">
        <w:rPr>
          <w:rFonts w:ascii="Book Antiqua" w:hAnsi="Book Antiqua"/>
        </w:rPr>
        <w:t xml:space="preserve">, Imaeda Y, Umemoto S, Kobayashi K, Suzuki H, Okamoto T. Cimetidine increases survival of colorectal cancer patients with high levels of sialyl </w:t>
      </w:r>
      <w:r w:rsidRPr="00BA2B87">
        <w:rPr>
          <w:rFonts w:ascii="Book Antiqua" w:hAnsi="Book Antiqua"/>
        </w:rPr>
        <w:lastRenderedPageBreak/>
        <w:t xml:space="preserve">Lewis-X and sialyl Lewis-A epitope expression on tumour cells. </w:t>
      </w:r>
      <w:r w:rsidRPr="00BA2B87">
        <w:rPr>
          <w:rFonts w:ascii="Book Antiqua" w:hAnsi="Book Antiqua"/>
          <w:i/>
          <w:iCs/>
        </w:rPr>
        <w:t>Br J Cancer</w:t>
      </w:r>
      <w:r w:rsidRPr="00BA2B87">
        <w:rPr>
          <w:rFonts w:ascii="Book Antiqua" w:hAnsi="Book Antiqua"/>
        </w:rPr>
        <w:t xml:space="preserve"> 2002; </w:t>
      </w:r>
      <w:r w:rsidRPr="00BA2B87">
        <w:rPr>
          <w:rFonts w:ascii="Book Antiqua" w:hAnsi="Book Antiqua"/>
          <w:b/>
          <w:bCs/>
        </w:rPr>
        <w:t>86</w:t>
      </w:r>
      <w:r w:rsidRPr="00BA2B87">
        <w:rPr>
          <w:rFonts w:ascii="Book Antiqua" w:hAnsi="Book Antiqua"/>
        </w:rPr>
        <w:t>: 161-167 [PMID: 11870500 DOI: 10.1038/sj.bjc.6600048]</w:t>
      </w:r>
    </w:p>
    <w:p w14:paraId="2A147BC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113 </w:t>
      </w:r>
      <w:r w:rsidRPr="00BA2B87">
        <w:rPr>
          <w:rFonts w:ascii="Book Antiqua" w:hAnsi="Book Antiqua"/>
          <w:b/>
          <w:bCs/>
        </w:rPr>
        <w:t>Ali AH</w:t>
      </w:r>
      <w:r w:rsidRPr="00BA2B87">
        <w:rPr>
          <w:rFonts w:ascii="Book Antiqua" w:hAnsi="Book Antiqua"/>
        </w:rPr>
        <w:t xml:space="preserve">, Hale L, Yalamanchili B, Ahmed M, Ahmed M, Zhou R, Wright SE. The Effect of Perioperative Cimetidine Administration on Time to Colorectal Cancer Recurrence. </w:t>
      </w:r>
      <w:r w:rsidRPr="00BA2B87">
        <w:rPr>
          <w:rFonts w:ascii="Book Antiqua" w:hAnsi="Book Antiqua"/>
          <w:i/>
          <w:iCs/>
        </w:rPr>
        <w:t>Am J Ther</w:t>
      </w:r>
      <w:r w:rsidRPr="00BA2B87">
        <w:rPr>
          <w:rFonts w:ascii="Book Antiqua" w:hAnsi="Book Antiqua"/>
        </w:rPr>
        <w:t xml:space="preserve"> 2018; </w:t>
      </w:r>
      <w:r w:rsidRPr="00BA2B87">
        <w:rPr>
          <w:rFonts w:ascii="Book Antiqua" w:hAnsi="Book Antiqua"/>
          <w:b/>
          <w:bCs/>
        </w:rPr>
        <w:t>25</w:t>
      </w:r>
      <w:r w:rsidRPr="00BA2B87">
        <w:rPr>
          <w:rFonts w:ascii="Book Antiqua" w:hAnsi="Book Antiqua"/>
        </w:rPr>
        <w:t>: e405-e411 [PMID: 29630589 DOI: 10.1097/MJT.0000000000000547]</w:t>
      </w:r>
    </w:p>
    <w:p w14:paraId="6EDC66C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114 </w:t>
      </w:r>
      <w:r w:rsidRPr="00BA2B87">
        <w:rPr>
          <w:rFonts w:ascii="Book Antiqua" w:hAnsi="Book Antiqua"/>
          <w:b/>
          <w:bCs/>
        </w:rPr>
        <w:t>Altman R</w:t>
      </w:r>
      <w:r w:rsidRPr="00BA2B87">
        <w:rPr>
          <w:rFonts w:ascii="Book Antiqua" w:hAnsi="Book Antiqua"/>
        </w:rPr>
        <w:t xml:space="preserve">, Bosch B, Brune K, Patrignani P, Young C. Advances in NSAID development: evolution of diclofenac products using pharmaceutical technology. </w:t>
      </w:r>
      <w:r w:rsidRPr="00BA2B87">
        <w:rPr>
          <w:rFonts w:ascii="Book Antiqua" w:hAnsi="Book Antiqua"/>
          <w:i/>
          <w:iCs/>
        </w:rPr>
        <w:t>Drugs</w:t>
      </w:r>
      <w:r w:rsidRPr="00BA2B87">
        <w:rPr>
          <w:rFonts w:ascii="Book Antiqua" w:hAnsi="Book Antiqua"/>
        </w:rPr>
        <w:t xml:space="preserve"> 2015; </w:t>
      </w:r>
      <w:r w:rsidRPr="00BA2B87">
        <w:rPr>
          <w:rFonts w:ascii="Book Antiqua" w:hAnsi="Book Antiqua"/>
          <w:b/>
          <w:bCs/>
        </w:rPr>
        <w:t>75</w:t>
      </w:r>
      <w:r w:rsidRPr="00BA2B87">
        <w:rPr>
          <w:rFonts w:ascii="Book Antiqua" w:hAnsi="Book Antiqua"/>
        </w:rPr>
        <w:t>: 859-877 [PMID: 25963327 DOI: 10.1007/s40265-015-0392-z]</w:t>
      </w:r>
    </w:p>
    <w:p w14:paraId="18603EC2"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115 </w:t>
      </w:r>
      <w:r w:rsidRPr="00BA2B87">
        <w:rPr>
          <w:rFonts w:ascii="Book Antiqua" w:hAnsi="Book Antiqua"/>
          <w:b/>
          <w:bCs/>
        </w:rPr>
        <w:t>Pantziarka P</w:t>
      </w:r>
      <w:r w:rsidRPr="00BA2B87">
        <w:rPr>
          <w:rFonts w:ascii="Book Antiqua" w:hAnsi="Book Antiqua"/>
        </w:rPr>
        <w:t xml:space="preserve">, Sukhatme V, Bouche G, Meheus L, Sukhatme VP. Repurposing Drugs in Oncology (ReDO)-diclofenac as an anti-cancer agent. </w:t>
      </w:r>
      <w:r w:rsidRPr="00BA2B87">
        <w:rPr>
          <w:rFonts w:ascii="Book Antiqua" w:hAnsi="Book Antiqua"/>
          <w:i/>
          <w:iCs/>
        </w:rPr>
        <w:t>Ecancermedicalscience</w:t>
      </w:r>
      <w:r w:rsidRPr="00BA2B87">
        <w:rPr>
          <w:rFonts w:ascii="Book Antiqua" w:hAnsi="Book Antiqua"/>
        </w:rPr>
        <w:t xml:space="preserve"> 2016; </w:t>
      </w:r>
      <w:r w:rsidRPr="00BA2B87">
        <w:rPr>
          <w:rFonts w:ascii="Book Antiqua" w:hAnsi="Book Antiqua"/>
          <w:b/>
          <w:bCs/>
        </w:rPr>
        <w:t>10</w:t>
      </w:r>
      <w:r w:rsidRPr="00BA2B87">
        <w:rPr>
          <w:rFonts w:ascii="Book Antiqua" w:hAnsi="Book Antiqua"/>
        </w:rPr>
        <w:t>: 610 [PMID: 26823679 DOI: 10.3332/ecancer.2016.610]</w:t>
      </w:r>
    </w:p>
    <w:p w14:paraId="3F54573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116 </w:t>
      </w:r>
      <w:r w:rsidRPr="00BA2B87">
        <w:rPr>
          <w:rFonts w:ascii="Book Antiqua" w:hAnsi="Book Antiqua"/>
          <w:b/>
          <w:bCs/>
        </w:rPr>
        <w:t>Falkowski M</w:t>
      </w:r>
      <w:r w:rsidRPr="00BA2B87">
        <w:rPr>
          <w:rFonts w:ascii="Book Antiqua" w:hAnsi="Book Antiqua"/>
        </w:rPr>
        <w:t xml:space="preserve">, Skogstad S, Shahzidi S, Smedsröd B, Sveinbjörnsson B. The effect of cyclooxygenase inhibitor diclofenac on experimental murine colon carcinoma. </w:t>
      </w:r>
      <w:r w:rsidRPr="00BA2B87">
        <w:rPr>
          <w:rFonts w:ascii="Book Antiqua" w:hAnsi="Book Antiqua"/>
          <w:i/>
          <w:iCs/>
        </w:rPr>
        <w:t>Anticancer Res</w:t>
      </w:r>
      <w:r w:rsidRPr="00BA2B87">
        <w:rPr>
          <w:rFonts w:ascii="Book Antiqua" w:hAnsi="Book Antiqua"/>
        </w:rPr>
        <w:t xml:space="preserve"> 2003; </w:t>
      </w:r>
      <w:r w:rsidRPr="00BA2B87">
        <w:rPr>
          <w:rFonts w:ascii="Book Antiqua" w:hAnsi="Book Antiqua"/>
          <w:b/>
          <w:bCs/>
        </w:rPr>
        <w:t>23</w:t>
      </w:r>
      <w:r w:rsidRPr="00BA2B87">
        <w:rPr>
          <w:rFonts w:ascii="Book Antiqua" w:hAnsi="Book Antiqua"/>
        </w:rPr>
        <w:t>: 2303-2308 [PMID: 12894507]</w:t>
      </w:r>
    </w:p>
    <w:p w14:paraId="21A1CDEA"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117 </w:t>
      </w:r>
      <w:r w:rsidRPr="00BA2B87">
        <w:rPr>
          <w:rFonts w:ascii="Book Antiqua" w:hAnsi="Book Antiqua"/>
          <w:b/>
          <w:bCs/>
        </w:rPr>
        <w:t>Arisan ED</w:t>
      </w:r>
      <w:r w:rsidRPr="00BA2B87">
        <w:rPr>
          <w:rFonts w:ascii="Book Antiqua" w:hAnsi="Book Antiqua"/>
        </w:rPr>
        <w:t xml:space="preserve">, Ergül Z, Bozdağ G, Rencüzoğulları Ö, Çoker-Gürkan A, Obakan-Yerlikaya P, Coşkun D, Palavan-Ünsal N. Diclofenac induced apoptosis via altering PI3K/Akt/MAPK signaling axis in HCT 116 more efficiently compared to SW480 colon cancer cells. </w:t>
      </w:r>
      <w:r w:rsidRPr="00BA2B87">
        <w:rPr>
          <w:rFonts w:ascii="Book Antiqua" w:hAnsi="Book Antiqua"/>
          <w:i/>
          <w:iCs/>
        </w:rPr>
        <w:t>Mol Biol Rep</w:t>
      </w:r>
      <w:r w:rsidRPr="00BA2B87">
        <w:rPr>
          <w:rFonts w:ascii="Book Antiqua" w:hAnsi="Book Antiqua"/>
        </w:rPr>
        <w:t xml:space="preserve"> 2018; </w:t>
      </w:r>
      <w:r w:rsidRPr="00BA2B87">
        <w:rPr>
          <w:rFonts w:ascii="Book Antiqua" w:hAnsi="Book Antiqua"/>
          <w:b/>
          <w:bCs/>
        </w:rPr>
        <w:t>45</w:t>
      </w:r>
      <w:r w:rsidRPr="00BA2B87">
        <w:rPr>
          <w:rFonts w:ascii="Book Antiqua" w:hAnsi="Book Antiqua"/>
        </w:rPr>
        <w:t>: 2175-2184 [PMID: 30406888 DOI: 10.1007/s11033-018-4378-2]</w:t>
      </w:r>
    </w:p>
    <w:p w14:paraId="57655F0D"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118 </w:t>
      </w:r>
      <w:r w:rsidRPr="00BA2B87">
        <w:rPr>
          <w:rFonts w:ascii="Book Antiqua" w:hAnsi="Book Antiqua"/>
          <w:b/>
          <w:bCs/>
        </w:rPr>
        <w:t>Verbaanderd C</w:t>
      </w:r>
      <w:r w:rsidRPr="00BA2B87">
        <w:rPr>
          <w:rFonts w:ascii="Book Antiqua" w:hAnsi="Book Antiqua"/>
        </w:rPr>
        <w:t xml:space="preserve">, Maes H, Schaaf MB, Sukhatme VP, Pantziarka P, Sukhatme V, Agostinis P, Bouche G. Repurposing Drugs in Oncology (ReDO)-chloroquine and hydroxychloroquine as anti-cancer agents. </w:t>
      </w:r>
      <w:r w:rsidRPr="00BA2B87">
        <w:rPr>
          <w:rFonts w:ascii="Book Antiqua" w:hAnsi="Book Antiqua"/>
          <w:i/>
          <w:iCs/>
        </w:rPr>
        <w:t>Ecancermedicalscience</w:t>
      </w:r>
      <w:r w:rsidRPr="00BA2B87">
        <w:rPr>
          <w:rFonts w:ascii="Book Antiqua" w:hAnsi="Book Antiqua"/>
        </w:rPr>
        <w:t xml:space="preserve"> 2017; </w:t>
      </w:r>
      <w:r w:rsidRPr="00BA2B87">
        <w:rPr>
          <w:rFonts w:ascii="Book Antiqua" w:hAnsi="Book Antiqua"/>
          <w:b/>
          <w:bCs/>
        </w:rPr>
        <w:t>11</w:t>
      </w:r>
      <w:r w:rsidRPr="00BA2B87">
        <w:rPr>
          <w:rFonts w:ascii="Book Antiqua" w:hAnsi="Book Antiqua"/>
        </w:rPr>
        <w:t>: 781 [PMID: 29225688 DOI: 10.3332/ecancer.2017.781]</w:t>
      </w:r>
    </w:p>
    <w:p w14:paraId="66FC55C7"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119 </w:t>
      </w:r>
      <w:r w:rsidRPr="00BA2B87">
        <w:rPr>
          <w:rFonts w:ascii="Book Antiqua" w:hAnsi="Book Antiqua"/>
          <w:b/>
          <w:bCs/>
        </w:rPr>
        <w:t>Sasaki K</w:t>
      </w:r>
      <w:r w:rsidRPr="00BA2B87">
        <w:rPr>
          <w:rFonts w:ascii="Book Antiqua" w:hAnsi="Book Antiqua"/>
        </w:rPr>
        <w:t xml:space="preserve">, Tsuno NH, Sunami E, Tsurita G, Kawai K, Okaji Y, Nishikawa T, Shuno Y, Hongo K, Hiyoshi M, Kaneko M, Kitayama J, Takahashi K, Nagawa H. Chloroquine potentiates the anti-cancer effect of 5-fluorouracil on colon cancer cells. </w:t>
      </w:r>
      <w:r w:rsidRPr="00BA2B87">
        <w:rPr>
          <w:rFonts w:ascii="Book Antiqua" w:hAnsi="Book Antiqua"/>
          <w:i/>
          <w:iCs/>
        </w:rPr>
        <w:t>BMC Cancer</w:t>
      </w:r>
      <w:r w:rsidRPr="00BA2B87">
        <w:rPr>
          <w:rFonts w:ascii="Book Antiqua" w:hAnsi="Book Antiqua"/>
        </w:rPr>
        <w:t xml:space="preserve"> 2010; </w:t>
      </w:r>
      <w:r w:rsidRPr="00BA2B87">
        <w:rPr>
          <w:rFonts w:ascii="Book Antiqua" w:hAnsi="Book Antiqua"/>
          <w:b/>
          <w:bCs/>
        </w:rPr>
        <w:t>10</w:t>
      </w:r>
      <w:r w:rsidRPr="00BA2B87">
        <w:rPr>
          <w:rFonts w:ascii="Book Antiqua" w:hAnsi="Book Antiqua"/>
        </w:rPr>
        <w:t>: 370 [PMID: 20630104 DOI: 10.1186/1471-2407-10-370]</w:t>
      </w:r>
    </w:p>
    <w:p w14:paraId="7973AE3F" w14:textId="42F0E159"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120 </w:t>
      </w:r>
      <w:r w:rsidRPr="00BA2B87">
        <w:rPr>
          <w:rFonts w:ascii="Book Antiqua" w:hAnsi="Book Antiqua"/>
          <w:b/>
          <w:bCs/>
        </w:rPr>
        <w:t>Park D</w:t>
      </w:r>
      <w:r w:rsidRPr="00BA2B87">
        <w:rPr>
          <w:rFonts w:ascii="Book Antiqua" w:hAnsi="Book Antiqua"/>
        </w:rPr>
        <w:t xml:space="preserve">, Lee Y. Biphasic activity of chloroquine in human colorectal cancer cells. </w:t>
      </w:r>
      <w:r w:rsidRPr="00BA2B87">
        <w:rPr>
          <w:rFonts w:ascii="Book Antiqua" w:hAnsi="Book Antiqua"/>
          <w:i/>
          <w:iCs/>
        </w:rPr>
        <w:t>Dev Reprod</w:t>
      </w:r>
      <w:r w:rsidRPr="00BA2B87">
        <w:rPr>
          <w:rFonts w:ascii="Book Antiqua" w:hAnsi="Book Antiqua"/>
        </w:rPr>
        <w:t xml:space="preserve"> 2014; </w:t>
      </w:r>
      <w:r w:rsidRPr="00BA2B87">
        <w:rPr>
          <w:rFonts w:ascii="Book Antiqua" w:hAnsi="Book Antiqua"/>
          <w:b/>
          <w:bCs/>
        </w:rPr>
        <w:t>18</w:t>
      </w:r>
      <w:r w:rsidRPr="00BA2B87">
        <w:rPr>
          <w:rFonts w:ascii="Book Antiqua" w:hAnsi="Book Antiqua"/>
        </w:rPr>
        <w:t xml:space="preserve">: 225-231 [PMID: 25949192 DOI: </w:t>
      </w:r>
      <w:r w:rsidR="00DF2F04" w:rsidRPr="00BA2B87">
        <w:rPr>
          <w:rFonts w:ascii="Book Antiqua" w:hAnsi="Book Antiqua"/>
        </w:rPr>
        <w:t>10.12717/devrep.2014.18.4.225</w:t>
      </w:r>
      <w:r w:rsidRPr="00BA2B87">
        <w:rPr>
          <w:rFonts w:ascii="Book Antiqua" w:hAnsi="Book Antiqua"/>
        </w:rPr>
        <w:t>]</w:t>
      </w:r>
    </w:p>
    <w:p w14:paraId="65F0A9DC"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121 </w:t>
      </w:r>
      <w:r w:rsidRPr="00BA2B87">
        <w:rPr>
          <w:rFonts w:ascii="Book Antiqua" w:hAnsi="Book Antiqua"/>
          <w:b/>
          <w:bCs/>
        </w:rPr>
        <w:t>Chennamaneni S</w:t>
      </w:r>
      <w:r w:rsidRPr="00BA2B87">
        <w:rPr>
          <w:rFonts w:ascii="Book Antiqua" w:hAnsi="Book Antiqua"/>
        </w:rPr>
        <w:t xml:space="preserve">, Zhong B, Lama R, Su B. COX inhibitors Indomethacin and Sulindac derivatives as antiproliferative agents: synthesis, biological evaluation, and mechanism investigation. </w:t>
      </w:r>
      <w:r w:rsidRPr="00BA2B87">
        <w:rPr>
          <w:rFonts w:ascii="Book Antiqua" w:hAnsi="Book Antiqua"/>
          <w:i/>
          <w:iCs/>
        </w:rPr>
        <w:t>Eur J Med Chem</w:t>
      </w:r>
      <w:r w:rsidRPr="00BA2B87">
        <w:rPr>
          <w:rFonts w:ascii="Book Antiqua" w:hAnsi="Book Antiqua"/>
        </w:rPr>
        <w:t xml:space="preserve"> 2012; </w:t>
      </w:r>
      <w:r w:rsidRPr="00BA2B87">
        <w:rPr>
          <w:rFonts w:ascii="Book Antiqua" w:hAnsi="Book Antiqua"/>
          <w:b/>
          <w:bCs/>
        </w:rPr>
        <w:t>56</w:t>
      </w:r>
      <w:r w:rsidRPr="00BA2B87">
        <w:rPr>
          <w:rFonts w:ascii="Book Antiqua" w:hAnsi="Book Antiqua"/>
        </w:rPr>
        <w:t>: 17-29 [PMID: 22940705 DOI: 10.1016/j.ejmech.2012.08.005]</w:t>
      </w:r>
    </w:p>
    <w:p w14:paraId="5CB14A3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122 </w:t>
      </w:r>
      <w:r w:rsidRPr="00BA2B87">
        <w:rPr>
          <w:rFonts w:ascii="Book Antiqua" w:hAnsi="Book Antiqua"/>
          <w:b/>
          <w:bCs/>
        </w:rPr>
        <w:t>Chandra S</w:t>
      </w:r>
      <w:r w:rsidRPr="00BA2B87">
        <w:rPr>
          <w:rFonts w:ascii="Book Antiqua" w:hAnsi="Book Antiqua"/>
        </w:rPr>
        <w:t xml:space="preserve">, Nymeyer AC, Rice PF, Gerner EW, Barton JK. Intermittent Dosing with Sulindac Provides Effective Colorectal Cancer Chemoprevention in the Azoxymethane-Treated Mouse Model. </w:t>
      </w:r>
      <w:r w:rsidRPr="00BA2B87">
        <w:rPr>
          <w:rFonts w:ascii="Book Antiqua" w:hAnsi="Book Antiqua"/>
          <w:i/>
          <w:iCs/>
        </w:rPr>
        <w:t>Cancer Prev Res (Phila)</w:t>
      </w:r>
      <w:r w:rsidRPr="00BA2B87">
        <w:rPr>
          <w:rFonts w:ascii="Book Antiqua" w:hAnsi="Book Antiqua"/>
        </w:rPr>
        <w:t xml:space="preserve"> 2017; </w:t>
      </w:r>
      <w:r w:rsidRPr="00BA2B87">
        <w:rPr>
          <w:rFonts w:ascii="Book Antiqua" w:hAnsi="Book Antiqua"/>
          <w:b/>
          <w:bCs/>
        </w:rPr>
        <w:t>10</w:t>
      </w:r>
      <w:r w:rsidRPr="00BA2B87">
        <w:rPr>
          <w:rFonts w:ascii="Book Antiqua" w:hAnsi="Book Antiqua"/>
        </w:rPr>
        <w:t>: 459-466 [PMID: 28611038 DOI: 10.1158/1940-6207.CAPR-17-0038]</w:t>
      </w:r>
    </w:p>
    <w:p w14:paraId="187A06E4"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123 </w:t>
      </w:r>
      <w:r w:rsidRPr="00BA2B87">
        <w:rPr>
          <w:rFonts w:ascii="Book Antiqua" w:hAnsi="Book Antiqua"/>
          <w:b/>
          <w:bCs/>
        </w:rPr>
        <w:t>Davis JS</w:t>
      </w:r>
      <w:r w:rsidRPr="00BA2B87">
        <w:rPr>
          <w:rFonts w:ascii="Book Antiqua" w:hAnsi="Book Antiqua"/>
        </w:rPr>
        <w:t xml:space="preserve">, Kanikarla-Marie P, Gagea M, Yu PL, Fang D, Sebastian M, Yang P, Hawk E, Dashwood R, Lichtenberger LM, Menter D, Kopetz S. Sulindac plus a phospholipid is effective for polyp reduction and safer than sulindac alone in a mouse model of colorectal cancer development. </w:t>
      </w:r>
      <w:r w:rsidRPr="00BA2B87">
        <w:rPr>
          <w:rFonts w:ascii="Book Antiqua" w:hAnsi="Book Antiqua"/>
          <w:i/>
          <w:iCs/>
        </w:rPr>
        <w:t>BMC Cancer</w:t>
      </w:r>
      <w:r w:rsidRPr="00BA2B87">
        <w:rPr>
          <w:rFonts w:ascii="Book Antiqua" w:hAnsi="Book Antiqua"/>
        </w:rPr>
        <w:t xml:space="preserve"> 2020; </w:t>
      </w:r>
      <w:r w:rsidRPr="00BA2B87">
        <w:rPr>
          <w:rFonts w:ascii="Book Antiqua" w:hAnsi="Book Antiqua"/>
          <w:b/>
          <w:bCs/>
        </w:rPr>
        <w:t>20</w:t>
      </w:r>
      <w:r w:rsidRPr="00BA2B87">
        <w:rPr>
          <w:rFonts w:ascii="Book Antiqua" w:hAnsi="Book Antiqua"/>
        </w:rPr>
        <w:t>: 871 [PMID: 32912193 DOI: 10.1186/s12885-020-07311-4]</w:t>
      </w:r>
    </w:p>
    <w:p w14:paraId="1C670E8E"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124 </w:t>
      </w:r>
      <w:r w:rsidRPr="00BA2B87">
        <w:rPr>
          <w:rFonts w:ascii="Book Antiqua" w:hAnsi="Book Antiqua"/>
          <w:b/>
          <w:bCs/>
        </w:rPr>
        <w:t>Yang LP</w:t>
      </w:r>
      <w:r w:rsidRPr="00BA2B87">
        <w:rPr>
          <w:rFonts w:ascii="Book Antiqua" w:hAnsi="Book Antiqua"/>
        </w:rPr>
        <w:t xml:space="preserve">, McCormack PL. MMX® Mesalazine: a review of its use in the management of mild to moderate ulcerative colitis. </w:t>
      </w:r>
      <w:r w:rsidRPr="00BA2B87">
        <w:rPr>
          <w:rFonts w:ascii="Book Antiqua" w:hAnsi="Book Antiqua"/>
          <w:i/>
          <w:iCs/>
        </w:rPr>
        <w:t>Drugs</w:t>
      </w:r>
      <w:r w:rsidRPr="00BA2B87">
        <w:rPr>
          <w:rFonts w:ascii="Book Antiqua" w:hAnsi="Book Antiqua"/>
        </w:rPr>
        <w:t xml:space="preserve"> 2011; </w:t>
      </w:r>
      <w:r w:rsidRPr="00BA2B87">
        <w:rPr>
          <w:rFonts w:ascii="Book Antiqua" w:hAnsi="Book Antiqua"/>
          <w:b/>
          <w:bCs/>
        </w:rPr>
        <w:t>71</w:t>
      </w:r>
      <w:r w:rsidRPr="00BA2B87">
        <w:rPr>
          <w:rFonts w:ascii="Book Antiqua" w:hAnsi="Book Antiqua"/>
        </w:rPr>
        <w:t>: 221-235 [PMID: 21275447 DOI: 10.2165/11205870-000000000-00000]</w:t>
      </w:r>
    </w:p>
    <w:p w14:paraId="38A61A21"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125 </w:t>
      </w:r>
      <w:r w:rsidRPr="00BA2B87">
        <w:rPr>
          <w:rFonts w:ascii="Book Antiqua" w:hAnsi="Book Antiqua"/>
          <w:b/>
          <w:bCs/>
        </w:rPr>
        <w:t>Reinacher-Schick A</w:t>
      </w:r>
      <w:r w:rsidRPr="00BA2B87">
        <w:rPr>
          <w:rFonts w:ascii="Book Antiqua" w:hAnsi="Book Antiqua"/>
        </w:rPr>
        <w:t xml:space="preserve">, Schoeneck A, Graeven U, Schwarte-Waldhoff I, Schmiegel W. Mesalazine causes a mitotic arrest and induces caspase-dependent apoptosis in colon carcinoma cells. </w:t>
      </w:r>
      <w:r w:rsidRPr="00BA2B87">
        <w:rPr>
          <w:rFonts w:ascii="Book Antiqua" w:hAnsi="Book Antiqua"/>
          <w:i/>
          <w:iCs/>
        </w:rPr>
        <w:t>Carcinogenesis</w:t>
      </w:r>
      <w:r w:rsidRPr="00BA2B87">
        <w:rPr>
          <w:rFonts w:ascii="Book Antiqua" w:hAnsi="Book Antiqua"/>
        </w:rPr>
        <w:t xml:space="preserve"> 2003; </w:t>
      </w:r>
      <w:r w:rsidRPr="00BA2B87">
        <w:rPr>
          <w:rFonts w:ascii="Book Antiqua" w:hAnsi="Book Antiqua"/>
          <w:b/>
          <w:bCs/>
        </w:rPr>
        <w:t>24</w:t>
      </w:r>
      <w:r w:rsidRPr="00BA2B87">
        <w:rPr>
          <w:rFonts w:ascii="Book Antiqua" w:hAnsi="Book Antiqua"/>
        </w:rPr>
        <w:t>: 443-451 [PMID: 12663503 DOI: 10.1093/carcin/24.3.443]</w:t>
      </w:r>
    </w:p>
    <w:p w14:paraId="574534D6"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126 </w:t>
      </w:r>
      <w:r w:rsidRPr="00BA2B87">
        <w:rPr>
          <w:rFonts w:ascii="Book Antiqua" w:hAnsi="Book Antiqua"/>
          <w:b/>
          <w:bCs/>
        </w:rPr>
        <w:t>Koelink PJ</w:t>
      </w:r>
      <w:r w:rsidRPr="00BA2B87">
        <w:rPr>
          <w:rFonts w:ascii="Book Antiqua" w:hAnsi="Book Antiqua"/>
        </w:rPr>
        <w:t xml:space="preserve">, Mieremet-Ooms MA, Corver WE, Wolanin K, Hommes DW, Lamers CB, Verspaget HW. 5-aminosalicylic acid interferes in the cell cycle of colorectal cancer cells and induces cell death modes. </w:t>
      </w:r>
      <w:r w:rsidRPr="00BA2B87">
        <w:rPr>
          <w:rFonts w:ascii="Book Antiqua" w:hAnsi="Book Antiqua"/>
          <w:i/>
          <w:iCs/>
        </w:rPr>
        <w:t>Inflamm Bowel Dis</w:t>
      </w:r>
      <w:r w:rsidRPr="00BA2B87">
        <w:rPr>
          <w:rFonts w:ascii="Book Antiqua" w:hAnsi="Book Antiqua"/>
        </w:rPr>
        <w:t xml:space="preserve"> 2010; </w:t>
      </w:r>
      <w:r w:rsidRPr="00BA2B87">
        <w:rPr>
          <w:rFonts w:ascii="Book Antiqua" w:hAnsi="Book Antiqua"/>
          <w:b/>
          <w:bCs/>
        </w:rPr>
        <w:t>16</w:t>
      </w:r>
      <w:r w:rsidRPr="00BA2B87">
        <w:rPr>
          <w:rFonts w:ascii="Book Antiqua" w:hAnsi="Book Antiqua"/>
        </w:rPr>
        <w:t>: 379-389 [PMID: 19774649 DOI: 10.1002/ibd.21086]</w:t>
      </w:r>
    </w:p>
    <w:p w14:paraId="1508CF36" w14:textId="61256176" w:rsidR="00ED2E77" w:rsidRPr="00BA2B87" w:rsidRDefault="00ED2E77" w:rsidP="00BA2B87">
      <w:pPr>
        <w:spacing w:line="360" w:lineRule="auto"/>
        <w:jc w:val="both"/>
        <w:rPr>
          <w:rFonts w:ascii="Book Antiqua" w:hAnsi="Book Antiqua"/>
        </w:rPr>
      </w:pPr>
      <w:r w:rsidRPr="00BA2B87">
        <w:rPr>
          <w:rFonts w:ascii="Book Antiqua" w:hAnsi="Book Antiqua"/>
        </w:rPr>
        <w:t xml:space="preserve">127 </w:t>
      </w:r>
      <w:r w:rsidRPr="00BA2B87">
        <w:rPr>
          <w:rFonts w:ascii="Book Antiqua" w:hAnsi="Book Antiqua"/>
          <w:b/>
          <w:bCs/>
        </w:rPr>
        <w:t>Gastfriend DR</w:t>
      </w:r>
      <w:r w:rsidRPr="00BA2B87">
        <w:rPr>
          <w:rFonts w:ascii="Book Antiqua" w:hAnsi="Book Antiqua"/>
        </w:rPr>
        <w:t xml:space="preserve">. A pharmaceutical industry perspective on the economics of treatments for alcohol and opioid use disorders. </w:t>
      </w:r>
      <w:r w:rsidRPr="00BA2B87">
        <w:rPr>
          <w:rFonts w:ascii="Book Antiqua" w:hAnsi="Book Antiqua"/>
          <w:i/>
          <w:iCs/>
        </w:rPr>
        <w:t>Ann N Y Acad Sci</w:t>
      </w:r>
      <w:r w:rsidRPr="00BA2B87">
        <w:rPr>
          <w:rFonts w:ascii="Book Antiqua" w:hAnsi="Book Antiqua"/>
        </w:rPr>
        <w:t xml:space="preserve"> 2014; </w:t>
      </w:r>
      <w:r w:rsidRPr="00BA2B87">
        <w:rPr>
          <w:rFonts w:ascii="Book Antiqua" w:hAnsi="Book Antiqua"/>
          <w:b/>
          <w:bCs/>
        </w:rPr>
        <w:t>1327</w:t>
      </w:r>
      <w:r w:rsidRPr="00BA2B87">
        <w:rPr>
          <w:rFonts w:ascii="Book Antiqua" w:hAnsi="Book Antiqua"/>
        </w:rPr>
        <w:t xml:space="preserve">: 112-130 [PMID: 25236185 DOI: </w:t>
      </w:r>
      <w:r w:rsidR="00267245" w:rsidRPr="00BA2B87">
        <w:rPr>
          <w:rFonts w:ascii="Book Antiqua" w:hAnsi="Book Antiqua"/>
        </w:rPr>
        <w:t>10.1111/nyas.12538</w:t>
      </w:r>
      <w:r w:rsidRPr="00BA2B87">
        <w:rPr>
          <w:rFonts w:ascii="Book Antiqua" w:hAnsi="Book Antiqua"/>
        </w:rPr>
        <w:t>]</w:t>
      </w:r>
    </w:p>
    <w:p w14:paraId="0E01F973" w14:textId="0F028B34" w:rsidR="00ED2E77" w:rsidRPr="00BA2B87" w:rsidRDefault="00ED2E77" w:rsidP="00BA2B87">
      <w:pPr>
        <w:spacing w:line="360" w:lineRule="auto"/>
        <w:jc w:val="both"/>
        <w:rPr>
          <w:rFonts w:ascii="Book Antiqua" w:hAnsi="Book Antiqua"/>
        </w:rPr>
      </w:pPr>
      <w:r w:rsidRPr="00BA2B87">
        <w:rPr>
          <w:rFonts w:ascii="Book Antiqua" w:hAnsi="Book Antiqua"/>
        </w:rPr>
        <w:lastRenderedPageBreak/>
        <w:t xml:space="preserve">128 </w:t>
      </w:r>
      <w:r w:rsidRPr="00BA2B87">
        <w:rPr>
          <w:rFonts w:ascii="Book Antiqua" w:hAnsi="Book Antiqua"/>
          <w:b/>
          <w:bCs/>
        </w:rPr>
        <w:t>Stenvang J,</w:t>
      </w:r>
      <w:r w:rsidRPr="00BA2B87">
        <w:rPr>
          <w:rFonts w:ascii="Book Antiqua" w:hAnsi="Book Antiqua"/>
        </w:rPr>
        <w:t xml:space="preserve"> Keinicke H, Nielsen SL, Jandu H, Bartek J, Brünner N. Repurposing disulfiram as a potential novel treatment of drug-resistant metastatic colorectal cancer. </w:t>
      </w:r>
      <w:r w:rsidRPr="00BA2B87">
        <w:rPr>
          <w:rFonts w:ascii="Book Antiqua" w:hAnsi="Book Antiqua"/>
          <w:i/>
          <w:iCs/>
        </w:rPr>
        <w:t>Mol Cancer Ther</w:t>
      </w:r>
      <w:r w:rsidRPr="00BA2B87">
        <w:rPr>
          <w:rFonts w:ascii="Book Antiqua" w:hAnsi="Book Antiqua"/>
        </w:rPr>
        <w:t xml:space="preserve"> 2018; 17 [DOI:</w:t>
      </w:r>
      <w:r w:rsidR="00267245" w:rsidRPr="00BA2B87">
        <w:rPr>
          <w:rFonts w:ascii="Book Antiqua" w:hAnsi="Book Antiqua"/>
        </w:rPr>
        <w:t xml:space="preserve"> </w:t>
      </w:r>
      <w:r w:rsidRPr="00BA2B87">
        <w:rPr>
          <w:rFonts w:ascii="Book Antiqua" w:hAnsi="Book Antiqua"/>
        </w:rPr>
        <w:t>10.1158/1535-7163.targ-17-a143]</w:t>
      </w:r>
    </w:p>
    <w:p w14:paraId="7CCB7868"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129 </w:t>
      </w:r>
      <w:r w:rsidRPr="00BA2B87">
        <w:rPr>
          <w:rFonts w:ascii="Book Antiqua" w:hAnsi="Book Antiqua"/>
          <w:b/>
          <w:bCs/>
        </w:rPr>
        <w:t>Tang PA</w:t>
      </w:r>
      <w:r w:rsidRPr="00BA2B87">
        <w:rPr>
          <w:rFonts w:ascii="Book Antiqua" w:hAnsi="Book Antiqua"/>
        </w:rPr>
        <w:t xml:space="preserve">, Tsao MS, Moore MJ. A review of erlotinib and its clinical use. </w:t>
      </w:r>
      <w:r w:rsidRPr="00BA2B87">
        <w:rPr>
          <w:rFonts w:ascii="Book Antiqua" w:hAnsi="Book Antiqua"/>
          <w:i/>
          <w:iCs/>
        </w:rPr>
        <w:t>Expert Opin Pharmacother</w:t>
      </w:r>
      <w:r w:rsidRPr="00BA2B87">
        <w:rPr>
          <w:rFonts w:ascii="Book Antiqua" w:hAnsi="Book Antiqua"/>
        </w:rPr>
        <w:t xml:space="preserve"> 2006; </w:t>
      </w:r>
      <w:r w:rsidRPr="00BA2B87">
        <w:rPr>
          <w:rFonts w:ascii="Book Antiqua" w:hAnsi="Book Antiqua"/>
          <w:b/>
          <w:bCs/>
        </w:rPr>
        <w:t>7</w:t>
      </w:r>
      <w:r w:rsidRPr="00BA2B87">
        <w:rPr>
          <w:rFonts w:ascii="Book Antiqua" w:hAnsi="Book Antiqua"/>
        </w:rPr>
        <w:t>: 177-193 [PMID: 16433583 DOI: 10.1517/14656566.7.2.177]</w:t>
      </w:r>
    </w:p>
    <w:p w14:paraId="24D72080" w14:textId="77777777" w:rsidR="00ED2E77" w:rsidRPr="00BA2B87" w:rsidRDefault="00ED2E77" w:rsidP="00BA2B87">
      <w:pPr>
        <w:spacing w:line="360" w:lineRule="auto"/>
        <w:jc w:val="both"/>
        <w:rPr>
          <w:rFonts w:ascii="Book Antiqua" w:hAnsi="Book Antiqua"/>
        </w:rPr>
      </w:pPr>
      <w:r w:rsidRPr="00BA2B87">
        <w:rPr>
          <w:rFonts w:ascii="Book Antiqua" w:hAnsi="Book Antiqua"/>
        </w:rPr>
        <w:t xml:space="preserve">130 </w:t>
      </w:r>
      <w:r w:rsidRPr="00BA2B87">
        <w:rPr>
          <w:rFonts w:ascii="Book Antiqua" w:hAnsi="Book Antiqua"/>
          <w:b/>
          <w:bCs/>
        </w:rPr>
        <w:t>Shi S</w:t>
      </w:r>
      <w:r w:rsidRPr="00BA2B87">
        <w:rPr>
          <w:rFonts w:ascii="Book Antiqua" w:hAnsi="Book Antiqua"/>
        </w:rPr>
        <w:t xml:space="preserve">, Lu K, Gao H, Sun H, Li S. Erlotinib in combination with bevacizumab and FOLFOX4 as second-line chemotherapy for patients with metastatic colorectal cancer. </w:t>
      </w:r>
      <w:r w:rsidRPr="00BA2B87">
        <w:rPr>
          <w:rFonts w:ascii="Book Antiqua" w:hAnsi="Book Antiqua"/>
          <w:i/>
          <w:iCs/>
        </w:rPr>
        <w:t>Am J Cancer Res</w:t>
      </w:r>
      <w:r w:rsidRPr="00BA2B87">
        <w:rPr>
          <w:rFonts w:ascii="Book Antiqua" w:hAnsi="Book Antiqua"/>
        </w:rPr>
        <w:t xml:space="preserve"> 2017; </w:t>
      </w:r>
      <w:r w:rsidRPr="00BA2B87">
        <w:rPr>
          <w:rFonts w:ascii="Book Antiqua" w:hAnsi="Book Antiqua"/>
          <w:b/>
          <w:bCs/>
        </w:rPr>
        <w:t>7</w:t>
      </w:r>
      <w:r w:rsidRPr="00BA2B87">
        <w:rPr>
          <w:rFonts w:ascii="Book Antiqua" w:hAnsi="Book Antiqua"/>
        </w:rPr>
        <w:t>: 1971-1977 [PMID: 28979818]</w:t>
      </w:r>
    </w:p>
    <w:p w14:paraId="672CCE0B" w14:textId="2E7C1896" w:rsidR="00A77B3E" w:rsidRPr="00BA2B87" w:rsidRDefault="00A77B3E" w:rsidP="00BA2B87">
      <w:pPr>
        <w:spacing w:line="360" w:lineRule="auto"/>
        <w:jc w:val="both"/>
        <w:rPr>
          <w:rFonts w:ascii="Book Antiqua" w:hAnsi="Book Antiqua"/>
        </w:rPr>
      </w:pPr>
    </w:p>
    <w:p w14:paraId="3CE971EF" w14:textId="77777777" w:rsidR="00A77B3E" w:rsidRPr="00BA2B87" w:rsidRDefault="00A77B3E" w:rsidP="00BA2B87">
      <w:pPr>
        <w:spacing w:line="360" w:lineRule="auto"/>
        <w:jc w:val="both"/>
        <w:rPr>
          <w:rFonts w:ascii="Book Antiqua" w:hAnsi="Book Antiqua"/>
        </w:rPr>
        <w:sectPr w:rsidR="00A77B3E" w:rsidRPr="00BA2B87">
          <w:pgSz w:w="12240" w:h="15840"/>
          <w:pgMar w:top="1440" w:right="1440" w:bottom="1440" w:left="1440" w:header="720" w:footer="720" w:gutter="0"/>
          <w:cols w:space="720"/>
          <w:docGrid w:linePitch="360"/>
        </w:sectPr>
      </w:pPr>
    </w:p>
    <w:p w14:paraId="62C4B3EA"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lastRenderedPageBreak/>
        <w:t>Footnotes</w:t>
      </w:r>
    </w:p>
    <w:p w14:paraId="2F370CE6"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Conflict-of-interest statement: </w:t>
      </w:r>
      <w:r w:rsidRPr="00BA2B87">
        <w:rPr>
          <w:rFonts w:ascii="Book Antiqua" w:eastAsia="Book Antiqua" w:hAnsi="Book Antiqua" w:cs="Book Antiqua"/>
          <w:color w:val="000000"/>
        </w:rPr>
        <w:t>The authors declare no conflict of interests for this article.</w:t>
      </w:r>
    </w:p>
    <w:p w14:paraId="6DF694D1" w14:textId="77777777" w:rsidR="00A77B3E" w:rsidRPr="00BA2B87" w:rsidRDefault="00A77B3E" w:rsidP="00BA2B87">
      <w:pPr>
        <w:spacing w:line="360" w:lineRule="auto"/>
        <w:jc w:val="both"/>
        <w:rPr>
          <w:rFonts w:ascii="Book Antiqua" w:hAnsi="Book Antiqua"/>
        </w:rPr>
      </w:pPr>
    </w:p>
    <w:p w14:paraId="27B7F7C9"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bCs/>
          <w:color w:val="000000"/>
        </w:rPr>
        <w:t xml:space="preserve">Open-Access: </w:t>
      </w:r>
      <w:r w:rsidRPr="00BA2B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A99630" w14:textId="77777777" w:rsidR="00A77B3E" w:rsidRPr="00BA2B87" w:rsidRDefault="00A77B3E" w:rsidP="00BA2B87">
      <w:pPr>
        <w:spacing w:line="360" w:lineRule="auto"/>
        <w:jc w:val="both"/>
        <w:rPr>
          <w:rFonts w:ascii="Book Antiqua" w:hAnsi="Book Antiqua"/>
        </w:rPr>
      </w:pPr>
    </w:p>
    <w:p w14:paraId="1FF383CF" w14:textId="2E19445B"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Manuscript source: </w:t>
      </w:r>
      <w:r w:rsidRPr="00BA2B87">
        <w:rPr>
          <w:rFonts w:ascii="Book Antiqua" w:eastAsia="Book Antiqua" w:hAnsi="Book Antiqua" w:cs="Book Antiqua"/>
          <w:color w:val="000000"/>
        </w:rPr>
        <w:t xml:space="preserve">Invited </w:t>
      </w:r>
      <w:r w:rsidR="005960C0">
        <w:rPr>
          <w:rFonts w:ascii="Book Antiqua" w:eastAsia="Book Antiqua" w:hAnsi="Book Antiqua" w:cs="Book Antiqua"/>
          <w:color w:val="000000"/>
        </w:rPr>
        <w:t>m</w:t>
      </w:r>
      <w:r w:rsidRPr="00BA2B87">
        <w:rPr>
          <w:rFonts w:ascii="Book Antiqua" w:eastAsia="Book Antiqua" w:hAnsi="Book Antiqua" w:cs="Book Antiqua"/>
          <w:color w:val="000000"/>
        </w:rPr>
        <w:t>anuscript</w:t>
      </w:r>
    </w:p>
    <w:p w14:paraId="5C1463E7" w14:textId="77777777" w:rsidR="00A77B3E" w:rsidRPr="00BA2B87" w:rsidRDefault="00A77B3E" w:rsidP="00BA2B87">
      <w:pPr>
        <w:spacing w:line="360" w:lineRule="auto"/>
        <w:jc w:val="both"/>
        <w:rPr>
          <w:rFonts w:ascii="Book Antiqua" w:hAnsi="Book Antiqua"/>
        </w:rPr>
      </w:pPr>
    </w:p>
    <w:p w14:paraId="15498E9B"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Peer-review started: </w:t>
      </w:r>
      <w:r w:rsidRPr="00BA2B87">
        <w:rPr>
          <w:rFonts w:ascii="Book Antiqua" w:eastAsia="Book Antiqua" w:hAnsi="Book Antiqua" w:cs="Book Antiqua"/>
          <w:color w:val="000000"/>
        </w:rPr>
        <w:t>March 6, 2021</w:t>
      </w:r>
    </w:p>
    <w:p w14:paraId="41F0832F"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First decision: </w:t>
      </w:r>
      <w:r w:rsidRPr="00BA2B87">
        <w:rPr>
          <w:rFonts w:ascii="Book Antiqua" w:eastAsia="Book Antiqua" w:hAnsi="Book Antiqua" w:cs="Book Antiqua"/>
          <w:color w:val="000000"/>
        </w:rPr>
        <w:t>April 19, 2021</w:t>
      </w:r>
    </w:p>
    <w:p w14:paraId="42E588BA" w14:textId="5429AF0A"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Article in press: </w:t>
      </w:r>
      <w:r w:rsidR="006F516A" w:rsidRPr="00FE6F29">
        <w:rPr>
          <w:rFonts w:ascii="Book Antiqua" w:eastAsia="Book Antiqua" w:hAnsi="Book Antiqua" w:cs="Book Antiqua"/>
          <w:bCs/>
          <w:color w:val="000000"/>
        </w:rPr>
        <w:t>May 25, 2021</w:t>
      </w:r>
    </w:p>
    <w:p w14:paraId="7ABB1B90" w14:textId="77777777" w:rsidR="00A77B3E" w:rsidRPr="00BA2B87" w:rsidRDefault="00A77B3E" w:rsidP="00BA2B87">
      <w:pPr>
        <w:spacing w:line="360" w:lineRule="auto"/>
        <w:jc w:val="both"/>
        <w:rPr>
          <w:rFonts w:ascii="Book Antiqua" w:hAnsi="Book Antiqua"/>
        </w:rPr>
      </w:pPr>
    </w:p>
    <w:p w14:paraId="771D54E7" w14:textId="315E4059"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Specialty type: </w:t>
      </w:r>
      <w:r w:rsidR="005960C0" w:rsidRPr="00866E07">
        <w:rPr>
          <w:rFonts w:ascii="Book Antiqua" w:eastAsia="微软雅黑" w:hAnsi="Book Antiqua" w:cs="宋体"/>
        </w:rPr>
        <w:t>Oncology</w:t>
      </w:r>
    </w:p>
    <w:p w14:paraId="3B4F09D8"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 xml:space="preserve">Country/Territory of origin: </w:t>
      </w:r>
      <w:r w:rsidRPr="00BA2B87">
        <w:rPr>
          <w:rFonts w:ascii="Book Antiqua" w:eastAsia="Book Antiqua" w:hAnsi="Book Antiqua" w:cs="Book Antiqua"/>
          <w:color w:val="000000"/>
        </w:rPr>
        <w:t>Turkey</w:t>
      </w:r>
    </w:p>
    <w:p w14:paraId="62397AE9"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t>Peer-review report’s scientific quality classification</w:t>
      </w:r>
    </w:p>
    <w:p w14:paraId="522D1582"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A (Excellent): A</w:t>
      </w:r>
    </w:p>
    <w:p w14:paraId="269F0667"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B (Very good): 0</w:t>
      </w:r>
    </w:p>
    <w:p w14:paraId="3DC55FA8"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C (Good): 0</w:t>
      </w:r>
    </w:p>
    <w:p w14:paraId="57F3796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D (Fair): 0</w:t>
      </w:r>
    </w:p>
    <w:p w14:paraId="32849E23"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color w:val="000000"/>
        </w:rPr>
        <w:t>Grade E (Poor): 0</w:t>
      </w:r>
    </w:p>
    <w:p w14:paraId="24B37005" w14:textId="77777777" w:rsidR="00A77B3E" w:rsidRPr="00BA2B87" w:rsidRDefault="00A77B3E" w:rsidP="00BA2B87">
      <w:pPr>
        <w:spacing w:line="360" w:lineRule="auto"/>
        <w:jc w:val="both"/>
        <w:rPr>
          <w:rFonts w:ascii="Book Antiqua" w:hAnsi="Book Antiqua"/>
        </w:rPr>
      </w:pPr>
    </w:p>
    <w:p w14:paraId="12DD385A" w14:textId="4971CE94" w:rsidR="00A77B3E" w:rsidRPr="00434947" w:rsidRDefault="00925687" w:rsidP="00BA2B87">
      <w:pPr>
        <w:spacing w:line="360" w:lineRule="auto"/>
        <w:jc w:val="both"/>
        <w:rPr>
          <w:rFonts w:ascii="Book Antiqua" w:hAnsi="Book Antiqua" w:cs="Book Antiqua"/>
          <w:color w:val="000000"/>
          <w:lang w:eastAsia="zh-CN"/>
        </w:rPr>
      </w:pPr>
      <w:r w:rsidRPr="00BA2B87">
        <w:rPr>
          <w:rFonts w:ascii="Book Antiqua" w:eastAsia="Book Antiqua" w:hAnsi="Book Antiqua" w:cs="Book Antiqua"/>
          <w:b/>
          <w:color w:val="000000"/>
        </w:rPr>
        <w:t xml:space="preserve">P-Reviewer: </w:t>
      </w:r>
      <w:r w:rsidRPr="00BA2B87">
        <w:rPr>
          <w:rFonts w:ascii="Book Antiqua" w:eastAsia="Book Antiqua" w:hAnsi="Book Antiqua" w:cs="Book Antiqua"/>
          <w:color w:val="000000"/>
        </w:rPr>
        <w:t>Tsujinaka S</w:t>
      </w:r>
      <w:r w:rsidRPr="00BA2B87">
        <w:rPr>
          <w:rFonts w:ascii="Book Antiqua" w:eastAsia="Book Antiqua" w:hAnsi="Book Antiqua" w:cs="Book Antiqua"/>
          <w:b/>
          <w:color w:val="000000"/>
        </w:rPr>
        <w:t xml:space="preserve"> S-Editor: </w:t>
      </w:r>
      <w:r w:rsidR="005960C0">
        <w:rPr>
          <w:rFonts w:ascii="Book Antiqua" w:eastAsia="Book Antiqua" w:hAnsi="Book Antiqua" w:cs="Book Antiqua"/>
          <w:color w:val="000000"/>
        </w:rPr>
        <w:t>F</w:t>
      </w:r>
      <w:r w:rsidRPr="00BA2B87">
        <w:rPr>
          <w:rFonts w:ascii="Book Antiqua" w:eastAsia="Book Antiqua" w:hAnsi="Book Antiqua" w:cs="Book Antiqua"/>
          <w:color w:val="000000"/>
        </w:rPr>
        <w:t>an J</w:t>
      </w:r>
      <w:r w:rsidR="005960C0">
        <w:rPr>
          <w:rFonts w:ascii="Book Antiqua" w:eastAsia="Book Antiqua" w:hAnsi="Book Antiqua" w:cs="Book Antiqua"/>
          <w:color w:val="000000"/>
        </w:rPr>
        <w:t>R</w:t>
      </w:r>
      <w:r w:rsidRPr="00BA2B87">
        <w:rPr>
          <w:rFonts w:ascii="Book Antiqua" w:eastAsia="Book Antiqua" w:hAnsi="Book Antiqua" w:cs="Book Antiqua"/>
          <w:b/>
          <w:color w:val="000000"/>
        </w:rPr>
        <w:t xml:space="preserve"> L-Editor: </w:t>
      </w:r>
      <w:r w:rsidR="00213D1C">
        <w:rPr>
          <w:rFonts w:ascii="Book Antiqua" w:eastAsia="Book Antiqua" w:hAnsi="Book Antiqua" w:cs="Book Antiqua"/>
          <w:color w:val="000000"/>
        </w:rPr>
        <w:t>Webster JR</w:t>
      </w:r>
      <w:r w:rsidRPr="00BA2B87">
        <w:rPr>
          <w:rFonts w:ascii="Book Antiqua" w:eastAsia="Book Antiqua" w:hAnsi="Book Antiqua" w:cs="Book Antiqua"/>
          <w:b/>
          <w:color w:val="000000"/>
        </w:rPr>
        <w:t xml:space="preserve"> P-Editor:</w:t>
      </w:r>
      <w:r w:rsidRPr="00434947">
        <w:rPr>
          <w:rFonts w:ascii="Book Antiqua" w:eastAsia="Book Antiqua" w:hAnsi="Book Antiqua" w:cs="Book Antiqua"/>
          <w:color w:val="000000"/>
        </w:rPr>
        <w:t xml:space="preserve"> </w:t>
      </w:r>
      <w:r w:rsidR="00434947" w:rsidRPr="00434947">
        <w:rPr>
          <w:rFonts w:ascii="Book Antiqua" w:hAnsi="Book Antiqua" w:cs="Book Antiqua" w:hint="eastAsia"/>
          <w:color w:val="000000"/>
          <w:lang w:eastAsia="zh-CN"/>
        </w:rPr>
        <w:t>Wang LL</w:t>
      </w:r>
    </w:p>
    <w:p w14:paraId="7152F299" w14:textId="77777777" w:rsidR="00F81FA1" w:rsidRPr="00BA2B87" w:rsidRDefault="00F81FA1" w:rsidP="00BA2B87">
      <w:pPr>
        <w:spacing w:line="360" w:lineRule="auto"/>
        <w:jc w:val="both"/>
        <w:rPr>
          <w:rFonts w:ascii="Book Antiqua" w:hAnsi="Book Antiqua"/>
        </w:rPr>
        <w:sectPr w:rsidR="00F81FA1" w:rsidRPr="00BA2B87">
          <w:pgSz w:w="12240" w:h="15840"/>
          <w:pgMar w:top="1440" w:right="1440" w:bottom="1440" w:left="1440" w:header="720" w:footer="720" w:gutter="0"/>
          <w:cols w:space="720"/>
          <w:docGrid w:linePitch="360"/>
        </w:sectPr>
      </w:pPr>
    </w:p>
    <w:p w14:paraId="4BC78194" w14:textId="77777777" w:rsidR="00A77B3E" w:rsidRPr="00BA2B87" w:rsidRDefault="00925687" w:rsidP="00BA2B87">
      <w:pPr>
        <w:spacing w:line="360" w:lineRule="auto"/>
        <w:jc w:val="both"/>
        <w:rPr>
          <w:rFonts w:ascii="Book Antiqua" w:hAnsi="Book Antiqua"/>
        </w:rPr>
      </w:pPr>
      <w:r w:rsidRPr="00BA2B87">
        <w:rPr>
          <w:rFonts w:ascii="Book Antiqua" w:eastAsia="Book Antiqua" w:hAnsi="Book Antiqua" w:cs="Book Antiqua"/>
          <w:b/>
          <w:color w:val="000000"/>
        </w:rPr>
        <w:lastRenderedPageBreak/>
        <w:t>Figure Legends</w:t>
      </w:r>
    </w:p>
    <w:p w14:paraId="3322AAA2" w14:textId="1A9041FA" w:rsidR="00132DDA" w:rsidRPr="00BA2B87" w:rsidRDefault="0046408A" w:rsidP="00BA2B87">
      <w:pPr>
        <w:spacing w:line="360" w:lineRule="auto"/>
        <w:jc w:val="both"/>
        <w:rPr>
          <w:rFonts w:ascii="Book Antiqua" w:eastAsia="Book Antiqua" w:hAnsi="Book Antiqua" w:cs="Book Antiqua"/>
          <w:b/>
          <w:bCs/>
          <w:color w:val="000000"/>
        </w:rPr>
      </w:pPr>
      <w:r w:rsidRPr="00BA2B87">
        <w:rPr>
          <w:rFonts w:ascii="Book Antiqua" w:hAnsi="Book Antiqua"/>
          <w:noProof/>
          <w:lang w:eastAsia="zh-CN"/>
        </w:rPr>
        <w:drawing>
          <wp:inline distT="0" distB="0" distL="0" distR="0" wp14:anchorId="2B3FDBAE" wp14:editId="178368AF">
            <wp:extent cx="5943600" cy="2370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70455"/>
                    </a:xfrm>
                    <a:prstGeom prst="rect">
                      <a:avLst/>
                    </a:prstGeom>
                  </pic:spPr>
                </pic:pic>
              </a:graphicData>
            </a:graphic>
          </wp:inline>
        </w:drawing>
      </w:r>
    </w:p>
    <w:p w14:paraId="3FC2DD0A" w14:textId="05959890" w:rsidR="00A77B3E" w:rsidRPr="00BA2B87" w:rsidRDefault="00925687" w:rsidP="00BA2B87">
      <w:pPr>
        <w:spacing w:line="360" w:lineRule="auto"/>
        <w:jc w:val="both"/>
        <w:rPr>
          <w:rFonts w:ascii="Book Antiqua" w:eastAsia="Book Antiqua" w:hAnsi="Book Antiqua" w:cs="Book Antiqua"/>
          <w:color w:val="000000"/>
        </w:rPr>
      </w:pPr>
      <w:r w:rsidRPr="00BA2B87">
        <w:rPr>
          <w:rFonts w:ascii="Book Antiqua" w:eastAsia="Book Antiqua" w:hAnsi="Book Antiqua" w:cs="Book Antiqua"/>
          <w:b/>
          <w:bCs/>
          <w:color w:val="000000"/>
        </w:rPr>
        <w:t>Figure 1</w:t>
      </w:r>
      <w:r w:rsidRPr="00BA2B87">
        <w:rPr>
          <w:rFonts w:ascii="Book Antiqua" w:eastAsia="Book Antiqua" w:hAnsi="Book Antiqua" w:cs="Book Antiqua"/>
          <w:color w:val="000000"/>
        </w:rPr>
        <w:t xml:space="preserve"> </w:t>
      </w:r>
      <w:r w:rsidR="003A7002" w:rsidRPr="00BA2B87">
        <w:rPr>
          <w:rFonts w:ascii="Book Antiqua" w:eastAsia="Book Antiqua" w:hAnsi="Book Antiqua" w:cs="Book Antiqua"/>
          <w:b/>
          <w:bCs/>
          <w:color w:val="000000"/>
        </w:rPr>
        <w:t xml:space="preserve">An overview of systems-level biomarkers. </w:t>
      </w:r>
      <w:r w:rsidRPr="00BA2B87">
        <w:rPr>
          <w:rFonts w:ascii="Book Antiqua" w:eastAsia="Book Antiqua" w:hAnsi="Book Antiqua" w:cs="Book Antiqua"/>
          <w:color w:val="000000"/>
        </w:rPr>
        <w:t>A</w:t>
      </w:r>
      <w:r w:rsidR="003A7002"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 An overview of systems-level biomarkers in terms of diagnostics and prognostics from a variety of “omics” levels</w:t>
      </w:r>
      <w:r w:rsidR="003A7002"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 B</w:t>
      </w:r>
      <w:r w:rsidR="003A7002" w:rsidRPr="00BA2B87">
        <w:rPr>
          <w:rFonts w:ascii="Book Antiqua" w:eastAsia="Book Antiqua" w:hAnsi="Book Antiqua" w:cs="Book Antiqua"/>
          <w:color w:val="000000"/>
        </w:rPr>
        <w:t>:</w:t>
      </w:r>
      <w:r w:rsidRPr="00BA2B87">
        <w:rPr>
          <w:rFonts w:ascii="Book Antiqua" w:eastAsia="Book Antiqua" w:hAnsi="Book Antiqua" w:cs="Book Antiqua"/>
          <w:color w:val="000000"/>
        </w:rPr>
        <w:t xml:space="preserve"> Events recorded in history for omics and drug repositioning studies.</w:t>
      </w:r>
      <w:r w:rsidR="00132DDA" w:rsidRPr="00BA2B87">
        <w:rPr>
          <w:rFonts w:ascii="Book Antiqua" w:eastAsia="Book Antiqua" w:hAnsi="Book Antiqua" w:cs="Book Antiqua"/>
          <w:color w:val="000000"/>
        </w:rPr>
        <w:t xml:space="preserve"> </w:t>
      </w:r>
      <w:r w:rsidR="0046408A" w:rsidRPr="00BA2B87">
        <w:rPr>
          <w:rFonts w:ascii="Book Antiqua" w:eastAsia="Book Antiqua" w:hAnsi="Book Antiqua" w:cs="Book Antiqua"/>
          <w:color w:val="000000"/>
        </w:rPr>
        <w:t xml:space="preserve">LRG1: </w:t>
      </w:r>
      <w:r w:rsidR="002948DC" w:rsidRPr="00BA2B87">
        <w:rPr>
          <w:rFonts w:ascii="Book Antiqua" w:eastAsia="Book Antiqua" w:hAnsi="Book Antiqua" w:cs="Book Antiqua"/>
          <w:color w:val="000000"/>
          <w:shd w:val="clear" w:color="auto" w:fill="FFFFFF"/>
        </w:rPr>
        <w:t>Leucine-rich alpha-2-glycoprotein 1</w:t>
      </w:r>
      <w:r w:rsidR="0046408A" w:rsidRPr="00BA2B87">
        <w:rPr>
          <w:rFonts w:ascii="Book Antiqua" w:eastAsia="Book Antiqua" w:hAnsi="Book Antiqua" w:cs="Book Antiqua"/>
          <w:color w:val="000000"/>
        </w:rPr>
        <w:t xml:space="preserve">; EGFR: </w:t>
      </w:r>
      <w:r w:rsidR="007B7679" w:rsidRPr="00BA2B87">
        <w:rPr>
          <w:rFonts w:ascii="Book Antiqua" w:eastAsia="Book Antiqua" w:hAnsi="Book Antiqua" w:cs="Book Antiqua"/>
          <w:color w:val="000000"/>
          <w:shd w:val="clear" w:color="auto" w:fill="FFFFFF"/>
        </w:rPr>
        <w:t>Epidermal growth factor receptor</w:t>
      </w:r>
      <w:r w:rsidR="0046408A" w:rsidRPr="00BA2B87">
        <w:rPr>
          <w:rFonts w:ascii="Book Antiqua" w:eastAsia="Book Antiqua" w:hAnsi="Book Antiqua" w:cs="Book Antiqua"/>
          <w:color w:val="000000"/>
        </w:rPr>
        <w:t xml:space="preserve">; ITIH: </w:t>
      </w:r>
      <w:r w:rsidR="002948DC" w:rsidRPr="00BA2B87">
        <w:rPr>
          <w:rFonts w:ascii="Book Antiqua" w:eastAsia="Book Antiqua" w:hAnsi="Book Antiqua" w:cs="Book Antiqua"/>
          <w:color w:val="000000"/>
          <w:shd w:val="clear" w:color="auto" w:fill="FFFFFF"/>
        </w:rPr>
        <w:t>Inter-alpha-trypsin inhibitor heavy chain family member 4</w:t>
      </w:r>
      <w:r w:rsidR="0046408A" w:rsidRPr="00BA2B87">
        <w:rPr>
          <w:rFonts w:ascii="Book Antiqua" w:eastAsia="Book Antiqua" w:hAnsi="Book Antiqua" w:cs="Book Antiqua"/>
          <w:color w:val="000000"/>
        </w:rPr>
        <w:t xml:space="preserve">; HPX: </w:t>
      </w:r>
      <w:r w:rsidR="002948DC" w:rsidRPr="00BA2B87">
        <w:rPr>
          <w:rFonts w:ascii="Book Antiqua" w:eastAsia="Book Antiqua" w:hAnsi="Book Antiqua" w:cs="Book Antiqua"/>
          <w:color w:val="000000"/>
          <w:shd w:val="clear" w:color="auto" w:fill="FFFFFF"/>
        </w:rPr>
        <w:t>Hemopexin</w:t>
      </w:r>
      <w:r w:rsidR="0046408A" w:rsidRPr="00BA2B87">
        <w:rPr>
          <w:rFonts w:ascii="Book Antiqua" w:eastAsia="Book Antiqua" w:hAnsi="Book Antiqua" w:cs="Book Antiqua"/>
          <w:color w:val="000000"/>
        </w:rPr>
        <w:t xml:space="preserve">; SOD: </w:t>
      </w:r>
      <w:r w:rsidR="002948DC" w:rsidRPr="00BA2B87">
        <w:rPr>
          <w:rFonts w:ascii="Book Antiqua" w:eastAsia="Book Antiqua" w:hAnsi="Book Antiqua" w:cs="Book Antiqua"/>
          <w:color w:val="000000"/>
          <w:shd w:val="clear" w:color="auto" w:fill="FFFFFF"/>
        </w:rPr>
        <w:t>Superoxide dismutase</w:t>
      </w:r>
      <w:r w:rsidR="0046408A" w:rsidRPr="00BA2B87">
        <w:rPr>
          <w:rFonts w:ascii="Book Antiqua" w:eastAsia="Book Antiqua" w:hAnsi="Book Antiqua" w:cs="Book Antiqua"/>
          <w:color w:val="000000"/>
        </w:rPr>
        <w:t xml:space="preserve">; CRC: </w:t>
      </w:r>
      <w:r w:rsidR="002948DC" w:rsidRPr="00BA2B87">
        <w:rPr>
          <w:rFonts w:ascii="Book Antiqua" w:eastAsia="Book Antiqua" w:hAnsi="Book Antiqua" w:cs="Book Antiqua"/>
          <w:color w:val="000000"/>
        </w:rPr>
        <w:t>Colorectal cancer</w:t>
      </w:r>
      <w:r w:rsidR="0046408A" w:rsidRPr="00BA2B87">
        <w:rPr>
          <w:rFonts w:ascii="Book Antiqua" w:eastAsia="Book Antiqua" w:hAnsi="Book Antiqua" w:cs="Book Antiqua"/>
          <w:color w:val="000000"/>
        </w:rPr>
        <w:t xml:space="preserve">; </w:t>
      </w:r>
      <w:r w:rsidR="008B29B4" w:rsidRPr="00BA2B87">
        <w:rPr>
          <w:rFonts w:ascii="Book Antiqua" w:eastAsia="Book Antiqua" w:hAnsi="Book Antiqua" w:cs="Book Antiqua"/>
          <w:color w:val="000000"/>
        </w:rPr>
        <w:t xml:space="preserve">TCGA: </w:t>
      </w:r>
      <w:r w:rsidR="002948DC" w:rsidRPr="00BA2B87">
        <w:rPr>
          <w:rFonts w:ascii="Book Antiqua" w:eastAsia="Book Antiqua" w:hAnsi="Book Antiqua" w:cs="Book Antiqua"/>
          <w:color w:val="000000"/>
          <w:shd w:val="clear" w:color="auto" w:fill="FFFFFF"/>
        </w:rPr>
        <w:t>The Cancer Genome Atlas</w:t>
      </w:r>
      <w:r w:rsidR="008B29B4" w:rsidRPr="00BA2B87">
        <w:rPr>
          <w:rFonts w:ascii="Book Antiqua" w:eastAsia="Book Antiqua" w:hAnsi="Book Antiqua" w:cs="Book Antiqua"/>
          <w:color w:val="000000"/>
        </w:rPr>
        <w:t xml:space="preserve">; CEA: </w:t>
      </w:r>
      <w:r w:rsidR="002948DC" w:rsidRPr="00BA2B87">
        <w:rPr>
          <w:rFonts w:ascii="Book Antiqua" w:eastAsia="Book Antiqua" w:hAnsi="Book Antiqua" w:cs="Book Antiqua"/>
          <w:color w:val="000000"/>
          <w:shd w:val="clear" w:color="auto" w:fill="FFFFFF"/>
        </w:rPr>
        <w:t>Carcinoembryonic antigen</w:t>
      </w:r>
      <w:r w:rsidR="008B29B4" w:rsidRPr="00BA2B87">
        <w:rPr>
          <w:rFonts w:ascii="Book Antiqua" w:eastAsia="Book Antiqua" w:hAnsi="Book Antiqua" w:cs="Book Antiqua"/>
          <w:color w:val="000000"/>
        </w:rPr>
        <w:t>.</w:t>
      </w:r>
    </w:p>
    <w:p w14:paraId="41685575" w14:textId="0FF88166" w:rsidR="00A97E6F" w:rsidRPr="00BA2B87" w:rsidRDefault="00A97E6F" w:rsidP="00BA2B87">
      <w:pPr>
        <w:spacing w:line="360" w:lineRule="auto"/>
        <w:jc w:val="both"/>
        <w:rPr>
          <w:rFonts w:ascii="Book Antiqua" w:hAnsi="Book Antiqua"/>
        </w:rPr>
      </w:pPr>
      <w:r w:rsidRPr="00BA2B87">
        <w:rPr>
          <w:rFonts w:ascii="Book Antiqua" w:eastAsia="Book Antiqua" w:hAnsi="Book Antiqua" w:cs="Book Antiqua"/>
          <w:color w:val="000000"/>
        </w:rPr>
        <w:br w:type="page"/>
      </w:r>
      <w:r w:rsidR="006516F7" w:rsidRPr="00BA2B87">
        <w:rPr>
          <w:rFonts w:ascii="Book Antiqua" w:hAnsi="Book Antiqua"/>
          <w:noProof/>
          <w:lang w:eastAsia="zh-CN"/>
        </w:rPr>
        <w:lastRenderedPageBreak/>
        <w:drawing>
          <wp:inline distT="0" distB="0" distL="0" distR="0" wp14:anchorId="4B88CD8B" wp14:editId="5A421CC5">
            <wp:extent cx="5942857" cy="490476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2857" cy="4904762"/>
                    </a:xfrm>
                    <a:prstGeom prst="rect">
                      <a:avLst/>
                    </a:prstGeom>
                  </pic:spPr>
                </pic:pic>
              </a:graphicData>
            </a:graphic>
          </wp:inline>
        </w:drawing>
      </w:r>
    </w:p>
    <w:p w14:paraId="31A68D0B" w14:textId="439FF5FC" w:rsidR="00A77B3E" w:rsidRPr="00BA2B87" w:rsidRDefault="00925687" w:rsidP="00BA2B87">
      <w:pPr>
        <w:spacing w:line="360" w:lineRule="auto"/>
        <w:jc w:val="both"/>
        <w:rPr>
          <w:rFonts w:ascii="Book Antiqua" w:eastAsia="Book Antiqua" w:hAnsi="Book Antiqua" w:cs="Book Antiqua"/>
          <w:b/>
          <w:bCs/>
          <w:color w:val="000000"/>
        </w:rPr>
      </w:pPr>
      <w:r w:rsidRPr="00BA2B87">
        <w:rPr>
          <w:rFonts w:ascii="Book Antiqua" w:eastAsia="Book Antiqua" w:hAnsi="Book Antiqua" w:cs="Book Antiqua"/>
          <w:b/>
          <w:bCs/>
          <w:color w:val="000000"/>
        </w:rPr>
        <w:t xml:space="preserve">Figure 2 Drugs obtained </w:t>
      </w:r>
      <w:r w:rsidRPr="00BA2B87">
        <w:rPr>
          <w:rFonts w:ascii="Book Antiqua" w:eastAsia="Book Antiqua" w:hAnsi="Book Antiqua" w:cs="Book Antiqua"/>
          <w:b/>
          <w:bCs/>
          <w:i/>
          <w:iCs/>
          <w:color w:val="000000"/>
        </w:rPr>
        <w:t>via</w:t>
      </w:r>
      <w:r w:rsidRPr="00BA2B87">
        <w:rPr>
          <w:rFonts w:ascii="Book Antiqua" w:eastAsia="Book Antiqua" w:hAnsi="Book Antiqua" w:cs="Book Antiqua"/>
          <w:b/>
          <w:bCs/>
          <w:color w:val="000000"/>
        </w:rPr>
        <w:t xml:space="preserve"> </w:t>
      </w:r>
      <w:r w:rsidR="008B651D">
        <w:rPr>
          <w:rFonts w:ascii="Book Antiqua" w:eastAsia="Book Antiqua" w:hAnsi="Book Antiqua" w:cs="Book Antiqua"/>
          <w:b/>
          <w:bCs/>
          <w:color w:val="000000"/>
        </w:rPr>
        <w:t xml:space="preserve">the </w:t>
      </w:r>
      <w:r w:rsidRPr="00BA2B87">
        <w:rPr>
          <w:rFonts w:ascii="Book Antiqua" w:eastAsia="Book Antiqua" w:hAnsi="Book Antiqua" w:cs="Book Antiqua"/>
          <w:b/>
          <w:bCs/>
          <w:color w:val="000000"/>
        </w:rPr>
        <w:t xml:space="preserve">drug repositioning approach in </w:t>
      </w:r>
      <w:r w:rsidR="00572745" w:rsidRPr="00BA2B87">
        <w:rPr>
          <w:rFonts w:ascii="Book Antiqua" w:eastAsia="Book Antiqua" w:hAnsi="Book Antiqua" w:cs="Book Antiqua"/>
          <w:b/>
          <w:bCs/>
          <w:color w:val="000000"/>
        </w:rPr>
        <w:t>colorectal cancer.</w:t>
      </w:r>
    </w:p>
    <w:p w14:paraId="1DCB50EC" w14:textId="42935020" w:rsidR="004F2744" w:rsidRPr="00BA2B87" w:rsidRDefault="004F2744" w:rsidP="00BA2B87">
      <w:pPr>
        <w:autoSpaceDE w:val="0"/>
        <w:autoSpaceDN w:val="0"/>
        <w:adjustRightInd w:val="0"/>
        <w:spacing w:line="360" w:lineRule="auto"/>
        <w:jc w:val="both"/>
        <w:rPr>
          <w:rFonts w:ascii="Book Antiqua" w:hAnsi="Book Antiqua" w:cstheme="majorBidi"/>
          <w:b/>
          <w:bCs/>
          <w:shd w:val="clear" w:color="auto" w:fill="FFFFFF"/>
        </w:rPr>
      </w:pPr>
      <w:r w:rsidRPr="00BA2B87">
        <w:rPr>
          <w:rFonts w:ascii="Book Antiqua" w:eastAsia="Book Antiqua" w:hAnsi="Book Antiqua" w:cs="Book Antiqua"/>
          <w:b/>
          <w:bCs/>
          <w:color w:val="000000"/>
        </w:rPr>
        <w:br w:type="page"/>
      </w:r>
      <w:r w:rsidRPr="00BA2B87">
        <w:rPr>
          <w:rFonts w:ascii="Book Antiqua" w:hAnsi="Book Antiqua" w:cstheme="majorBidi"/>
          <w:b/>
          <w:bCs/>
          <w:shd w:val="clear" w:color="auto" w:fill="FFFFFF"/>
        </w:rPr>
        <w:lastRenderedPageBreak/>
        <w:t xml:space="preserve">Table 1 Diagnostic biomarkers found in </w:t>
      </w:r>
      <w:r w:rsidR="00FC022C" w:rsidRPr="00BA2B87">
        <w:rPr>
          <w:rFonts w:ascii="Book Antiqua" w:eastAsia="Book Antiqua" w:hAnsi="Book Antiqua" w:cs="Book Antiqua"/>
          <w:b/>
          <w:bCs/>
          <w:color w:val="000000"/>
        </w:rPr>
        <w:t>colorectal cancer</w:t>
      </w:r>
      <w:r w:rsidRPr="00BA2B87">
        <w:rPr>
          <w:rFonts w:ascii="Book Antiqua" w:hAnsi="Book Antiqua" w:cstheme="majorBidi"/>
          <w:b/>
          <w:bCs/>
          <w:shd w:val="clear" w:color="auto" w:fill="FFFFFF"/>
        </w:rPr>
        <w:t xml:space="preserve"> </w:t>
      </w:r>
    </w:p>
    <w:tbl>
      <w:tblPr>
        <w:tblStyle w:val="TabloKlavuzu1"/>
        <w:tblW w:w="5678"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669"/>
        <w:gridCol w:w="2215"/>
        <w:gridCol w:w="793"/>
        <w:gridCol w:w="2468"/>
      </w:tblGrid>
      <w:tr w:rsidR="002328AB" w:rsidRPr="00BA2B87" w14:paraId="006F132A" w14:textId="77777777" w:rsidTr="0068667D">
        <w:trPr>
          <w:trHeight w:val="660"/>
        </w:trPr>
        <w:tc>
          <w:tcPr>
            <w:tcW w:w="1613" w:type="pct"/>
            <w:tcBorders>
              <w:top w:val="single" w:sz="4" w:space="0" w:color="auto"/>
              <w:bottom w:val="single" w:sz="4" w:space="0" w:color="auto"/>
            </w:tcBorders>
            <w:hideMark/>
          </w:tcPr>
          <w:p w14:paraId="1BEC2449" w14:textId="10D50CB0" w:rsidR="004F2744" w:rsidRPr="00BA2B87" w:rsidRDefault="004F2744" w:rsidP="00BA2B87">
            <w:pPr>
              <w:spacing w:line="360" w:lineRule="auto"/>
              <w:jc w:val="both"/>
              <w:rPr>
                <w:rFonts w:ascii="Book Antiqua" w:eastAsia="Times New Roman" w:hAnsi="Book Antiqua" w:cs="Calibri"/>
                <w:b/>
                <w:bCs/>
                <w:lang w:val="en-US"/>
              </w:rPr>
            </w:pPr>
            <w:bookmarkStart w:id="0" w:name="RANGE!A1"/>
            <w:bookmarkStart w:id="1" w:name="OLE_LINK1" w:colFirst="1" w:colLast="4"/>
            <w:r w:rsidRPr="00BA2B87">
              <w:rPr>
                <w:rFonts w:ascii="Book Antiqua" w:eastAsia="Times New Roman" w:hAnsi="Book Antiqua" w:cs="Calibri"/>
                <w:b/>
                <w:bCs/>
                <w:lang w:val="en-US"/>
              </w:rPr>
              <w:t xml:space="preserve">Diagnostic </w:t>
            </w:r>
            <w:r w:rsidR="00CB3C34" w:rsidRPr="00BA2B87">
              <w:rPr>
                <w:rFonts w:ascii="Book Antiqua" w:eastAsia="Times New Roman" w:hAnsi="Book Antiqua" w:cs="Calibri"/>
                <w:b/>
                <w:bCs/>
                <w:lang w:val="en-US"/>
              </w:rPr>
              <w:t>b</w:t>
            </w:r>
            <w:r w:rsidRPr="00BA2B87">
              <w:rPr>
                <w:rFonts w:ascii="Book Antiqua" w:eastAsia="Times New Roman" w:hAnsi="Book Antiqua" w:cs="Calibri"/>
                <w:b/>
                <w:bCs/>
                <w:lang w:val="en-US"/>
              </w:rPr>
              <w:t>iomarker</w:t>
            </w:r>
            <w:bookmarkEnd w:id="0"/>
          </w:p>
        </w:tc>
        <w:tc>
          <w:tcPr>
            <w:tcW w:w="791" w:type="pct"/>
            <w:tcBorders>
              <w:top w:val="single" w:sz="4" w:space="0" w:color="auto"/>
              <w:bottom w:val="single" w:sz="4" w:space="0" w:color="auto"/>
            </w:tcBorders>
            <w:hideMark/>
          </w:tcPr>
          <w:p w14:paraId="4D38C0FC" w14:textId="03C3ABAF"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Molecular </w:t>
            </w:r>
            <w:r w:rsidR="00FD6F1F" w:rsidRPr="00BA2B87">
              <w:rPr>
                <w:rFonts w:ascii="Book Antiqua" w:eastAsia="Times New Roman" w:hAnsi="Book Antiqua" w:cs="Calibri"/>
                <w:b/>
                <w:bCs/>
                <w:color w:val="000000"/>
                <w:lang w:val="en-US"/>
              </w:rPr>
              <w:t>l</w:t>
            </w:r>
            <w:r w:rsidRPr="00BA2B87">
              <w:rPr>
                <w:rFonts w:ascii="Book Antiqua" w:eastAsia="Times New Roman" w:hAnsi="Book Antiqua" w:cs="Calibri"/>
                <w:b/>
                <w:bCs/>
                <w:color w:val="000000"/>
                <w:lang w:val="en-US"/>
              </w:rPr>
              <w:t>evel</w:t>
            </w:r>
          </w:p>
        </w:tc>
        <w:tc>
          <w:tcPr>
            <w:tcW w:w="1050" w:type="pct"/>
            <w:tcBorders>
              <w:top w:val="single" w:sz="4" w:space="0" w:color="auto"/>
              <w:bottom w:val="single" w:sz="4" w:space="0" w:color="auto"/>
            </w:tcBorders>
            <w:hideMark/>
          </w:tcPr>
          <w:p w14:paraId="155073CB" w14:textId="77777777"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Sample</w:t>
            </w:r>
          </w:p>
        </w:tc>
        <w:tc>
          <w:tcPr>
            <w:tcW w:w="376" w:type="pct"/>
            <w:tcBorders>
              <w:top w:val="single" w:sz="4" w:space="0" w:color="auto"/>
              <w:bottom w:val="single" w:sz="4" w:space="0" w:color="auto"/>
            </w:tcBorders>
            <w:hideMark/>
          </w:tcPr>
          <w:p w14:paraId="4A76E9F8" w14:textId="77777777"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Expression</w:t>
            </w:r>
          </w:p>
        </w:tc>
        <w:tc>
          <w:tcPr>
            <w:tcW w:w="1170" w:type="pct"/>
            <w:tcBorders>
              <w:top w:val="single" w:sz="4" w:space="0" w:color="auto"/>
              <w:bottom w:val="single" w:sz="4" w:space="0" w:color="auto"/>
            </w:tcBorders>
            <w:hideMark/>
          </w:tcPr>
          <w:p w14:paraId="4EFAA3E9" w14:textId="3EFBF7FD" w:rsidR="004F2744" w:rsidRPr="00BA2B87" w:rsidRDefault="004F2744" w:rsidP="00BA2B8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Ref</w:t>
            </w:r>
            <w:r w:rsidR="00FD6F1F" w:rsidRPr="00BA2B87">
              <w:rPr>
                <w:rFonts w:ascii="Book Antiqua" w:eastAsia="Times New Roman" w:hAnsi="Book Antiqua" w:cs="Calibri"/>
                <w:b/>
                <w:bCs/>
                <w:color w:val="000000"/>
                <w:lang w:val="en-US"/>
              </w:rPr>
              <w:t>.</w:t>
            </w:r>
          </w:p>
        </w:tc>
      </w:tr>
      <w:tr w:rsidR="002328AB" w:rsidRPr="00BA2B87" w14:paraId="40A37730" w14:textId="77777777" w:rsidTr="0068667D">
        <w:trPr>
          <w:trHeight w:val="282"/>
        </w:trPr>
        <w:tc>
          <w:tcPr>
            <w:tcW w:w="1613" w:type="pct"/>
            <w:tcBorders>
              <w:top w:val="single" w:sz="4" w:space="0" w:color="auto"/>
            </w:tcBorders>
            <w:hideMark/>
          </w:tcPr>
          <w:p w14:paraId="403EECDA" w14:textId="52C689DA"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Actin Beta-Like 2</w:t>
            </w:r>
          </w:p>
        </w:tc>
        <w:tc>
          <w:tcPr>
            <w:tcW w:w="791" w:type="pct"/>
            <w:tcBorders>
              <w:top w:val="single" w:sz="4" w:space="0" w:color="auto"/>
            </w:tcBorders>
            <w:hideMark/>
          </w:tcPr>
          <w:p w14:paraId="491142A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tcBorders>
              <w:top w:val="single" w:sz="4" w:space="0" w:color="auto"/>
            </w:tcBorders>
            <w:hideMark/>
          </w:tcPr>
          <w:p w14:paraId="3638109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tcBorders>
              <w:top w:val="single" w:sz="4" w:space="0" w:color="auto"/>
            </w:tcBorders>
            <w:hideMark/>
          </w:tcPr>
          <w:p w14:paraId="1FE027C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tcBorders>
              <w:top w:val="single" w:sz="4" w:space="0" w:color="auto"/>
            </w:tcBorders>
            <w:hideMark/>
          </w:tcPr>
          <w:p w14:paraId="7561B681" w14:textId="4C552503" w:rsidR="004F2744" w:rsidRPr="00BA2B87" w:rsidRDefault="007C5A5C" w:rsidP="00BA2B87">
            <w:pPr>
              <w:spacing w:line="360" w:lineRule="auto"/>
              <w:jc w:val="both"/>
              <w:rPr>
                <w:rFonts w:ascii="Book Antiqua" w:eastAsia="Times New Roman" w:hAnsi="Book Antiqua" w:cs="Calibri"/>
                <w:color w:val="000000"/>
                <w:lang w:val="en-US"/>
              </w:rPr>
            </w:pPr>
            <w:r w:rsidRPr="00BA2B87">
              <w:rPr>
                <w:rFonts w:ascii="Book Antiqua" w:hAnsi="Book Antiqua"/>
              </w:rPr>
              <w:t>Ghazanfar</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{"citationItems":[{"id":"ITEM-1","itemData":{"DOI":"10.1016/j.jprot.2016.10.011","ISSN":"18767737","PMID":"27989943","abstract":"Early diagnosis of colorectal cancer (CRC) can be of value for increasing the survival rate of patients. Recently, proteomic strategies to identify markers for the diagnosis of cancer at an early stage have been employed with noteworthy results. To extend these studies, we utilized two dimensional gel electrophoresis and mass spectrometry for expression profiling of proteins extracted from the freshly frozen human colorectal cancer tissue specimens and the comparable regions of adjacent normal mucosa (serving as controls). Four gel spots were determined to be differentially stained between the tumor and the control samples on a consistent basis. Following mass spectrometric analysis of these spots, six proteins were identified; five of these had previously been reported to be associated with colorectal cancer. One protein actin beta-like 2 (ACTBL2), not linked with colorectal cancer in the earlier reports, was however found to be at higher abundance in colorectal tumor samples both by proteomics and immunohistochemistry analysis. Thus ACTBL2 association and differential upregulation in colorectal cancer is novel, and as such may contribute to our understanding of the colorectal carcinogenesis and potentially serve a function in developing markers for colorectal cancer. Biological significance Colorectal cancer (CRC) is a major cause of death world-wide and good markers for early detection are lacking. In this study we conducted a proteomic analysis of tumor vs. normal tissue. We corroborated the finding of a number of previously identified proteins associated with CRC and more importantly identified a novel protein, ACTBL2, which we demonstrated to be upregulated in CRC. As additional proteins associated with CRC are identified the potential for developing panels of markers may be realized with better outcomes in early cancer detection.","author":[{"dropping-particle":"","family":"Ghazanfar","given":"Saba","non-dropping-particle":"","parse-names":false,"suffix":""},{"dropping-particle":"","family":"Fatima","given":"Iram","non-dropping-particle":"","parse-names":false,"suffix":""},{"dropping-particle":"","family":"Aslam","given":"Muhammad","non-dropping-particle":"","parse-names":false,"suffix":""},{"dropping-particle":"","family":"Musharraf","given":"Syed Ghulam","non-dropping-particle":"","parse-names":false,"suffix":""},{"dropping-particle":"","family":"Sherman","given":"Nicholas E.","non-dropping-particle":"","parse-names":false,"suffix":""},{"dropping-particle":"","family":"Moskaluk","given":"Christopher","non-dropping-particle":"","parse-names":false,"suffix":""},{"dropping-particle":"","family":"Fox","given":"Jay W.","non-dropping-particle":"","parse-names":false,"suffix":""},{"dropping-particle":"","family":"Akhtar","given":"M. Waheed","non-dropping-particle":"","parse-names":false,"suffix":""},{"dropping-particle":"","family":"Sadaf","given":"Saima","non-dropping-particle":"","parse-names":false,"suffix":""}],"container-title":"Journal of Proteomics","id":"ITEM-1","issued":{"date-parts":[["2017"]]},"page":"33-40","publisher":"Elsevier B.V.","title":"Identification of actin beta-like 2 (ACTBL2) as novel, upregulated protein in colorectal cancer","type":"article-journal","volume":"152"},"uris":["http://www.mendeley.com/documents/?uuid=4389a4c7-c6b0-446e-aaf4-66479b8be423"]}],"mendeley":{"formattedCitation":"&lt;sup&gt;[30]&lt;/sup&gt;","plainTextFormattedCitation":"[30]","previouslyFormattedCitation":"&lt;sup&gt;[30]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[30]</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1F5DF19A" w14:textId="77777777" w:rsidTr="0068667D">
        <w:trPr>
          <w:trHeight w:val="78"/>
        </w:trPr>
        <w:tc>
          <w:tcPr>
            <w:tcW w:w="1613" w:type="pct"/>
            <w:hideMark/>
          </w:tcPr>
          <w:p w14:paraId="5A203DE2" w14:textId="25A36503"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Dipeptidase 1</w:t>
            </w:r>
          </w:p>
        </w:tc>
        <w:tc>
          <w:tcPr>
            <w:tcW w:w="791" w:type="pct"/>
            <w:hideMark/>
          </w:tcPr>
          <w:p w14:paraId="21F2F1F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0038D1D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1ED7FC4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5EF60656" w14:textId="03CF58EE" w:rsidR="004F2744" w:rsidRPr="00BA2B87" w:rsidRDefault="007C5A5C" w:rsidP="00BA2B87">
            <w:pPr>
              <w:spacing w:line="360" w:lineRule="auto"/>
              <w:jc w:val="both"/>
              <w:rPr>
                <w:rFonts w:ascii="Book Antiqua" w:eastAsia="Times New Roman" w:hAnsi="Book Antiqua" w:cs="Calibri"/>
                <w:color w:val="000000"/>
                <w:lang w:val="pt-BR"/>
              </w:rPr>
            </w:pPr>
            <w:r w:rsidRPr="00BA2B87">
              <w:rPr>
                <w:rFonts w:ascii="Book Antiqua" w:hAnsi="Book Antiqua"/>
              </w:rPr>
              <w:t>Hao</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{"citationItems":[{"id":"ITEM-1","itemData":{"DOI":"10.1038/srep42436","ISSN":"20452322","PMID":"28181595","abstract":"The global change in protein abundance in colorectal cancer (CRC) and its contribution to tumorigenesis have not been comprehensively analyzed. In this study, we conducted a comprehensive proteomic analysis of paired tumors and adjacent tissues (AT) using high-resolution Fourier-Transform mass spectrometry and a novel algorithm of quantitative pathway analysis. 12380 proteins were identified and 740 proteins that presented a 4-fold change were considered a CRC proteomic signature. A significant pattern of changes in protein abundance was uncovered which consisted of an imbalance in protein abundance of inhibitory and activating regulators in key signal pathways, a significant elevation of proteins in chromatin modification, gene expression and DNA replication and damage repair, and a decreased expression of proteins responsible for core extracellular matrix architectures. Specifically, based on the relative abundance, we identified a panel of 11 proteins to distinguish CRC from AT. The protein that showed the greatest degree of overexpression in CRC compared to AT was Dipeptidase 1 (DPEP1). Knockdown of DPEP1 in SW480 and HCT116 cells significantly increased cell apoptosis and attenuated cell proliferation and invasion. Together, our results show one of largest dataset in CRC proteomic research and provide a molecular link from genomic abnormalities to the tumor phenotype.","author":[{"dropping-particle":"","family":"Hao","given":"Jian Jiang","non-dropping-particle":"","parse-names":false,"suffix":""},{"dropping-particle":"","family":"Zhi","given":"Xiaofei","non-dropping-particle":"","parse-names":false,"suffix":""},{"dropping-particle":"","family":"Wang","given":"Yeming","non-dropping-particle":"","parse-names":false,</w:instrText>
            </w:r>
            <w:r w:rsidR="004F2744" w:rsidRPr="00BA2B87">
              <w:rPr>
                <w:rFonts w:ascii="Book Antiqua" w:eastAsia="Times New Roman" w:hAnsi="Book Antiqua" w:cs="Calibri"/>
                <w:color w:val="000000"/>
                <w:lang w:val="pt-BR"/>
              </w:rPr>
              <w:instrText>"suffix":""},{"dropping-particle":"","family":"Zhang","given":"Zheng","non-dropping-particle":"","parse-names":false,"suffix":""},{"dropping-particle":"","family":"Hao","given":"Zeyu","non-dropping-particle":"","parse-names":false,"suffix":""},{"dropping-particle":"","family":"Ye","given":"Rong","non-dropping-particle":"","parse-names":false,"suffix":""},{"dropping-particle":"","family":"Tang","given":"Zhijie","non-dropping-particle":"","parse-names":false,"suffix":""},{"dropping-particle":"","family":"Qian","given":"Fei","non-dropping-particle":"","parse-names":false,"suffix":""},{"dropping-particle":"","family":"Wang","given":"Quhui","non-dropping-particle":"","parse-names":false,"suffix":""},{"dropping-particle":"","family":"Zhu","given":"Jianwei","non-dropping-particle":"","parse-names":false,"suffix":""}],"container-title":"Scientific Reports","id":"ITEM-1","issue":"February","issued":{"date-parts":[["2017"]]},"page":"1-15","publisher":"Nature Publishing Group","title":"Comprehensive Proteomic Characterization of the Human Colorectal Carcinoma Reveals Signature Proteins and Perturbed Pathways","type":"article-journal","volume":"7"},"uris":["http://www.mendeley.com/documents/?uuid=32a9753b-34f9-4ff4-b662-152601cd7e22"]}],"mendeley":{"formattedCitation":"&lt;sup&gt;[31]&lt;/sup&gt;","plainTextFormattedCitation":"[31]","previouslyFormattedCitation":"&lt;sup&gt;[31]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pt-BR"/>
              </w:rPr>
              <w:t>[31]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pt-BR"/>
              </w:rPr>
              <w:t>, 2017</w:t>
            </w:r>
          </w:p>
        </w:tc>
      </w:tr>
      <w:tr w:rsidR="002328AB" w:rsidRPr="00BA2B87" w14:paraId="3CF65ABC" w14:textId="77777777" w:rsidTr="0068667D">
        <w:trPr>
          <w:trHeight w:val="330"/>
        </w:trPr>
        <w:tc>
          <w:tcPr>
            <w:tcW w:w="1613" w:type="pct"/>
            <w:hideMark/>
          </w:tcPr>
          <w:p w14:paraId="720A6B0C" w14:textId="0866DE63" w:rsidR="004F2744" w:rsidRPr="00BA2B87" w:rsidRDefault="004F2744" w:rsidP="00BA2B87">
            <w:pPr>
              <w:spacing w:line="360" w:lineRule="auto"/>
              <w:jc w:val="both"/>
              <w:rPr>
                <w:rFonts w:ascii="Book Antiqua" w:eastAsia="Times New Roman" w:hAnsi="Book Antiqua" w:cs="Calibri"/>
                <w:lang w:val="pt-BR"/>
              </w:rPr>
            </w:pPr>
            <w:r w:rsidRPr="00BA2B87">
              <w:rPr>
                <w:rFonts w:ascii="Book Antiqua" w:eastAsia="Times New Roman" w:hAnsi="Book Antiqua" w:cs="Calibri"/>
                <w:lang w:val="pt-BR"/>
              </w:rPr>
              <w:t xml:space="preserve">Olfamectomedin-4 </w:t>
            </w:r>
          </w:p>
        </w:tc>
        <w:tc>
          <w:tcPr>
            <w:tcW w:w="791" w:type="pct"/>
            <w:vMerge w:val="restart"/>
            <w:hideMark/>
          </w:tcPr>
          <w:p w14:paraId="14B99DDA"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Protein</w:t>
            </w:r>
          </w:p>
        </w:tc>
        <w:tc>
          <w:tcPr>
            <w:tcW w:w="1050" w:type="pct"/>
            <w:vMerge w:val="restart"/>
            <w:hideMark/>
          </w:tcPr>
          <w:p w14:paraId="2FE97CA7"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FFPE tissue</w:t>
            </w:r>
          </w:p>
        </w:tc>
        <w:tc>
          <w:tcPr>
            <w:tcW w:w="376" w:type="pct"/>
            <w:vMerge w:val="restart"/>
            <w:hideMark/>
          </w:tcPr>
          <w:p w14:paraId="2B5FDEF2"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w:t>
            </w:r>
          </w:p>
        </w:tc>
        <w:tc>
          <w:tcPr>
            <w:tcW w:w="1170" w:type="pct"/>
            <w:vMerge w:val="restart"/>
            <w:hideMark/>
          </w:tcPr>
          <w:p w14:paraId="17F8C04F" w14:textId="1A668E43" w:rsidR="004F2744" w:rsidRPr="00BA2B87" w:rsidRDefault="007C5A5C" w:rsidP="00BA2B87">
            <w:pPr>
              <w:spacing w:line="360" w:lineRule="auto"/>
              <w:jc w:val="both"/>
              <w:rPr>
                <w:rFonts w:ascii="Book Antiqua" w:eastAsia="Times New Roman" w:hAnsi="Book Antiqua" w:cs="Calibri"/>
                <w:color w:val="000000"/>
                <w:lang w:val="en-US"/>
              </w:rPr>
            </w:pPr>
            <w:r w:rsidRPr="00BA2B87">
              <w:rPr>
                <w:rFonts w:ascii="Book Antiqua" w:hAnsi="Book Antiqua"/>
              </w:rPr>
              <w:t>Quesada-Calvo</w:t>
            </w:r>
            <w:r w:rsidRPr="00BA2B87">
              <w:rPr>
                <w:rFonts w:ascii="Book Antiqua" w:eastAsia="Times New Roman" w:hAnsi="Book Antiqua" w:cs="Calibri"/>
                <w:color w:val="000000"/>
                <w:lang w:val="pt-BR"/>
              </w:rPr>
              <w:t xml:space="preserve"> </w:t>
            </w:r>
            <w:r w:rsidRPr="00BA2B87">
              <w:rPr>
                <w:rFonts w:ascii="Book Antiqua" w:eastAsia="Times New Roman" w:hAnsi="Book Antiqua" w:cs="Calibri"/>
                <w:i/>
                <w:iCs/>
                <w:color w:val="000000"/>
                <w:lang w:val="pt-BR"/>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pt-BR"/>
              </w:rPr>
              <w:instrText>ADDIN CSL_CITATION {"citationItems":[{"id":"ITEM-1","itemData":{"DOI":"10.1186/s12014-017-9143-3","ISSN":"15590275","abstract":"Background: Despite recent advances in colorectal cancer (CRC) diagnosis and population screening programs, the identification of patients with preneoplastic lesions or with early CRC stages remains challenging and is important for reducing CRC incidence and increasing patient’s survival. Methods: We analysed 76 colorectal tissue samples originated from early CRC stages, normal or inflamed mucosa by label-free proteomics. The characterisation of three selected biomarker candidates was performed by immunohistochemistry on an independent set of precancerous and cancerous lesions harbouring increasing CRC stages. Results: Out of 5258 proteins identified, we obtained 561 proteins with a significant differential distribution among groups of patients and controls. KNG1, OLFM4 and Sec24C distributions were validated in tissues and showed different expression levels especially in the two early CRC stages compared to normal and preneoplastic tissues. Conclusion: We highlighted three proteins that require further investigations to better characterise their role in early CRC carcinogenesis and their potential as early CRC markers.","author":[{"dropping-particle":"","family":"Quesada-Calvo","given":"Florence","non-dropping-particle":"","parse-names":false,"suffix":""},{"dropping-part</w:instrText>
            </w:r>
            <w:r w:rsidR="004F2744" w:rsidRPr="00BA2B87">
              <w:rPr>
                <w:rFonts w:ascii="Book Antiqua" w:eastAsia="Times New Roman" w:hAnsi="Book Antiqua" w:cs="Calibri"/>
                <w:color w:val="000000"/>
                <w:lang w:val="en-US"/>
              </w:rPr>
              <w:instrText>icle":"","family":"Massot","given":"Charlotte","non-dropping-particle":"","parse-names":false,"suffix":""},{"dropping-particle":"","family":"Bertrand","given":"Virginie","non-dropping-particle":"","parse-names":false,"suffix":""},{"dropping-particle":"","family":"Longuespée","given":"Rémi","non-dropping-particle":"","parse-names":false,"suffix":""},{"dropping-particle":"","family":"Blétard","given":"Noëlla","non-dropping-particle":"","parse-names":false,"suffix":""},{"dropping-particle":"","family":"Somja","given":"Joan","non-dropping-particle":"","parse-names":false,"suffix":""},{"dropping-particle":"","family":"Mazzucchelli","given":"Gabriel","non-dropping-particle":"","parse-names":false,"suffix":""},{"dropping-particle":"","family":"Smargiasso","given":"Nicolas","non-dropping-particle":"","parse-names":false,"suffix":""},{"dropping-particle":"","family":"Baiwir","given":"Dominique","non-dropping-particle":"","parse-names":false,"suffix":""},{"dropping-particle":"","family":"Pauw-Gillet","given":"Marie Claire","non-dropping-particle":"De","parse-names":false,"suffix":""},{"dropping-particle":"","family":"Delvenne","given":"Philippe","non-dropping-particle":"","parse-names":false,"suffix":""},{"dropping-particle":"","family":"Malaise","given":"Michel","non-dropping-particle":"","parse-names":false,"suffix":""},{"dropping-particle":"","family":"Marques","given":"Carla Coimbra","non-dropping-particle":"","parse-names":false,"suffix":""},{"dropping-particle":"","family":"Polus","given":"Marc","non-dropping-particle":"","parse-names":false,"suffix":""},{"dropping-particle":"","family":"Pauw","given":"Edwin","non-dropping-particle":"De","parse-names":false,"suffix":""},{"dropping-particle":"","family":"Meuwis","given":"Marie Alice","non-dropping-particle":"","parse-names":false,"suffix":""},{"dropping-particle":"","family":"Louis","given":"Edouard","non-dropping-particle":"","parse-names":false,"suffix":""}],"container-title":"Clinical Proteomics","id":"ITEM-1","issue":"1","issued":{"date-parts":[["2017"]]},"page":"1-13","publisher":"BioMed Central","title":"OLFM4, KNG1 and SEC24C identified by proteomics and immunohistochemistry as potential markers of early colorectal cancer stages","type":"article-journal","volume":"14"},"uris":["http://www.mendeley.com/documents/?uuid=fd2df677-6939-41bf-962b-b4f4d1455869"]}],"mendeley":{"formattedCitation":"&lt;sup&gt;[32]&lt;/sup&gt;","plainTextFormattedCitation":"[32]","previouslyFormattedCitation":"&lt;sup&gt;[32]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[32]</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50B622AA" w14:textId="77777777" w:rsidTr="0068667D">
        <w:trPr>
          <w:trHeight w:val="315"/>
        </w:trPr>
        <w:tc>
          <w:tcPr>
            <w:tcW w:w="1613" w:type="pct"/>
            <w:hideMark/>
          </w:tcPr>
          <w:p w14:paraId="5203B570" w14:textId="6D6E3B9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Kininogen-1</w:t>
            </w:r>
          </w:p>
        </w:tc>
        <w:tc>
          <w:tcPr>
            <w:tcW w:w="791" w:type="pct"/>
            <w:vMerge/>
            <w:hideMark/>
          </w:tcPr>
          <w:p w14:paraId="73546D0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8E8134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A38E50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3B84EDD"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C039FFC" w14:textId="77777777" w:rsidTr="0068667D">
        <w:trPr>
          <w:trHeight w:val="324"/>
        </w:trPr>
        <w:tc>
          <w:tcPr>
            <w:tcW w:w="1613" w:type="pct"/>
            <w:hideMark/>
          </w:tcPr>
          <w:p w14:paraId="765CBE4E" w14:textId="38F07EC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Transport Protein Sec-24</w:t>
            </w:r>
          </w:p>
        </w:tc>
        <w:tc>
          <w:tcPr>
            <w:tcW w:w="791" w:type="pct"/>
            <w:vMerge/>
            <w:hideMark/>
          </w:tcPr>
          <w:p w14:paraId="5EFD9B6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42400CB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E33E4A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7D89CCA"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AC8EF0F" w14:textId="77777777" w:rsidTr="0068667D">
        <w:trPr>
          <w:trHeight w:val="330"/>
        </w:trPr>
        <w:tc>
          <w:tcPr>
            <w:tcW w:w="1613" w:type="pct"/>
            <w:hideMark/>
          </w:tcPr>
          <w:p w14:paraId="621D8600" w14:textId="7D3C3BE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Cyclophilin A</w:t>
            </w:r>
          </w:p>
        </w:tc>
        <w:tc>
          <w:tcPr>
            <w:tcW w:w="791" w:type="pct"/>
            <w:vMerge w:val="restart"/>
            <w:hideMark/>
          </w:tcPr>
          <w:p w14:paraId="21AA86C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2601D69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FFPE tissue</w:t>
            </w:r>
          </w:p>
        </w:tc>
        <w:tc>
          <w:tcPr>
            <w:tcW w:w="376" w:type="pct"/>
            <w:vMerge w:val="restart"/>
            <w:hideMark/>
          </w:tcPr>
          <w:p w14:paraId="2F92253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14AA77F7" w14:textId="48640EFD" w:rsidR="004F2744" w:rsidRPr="00BA2B87" w:rsidRDefault="007C5A5C" w:rsidP="00BA2B87">
            <w:pPr>
              <w:spacing w:line="360" w:lineRule="auto"/>
              <w:jc w:val="both"/>
              <w:rPr>
                <w:rFonts w:ascii="Book Antiqua" w:eastAsia="Times New Roman" w:hAnsi="Book Antiqua" w:cs="Calibri"/>
                <w:color w:val="000000"/>
                <w:lang w:val="en-US"/>
              </w:rPr>
            </w:pPr>
            <w:r w:rsidRPr="00BA2B87">
              <w:rPr>
                <w:rFonts w:ascii="Book Antiqua" w:hAnsi="Book Antiqua"/>
              </w:rPr>
              <w:t>Yamamoto</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{"citationItems":[{"id":"ITEM-1","itemData":{"DOI":"10.1007/s13277-016-5275-8","ISBN":"1327701652758","ISSN":"14230380","PMID":"27468721","abstract":"Colorectal cancer (CRC) is one of the most common cancers worldwide, and many patients are already at an advanced stage when they are diagnosed. Therefore, novel biomarkers for early detection of colorectal cancer are required. In this study, we performed a global shotgun proteomic analysis using formalin-fixed and paraffin-embedded (FFPE) CRC tissue. We identified 84 candidate proteins whose expression levels were differentially expressed in cancer and non-cancer regions. A label-free semiquantitative method based on spectral counting and gene ontology (GO) analysis led to a total of 21 candidate proteins that could potentially be detected in blood. Validation studies revealed cyclophilin A, annexin A2, and aldolase A mRNA and protein expression levels were significantly higher in cancer regions than in non-cancer regions. Moreover, an in vitro study showed that secretion of aldolase A into the culture medium was clearly suppressed in CRC cells compared to normal colon epithelium. These findings suggest that decreased aldolase A in blood may be a novel biomarker for the early detection of CRC.","author":[{"dropping-particle":"","family":"Yamamoto","given":"Tetsushi","non-dropping-particle":"","parse-names":false,"suffix":""},{"dropping-particle":"","family":"Kudo","given":"Mitsuhiro","non-dropping-particle":"","parse-names":false,"suffix":""},{"dropping-particle":"","family":"Peng","given":"Wei Xia","non-dropping-particle":"","parse-names":false,"suffix":""},{"dropping-particle":"","family":"Takata","given":"Hideyuki","non-dropping-particle":"","parse-names":false,"suffix":""},{"dropping-particle":"","family":"Takakura","given":"Hideki","non-dropping-particle":"","parse-names":false,"suffix":""},{"dropping-particle":"","family":"Teduka","given":"Kiyoshi","non-dropping-particle":"","parse-names":false,"suffix":""},{"dropping-particle":"","family":"Fujii","given":"Takenori","non-dropping-particle":"","parse-names":false,"suffix":""},{"dropping-particle":"","family":"Mitamura","given":"Kuniko","non-dropping-particle":"","parse-names":false,"suffix":""},{"dropping-particle":"","family":"Taga","given":"Atsushi","non-dropping-particle":"","parse-names":false,"suffix":""},{"dropping-particle":"","family":"Uchida","given":"Eiji","non-dropping-particle":"","parse-names":false,"suffix":""},{"dropping-particle":"","family":"Naito","given":"Zenya","non-dropping-particle":"","parse-names":false,"suffix":""}],"container-title":"Tumor Biology","id":"ITEM-1","issue":"10","issued":{"date-parts":[["2016"]]},"page":"13595-13606","publisher":"Tumor Biology","title":"Identification of aldolase A as a potential diagnostic biomarker for colorectal cancer based on proteomic analysis using formalin-fixed paraffin-embedded tissue","type":"article-journal","volume":"37"},"uris":["http://www.mendeley.com/documents/?uuid=f6553f81-9ead-4751-9bea-b16a0b8d9b53"]}],"mendeley":{"formattedCitation":"&lt;sup&gt;[33]&lt;/sup&gt;","plainTextFormattedCitation":"[33]","previouslyFormattedCitation":"&lt;sup&gt;[33]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[33]</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3E6218CE" w14:textId="77777777" w:rsidTr="0068667D">
        <w:trPr>
          <w:trHeight w:val="315"/>
        </w:trPr>
        <w:tc>
          <w:tcPr>
            <w:tcW w:w="1613" w:type="pct"/>
            <w:hideMark/>
          </w:tcPr>
          <w:p w14:paraId="3987F25C" w14:textId="0AD231A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Annexin A2</w:t>
            </w:r>
          </w:p>
        </w:tc>
        <w:tc>
          <w:tcPr>
            <w:tcW w:w="791" w:type="pct"/>
            <w:vMerge/>
            <w:hideMark/>
          </w:tcPr>
          <w:p w14:paraId="2F697A1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C7D361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6A92097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F822212"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C837FBE" w14:textId="77777777" w:rsidTr="0068667D">
        <w:trPr>
          <w:trHeight w:val="186"/>
        </w:trPr>
        <w:tc>
          <w:tcPr>
            <w:tcW w:w="1613" w:type="pct"/>
            <w:hideMark/>
          </w:tcPr>
          <w:p w14:paraId="545E71DF" w14:textId="3CC7CAE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Aldolase A</w:t>
            </w:r>
          </w:p>
        </w:tc>
        <w:tc>
          <w:tcPr>
            <w:tcW w:w="791" w:type="pct"/>
            <w:vMerge/>
            <w:hideMark/>
          </w:tcPr>
          <w:p w14:paraId="46436C7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3A45BF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3689A3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EF15CD8"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BAAF895" w14:textId="77777777" w:rsidTr="0068667D">
        <w:trPr>
          <w:trHeight w:val="431"/>
        </w:trPr>
        <w:tc>
          <w:tcPr>
            <w:tcW w:w="1613" w:type="pct"/>
            <w:hideMark/>
          </w:tcPr>
          <w:p w14:paraId="3BC87B7C" w14:textId="57BEF33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Leucine-Rich Alpha-2 Glycoprotein 1 </w:t>
            </w:r>
          </w:p>
        </w:tc>
        <w:tc>
          <w:tcPr>
            <w:tcW w:w="791" w:type="pct"/>
            <w:vMerge w:val="restart"/>
            <w:hideMark/>
          </w:tcPr>
          <w:p w14:paraId="15360743"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54C1463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vMerge w:val="restart"/>
            <w:hideMark/>
          </w:tcPr>
          <w:p w14:paraId="15AEB02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69A78BCC" w14:textId="17A1B252" w:rsidR="004F2744" w:rsidRPr="00BA2B87" w:rsidRDefault="00276FB5" w:rsidP="00BA2B87">
            <w:pPr>
              <w:spacing w:line="360" w:lineRule="auto"/>
              <w:jc w:val="both"/>
              <w:rPr>
                <w:rFonts w:ascii="Book Antiqua" w:eastAsia="Times New Roman" w:hAnsi="Book Antiqua" w:cs="Calibri"/>
                <w:color w:val="000000"/>
                <w:lang w:val="en-US"/>
              </w:rPr>
            </w:pPr>
            <w:r w:rsidRPr="00BA2B87">
              <w:rPr>
                <w:rFonts w:ascii="Book Antiqua" w:hAnsi="Book Antiqua"/>
              </w:rPr>
              <w:t>Ivancic</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{"citationItems":[{"id":"ITEM-1","itemData":{"DOI":"10.1016/j.jss.2019.08.004","ISSN":"10958673","PMID":"31586890","abstract":"Background: A major roadblock to reducing the mortality of colorectal cancer (CRC) is prompt detection and treatment, and a simple blood test is likely to have higher compliance than all of the current methods. The purpose of this report is to examine the utility of a mass spectrometry–based blood serum protein biomarker test for detection of CRC. Materials and methods: Blood was drawn from individuals (n = 213) before colonoscopy or from patients with nonmetastatic CRC (n = 50) before surgery. Proteins were isolated from the serum of patients using targeted liquid chromatography-tandem mass spectrometry. We designed a machine-learning statistical model to assess these proteins. Results: When considered individually, over 70% of the selected biomarkers showed significance by Mann–Whitney testing for distinguishing cancer-bearing cases from cancer-free cases. Using machine-learning methods, peptides derived from epidermal growth factor receptor and leucine-rich alpha-2-glycoprotein 1 were consistently identified as highly predictive for detecting CRC from cancer-free cases. A five-marker panel consisting of leucine-rich alpha-2-glycoprotein 1, epidermal growth factor receptor, inter-alpha-trypsin inhibitor heavy-chain family member 4, hemopexin, and superoxide dismutase 3 performed the best with 70% specificity at over 89% sensitivity (area under the curve = 0.86) in the validation set. For distinguishing regional from localized cancers, cross-validation within the training set showed that a panel of four proteins consisting of CD44 molecule, GC-vitamin D–binding protein, C-reactive protein, and inter-alpha-trypsin inhibitor heavy-chain family member 3 yielded the highest performance (area under the curve = 0.75). Conclusions: The minimally invasive blood biomarker panels identified here could serve as screening/detection alternatives for CRC in a human population and potentially useful for staging of existing cancer.","author":[{"dropping-particle":"","family":"Ivancic","given":"Melanie M.","non-dropping-particle":"","parse-names":false,"suffix":""},{"dropping-particle":"","family":"Megna","given":"Bryant W.","non-dropping-particle":"","parse-names":false,"suffix":""},{"dropping-particle":"","family":"Sverchkov","given":"Yuriy","non-dropping-particle":"","parse-names":false,"suffix":""},{"dropping-particle":"","family":"Craven","given":"Mark","non-dropping-particle":"","parse-names":false,"suffix":""},{"dropping-particle":"","family":"Reichelderfer","given":"Mark","non-dropping-particle":"","parse-names":false,"suffix":""},{"dropping-particle":"","family":"Pickhardt","given":"Perry J.","non-dropping-particle":"","parse-names":false,"suffix":""},{"dropping-particle":"","family":"Sussman","given":"Michael R.","non-dropping-particle":"","parse-names":false,"suffix":""},{"dropping-particle":"","family":"Kennedy","given":"Gregory D.","non-dropping-particle":"","parse-names":false,"suffix":""}],"container-title":"Journal of Surgical Research","id":"ITEM-1","issued":{"date-parts":[["2020"]]},"title":"Noninvasive Detection of Colorectal Carcinomas Using Serum Protein Biomarkers","type":"article-journal"},"uris":["http://www.mendeley.com/documents/?uuid=33fcecb4-bc37-4f60-95a6-cd10f031200c"]}],"mendeley":{"formattedCitation":"&lt;sup&gt;[36]&lt;/sup&gt;","plainTextFormattedCitation":"[36]","previouslyFormattedCitation":"&lt;sup&gt;[36]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[36]</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2020</w:t>
            </w:r>
          </w:p>
        </w:tc>
      </w:tr>
      <w:tr w:rsidR="002328AB" w:rsidRPr="00BA2B87" w14:paraId="0FF5D9DF" w14:textId="77777777" w:rsidTr="0068667D">
        <w:trPr>
          <w:trHeight w:val="315"/>
        </w:trPr>
        <w:tc>
          <w:tcPr>
            <w:tcW w:w="1613" w:type="pct"/>
            <w:hideMark/>
          </w:tcPr>
          <w:p w14:paraId="490F6669" w14:textId="5384E71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Epidermal Growth Factor Receptor</w:t>
            </w:r>
            <w:r w:rsidR="007C5A5C" w:rsidRPr="00BA2B87">
              <w:rPr>
                <w:rFonts w:ascii="Book Antiqua" w:eastAsia="Times New Roman" w:hAnsi="Book Antiqua" w:cs="Calibri"/>
                <w:lang w:val="en-US"/>
              </w:rPr>
              <w:t xml:space="preserve"> </w:t>
            </w:r>
          </w:p>
        </w:tc>
        <w:tc>
          <w:tcPr>
            <w:tcW w:w="791" w:type="pct"/>
            <w:vMerge/>
            <w:hideMark/>
          </w:tcPr>
          <w:p w14:paraId="6ED8B4C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A9BAF4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19F016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C053CB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766E6E2A" w14:textId="77777777" w:rsidTr="0068667D">
        <w:trPr>
          <w:trHeight w:val="315"/>
        </w:trPr>
        <w:tc>
          <w:tcPr>
            <w:tcW w:w="1613" w:type="pct"/>
            <w:hideMark/>
          </w:tcPr>
          <w:p w14:paraId="65B400BF" w14:textId="2CA1FEA0"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Hemopexin</w:t>
            </w:r>
          </w:p>
        </w:tc>
        <w:tc>
          <w:tcPr>
            <w:tcW w:w="791" w:type="pct"/>
            <w:vMerge/>
            <w:hideMark/>
          </w:tcPr>
          <w:p w14:paraId="458D9D3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4D439A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CB518E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A8A4B1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BB4A350" w14:textId="77777777" w:rsidTr="0068667D">
        <w:trPr>
          <w:trHeight w:val="453"/>
        </w:trPr>
        <w:tc>
          <w:tcPr>
            <w:tcW w:w="1613" w:type="pct"/>
            <w:hideMark/>
          </w:tcPr>
          <w:p w14:paraId="05853ACC" w14:textId="5DB20C7A"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Superoxide Dismutase 3</w:t>
            </w:r>
          </w:p>
        </w:tc>
        <w:tc>
          <w:tcPr>
            <w:tcW w:w="791" w:type="pct"/>
            <w:vMerge/>
            <w:hideMark/>
          </w:tcPr>
          <w:p w14:paraId="632D493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B5DFFF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032A4A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1E2FA99"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F9C64DA" w14:textId="77777777" w:rsidTr="0068667D">
        <w:trPr>
          <w:trHeight w:val="630"/>
        </w:trPr>
        <w:tc>
          <w:tcPr>
            <w:tcW w:w="1613" w:type="pct"/>
            <w:hideMark/>
          </w:tcPr>
          <w:p w14:paraId="4BEA04E9" w14:textId="129581A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Inter-Alpha-Trypsin Inhibitor Heavy-Chain Family Member 4 </w:t>
            </w:r>
          </w:p>
        </w:tc>
        <w:tc>
          <w:tcPr>
            <w:tcW w:w="791" w:type="pct"/>
            <w:vMerge/>
            <w:hideMark/>
          </w:tcPr>
          <w:p w14:paraId="6BCB381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E345F5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6A3B60D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2FF84F5"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98945AB" w14:textId="77777777" w:rsidTr="0068667D">
        <w:trPr>
          <w:trHeight w:val="315"/>
        </w:trPr>
        <w:tc>
          <w:tcPr>
            <w:tcW w:w="1613" w:type="pct"/>
            <w:hideMark/>
          </w:tcPr>
          <w:p w14:paraId="4DD5BB5D" w14:textId="0C9CD67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Mannan Binding Lectin Serine Protease 1 </w:t>
            </w:r>
          </w:p>
        </w:tc>
        <w:tc>
          <w:tcPr>
            <w:tcW w:w="791" w:type="pct"/>
            <w:vMerge w:val="restart"/>
            <w:hideMark/>
          </w:tcPr>
          <w:p w14:paraId="1B81CA2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5D35458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Plasma</w:t>
            </w:r>
          </w:p>
        </w:tc>
        <w:tc>
          <w:tcPr>
            <w:tcW w:w="376" w:type="pct"/>
            <w:vMerge w:val="restart"/>
            <w:hideMark/>
          </w:tcPr>
          <w:p w14:paraId="5FB96CEA"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6794262C" w14:textId="7C00333B" w:rsidR="004F2744" w:rsidRPr="00BA2B87" w:rsidRDefault="00276FB5" w:rsidP="00BA2B87">
            <w:pPr>
              <w:spacing w:line="360" w:lineRule="auto"/>
              <w:jc w:val="both"/>
              <w:rPr>
                <w:rFonts w:ascii="Book Antiqua" w:eastAsia="Times New Roman" w:hAnsi="Book Antiqua" w:cs="Calibri"/>
                <w:color w:val="000000"/>
                <w:lang w:val="en-US"/>
              </w:rPr>
            </w:pPr>
            <w:r w:rsidRPr="00BA2B87">
              <w:rPr>
                <w:rFonts w:ascii="Book Antiqua" w:hAnsi="Book Antiqua"/>
              </w:rPr>
              <w:t>Bhardwaj</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{"citationItems":[{"id":"ITEM-1","itemData":{"DOI":"10.3390/cancers11101426","ISSN":"20726694","abstract":"Objective: Plasma protein biomarkers could be an efficient alternative for population-based screening for early detection of colorectal cancer (CRC). The objective of this study was to evaluate and validate plasma proteins individually and as a signature for early detection of CRC. Methods: In a three-stage design, proteins were measured firstly by liquid chromatography/multiple reaction monitoring-mass spectrometry (LC/MRM-MS) and later by proximity extension assay (PEA) in a discovery set consisting of 96 newly diagnosed CRC cases and 94 controls free of neoplasms at screening colonoscopy. Two algorithms (one for each measurement method) were derived by Lasso regression and.632+ bootstrap based on 11 proteins that were included in both the LC/MRM-MS and PEA measurements. Additionally, another algorithm was constructed from the same eleven biomarkers plus amphireglin, the most promising protein marker in the PEA measurements that had not been available from the LC/MRM-MS measurements. Lastly the three prediction signatures were validated with PEA in independent samples of participants of screening colonoscopy (CRC (n = 56), advanced adenoma (n = 101), and participants free of neoplasm (n = 102)). Results: The same four proteins were included in all three prediction signatures; mannan binding lectin serine protease 1, osteopontin, serum paraoxonase lactonase 3 and transferrin receptor protein 1, and the third prediction signature additionally included amphiregulin. In the independent validation set from a true screening setting, the five-marker blood-based signature including AREG presented areas under the curves of 0.82 (95% CI, 0.74-0.89), 0.86 (95% CI, 0.77-0.92) and 0.76 (95% CI, 0.64-0.86) for all, early and late stages CRC, respectively. Conclusion: Two different measurement methods consistently identified four protein markers and an algorithm additionally including amphiregulin, a marker measured by PEA only, showed promising performance for detecting early stage CRC in an independent validation in a true screening setting. These proteins may be potential candidates for blood-based tests for early detection of CRC.","author":[{"dropping-particle":"","family":"Bhardwaj","given":"Megha","non-dropping-particle":"","parse-names":false,"suffix":""},{"dropping-particle":"","family":"Gies","given":"Anton","non-dropping-particle":"","parse-names":false,"suffix":""},{"dropping-particle":"","family":"Weigl","given":"Korbinian","non-dropping-particle":"","parse-names":false,"suffix":""},{"dropping-particle":"","family":"Tikk","given":"Kaja","non-dropping-particle":"","parse-names":false,"suffix":""},{"dropping-particle":"","family":"Benner","given":"Axel","non-dropping-particle":"","parse-names":false,"suffix":""},{"dropping-particle":"","family":"Schrotz-King","given":"Petra","non-dropping-particle":"","parse-names":false,"suffix":""},{"dropping-particle":"","family":"Borchers","given":"Christoph H.","non-dropping-particle":"","parse-names":false,"suffix":""},{"dropping-particle":"","family":"Brenner","given":"Hermann","non-dropping-particle":"","parse-names":false,"suffix":""}],"container-title":"Cancers","id":"ITEM-1","issue":"10","issued":{"date-parts":[["2019"]]},"title":"Evaluation and validation of plasma proteins using two different protein detection methods for early detection of colorectal cancer","type":"article-journal","volume":"11"},"uris":["http://www.mendeley.com/documents/?uuid=2021dbfb-4ae5-40bc-8a1b-d2dd93f87fb8"]}],"mendeley":{"formattedCitation":"&lt;sup&gt;[37]&lt;/sup&gt;","plainTextFormattedCitation":"[37]","previouslyFormattedCitation":"&lt;sup&gt;[37]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[37]</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1B073FE7" w14:textId="77777777" w:rsidTr="0068667D">
        <w:trPr>
          <w:trHeight w:val="249"/>
        </w:trPr>
        <w:tc>
          <w:tcPr>
            <w:tcW w:w="1613" w:type="pct"/>
            <w:hideMark/>
          </w:tcPr>
          <w:p w14:paraId="6242893C" w14:textId="77DD50EC"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Osteopontin</w:t>
            </w:r>
          </w:p>
        </w:tc>
        <w:tc>
          <w:tcPr>
            <w:tcW w:w="791" w:type="pct"/>
            <w:vMerge/>
            <w:hideMark/>
          </w:tcPr>
          <w:p w14:paraId="2D97B40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FE1C28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02F0EDB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6FDD620B"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1BDC971" w14:textId="77777777" w:rsidTr="0068667D">
        <w:trPr>
          <w:trHeight w:val="339"/>
        </w:trPr>
        <w:tc>
          <w:tcPr>
            <w:tcW w:w="1613" w:type="pct"/>
            <w:hideMark/>
          </w:tcPr>
          <w:p w14:paraId="002B4DB9" w14:textId="007673E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Serum Paraoxonase Lactonase 3 </w:t>
            </w:r>
          </w:p>
        </w:tc>
        <w:tc>
          <w:tcPr>
            <w:tcW w:w="791" w:type="pct"/>
            <w:vMerge/>
            <w:hideMark/>
          </w:tcPr>
          <w:p w14:paraId="18516CA7"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6C2103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DF51C7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F524214"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CBB2BD9" w14:textId="77777777" w:rsidTr="0068667D">
        <w:trPr>
          <w:trHeight w:val="432"/>
        </w:trPr>
        <w:tc>
          <w:tcPr>
            <w:tcW w:w="1613" w:type="pct"/>
            <w:hideMark/>
          </w:tcPr>
          <w:p w14:paraId="58E5B52A" w14:textId="5B4A579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Transferrin Receptor Protein 1 </w:t>
            </w:r>
          </w:p>
        </w:tc>
        <w:tc>
          <w:tcPr>
            <w:tcW w:w="791" w:type="pct"/>
            <w:vMerge/>
            <w:hideMark/>
          </w:tcPr>
          <w:p w14:paraId="7F63E02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359C08F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E10FE37"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CF561F1"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D62D467" w14:textId="77777777" w:rsidTr="0068667D">
        <w:trPr>
          <w:trHeight w:val="114"/>
        </w:trPr>
        <w:tc>
          <w:tcPr>
            <w:tcW w:w="1613" w:type="pct"/>
            <w:hideMark/>
          </w:tcPr>
          <w:p w14:paraId="138E00BF" w14:textId="4E0F0570"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Amphiregulin</w:t>
            </w:r>
          </w:p>
        </w:tc>
        <w:tc>
          <w:tcPr>
            <w:tcW w:w="791" w:type="pct"/>
            <w:vMerge/>
            <w:hideMark/>
          </w:tcPr>
          <w:p w14:paraId="49BF5BD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4D33AA70"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21E684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3931A3F"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514E17F" w14:textId="77777777" w:rsidTr="0068667D">
        <w:trPr>
          <w:trHeight w:val="70"/>
        </w:trPr>
        <w:tc>
          <w:tcPr>
            <w:tcW w:w="1613" w:type="pct"/>
            <w:hideMark/>
          </w:tcPr>
          <w:p w14:paraId="037B5474" w14:textId="315066DD"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Adipophilin</w:t>
            </w:r>
          </w:p>
        </w:tc>
        <w:tc>
          <w:tcPr>
            <w:tcW w:w="791" w:type="pct"/>
            <w:hideMark/>
          </w:tcPr>
          <w:p w14:paraId="2D63A24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6256851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Plasma</w:t>
            </w:r>
          </w:p>
        </w:tc>
        <w:tc>
          <w:tcPr>
            <w:tcW w:w="376" w:type="pct"/>
            <w:hideMark/>
          </w:tcPr>
          <w:p w14:paraId="2C3BCB3F"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0CF10336" w14:textId="1CB133BC" w:rsidR="004F2744" w:rsidRPr="00BA2B87" w:rsidRDefault="00AF1501" w:rsidP="00BA2B87">
            <w:pPr>
              <w:spacing w:line="360" w:lineRule="auto"/>
              <w:jc w:val="both"/>
              <w:rPr>
                <w:rFonts w:ascii="Book Antiqua" w:eastAsia="Times New Roman" w:hAnsi="Book Antiqua" w:cs="Calibri"/>
                <w:color w:val="000000"/>
                <w:lang w:val="en-US"/>
              </w:rPr>
            </w:pPr>
            <w:r w:rsidRPr="00BA2B87">
              <w:rPr>
                <w:rFonts w:ascii="Book Antiqua" w:hAnsi="Book Antiqua"/>
              </w:rPr>
              <w:t>Matsubara</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{"citationItems":[{"id":"ITEM-1","itemData":{"DOI":"10.1158/1055-9965.EPI-11-0400","ISSN":"10559965","PMID":"21828233","abstract":"Background: The aim of this study was to identify a new plasma biomarker for use in early detection of colorectal cancer. Methods: Using the combination of hollow fiber membrane (HFM)-based low-molecular weight protein enrichment and two-dimensional image converted analysis of liquid chromatography and mass spectrometry (2DICAL), we compared the plasma proteome of 22 colorectal cancer patients with those of 21 healthy controls. An identified biomarker candidate was then validated in two larger cohorts [validation-1 (n = 210) and validation-2 (n = 113)] using a high-density reverse-phase protein microarray. Results: From a total of 53,009 mass peaks, we identified 103 with an area under curve (AUC) value of 0.80 or higher that could distinguish cancer patients from healthy controls. A peak that increased in colorectal cancer patients, with an AUC of 0.81 and P value of 0.0004 (Mann-Whitney U test), was identified as a product of the PLIN2 gene [also known as perilipin-2, adipose differentiation-related protein (ADRP), or adipophilin]. An increase in plasma adipophilin was consistently observed in colorectal cancer patients, including those with stage I or stage II disease (P &lt; 0.0001, Welch's t test). Immunohistochemical analysis revealed that adipophilin is expressed primarily in the basal sides of colorectal cancer cells forming polarized tubular structures, and that it is absent from adjacent normal intestinal mucosae. Conclusions: Adipophilin is a plasma biomarker potentially useful for the detection of early-stage colorectal cancer. Impact: The combination of HFM and 2DICAL enables the comprehensive analysis of plasma proteins and is ideal for use in all biomarker discovery studies. ©2011 AACR.","author":[{"dropping-particle":"","family":"Matsubara","given":"Junichi","non-dropping-particle":"","parse-names":false,"suffix":""},{"dropping-particle":"","family":"Honda","given":"Kazufumi","non-dropping-particle":"","parse-names":false,"suffix":""},{"dropping-particle":"","family":"Ono","given":"Masaya","non-dropping-particle":"","parse-names":false,"suffix":""},{"dropping-particle":"","family":"Sekine","given":"Shigeki","non-dropping-particle":"","parse-names":false,"suffix":""},{"dropping-particle":"","family":"Tanaka","given":"Yoshinori","non-dropping-particle":"","parse-names":false,"suffix":""},{"dropping-particle":"","family":"Kobayashi","given":"Michimoto","non-dropping-particle":"","parse-names":false,"suffix":""},{"dropping-particle":"","family":"Jung","given":"Giman","non-dropping-particle":"","parse-names":false,"suffix":""},{"dropping-particle":"","family":"Sakuma","given":"Tomohiro","non-dropping-particle":"","parse-names":false,"suffix":""},{"dropping-particle":"","family":"Nakamori","given":"Shoji","non-dropping-particle":"","parse-names":false,"suffix":""},{"dropping-particle":"","family":"Sata","given":"Naohiro","non-dropping-particle":"","parse-names":false,"suffix":""},{"dropping-particle":"","family":"Nagai","given":"Hideo","non-dropping-particle":"","parse-names":false,"suffix":""},{"dropping-particle":"","family":"Ioka","given":"Tatsuya","non-dropping-particle":"","parse-names":false,"suffix":""},{"dropping-particle":"","family":"Okusaka","given":"Takuji","non-dropping-particle":"","parse-names":false,"suffix":""},{"dropping-particle":"","family":"Kosuge","given":"Tomoo","non-dropping-particle":"","parse-names":false,"suffix":""},{"dropping-particle":"","family":"Tsuchida","given":"Akihiko","non-dropping-particle":"","parse-names":false,"suffix":""},{"dropping-particle":"","family":"Shimahara","given":"Masashi","non-dropping-particle":"","parse-names":false,"suffix":""},{"dropping-particle":"","family":"Yasunami","given":"Yohichi","non-dropping-particle":"","parse-names":false,"suffix":""},{"dropping-particle":"","family":"Chiba","given":"Tsutomu","non-dropping-particle":"","parse-names":false,"suffix":""},{"dropping-particle":"","family":"Yamada","given":"Tesshi","non-dropping-particle":"","parse-names":false,"suffix":""}],"container-title":"Cancer Epidemiology Biomarkers and Prevention","id":"ITEM-1","issue":"10","issued":{"date-parts":[["2011"]]},"page":"2195-2203","title":"Identification of adipophilin as a potential plasma biomarker for colorectal cancer using label-free quantitative mass spectrometry and protein microarray","type":"article-journal","volume":"20"},"uris":["http://www.mendeley.com/documents/?uuid=12801bcd-2cdb-4a59-a9d7-8383ab6f9051"]}],"mendeley":{"formattedCitation":"&lt;sup&gt;[41]&lt;/sup&gt;","plainTextFormattedCitation":"[41]","previouslyFormattedCitation":"&lt;sup&gt;[41]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lastRenderedPageBreak/>
              <w:t>2011</w:t>
            </w:r>
          </w:p>
        </w:tc>
      </w:tr>
      <w:tr w:rsidR="002328AB" w:rsidRPr="00BA2B87" w14:paraId="70657B39" w14:textId="77777777" w:rsidTr="0068667D">
        <w:trPr>
          <w:trHeight w:val="315"/>
        </w:trPr>
        <w:tc>
          <w:tcPr>
            <w:tcW w:w="1613" w:type="pct"/>
            <w:hideMark/>
          </w:tcPr>
          <w:p w14:paraId="5D1B856C" w14:textId="7487099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lastRenderedPageBreak/>
              <w:t>Caldesmon 1</w:t>
            </w:r>
          </w:p>
        </w:tc>
        <w:tc>
          <w:tcPr>
            <w:tcW w:w="791" w:type="pct"/>
            <w:vMerge w:val="restart"/>
            <w:hideMark/>
          </w:tcPr>
          <w:p w14:paraId="03DA7A9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6F9DE47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vMerge w:val="restart"/>
            <w:hideMark/>
          </w:tcPr>
          <w:p w14:paraId="1751D15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38D8CE0C" w14:textId="51A8E3D7" w:rsidR="004F2744" w:rsidRPr="00BA2B87" w:rsidRDefault="00AF1501" w:rsidP="00BA2B87">
            <w:pPr>
              <w:spacing w:line="360" w:lineRule="auto"/>
              <w:jc w:val="both"/>
              <w:rPr>
                <w:rFonts w:ascii="Book Antiqua" w:eastAsia="Times New Roman" w:hAnsi="Book Antiqua" w:cs="Calibri"/>
                <w:color w:val="000000"/>
                <w:lang w:val="en-US"/>
              </w:rPr>
            </w:pPr>
            <w:r w:rsidRPr="00BA2B87">
              <w:rPr>
                <w:rFonts w:ascii="Book Antiqua" w:hAnsi="Book Antiqua"/>
                <w:lang w:val="pt-BR"/>
              </w:rPr>
              <w:t>Ilyas</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{"citationItems":[{"id":"ITEM-1","itemData":{"DOI":"10.1186/s40709-020-00118-1","ISSN":"22415793","abstract":"Background: Colorectal cancer is known to be the most common type of cancer worldwide with high disease-related mortality. It is the third most common cancer in men and women and is the second major cause of death globally due to cancer. It is a complicated and fatal disease comprising of a group of molecular heterogeneous disorders. Results: This study identifies the potential biomarkers of CRC through differentially expressed analysis, system biology, and proteomic analysis. Ten publicly available microarray datasets were analyzed and seven potential biomarkers were identified from the list of differentially expressed genes having a p value &lt; 0.05. The expression profiling and the functional enrichment analysis revealed the role of these genes in cell communication, signal transduction, and immune response. The protein-protein interaction showed the functional association of the source genes (CTNNB1, NNMT, PTCH1, CALD1, CXCL14, CXCL8, and TNFAIP3) with the target proteins, such as AXIN, MAPK, IL6, STAT, APC, GSK3B, and SHH. Conclusion: The integrated pathway analysis indicated the role of these genes in important physiological responses, such as cell cycle regulation, WNT, hedgehog, MAPK, and calcium signaling pathways during colorectal cancer. These pathways are involved in cell proliferation, chemotaxis, cellular growth, differentiation, tissue patterning, and cytokine production. The study shows the regulatory role of these genes in colorectal cancer and the pathways that can be effected after the dysregulation of these genes.","author":[{"dropping-particle":"","family":"Ilyas","given":"Umair","non-dropping-particle":"","parse-names":false,"suffix":""},{"dropping-particle":"","family":"Zaman","given":"Shaiq Uz","non-dropping-particle":"","parse-names":false,"suffix":""},{"dropping-particle":"","family":"Altaf","given":"Reem","non-dropping-particle":"","parse-names":false,"suffix":""},{"dropping-particle":"","family":"Nadeem","given":"Humaira","non-dropping-particle":"","parse-names":false,"suffix":""},{"dropping-particle":"","family":"Muhammad","given":"Syed Aun","non-dropping-particle":"","parse-names":false,"suffix":""}],"container-title":"Journal of Biological Research (Greece)","id":"ITEM-1","issue":"1","issued":{"date-parts":[["2020"]]},"page":"1-13","publisher":"BioMed Central","title":"Genome wide meta-analysis of cDNA datasets reveals new target gene signatures of colorectal cancer based on systems biology approach","type":"article-journal","volume":"27"},"uris":["http://www.mendeley.com/documents/?uuid=c04687fd-d3e2-4ed4-ae5b-db575e3182c2"]}],"mendeley":{"formattedCitation":"&lt;sup&gt;[34]&lt;/sup&gt;","plainTextFormattedCitation":"[34]","previouslyFormattedCitation":"&lt;sup&gt;[34]&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[34]</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2020</w:t>
            </w:r>
          </w:p>
        </w:tc>
      </w:tr>
      <w:tr w:rsidR="002328AB" w:rsidRPr="00BA2B87" w14:paraId="24F63717" w14:textId="77777777" w:rsidTr="0068667D">
        <w:trPr>
          <w:trHeight w:val="315"/>
        </w:trPr>
        <w:tc>
          <w:tcPr>
            <w:tcW w:w="1613" w:type="pct"/>
            <w:hideMark/>
          </w:tcPr>
          <w:p w14:paraId="003523E2" w14:textId="7B870558"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Catenin Beta 1</w:t>
            </w:r>
          </w:p>
        </w:tc>
        <w:tc>
          <w:tcPr>
            <w:tcW w:w="791" w:type="pct"/>
            <w:vMerge/>
            <w:hideMark/>
          </w:tcPr>
          <w:p w14:paraId="11AE576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85C4DD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822C1C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8717DDC"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3F36DB9" w14:textId="77777777" w:rsidTr="0068667D">
        <w:trPr>
          <w:trHeight w:val="336"/>
        </w:trPr>
        <w:tc>
          <w:tcPr>
            <w:tcW w:w="1613" w:type="pct"/>
            <w:hideMark/>
          </w:tcPr>
          <w:p w14:paraId="14AC42DA" w14:textId="05E502F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rPr>
              <w:t xml:space="preserve">C-X-C Motif Chemokine Ligand 14 </w:t>
            </w:r>
          </w:p>
        </w:tc>
        <w:tc>
          <w:tcPr>
            <w:tcW w:w="791" w:type="pct"/>
            <w:vMerge/>
            <w:hideMark/>
          </w:tcPr>
          <w:p w14:paraId="2F8D6257"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E025F7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C1583D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06EC11F"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45C1F44" w14:textId="77777777" w:rsidTr="0068667D">
        <w:trPr>
          <w:trHeight w:val="316"/>
        </w:trPr>
        <w:tc>
          <w:tcPr>
            <w:tcW w:w="1613" w:type="pct"/>
            <w:hideMark/>
          </w:tcPr>
          <w:p w14:paraId="1CC5132C" w14:textId="3DAFC3A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Protein patched homolog 1</w:t>
            </w:r>
          </w:p>
        </w:tc>
        <w:tc>
          <w:tcPr>
            <w:tcW w:w="791" w:type="pct"/>
            <w:vMerge/>
            <w:hideMark/>
          </w:tcPr>
          <w:p w14:paraId="4F7D507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1584E6B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694F2C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3B32510C"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C3F7ADA" w14:textId="77777777" w:rsidTr="0068667D">
        <w:trPr>
          <w:trHeight w:val="945"/>
        </w:trPr>
        <w:tc>
          <w:tcPr>
            <w:tcW w:w="1613" w:type="pct"/>
            <w:hideMark/>
          </w:tcPr>
          <w:p w14:paraId="2D282861" w14:textId="11A378A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Interleukin-8, Tumor necrosis factor-alpha induced protein 3, Nicotinamide N-methyltransferase </w:t>
            </w:r>
          </w:p>
        </w:tc>
        <w:tc>
          <w:tcPr>
            <w:tcW w:w="791" w:type="pct"/>
            <w:vMerge/>
            <w:hideMark/>
          </w:tcPr>
          <w:p w14:paraId="78A1DF4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500E43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E40F2D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5CB0231A"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48A0862A" w14:textId="77777777" w:rsidTr="0068667D">
        <w:trPr>
          <w:trHeight w:val="315"/>
        </w:trPr>
        <w:tc>
          <w:tcPr>
            <w:tcW w:w="1613" w:type="pct"/>
            <w:hideMark/>
          </w:tcPr>
          <w:p w14:paraId="5A58F84D" w14:textId="475977DD"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rPr>
              <w:t xml:space="preserve">Mitogen-activated protein kinase </w:t>
            </w:r>
          </w:p>
        </w:tc>
        <w:tc>
          <w:tcPr>
            <w:tcW w:w="791" w:type="pct"/>
            <w:vMerge/>
            <w:hideMark/>
          </w:tcPr>
          <w:p w14:paraId="223A8C9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3B308F4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0F4FAB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61425415"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59E14F8E" w14:textId="77777777" w:rsidTr="0068667D">
        <w:trPr>
          <w:trHeight w:val="625"/>
        </w:trPr>
        <w:tc>
          <w:tcPr>
            <w:tcW w:w="1613" w:type="pct"/>
            <w:hideMark/>
          </w:tcPr>
          <w:p w14:paraId="4D5A4228" w14:textId="27A2D053" w:rsidR="004F2744" w:rsidRPr="00BA2B87" w:rsidRDefault="00AA044F" w:rsidP="00BA2B87">
            <w:pPr>
              <w:spacing w:line="360" w:lineRule="auto"/>
              <w:jc w:val="both"/>
              <w:rPr>
                <w:rFonts w:ascii="Book Antiqua" w:eastAsia="Times New Roman" w:hAnsi="Book Antiqua" w:cs="Calibri"/>
                <w:lang w:val="en-US"/>
              </w:rPr>
            </w:pPr>
            <w:hyperlink r:id="rId10" w:history="1">
              <w:r w:rsidR="004F2744" w:rsidRPr="00BA2B87">
                <w:rPr>
                  <w:rFonts w:ascii="Book Antiqua" w:eastAsia="Times New Roman" w:hAnsi="Book Antiqua" w:cs="Calibri"/>
                </w:rPr>
                <w:t>Adenomatous polyposis coli</w:t>
              </w:r>
            </w:hyperlink>
          </w:p>
        </w:tc>
        <w:tc>
          <w:tcPr>
            <w:tcW w:w="791" w:type="pct"/>
            <w:vMerge/>
            <w:hideMark/>
          </w:tcPr>
          <w:p w14:paraId="1AA8D43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9E334F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C7333B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6A946486"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C12321C" w14:textId="77777777" w:rsidTr="0068667D">
        <w:trPr>
          <w:trHeight w:val="70"/>
        </w:trPr>
        <w:tc>
          <w:tcPr>
            <w:tcW w:w="1613" w:type="pct"/>
            <w:hideMark/>
          </w:tcPr>
          <w:p w14:paraId="33B5E37D" w14:textId="7E1B44B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Zinc finger protein </w:t>
            </w:r>
          </w:p>
        </w:tc>
        <w:tc>
          <w:tcPr>
            <w:tcW w:w="791" w:type="pct"/>
            <w:vMerge/>
            <w:hideMark/>
          </w:tcPr>
          <w:p w14:paraId="63E4F14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108F37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F71827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30A7AFDB"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600E6E1" w14:textId="77777777" w:rsidTr="0068667D">
        <w:trPr>
          <w:trHeight w:val="170"/>
        </w:trPr>
        <w:tc>
          <w:tcPr>
            <w:tcW w:w="1613" w:type="pct"/>
            <w:hideMark/>
          </w:tcPr>
          <w:p w14:paraId="511935EF" w14:textId="7727CAA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Serine/Threonine Kinase 4 </w:t>
            </w:r>
          </w:p>
        </w:tc>
        <w:tc>
          <w:tcPr>
            <w:tcW w:w="791" w:type="pct"/>
            <w:hideMark/>
          </w:tcPr>
          <w:p w14:paraId="4F3702E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0C76C25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430A517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7DE3C4C6" w14:textId="12675392" w:rsidR="004F2744" w:rsidRPr="00BA2B87" w:rsidRDefault="00AF1501" w:rsidP="00BA2B87">
            <w:pPr>
              <w:spacing w:line="360" w:lineRule="auto"/>
              <w:jc w:val="both"/>
              <w:rPr>
                <w:rFonts w:ascii="Book Antiqua" w:eastAsia="Times New Roman" w:hAnsi="Book Antiqua" w:cs="Calibri"/>
                <w:color w:val="000000"/>
                <w:lang w:val="en-US"/>
              </w:rPr>
            </w:pPr>
            <w:r w:rsidRPr="00BA2B87">
              <w:rPr>
                <w:rFonts w:ascii="Book Antiqua" w:hAnsi="Book Antiqua"/>
              </w:rPr>
              <w:t>Yu</w:t>
            </w:r>
            <w:r w:rsidRPr="00BA2B87">
              <w:rPr>
                <w:rFonts w:ascii="Book Antiqua" w:hAnsi="Book Antiqua"/>
                <w:b/>
                <w:bCs/>
              </w:rPr>
              <w:t xml:space="preserve">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{"citationItems":[{"id":"ITEM-1","itemData":{"DOI":"10.1038/s41598-017-14539-x","ISBN":"4159801714","ISSN":"20452322","PMID":"29079854","abstract":"Colorectal cancer (CRC) is a common malignant neoplasm worldwide. It is important to identify new biomarkers for the early detection of CRC. In this study, magnetic beads and the Matrix-assisted laser desorption/ionization time-of-flight mass spectrometry (MALDI-TOF-MS) platform were used to analyse CRC and healthy control (HC) serum samples. The CRC diagnosis pattern was established to have a specificity of 94.7% and sensitivity of 92.3% in a blind test. The candidate biomarker serine/threonine kinase 4 (STK4, also known as MST1) was identified by Tandem mass spectrometry (MS/MS) and verified with western blotting and enzyme-linked immunosorbent assay (ELISA). The results indicated that there was a higher concentration of MST1 in HC subjects than stage I CRC patients for the early detection of CRC and a lower concentration in stage IV patients than in other CRC patients. The sensitivity and specificity of MST1 combined with carcinoembryonic antigen (CEA) and faecal occult blood test (FOBT) in diagnosis of colorectal cancer were 92.3% and 100%, respectively. Additionally, low MST1 expression was associated with the poor prognosis. These results illustrate that MST1 is a potential biomarker for early detection, prognosis and prediction of distant metastasis of CRC.","author":[{"dropping-particle":"","family":"Yu","given":"Jiekai","non-dropping-particle":"","parse-names":false,"suffix":""},{"dropping-particle":"","family":"Zhai","given":"Xiaohui","non-dropping-particle":"","parse-names":false,"suffix":""},{"dropping-particle":"","family":"Li","given":"Xiaofen","non-dropping-particle":"","parse-names":false,"suffix":""},{"dropping-particle":"","family":"Zhong","given":"Chenhan","non-dropping-particle":"","parse-names":false,"suffix":""},{"dropping-particle":"","family":"Guo","given":"Cheng","non-dropping-particle":"","parse-names":false,"suffix":""},{"dropping-particle":"","family":"Yang","given":"Fuquan","non-dropping-particle":"","parse-names":false,"suffix":""},{"dropping-particle":"","family":"Yuan","given":"Ying","non-dropping-particle":"","parse-names":false,"suffix":""},{"dropping-particle":"","family":"Zheng","given":"Shu","non-dropping-particle":"","parse-names":false,"suffix":""}],"container-title":"Scientific Reports","id":"ITEM-1","issue":"1","issued":{"date-parts":[["2017"]]},"page":"1-10","publisher":"Springer US","title":"Identification of MST1 as a potential early detection biomarker for colorectal cancer through a proteomic approach","type":"article-journal","volume":"7"},"uris":["http://www.mendeley.com/documents/?uuid=4d54a8e4-d023-4345-8590-8f02d77d8fd8"]}],"mendeley":{"formattedCitation":"&lt;sup&gt;[38]&lt;/sup&gt;","plainTextFormattedCitation":"[38]","previouslyFormattedCitation":"&lt;sup&gt;[38]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[38]</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1DA6C644" w14:textId="77777777" w:rsidTr="0068667D">
        <w:trPr>
          <w:trHeight w:val="136"/>
        </w:trPr>
        <w:tc>
          <w:tcPr>
            <w:tcW w:w="1613" w:type="pct"/>
            <w:hideMark/>
          </w:tcPr>
          <w:p w14:paraId="0BA5FE76" w14:textId="4BCD3801" w:rsidR="004F2744" w:rsidRPr="00BA2B87" w:rsidRDefault="002328AB"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M</w:t>
            </w:r>
            <w:r w:rsidR="004F2744" w:rsidRPr="00BA2B87">
              <w:rPr>
                <w:rFonts w:ascii="Book Antiqua" w:eastAsia="Times New Roman" w:hAnsi="Book Antiqua" w:cs="Calibri"/>
                <w:lang w:val="en-US"/>
              </w:rPr>
              <w:t xml:space="preserve">acrophage mannose receptor 1 </w:t>
            </w:r>
          </w:p>
        </w:tc>
        <w:tc>
          <w:tcPr>
            <w:tcW w:w="791" w:type="pct"/>
            <w:vMerge w:val="restart"/>
            <w:hideMark/>
          </w:tcPr>
          <w:p w14:paraId="7A1FBB9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2E6CC86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val="restart"/>
            <w:hideMark/>
          </w:tcPr>
          <w:p w14:paraId="1E50FFF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2477A94D" w14:textId="0CA10978"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Fan</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{"citationItems":[{"id":"ITEM-1","itemData":{"DOI":"10.3233/CBM-150560","ISSN":"18758592","PMID":"26682511","abstract":"BACKGROUND: Simple blood tests that could be used for early detection are crucial for the ultimate control and prevention of colorectal cancer (CRC). In this study, we performed a serum proteomic analysis of CRC and health volunteers to identify the novel biomarkers involved in CRC. METHOD: A shotgun proteomic method was applied to identify serum proteins in the serum samples of three CRC and three health volunteers using a combination of high-performance liquid chromatography and mass spectrometry. Label-free protein profiling was conducted to quantify the proteins and compare the profiles of the CRC and health volunteers. Two differentially expressed proteins were further validated by western blot analysis. Quantity analysis was performed through enzyme linked immunosorbent assay (ELISA) in serum from 96 healthy and 118 CRC volunteers. RESULTS: Among of the 373 identified proteins, 69 were linked to CRC (33 upregulated and 36 downregulated). The Gene Ontology and DAVID databases were used to identify the location and function of the different proteins. Among the 69 proteins linked to CRC, two proteins, namely, macrophage mannose receptor 1 (MRC1) and S100A9, were verified to be upregulated in CRC by western blot analysis and could be used to identify CRC from healthy volunteers with high accuracy through ELISA analysis. CONCLUSION: MRC1 and S100A9 may contribute to the determination of the mechanisms and screening involved in CRC.","author":[{"dropping-particle":"","family":"Fan","given":"Nai Jun","non-dropping-particle":"","parse-names":false,"suffix":""},{"dropping-particle":"","family":"Chen","given":"Hong Mei","non-dropping-particle":"","parse-names":false,"suffix":""},{"dropping-particle":"","family":"Song","given":"Wei","non-dropping-particle":"","parse-names":false,"suffix":""},{"dropping-particle":"","family":"Zhang","given":"Zhan Yang","non-dropping-particle":"","parse-names":false,"suffix":""},{"dropping-particle":"","family":"Zhang","given":"Miao Dan","non-dropping-particle":"","parse-names":false,"suffix":""},{"dropping-particle":"","family":"Feng","given":"Li Ying","non-dropping-particle":"","parse-names":false,"suffix":""},{"dropping-particle":"","family":"Gao","given":"Chun Fang","non-dropping-particle":"","parse-names":false,"suffix":""}],"container-title":"Cancer Biomarkers","id":"ITEM-1","issue":"2","issued":{"date-parts":[["2016"]]},"page":"235-243","title":"Macrophage mannose receptor 1 and S100A9 were identified as serum diagnostic biomarkers for colorectal cancer through a label-free quantitative proteomic analysis","type":"article-journal","volume":"16"},"uris":["http://www.mendeley.com/documents/?uuid=feafa248-18cd-42a7-8884-ca3ccf948436"]}],"mendeley":{"formattedCitation":"&lt;sup&gt;[39]&lt;/sup&gt;","plainTextFormattedCitation":"[39]","previouslyFormattedCitation":"&lt;sup&gt;[39]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[39]</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2C20F317" w14:textId="77777777" w:rsidTr="0068667D">
        <w:trPr>
          <w:trHeight w:val="372"/>
        </w:trPr>
        <w:tc>
          <w:tcPr>
            <w:tcW w:w="1613" w:type="pct"/>
            <w:hideMark/>
          </w:tcPr>
          <w:p w14:paraId="2210E9A2" w14:textId="1AEA550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S100 calcium binding protein </w:t>
            </w:r>
          </w:p>
        </w:tc>
        <w:tc>
          <w:tcPr>
            <w:tcW w:w="791" w:type="pct"/>
            <w:vMerge/>
            <w:hideMark/>
          </w:tcPr>
          <w:p w14:paraId="7DDFB7E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0A9F00C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0ED561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C0D7A7C"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A68388D" w14:textId="77777777" w:rsidTr="0068667D">
        <w:trPr>
          <w:trHeight w:val="337"/>
        </w:trPr>
        <w:tc>
          <w:tcPr>
            <w:tcW w:w="1613" w:type="pct"/>
            <w:hideMark/>
          </w:tcPr>
          <w:p w14:paraId="071A7F91" w14:textId="2ACDD9F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Alpha-1-antitrypsin </w:t>
            </w:r>
          </w:p>
        </w:tc>
        <w:tc>
          <w:tcPr>
            <w:tcW w:w="791" w:type="pct"/>
            <w:vMerge w:val="restart"/>
            <w:hideMark/>
          </w:tcPr>
          <w:p w14:paraId="1E9C98B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789BA9C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vMerge w:val="restart"/>
            <w:hideMark/>
          </w:tcPr>
          <w:p w14:paraId="06CD167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04E32DFF" w14:textId="592345FF"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Peltier</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{"citationItems":[{"id":"ITEM-1","itemData":{"DOI":"10.1016/j.jprot.2016.07.031","ISSN":"18767737","PMID":"27492143","abstract":"Colorectal cancer (CRC) remains a major cause of cancer related-death in developed countries. The mortality risk is correlated with the stage of CRC determined at the primary diagnosis and early diagnosis is associated with enhanced survival rate. Currently, only faecal occult blood tests are used to screen for CRC. Consequently, there is an incentive to identify specific markers of CRC. We used quantitative proteomic analysis of serum samples to characterize protein profiles in adenoma, CRC and healthy control samples. We identified 89 distinct proteins modulated between normal, colorectal adenoma and carcinoma patients. This list emphasizes proteins involved in enzyme regulator activities and in particular the serpin family. In serum samples, protein profiles of three members of the serpin family (SERPINA1, SERPINA3 and SERPINC1) were confirmed by ELISA assays. We obtained sensitivity/specificity values of 95%/95% for both SERPINA1 and SERPINC1, and 95%/55% for SERPINA3. This study supports the idea that serum proteins can discriminate adenoma and CRC patients from unaffected patients and reveals a panel of regulated proteins that might be useful for selecting patients for colonoscopy. By evaluating SERPINA1, SERPINA3 and SERPINC1, we highlight the potential role of the serpin family during the development and progression of CRC. Significance Colorectal cancer (CRC) remains a major cause of cancer mortality throughout the world. However, very few CRC biomarkers have satisfactory sensitivity and specificity in clinical practice. To the best of our knowledge our study is the first to profile sera proteomes between adenoma, CRC and healthy patients. We report a comprehensive list of proteins that may be used as early diagnostic biomarkers of CRC. It is noteworthy that 17% of these modulated proteins have been previously described as candidate biomarkers in CRC. Enzyme regulator activity was found to be the main molecular function among these proteins and, in particular, there was an enrichment of members of the serpin family. The subsequent verification on a new cohort by ELISA demonstrates that these serpins could be useful to discriminate healthy from colorectal carcinoma patients with a high sensitivity and specificity. The combination of these biomarkers should increase predictive powers of CRC diagnosis. The remaining candidates form a reserve for further evaluation of additional biomarkers for CRC diagnosis.","author":[{"dropping-particle":"","family":"Peltier","given":"Julien","non-dropping-particle":"","parse-names":false,"suffix":""},{"dropping-particle":"","family":"Roperch","given":"Jean Pierre","non-dropping-particle":"","parse-names":false,"suffix":""},{"dropping-particle":"","family":"Audebert","given":"Stéphane","non-dropping-particle":"","parse-names":false,"suffix":""},{"dropping-particle":"","family":"Borg","given":"Jean Paul","non-dropping-particle":"","parse-names":false,"suffix":""},{"dropping-particle":"","family":"Camoin","given":"Luc","non-dropping-particle":"","parse-names":false,"suffix":""}],"container-title":"Journal of Proteomics","id":"ITEM-1","issued":{"date-parts":[["2016"]]},"page":"139-148","publisher":"Elsevier B.V.","title":"Quantitative proteomic analysis exploring progression of colorectal cancer: Modulation of the serpin family","type":"article-journal","volume":"148"},"uris":["http://www.mendeley.com/documents/?uuid=f42e3552-16ba-42e9-8449-1f8b3b89c124"]}],"mendeley":{"formattedCitation":"&lt;sup&gt;[40]&lt;/sup&gt;","plainTextFormattedCitation":"[40]","previouslyFormattedCitation":"&lt;sup&gt;[40]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[40]</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1472BA31" w14:textId="77777777" w:rsidTr="0068667D">
        <w:trPr>
          <w:trHeight w:val="431"/>
        </w:trPr>
        <w:tc>
          <w:tcPr>
            <w:tcW w:w="1613" w:type="pct"/>
            <w:hideMark/>
          </w:tcPr>
          <w:p w14:paraId="2B4E3372" w14:textId="3630D24C"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Alpha-1-antichymotrypsin </w:t>
            </w:r>
          </w:p>
        </w:tc>
        <w:tc>
          <w:tcPr>
            <w:tcW w:w="791" w:type="pct"/>
            <w:vMerge/>
            <w:hideMark/>
          </w:tcPr>
          <w:p w14:paraId="7218550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A84069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25FD256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7B9168E9"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07B20B60" w14:textId="77777777" w:rsidTr="0068667D">
        <w:trPr>
          <w:trHeight w:val="398"/>
        </w:trPr>
        <w:tc>
          <w:tcPr>
            <w:tcW w:w="1613" w:type="pct"/>
            <w:hideMark/>
          </w:tcPr>
          <w:p w14:paraId="105DB3E8" w14:textId="0A006C1A"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Anti- Thombin 3 </w:t>
            </w:r>
          </w:p>
        </w:tc>
        <w:tc>
          <w:tcPr>
            <w:tcW w:w="791" w:type="pct"/>
            <w:hideMark/>
          </w:tcPr>
          <w:p w14:paraId="75CB976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1E7C5F9A"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246C634D"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6D2A37F8" w14:textId="37E633D0"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Peltier</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{"citationItems":[{"id":"ITEM-1","itemData":{"DOI":"10.1016/j.jprot.2016.07.031","ISSN":"18767737","PMID":"27492143","abstract":"Colorectal cancer (CRC) remains a major cause of cancer related-death in developed countries. The mortality risk is correlated with the stage of CRC determined at the primary diagnosis and early diagnosis is associated with enhanced survival rate. Currently, only faecal occult blood tests are used to screen for CRC. Consequently, there is an incentive to identify specific markers of CRC. We used quantitative proteomic analysis of serum samples to characterize protein profiles in adenoma, CRC and healthy control samples. We identified 89 distinct proteins modulated between normal, colorectal adenoma and carcinoma patients. This list emphasizes proteins involved in enzyme regulator activities and in particular the serpin family. In serum samples, protein profiles of three members of the serpin family (SERPINA1, SERPINA3 and SERPINC1) were confirmed by ELISA assays. We obtained sensitivity/specificity values of 95%/95% for both SERPINA1 and SERPINC1, and 95%/55% for SERPINA3. This study supports the idea that serum proteins can discriminate adenoma and CRC patients from unaffected patients and reveals a panel of regulated proteins that might be useful for selecting patients for colonoscopy. By evaluating SERPINA1, SERPINA3 and SERPINC1, we highlight the potential role of the serpin family during the development and progression of CRC. Significance Colorectal cancer (CRC) remains a major cause of cancer mortality throughout the world. However, very few CRC biomarkers have satisfactory sensitivity and specificity in clinical practice. To the best of our knowledge our study is the first to profile sera proteomes between adenoma, CRC and healthy patients. We report a comprehensive list of proteins that may be used as early diagnostic biomarkers of CRC. It is noteworthy that 17% of these modulated proteins have been previously described as candidate biomarkers in CRC. Enzyme regulator activity was found to be the main molecular function among these proteins and, in particular, there was an enrichment of members of the serpin family. The subsequent verification on a new cohort by ELISA demonstrates that these serpins could be useful to discriminate healthy from colorectal carcinoma patients with a high sensitivity and specificity. The combination of these biomarkers should increase predictive powers of CRC diagnosis. The remaining candidates form a reserve for further evaluation of additional biomarkers for CRC diagnosis.","author":[{"dropping-particle":"","family":"Peltier","given":"Julien","non-dropping-particle":"","parse-names":false,"suffix":""},{"dropping-particle":"","family":"Roperch","given":"Jean Pierre","non-dropping-particle":"","parse-names":false,"suffix":""},{"dropping-particle":"","family":"Audebert","given":"Stéphane","non-dropping-particle":"","parse-names":false,"suffix":""},{"dropping-particle":"","family":"Borg","given":"Jean Paul","non-dropping-particle":"","parse-names":false,"suffix":""},{"dropping-particle":"","family":"Camoin","given":"Luc","non-dropping-particle":"","parse-names":false,"suffix":""}],"container-title":"Journal of Proteomics","id":"ITEM-1","issued":{"date-parts":[["2016"]]},"page":"139-148","publisher":"Elsevier B.V.","title":"Quantitative proteomic analysis exploring progression of colorectal cancer: Modulation of the serpin family","type":"article-journal","volume":"148"},"uris":["http://www.mendeley.com/documents/?uuid=f42e3552-16ba-42e9-8449-1f8b3b89c124"]}],"mendeley":{"formattedCitation":"&lt;sup&gt;[40]&lt;/sup&gt;","plainTextFormattedCitation":"[40]","previouslyFormattedCitation":"&lt;sup&gt;[40]&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[40]</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2016</w:t>
            </w:r>
          </w:p>
        </w:tc>
      </w:tr>
      <w:tr w:rsidR="002328AB" w:rsidRPr="00BA2B87" w14:paraId="0962B9E0" w14:textId="77777777" w:rsidTr="0068667D">
        <w:trPr>
          <w:trHeight w:val="464"/>
        </w:trPr>
        <w:tc>
          <w:tcPr>
            <w:tcW w:w="1613" w:type="pct"/>
            <w:hideMark/>
          </w:tcPr>
          <w:p w14:paraId="546B131A" w14:textId="4D3FE7A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3- Hydroxybutyric Acid </w:t>
            </w:r>
          </w:p>
        </w:tc>
        <w:tc>
          <w:tcPr>
            <w:tcW w:w="791" w:type="pct"/>
            <w:hideMark/>
          </w:tcPr>
          <w:p w14:paraId="2AC8B340" w14:textId="77777777" w:rsidR="004F2744" w:rsidRPr="00BA2B87" w:rsidRDefault="004F2744" w:rsidP="00BA2B87">
            <w:pPr>
              <w:spacing w:line="360" w:lineRule="auto"/>
              <w:jc w:val="both"/>
              <w:rPr>
                <w:rFonts w:ascii="Book Antiqua" w:eastAsia="Times New Roman" w:hAnsi="Book Antiqua" w:cs="Calibri"/>
                <w:lang w:val="en-US"/>
              </w:rPr>
            </w:pPr>
          </w:p>
        </w:tc>
        <w:tc>
          <w:tcPr>
            <w:tcW w:w="1050" w:type="pct"/>
            <w:hideMark/>
          </w:tcPr>
          <w:p w14:paraId="709159D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132F904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22BEB642" w14:textId="2EB98C9B"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Ma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[43]</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5CF149AF" w14:textId="77777777" w:rsidTr="0068667D">
        <w:trPr>
          <w:trHeight w:val="572"/>
        </w:trPr>
        <w:tc>
          <w:tcPr>
            <w:tcW w:w="1613" w:type="pct"/>
            <w:hideMark/>
          </w:tcPr>
          <w:p w14:paraId="2B818D2F" w14:textId="27A6D31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rPr>
              <w:t xml:space="preserve">Microtubule Actin Crosslinking Factor 1 </w:t>
            </w:r>
          </w:p>
        </w:tc>
        <w:tc>
          <w:tcPr>
            <w:tcW w:w="791" w:type="pct"/>
            <w:hideMark/>
          </w:tcPr>
          <w:p w14:paraId="2412108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hideMark/>
          </w:tcPr>
          <w:p w14:paraId="640FE2D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507DC12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03688CE1" w14:textId="4705551E" w:rsidR="004F2744" w:rsidRPr="00BA2B87" w:rsidRDefault="00827ABD" w:rsidP="00BA2B87">
            <w:pPr>
              <w:spacing w:line="360" w:lineRule="auto"/>
              <w:jc w:val="both"/>
              <w:rPr>
                <w:rFonts w:ascii="Book Antiqua" w:eastAsia="Times New Roman" w:hAnsi="Book Antiqua" w:cs="Calibri"/>
                <w:color w:val="000000"/>
                <w:lang w:val="pt-BR"/>
              </w:rPr>
            </w:pPr>
            <w:r w:rsidRPr="00BA2B87">
              <w:rPr>
                <w:rFonts w:ascii="Book Antiqua" w:hAnsi="Book Antiqua"/>
              </w:rPr>
              <w:t xml:space="preserve">Ma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w:instrText>
            </w:r>
            <w:r w:rsidRPr="00BA2B87">
              <w:rPr>
                <w:rFonts w:ascii="Book Antiqua" w:eastAsia="Times New Roman" w:hAnsi="Book Antiqua" w:cs="Calibri"/>
                <w:color w:val="000000"/>
                <w:lang w:val="pt-BR"/>
              </w:rPr>
              <w:instrText>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pt-BR"/>
              </w:rPr>
              <w:t>[43]</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pt-BR"/>
              </w:rPr>
              <w:t>, 2012</w:t>
            </w:r>
          </w:p>
        </w:tc>
      </w:tr>
      <w:tr w:rsidR="002328AB" w:rsidRPr="00BA2B87" w14:paraId="7A7F71B6" w14:textId="77777777" w:rsidTr="0068667D">
        <w:trPr>
          <w:trHeight w:val="74"/>
        </w:trPr>
        <w:tc>
          <w:tcPr>
            <w:tcW w:w="1613" w:type="pct"/>
            <w:hideMark/>
          </w:tcPr>
          <w:p w14:paraId="2FA4B663" w14:textId="45FC5ED6" w:rsidR="004F2744" w:rsidRPr="00BA2B87" w:rsidRDefault="004F2744" w:rsidP="00BA2B87">
            <w:pPr>
              <w:spacing w:line="360" w:lineRule="auto"/>
              <w:jc w:val="both"/>
              <w:rPr>
                <w:rFonts w:ascii="Book Antiqua" w:eastAsia="Times New Roman" w:hAnsi="Book Antiqua" w:cs="Calibri"/>
                <w:lang w:val="pt-BR"/>
              </w:rPr>
            </w:pPr>
            <w:r w:rsidRPr="00BA2B87">
              <w:rPr>
                <w:rFonts w:ascii="Book Antiqua" w:eastAsia="Times New Roman" w:hAnsi="Book Antiqua" w:cs="Calibri"/>
                <w:lang w:val="pt-BR"/>
              </w:rPr>
              <w:t xml:space="preserve">L-Valine </w:t>
            </w:r>
          </w:p>
        </w:tc>
        <w:tc>
          <w:tcPr>
            <w:tcW w:w="791" w:type="pct"/>
            <w:vMerge w:val="restart"/>
            <w:hideMark/>
          </w:tcPr>
          <w:p w14:paraId="5CF5B873"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Amino acid</w:t>
            </w:r>
          </w:p>
        </w:tc>
        <w:tc>
          <w:tcPr>
            <w:tcW w:w="1050" w:type="pct"/>
            <w:vMerge w:val="restart"/>
            <w:hideMark/>
          </w:tcPr>
          <w:p w14:paraId="59B1EE5D"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Serum</w:t>
            </w:r>
          </w:p>
        </w:tc>
        <w:tc>
          <w:tcPr>
            <w:tcW w:w="376" w:type="pct"/>
            <w:vMerge w:val="restart"/>
            <w:hideMark/>
          </w:tcPr>
          <w:p w14:paraId="1A1256C8" w14:textId="77777777" w:rsidR="004F2744" w:rsidRPr="00BA2B87" w:rsidRDefault="004F2744" w:rsidP="00BA2B87">
            <w:pPr>
              <w:spacing w:line="360" w:lineRule="auto"/>
              <w:jc w:val="both"/>
              <w:rPr>
                <w:rFonts w:ascii="Book Antiqua" w:eastAsia="Times New Roman" w:hAnsi="Book Antiqua" w:cs="Calibri"/>
                <w:color w:val="000000"/>
                <w:lang w:val="pt-BR"/>
              </w:rPr>
            </w:pPr>
            <w:r w:rsidRPr="00BA2B87">
              <w:rPr>
                <w:rFonts w:ascii="Book Antiqua" w:eastAsia="Times New Roman" w:hAnsi="Book Antiqua" w:cs="Calibri"/>
                <w:color w:val="000000"/>
                <w:lang w:val="pt-BR"/>
              </w:rPr>
              <w:t>↓</w:t>
            </w:r>
          </w:p>
        </w:tc>
        <w:tc>
          <w:tcPr>
            <w:tcW w:w="1170" w:type="pct"/>
            <w:vMerge w:val="restart"/>
            <w:hideMark/>
          </w:tcPr>
          <w:p w14:paraId="4C97E6D6" w14:textId="22263172"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Ma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pt-BR"/>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w:instrText>
            </w:r>
            <w:r w:rsidRPr="00BA2B87">
              <w:rPr>
                <w:rFonts w:ascii="Book Antiqua" w:eastAsia="Times New Roman" w:hAnsi="Book Antiqua" w:cs="Calibri"/>
                <w:color w:val="000000"/>
                <w:lang w:val="en-US"/>
              </w:rPr>
              <w:instrText>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[43]</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2695FEF3" w14:textId="77777777" w:rsidTr="0068667D">
        <w:trPr>
          <w:trHeight w:val="315"/>
        </w:trPr>
        <w:tc>
          <w:tcPr>
            <w:tcW w:w="1613" w:type="pct"/>
            <w:hideMark/>
          </w:tcPr>
          <w:p w14:paraId="063A4862" w14:textId="7DCF16E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L-Threonine</w:t>
            </w:r>
          </w:p>
        </w:tc>
        <w:tc>
          <w:tcPr>
            <w:tcW w:w="791" w:type="pct"/>
            <w:vMerge/>
            <w:hideMark/>
          </w:tcPr>
          <w:p w14:paraId="04F7956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92BFE1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7BF987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C49CEF9"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0BD4CE3" w14:textId="77777777" w:rsidTr="0068667D">
        <w:trPr>
          <w:trHeight w:val="141"/>
        </w:trPr>
        <w:tc>
          <w:tcPr>
            <w:tcW w:w="1613" w:type="pct"/>
            <w:hideMark/>
          </w:tcPr>
          <w:p w14:paraId="6362779B"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1-Deoxyglucose</w:t>
            </w:r>
          </w:p>
        </w:tc>
        <w:tc>
          <w:tcPr>
            <w:tcW w:w="791" w:type="pct"/>
            <w:vMerge/>
            <w:hideMark/>
          </w:tcPr>
          <w:p w14:paraId="5393728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5A9CF96F"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319FC1A"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6E9570D"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76BEE52" w14:textId="77777777" w:rsidTr="0068667D">
        <w:trPr>
          <w:trHeight w:val="232"/>
        </w:trPr>
        <w:tc>
          <w:tcPr>
            <w:tcW w:w="1613" w:type="pct"/>
            <w:hideMark/>
          </w:tcPr>
          <w:p w14:paraId="593B7F06" w14:textId="0CAE699F"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Glycine</w:t>
            </w:r>
          </w:p>
        </w:tc>
        <w:tc>
          <w:tcPr>
            <w:tcW w:w="791" w:type="pct"/>
            <w:vMerge/>
            <w:hideMark/>
          </w:tcPr>
          <w:p w14:paraId="5A84EBDC"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3859393B"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51F54BE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4A6D8AA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0452D9E" w14:textId="77777777" w:rsidTr="0068667D">
        <w:trPr>
          <w:trHeight w:val="235"/>
        </w:trPr>
        <w:tc>
          <w:tcPr>
            <w:tcW w:w="1613" w:type="pct"/>
            <w:hideMark/>
          </w:tcPr>
          <w:p w14:paraId="32A2A398" w14:textId="1A16BA2D"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Apolipoprotein H </w:t>
            </w:r>
          </w:p>
        </w:tc>
        <w:tc>
          <w:tcPr>
            <w:tcW w:w="791" w:type="pct"/>
            <w:vMerge w:val="restart"/>
            <w:hideMark/>
          </w:tcPr>
          <w:p w14:paraId="246AD5F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Protein</w:t>
            </w:r>
          </w:p>
        </w:tc>
        <w:tc>
          <w:tcPr>
            <w:tcW w:w="1050" w:type="pct"/>
            <w:vMerge w:val="restart"/>
            <w:hideMark/>
          </w:tcPr>
          <w:p w14:paraId="319F0CBE"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vMerge w:val="restart"/>
            <w:hideMark/>
          </w:tcPr>
          <w:p w14:paraId="3DB8AEB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vMerge w:val="restart"/>
            <w:hideMark/>
          </w:tcPr>
          <w:p w14:paraId="71136637" w14:textId="745B20A8"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Ma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{"citationItems":[{"id":"ITEM-1","itemData":{"DOI":"10.1097/SLA.0b013e31824a9a8b","ISSN":"00034932","PMID":"22395091","abstract":"Objective: The present study was designed to search for potential diagnostic biomarkers in the serum of colorectal cancer (CRC). Background: CRC is the third most common cancer worldwide, and its prognosis is poor at early stages. A panel of novel biomarkers is urgently needed for early diagnosis of CRC. Methods: An integrated proteomics and metabolomics approach was performed to define oncofetal biomarkers in CRC by protein and metabolite profiling of serum samples from CRC patients, healthy control adults, and fetus. The differentially expressed proteins were identified by a 2-D DIGE (2-Dimensional Difference Gel Electrophoresis) coupled with a Finnigan LTQ-based proteomics approach. Meanwhile, the serum metabolome was analyzed using gas chromatography-mass spectrometry integrated with a commercial mass spectral library for peak identification. Results: Of the 28 identified proteins and the 34 analyzed metabolites, only 5 protein spots and 6 metabolites were significantly increased or decreased in both CRC and fetal serum groups compared with the healthy adult group. Data from supervised predictive models allowed a separation of 93.5% of CRC patients from the healthy controls using the 6 metabolites. Finally, correlation analysis was applied to establish quantitative linkages between the 5 individual metabolite 3-hydroxybutyric acid, L-valine, L-threonine, 1-deoxyglucose, and glycine and the 5 individual proteins MACF1, APOH, A2M, IGL@, and VDB. Furthermore, 10 potential oncofetal biomarkers were characterized and their potential for CRC diagnosis was validated. Conclusion: The integrated approach we developed will promote the translation of biomarkers with clinical value into routine clinical practice. © 2012 Lippincott Williams &amp; Wilkins.","author":[{"dropping-particle":"","family":"Ma","given":"Yanlei","non-dropping-particle":"","parse-names":false,"suffix":""},{"dropping-particle":"","family":"Zhang","given":"Peng","non-dropping-particle":"","parse-names":false,"suffix":""},{"dropping-particle":"","family":"Wang","given":"Feng","non-dropping-particle":"","parse-names":false,"suffix":""},{"dropping-particle":"","family":"Liu","given":"Weijie","non-dropping-particle":"","parse-names":false,"suffix":""},{"dropping-particle":"","family":"Yang","given":"Jianjun","non-dropping-particle":"","parse-names":false,"suffix":""},{"dropping-particle":"","family":"Qin","given":"Huanlong","non-dropping-particle":"","parse-names":false,"suffix":""}],"container-title":"Annals of Surgery","id":"ITEM-1","issue":"4","issued":{"date-parts":[["2012"]]},"page":"720-730","title":"An integrated proteomics and metabolomics approach for defining oncofetal biomarkers in the colorectal cancer","type":"article-journal","volume":"255"},"uris":["http://www.mendeley.com/documents/?uuid=63d5fb20-7595-45b0-8d2c-a339a831b757"]}],"mendeley":{"formattedCitation":"&lt;sup&gt;[43]&lt;/sup&gt;","plainTextFormattedCitation":"[43]","previouslyFormattedCitation":"&lt;sup&gt;[43]&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[43]</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383CACB9" w14:textId="77777777" w:rsidTr="0068667D">
        <w:trPr>
          <w:trHeight w:val="315"/>
        </w:trPr>
        <w:tc>
          <w:tcPr>
            <w:tcW w:w="1613" w:type="pct"/>
            <w:hideMark/>
          </w:tcPr>
          <w:p w14:paraId="48F3AD96" w14:textId="74F119C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Alpha-2-Macroglobulin </w:t>
            </w:r>
          </w:p>
        </w:tc>
        <w:tc>
          <w:tcPr>
            <w:tcW w:w="791" w:type="pct"/>
            <w:vMerge/>
            <w:hideMark/>
          </w:tcPr>
          <w:p w14:paraId="47572D42"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67007AD"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2E37BB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2C0E360F"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5B138B1" w14:textId="77777777" w:rsidTr="0068667D">
        <w:trPr>
          <w:trHeight w:val="401"/>
        </w:trPr>
        <w:tc>
          <w:tcPr>
            <w:tcW w:w="1613" w:type="pct"/>
            <w:hideMark/>
          </w:tcPr>
          <w:p w14:paraId="0ABB15CB" w14:textId="6076C16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lastRenderedPageBreak/>
              <w:t xml:space="preserve">Immunoglobulin Lambda Locus </w:t>
            </w:r>
          </w:p>
        </w:tc>
        <w:tc>
          <w:tcPr>
            <w:tcW w:w="791" w:type="pct"/>
            <w:vMerge/>
            <w:hideMark/>
          </w:tcPr>
          <w:p w14:paraId="463FC56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1784737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4F4E1915"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022522B5"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4D08113" w14:textId="77777777" w:rsidTr="0068667D">
        <w:trPr>
          <w:trHeight w:val="224"/>
        </w:trPr>
        <w:tc>
          <w:tcPr>
            <w:tcW w:w="1613" w:type="pct"/>
            <w:hideMark/>
          </w:tcPr>
          <w:p w14:paraId="5AD8CE52" w14:textId="46E7869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Vitamin-D-binding protein</w:t>
            </w:r>
          </w:p>
        </w:tc>
        <w:tc>
          <w:tcPr>
            <w:tcW w:w="791" w:type="pct"/>
            <w:vMerge/>
            <w:hideMark/>
          </w:tcPr>
          <w:p w14:paraId="4A6FFF79"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45A89D1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09EACC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12565390"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64EB36BC" w14:textId="77777777" w:rsidTr="0068667D">
        <w:trPr>
          <w:trHeight w:val="315"/>
        </w:trPr>
        <w:tc>
          <w:tcPr>
            <w:tcW w:w="1613" w:type="pct"/>
            <w:hideMark/>
          </w:tcPr>
          <w:p w14:paraId="1DF46D80" w14:textId="7D8EFB9B"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Acetoacetate, Guanid</w:t>
            </w:r>
            <w:r w:rsidR="008B651D">
              <w:rPr>
                <w:rFonts w:ascii="Book Antiqua" w:eastAsia="Times New Roman" w:hAnsi="Book Antiqua" w:cs="Calibri"/>
                <w:lang w:val="en-US"/>
              </w:rPr>
              <w:t>in</w:t>
            </w:r>
            <w:r w:rsidRPr="00BA2B87">
              <w:rPr>
                <w:rFonts w:ascii="Book Antiqua" w:eastAsia="Times New Roman" w:hAnsi="Book Antiqua" w:cs="Calibri"/>
                <w:lang w:val="en-US"/>
              </w:rPr>
              <w:t>oacetate</w:t>
            </w:r>
          </w:p>
        </w:tc>
        <w:tc>
          <w:tcPr>
            <w:tcW w:w="791" w:type="pct"/>
            <w:vMerge w:val="restart"/>
            <w:hideMark/>
          </w:tcPr>
          <w:p w14:paraId="451998C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vMerge w:val="restart"/>
            <w:hideMark/>
          </w:tcPr>
          <w:p w14:paraId="0207A706" w14:textId="191F668A"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w:t>
            </w:r>
            <w:r w:rsidR="004F2744" w:rsidRPr="00BA2B87">
              <w:rPr>
                <w:rFonts w:ascii="Book Antiqua" w:eastAsia="Times New Roman" w:hAnsi="Book Antiqua" w:cs="Calibri"/>
                <w:color w:val="000000"/>
                <w:lang w:val="en-US"/>
              </w:rPr>
              <w:t>rine</w:t>
            </w:r>
          </w:p>
        </w:tc>
        <w:tc>
          <w:tcPr>
            <w:tcW w:w="376" w:type="pct"/>
            <w:vMerge w:val="restart"/>
            <w:hideMark/>
          </w:tcPr>
          <w:p w14:paraId="7A9F4DA5" w14:textId="59119A33"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vMerge w:val="restart"/>
            <w:hideMark/>
          </w:tcPr>
          <w:p w14:paraId="4C72A330" w14:textId="3D58549A" w:rsidR="004F2744" w:rsidRPr="00BA2B87" w:rsidRDefault="00827ABD" w:rsidP="00BA2B87">
            <w:pPr>
              <w:spacing w:line="360" w:lineRule="auto"/>
              <w:jc w:val="both"/>
              <w:rPr>
                <w:rFonts w:ascii="Book Antiqua" w:eastAsia="Times New Roman" w:hAnsi="Book Antiqua" w:cs="Calibri"/>
                <w:color w:val="000000"/>
                <w:lang w:val="en-US"/>
              </w:rPr>
            </w:pPr>
            <w:r w:rsidRPr="00BA2B87">
              <w:rPr>
                <w:rFonts w:ascii="Book Antiqua" w:hAnsi="Book Antiqua"/>
              </w:rPr>
              <w:t>Wang</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{"citationItems":[{"id":"ITEM-1","itemData":{"DOI":"10.18632/oncotarget.22402","ISSN":"19492553","abstract":"Better early detection methods are needed to improve the outcomes of patients with colorectal cancer (CRC). Proton nuclear magnetic resonance spectroscopy (1H-NMR), a potential non-invasive early tumor detection method, was used to profile urine metabolites from 55 CRC patients and 40 healthy controls (HCs). Pattern recognition through orthogonal partial least squares-discriminant analysis (OPLS-DA) was applied to 1H-NMR processed data. Model specificity was confirmed by comparison with esophageal cancers (EC, n=18). Unique metabolomic profiles distinguished all CRC stages from HC urine samples. A total of 16 potential biomarker metabolites were identified in stage I/II CRC, indicating amino acid metabolism, glycolysis, tricarboxylic acid (TCA) cycle, urea cycle, choline metabolism, and gut microflora metabolism pathway disruptions. Metabolite profiles from early stage CRC and EC patients were also clearly distinguishable, suggesting that upper and lower gastrointestinal cancers have different metabolomic profiles. Our study assessed important metabolomic variations in CRC patient urine samples, provided information complementary to that collected from other biofluid-based metabolomics analyses, and elucidated potential underlying metabolic mechanisms driving CRC. Our results support the utility of NMRbased urinary metabolomics fingerprinting in early diagnosis of CRC.","author":[{"dropping-particle":"","family":"Wang","given":"Zhening","non-dropping-particle":"","parse-names":false,"suffix":""},{"dropping-particle":"","family":"Lin","given":"Yan","non-dropping-particle":"","parse-names":false,"suffix":""},{"dropping-particle":"","family":"Liang","given":"Jiahao","non-dropping-particle":"","parse-names":false,"suffix":""},{"dropping-particle":"","family":"Huang","given":"Yao","non-dropping-particle":"","parse-names":false,"suffix":""},{"dropping-particle":"","family":"Ma","given":"Changchun","non-dropping-particle":"","parse-names":false,"suffix":""},{"dropping-particle":"","family":"Liu","given":"Xingmu","non-dropping-particle":"","parse-names":false,"suffix":""},{"dropping-particle":"","family":"Yang","given":"Jurong","non-dropping-particle":"","parse-names":false,"suffix":""}],"container-title":"Oncotarget","id":"ITEM-1","issued":{"date-parts":[["2017"]]},"title":"NMR-based metabolomic techniques identify potential urinary biomarkers for early colorectal cancer detection","type":"article-journal"},"uris":["http://www.mendeley.com/documents/?uuid=bfcb581a-4769-492b-8c26-396df20e2fb7"]}],"mendeley":{"formattedCitation":"&lt;sup&gt;[48]&lt;/sup&gt;","plainTextFormattedCitation":"[48]","previouslyFormattedCitation":"&lt;sup&gt;[48]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[48]</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290348" w14:paraId="250D9965" w14:textId="77777777" w:rsidTr="0068667D">
        <w:trPr>
          <w:trHeight w:val="567"/>
        </w:trPr>
        <w:tc>
          <w:tcPr>
            <w:tcW w:w="1613" w:type="pct"/>
            <w:hideMark/>
          </w:tcPr>
          <w:p w14:paraId="2E9FC362" w14:textId="139AF732" w:rsidR="004F2744" w:rsidRPr="00BA2B87" w:rsidRDefault="004F2744" w:rsidP="00BA2B87">
            <w:pPr>
              <w:spacing w:line="360" w:lineRule="auto"/>
              <w:jc w:val="both"/>
              <w:rPr>
                <w:rFonts w:ascii="Book Antiqua" w:eastAsia="Times New Roman" w:hAnsi="Book Antiqua" w:cs="Calibri"/>
                <w:lang w:val="fr-FR"/>
              </w:rPr>
            </w:pPr>
            <w:r w:rsidRPr="00BA2B87">
              <w:rPr>
                <w:rFonts w:ascii="Book Antiqua" w:eastAsia="Times New Roman" w:hAnsi="Book Antiqua" w:cs="Calibri"/>
                <w:lang w:val="fr-FR"/>
              </w:rPr>
              <w:t>Cis-aconitate, Trans-aconitate, Glutamine</w:t>
            </w:r>
          </w:p>
        </w:tc>
        <w:tc>
          <w:tcPr>
            <w:tcW w:w="791" w:type="pct"/>
            <w:vMerge/>
            <w:hideMark/>
          </w:tcPr>
          <w:p w14:paraId="42174E75"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050" w:type="pct"/>
            <w:vMerge/>
            <w:hideMark/>
          </w:tcPr>
          <w:p w14:paraId="1329BFC4"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376" w:type="pct"/>
            <w:vMerge/>
            <w:hideMark/>
          </w:tcPr>
          <w:p w14:paraId="43AE6CD6"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170" w:type="pct"/>
            <w:vMerge/>
            <w:hideMark/>
          </w:tcPr>
          <w:p w14:paraId="15923525" w14:textId="77777777" w:rsidR="004F2744" w:rsidRPr="00BA2B87" w:rsidRDefault="004F2744" w:rsidP="00BA2B87">
            <w:pPr>
              <w:spacing w:line="360" w:lineRule="auto"/>
              <w:jc w:val="both"/>
              <w:rPr>
                <w:rFonts w:ascii="Book Antiqua" w:eastAsia="Times New Roman" w:hAnsi="Book Antiqua" w:cs="Calibri"/>
                <w:color w:val="000000"/>
                <w:lang w:val="fr-FR"/>
              </w:rPr>
            </w:pPr>
          </w:p>
        </w:tc>
      </w:tr>
      <w:tr w:rsidR="002328AB" w:rsidRPr="00BA2B87" w14:paraId="72BC8A94" w14:textId="77777777" w:rsidTr="0068667D">
        <w:trPr>
          <w:trHeight w:val="70"/>
        </w:trPr>
        <w:tc>
          <w:tcPr>
            <w:tcW w:w="1613" w:type="pct"/>
            <w:hideMark/>
          </w:tcPr>
          <w:p w14:paraId="15C28013" w14:textId="0E0EE173" w:rsidR="004F2744" w:rsidRPr="00BA2B87" w:rsidRDefault="004F2744" w:rsidP="008B651D">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Homocy</w:t>
            </w:r>
            <w:r w:rsidR="008B651D">
              <w:rPr>
                <w:rFonts w:ascii="Book Antiqua" w:eastAsia="Times New Roman" w:hAnsi="Book Antiqua" w:cs="Calibri"/>
                <w:lang w:val="en-US"/>
              </w:rPr>
              <w:t>s</w:t>
            </w:r>
            <w:r w:rsidRPr="00BA2B87">
              <w:rPr>
                <w:rFonts w:ascii="Book Antiqua" w:eastAsia="Times New Roman" w:hAnsi="Book Antiqua" w:cs="Calibri"/>
                <w:lang w:val="en-US"/>
              </w:rPr>
              <w:t xml:space="preserve">teine </w:t>
            </w:r>
          </w:p>
        </w:tc>
        <w:tc>
          <w:tcPr>
            <w:tcW w:w="791" w:type="pct"/>
            <w:vMerge/>
            <w:hideMark/>
          </w:tcPr>
          <w:p w14:paraId="61B81E36"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6F6BD82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174F5404"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5956D1D4"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18E5B561" w14:textId="77777777" w:rsidTr="0068667D">
        <w:trPr>
          <w:trHeight w:val="315"/>
        </w:trPr>
        <w:tc>
          <w:tcPr>
            <w:tcW w:w="1613" w:type="pct"/>
            <w:hideMark/>
          </w:tcPr>
          <w:p w14:paraId="461D446E" w14:textId="4FC5E656"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Creatinine, Phosphorylcholine</w:t>
            </w:r>
          </w:p>
        </w:tc>
        <w:tc>
          <w:tcPr>
            <w:tcW w:w="791" w:type="pct"/>
            <w:vMerge w:val="restart"/>
            <w:hideMark/>
          </w:tcPr>
          <w:p w14:paraId="6BD702C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vMerge w:val="restart"/>
            <w:hideMark/>
          </w:tcPr>
          <w:p w14:paraId="32919B4D" w14:textId="6BEBC008" w:rsidR="004F2744" w:rsidRPr="00BA2B87" w:rsidRDefault="008B651D" w:rsidP="008B651D">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U</w:t>
            </w:r>
            <w:r w:rsidR="004F2744" w:rsidRPr="00BA2B87">
              <w:rPr>
                <w:rFonts w:ascii="Book Antiqua" w:eastAsia="Times New Roman" w:hAnsi="Book Antiqua" w:cs="Calibri"/>
                <w:color w:val="000000"/>
                <w:lang w:val="en-US"/>
              </w:rPr>
              <w:t>rine</w:t>
            </w:r>
          </w:p>
        </w:tc>
        <w:tc>
          <w:tcPr>
            <w:tcW w:w="376" w:type="pct"/>
            <w:vMerge w:val="restart"/>
            <w:hideMark/>
          </w:tcPr>
          <w:p w14:paraId="16FFB61D" w14:textId="135573BE"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↓/Low</w:t>
            </w:r>
          </w:p>
        </w:tc>
        <w:tc>
          <w:tcPr>
            <w:tcW w:w="1170" w:type="pct"/>
            <w:vMerge w:val="restart"/>
            <w:hideMark/>
          </w:tcPr>
          <w:p w14:paraId="6AFA218B" w14:textId="7E61552A" w:rsidR="004F2744" w:rsidRPr="00BA2B87" w:rsidRDefault="00CB57DA" w:rsidP="00BA2B87">
            <w:pPr>
              <w:spacing w:line="360" w:lineRule="auto"/>
              <w:jc w:val="both"/>
              <w:rPr>
                <w:rFonts w:ascii="Book Antiqua" w:eastAsia="Times New Roman" w:hAnsi="Book Antiqua" w:cs="Calibri"/>
                <w:color w:val="000000"/>
                <w:lang w:val="en-US"/>
              </w:rPr>
            </w:pPr>
            <w:r w:rsidRPr="00BA2B87">
              <w:rPr>
                <w:rFonts w:ascii="Book Antiqua" w:hAnsi="Book Antiqua"/>
              </w:rPr>
              <w:t>Wang</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{"citationItems":[{"id":"ITEM-1","itemData":{"DOI":"10.18632/oncotarget.22402","ISSN":"19492553","abstract":"Better early detection methods are needed to improve the outcomes of patients with colorectal cancer (CRC). Proton nuclear magnetic resonance spectroscopy (1H-NMR), a potential non-invasive early tumor detection method, was used to profile urine metabolites from 55 CRC patients and 40 healthy controls (HCs). Pattern recognition through orthogonal partial least squares-discriminant analysis (OPLS-DA) was applied to 1H-NMR processed data. Model specificity was confirmed by comparison with esophageal cancers (EC, n=18). Unique metabolomic profiles distinguished all CRC stages from HC urine samples. A total of 16 potential biomarker metabolites were identified in stage I/II CRC, indicating amino acid metabolism, glycolysis, tricarboxylic acid (TCA) cycle, urea cycle, choline metabolism, and gut microflora metabolism pathway disruptions. Metabolite profiles from early stage CRC and EC patients were also clearly distinguishable, suggesting that upper and lower gastrointestinal cancers have different metabolomic profiles. Our study assessed important metabolomic variations in CRC patient urine samples, provided information complementary to that collected from other biofluid-based metabolomics analyses, and elucidated potential underlying metabolic mechanisms driving CRC. Our results support the utility of NMRbased urinary metabolomics fingerprinting in early diagnosis of CRC.","author":[{"dropping-particle":"","family":"Wang","given":"Zhening","non-dropping-particle":"","parse-names":false,"suffix":""},{"dropping-particle":"","family":"Lin","given":"Yan","non-dropping-particle":"","parse-names":false,"suffix":""},{"dropping-particle":"","family":"Liang","given":"Jiahao","non-dropping-particle":"","parse-names":false,"suffix":""},{"dropping-particle":"","family":"Huang","given":"Yao","non-dropping-particle":"","parse-names":false,"suffix":""},{"dropping-particle":"","family":"Ma","given":"Changchun","non-dropping-particle":"","parse-names":false,"suffix":""},{"dropping-particle":"","family":"Liu","given":"Xingmu","non-dropping-particle":"","parse-names":false,"suffix":""},{"dropping-particle":"","family":"Yang","given":"Jurong","non-dropping-particle":"","parse-names":false,"suffix":""}],"container-title":"Oncotarget","id":"ITEM-1","issued":{"date-parts":[["2017"]]},"title":"NMR-based metabolomic techniques identify potential urinary biomarkers for early colorectal cancer detection","type":"article-journal"},"uris":["http://www.mendeley.com/documents/?uuid=bfcb581a-4769-492b-8c26-396df20e2fb7"]}],"mendeley":{"formattedCitation":"&lt;sup&gt;[48]&lt;/sup&gt;","plainTextFormattedCitation":"[48]","previouslyFormattedCitation":"&lt;sup&gt;[48]&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[48]</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2017</w:t>
            </w:r>
          </w:p>
        </w:tc>
      </w:tr>
      <w:tr w:rsidR="002328AB" w:rsidRPr="00BA2B87" w14:paraId="76677B52" w14:textId="77777777" w:rsidTr="0068667D">
        <w:trPr>
          <w:trHeight w:val="722"/>
        </w:trPr>
        <w:tc>
          <w:tcPr>
            <w:tcW w:w="1613" w:type="pct"/>
            <w:hideMark/>
          </w:tcPr>
          <w:p w14:paraId="3F6C02A9" w14:textId="76223FC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Dimethyl sulfone, Asparagine, Alanine</w:t>
            </w:r>
          </w:p>
        </w:tc>
        <w:tc>
          <w:tcPr>
            <w:tcW w:w="791" w:type="pct"/>
            <w:vMerge/>
            <w:hideMark/>
          </w:tcPr>
          <w:p w14:paraId="2DAEDE9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289F2958"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7D01D58E"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4A6A9874"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30CE2B2C" w14:textId="77777777" w:rsidTr="0068667D">
        <w:trPr>
          <w:trHeight w:val="365"/>
        </w:trPr>
        <w:tc>
          <w:tcPr>
            <w:tcW w:w="1613" w:type="pct"/>
            <w:hideMark/>
          </w:tcPr>
          <w:p w14:paraId="7AF2E92E" w14:textId="1C74A86F" w:rsidR="004F2744" w:rsidRPr="00BA2B87" w:rsidRDefault="004F2744" w:rsidP="00BA2B87">
            <w:pPr>
              <w:spacing w:line="360" w:lineRule="auto"/>
              <w:jc w:val="both"/>
              <w:rPr>
                <w:rFonts w:ascii="Book Antiqua" w:eastAsia="Times New Roman" w:hAnsi="Book Antiqua" w:cs="Calibri"/>
                <w:lang w:val="fr-FR"/>
              </w:rPr>
            </w:pPr>
            <w:r w:rsidRPr="00BA2B87">
              <w:rPr>
                <w:rFonts w:ascii="Book Antiqua" w:eastAsia="Times New Roman" w:hAnsi="Book Antiqua" w:cs="Calibri"/>
                <w:lang w:val="fr-FR"/>
              </w:rPr>
              <w:t xml:space="preserve">Isocitrate, Hippurate, Methylamine </w:t>
            </w:r>
          </w:p>
        </w:tc>
        <w:tc>
          <w:tcPr>
            <w:tcW w:w="791" w:type="pct"/>
            <w:vMerge/>
            <w:hideMark/>
          </w:tcPr>
          <w:p w14:paraId="53E8753B"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050" w:type="pct"/>
            <w:vMerge/>
            <w:hideMark/>
          </w:tcPr>
          <w:p w14:paraId="17E64B74"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376" w:type="pct"/>
            <w:vMerge/>
            <w:hideMark/>
          </w:tcPr>
          <w:p w14:paraId="78E94DA5" w14:textId="77777777" w:rsidR="004F2744" w:rsidRPr="00BA2B87" w:rsidRDefault="004F2744" w:rsidP="00BA2B87">
            <w:pPr>
              <w:spacing w:line="360" w:lineRule="auto"/>
              <w:jc w:val="both"/>
              <w:rPr>
                <w:rFonts w:ascii="Book Antiqua" w:eastAsia="Times New Roman" w:hAnsi="Book Antiqua" w:cs="Calibri"/>
                <w:color w:val="000000"/>
                <w:lang w:val="fr-FR"/>
              </w:rPr>
            </w:pPr>
          </w:p>
        </w:tc>
        <w:tc>
          <w:tcPr>
            <w:tcW w:w="1170" w:type="pct"/>
            <w:vMerge/>
            <w:hideMark/>
          </w:tcPr>
          <w:p w14:paraId="2954AF19" w14:textId="77777777" w:rsidR="004F2744" w:rsidRPr="00BA2B87" w:rsidRDefault="004F2744" w:rsidP="00BA2B87">
            <w:pPr>
              <w:spacing w:line="360" w:lineRule="auto"/>
              <w:jc w:val="both"/>
              <w:rPr>
                <w:rFonts w:ascii="Book Antiqua" w:eastAsia="Times New Roman" w:hAnsi="Book Antiqua" w:cs="Calibri"/>
                <w:color w:val="000000"/>
                <w:lang w:val="fr-FR"/>
              </w:rPr>
            </w:pPr>
          </w:p>
        </w:tc>
      </w:tr>
      <w:tr w:rsidR="002328AB" w:rsidRPr="00BA2B87" w14:paraId="78072AB5" w14:textId="77777777" w:rsidTr="0068667D">
        <w:trPr>
          <w:trHeight w:val="70"/>
        </w:trPr>
        <w:tc>
          <w:tcPr>
            <w:tcW w:w="1613" w:type="pct"/>
            <w:hideMark/>
          </w:tcPr>
          <w:p w14:paraId="705B0FB2" w14:textId="21C3341C"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Cysteine, Phenylalanine</w:t>
            </w:r>
          </w:p>
        </w:tc>
        <w:tc>
          <w:tcPr>
            <w:tcW w:w="791" w:type="pct"/>
            <w:vMerge/>
            <w:hideMark/>
          </w:tcPr>
          <w:p w14:paraId="70762243"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050" w:type="pct"/>
            <w:vMerge/>
            <w:hideMark/>
          </w:tcPr>
          <w:p w14:paraId="7F0D5541"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376" w:type="pct"/>
            <w:vMerge/>
            <w:hideMark/>
          </w:tcPr>
          <w:p w14:paraId="3D8C94A0" w14:textId="77777777" w:rsidR="004F2744" w:rsidRPr="00BA2B87" w:rsidRDefault="004F2744" w:rsidP="00BA2B87">
            <w:pPr>
              <w:spacing w:line="360" w:lineRule="auto"/>
              <w:jc w:val="both"/>
              <w:rPr>
                <w:rFonts w:ascii="Book Antiqua" w:eastAsia="Times New Roman" w:hAnsi="Book Antiqua" w:cs="Calibri"/>
                <w:color w:val="000000"/>
                <w:lang w:val="en-US"/>
              </w:rPr>
            </w:pPr>
          </w:p>
        </w:tc>
        <w:tc>
          <w:tcPr>
            <w:tcW w:w="1170" w:type="pct"/>
            <w:vMerge/>
            <w:hideMark/>
          </w:tcPr>
          <w:p w14:paraId="552E9B43" w14:textId="77777777" w:rsidR="004F2744" w:rsidRPr="00BA2B87" w:rsidRDefault="004F2744" w:rsidP="00BA2B87">
            <w:pPr>
              <w:spacing w:line="360" w:lineRule="auto"/>
              <w:jc w:val="both"/>
              <w:rPr>
                <w:rFonts w:ascii="Book Antiqua" w:eastAsia="Times New Roman" w:hAnsi="Book Antiqua" w:cs="Calibri"/>
                <w:color w:val="000000"/>
                <w:lang w:val="en-US"/>
              </w:rPr>
            </w:pPr>
          </w:p>
        </w:tc>
      </w:tr>
      <w:tr w:rsidR="002328AB" w:rsidRPr="00BA2B87" w14:paraId="2F7A6DA8" w14:textId="77777777" w:rsidTr="0068667D">
        <w:trPr>
          <w:trHeight w:val="945"/>
        </w:trPr>
        <w:tc>
          <w:tcPr>
            <w:tcW w:w="1613" w:type="pct"/>
            <w:hideMark/>
          </w:tcPr>
          <w:p w14:paraId="45FE6BFF" w14:textId="4E32E924" w:rsidR="004F2744" w:rsidRPr="00BA2B87" w:rsidRDefault="004F2744" w:rsidP="008B651D">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Isoleucine, β-Hydroxybutyrate, lactate, acetate, glutamate, choline, glycine, serine, glucose </w:t>
            </w:r>
          </w:p>
        </w:tc>
        <w:tc>
          <w:tcPr>
            <w:tcW w:w="791" w:type="pct"/>
            <w:hideMark/>
          </w:tcPr>
          <w:p w14:paraId="4C81F46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308AA47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Biopsy</w:t>
            </w:r>
          </w:p>
        </w:tc>
        <w:tc>
          <w:tcPr>
            <w:tcW w:w="376" w:type="pct"/>
            <w:hideMark/>
          </w:tcPr>
          <w:p w14:paraId="51D3F27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4B08E65D" w14:textId="02DD71D7"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Nishiumi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{"citationItems":[{"id":"ITEM-1","itemData":{"DOI":"10.1371/journal.pone.0040459","ISSN":"19326203","PMID":"22792336","abstract":"Background: To improve the quality of life of colorectal cancer patients, it is important to establish new screening methods for early diagnosis of colorectal cancer. Methodology/Principal Findings: We performed serum metabolome analysis using gas-chromatography/mass-spectrometry (GC/MS). First, the accuracy of our GC/MS-based serum metabolomic analytical method was evaluated by calculating the RSD% values of serum levels of various metabolites. Second, the intra-day (morning, daytime, and night) and inter-day (among 3 days) variances of serum metabolite levels were examined. Then, serum metabolite levels were compared between colorectal cancer patients (N = 60; N = 12 for each stage from 0 to 4) and age- and sex-matched healthy volunteers (N = 60) as a training set. The metabolites whose levels displayed significant changes were subjected to multiple logistic regression analysis using the stepwise variable selection method, and a colorectal cancer prediction model was established. The prediction model was composed of 2-hydroxybutyrate, aspartic acid, kynurenine, and cystamine, and its AUC, sensitivity, specificity, and accuracy were 0.9097, 85.0%, 85.0%, and 85.0%, respectively, according to the training set data. In contrast, the sensitivity, specificity, and accuracy of CEA were 35.0%, 96.7%, and 65.8%, respectively, and those of CA19-9 were 16.7%, 100%, and 58.3%, respectively. The validity of the prediction model was confirmed using colorectal cancer patients (N = 59) and healthy volunteers (N = 63) as a validation set. At the validation set, the sensitivity, specificity, and accuracy of the prediction model were 83.1%, 81.0%, and 82.0%, respectively, and these values were almost the same as those obtained with the training set. In addition, the model displayed high sensitivity for detecting stage 0-2 colorectal cancer (82.8%). Conclusions/Significance: Our prediction model established via GC/MS-based serum metabolomic analysis is valuable for early detection of colorectal cancer and has the potential to become a novel screening test for colorectal cancer. © 2012 Nishiumi et al.","author":[{"dropping-particle":"","family":"Nishiumi","given":"Shin","non-dropping-particle":"","parse-names":false,"suffix":""},{"dropping-particle":"","family":"Kobayashi","given":"Takashi","non-dropping-particle":"","parse-names":false,"suffix":""},{"dropping-particle":"","family":"Ikeda","given":"Atsuki","non-dropping-particle":"","parse-names":false,"suffix":""},{"dropping-particle":"","family":"Yoshie","given":"Tomoo","non-dropping-particle":"","parse-names":false,"suffix":""},{"dropping-particle":"","family":"Kibi","given":"Megumi","non-dropping-particle":"","parse-names":false,"suffix":""},{"dropping-particle":"","family":"Izumi","given":"Yoshihiro","non-dropping-particle":"","parse-names":false,"suffix":""},{"dropping-particle":"","family":"Okuno","given":"Tatsuya","non-dropping-particle":"","parse-names":false,"suffix":""},{"dropping-particle":"","family":"Hayashi","given":"Nobuhide","non-dropping-particle":"","parse-names":false,"suffix":""},{"dropping-particle":"","family":"Kawano","given":"Seiji","non-dropping-particle":"","parse-names":false,"suffix":""},{"dropping-particle":"","family":"Takenawa","given":"Tadaomi","non-dropping-particle":"","parse-names":false,"suffix":""},{"dropping-particle":"","family":"Azuma","given":"Takeshi","non-dropping-particle":"","parse-names":false,"suffix":""},{"dropping-particle":"","family":"Yoshida","given":"Masaru","non-dropping-particle":"","parse-names":false,"suffix":""}],"container-title":"PLoS ONE","id":"ITEM-1","issue":"7","issued":{"date-parts":[["2012"]]},"page":"1-10","title":"A novel serum metabolomics-based diagnostic approach for colorectal cancer","type":"article-journal","volume":"7"},"uris":["http://www.mendeley.com/documents/?uuid=cdd84030-234d-4787-9e7b-681ef29da1f2"]}],"mendeley":{"formattedCitation":"&lt;sup&gt;[46]&lt;/sup&gt;","plainTextFormattedCitation":"[46]","previouslyFormattedCitation":"&lt;sup&gt;[46]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[46]</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15EC4449" w14:textId="77777777" w:rsidTr="0068667D">
        <w:trPr>
          <w:trHeight w:val="750"/>
        </w:trPr>
        <w:tc>
          <w:tcPr>
            <w:tcW w:w="1613" w:type="pct"/>
            <w:hideMark/>
          </w:tcPr>
          <w:p w14:paraId="06CD80C7" w14:textId="6E846B51"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Taurine, alanine, β –Aminoisobutyrate, valine </w:t>
            </w:r>
          </w:p>
        </w:tc>
        <w:tc>
          <w:tcPr>
            <w:tcW w:w="791" w:type="pct"/>
            <w:hideMark/>
          </w:tcPr>
          <w:p w14:paraId="14D2155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5A8A0D5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Urine</w:t>
            </w:r>
          </w:p>
        </w:tc>
        <w:tc>
          <w:tcPr>
            <w:tcW w:w="376" w:type="pct"/>
            <w:hideMark/>
          </w:tcPr>
          <w:p w14:paraId="7D2E8ECE"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7E296A9F" w14:textId="0CAE69EA"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Kim</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{"citationItems":[{"id":"ITEM-1","itemData":{"DOI":"10.1038/s41598-019-41216-y","ISSN":"20452322","PMID":"30886205","abstract":"Although colorectal cancer (CRC) is considered one of the most preventable cancers, no non-invasive, accurate diagnostic tool to screen CRC exists. We explored the potential of urine nuclear magnetic resonance (NMR) metabolomics as a diagnostic tool for early detection of CRC, focusing on advanced adenoma and stage 0 CRC. Urine metabolomics profiles from patients with colorectal neoplasia (CRN; 36 advanced adenomas and 56 CRCs at various stages, n = 92) and healthy controls (normal, n = 156) were analyzed by NMR spectroscopy. Healthy and CRN groups were statistically discriminated using orthogonal projections to latent structure discriminant analysis (OPLS-DA). The class prediction model was validated by three-fold cross-validation. The advanced adenoma and stage 0 CRC were grouped together as pre-invasive CRN. The OPLS-DA score plot showed statistically significant discrimination between pre-invasive CRN as well as advanced CRC and healthy controls with a Q2 value of 0.746. In the prediction validation study, the sensitivity and specificity for diagnosing pre-invasive CRN were 96.2% and 95%, respectively. The grades predicted by the OPLS-DA model showed that the areas under the curve were 0.823 for taurine, 0.783 for alanine, and 0.842 for 3-aminoisobutyrate. In multiple receiver operating characteristics curve analyses, taurine, alanine, and 3-aminoisobutyrate were good discriminators for CRC patients. NMR-based urine metabolomics profiles significantly and accurately discriminate patients with pre-invasive CRN as well as advanced CRC from healthy individuals. Urine-NMR metabolomics has potential as a screening tool for accurate diagnosis of pre-invasive CRN.","author":[{"dropping-particle":"","family":"Kim","given":"Eun Ran","non-dropping-particle":"","parse-names":false,"suffix":""},{"dropping-particle":"","family":"Kwon","given":"Hyuk Nam","non-dropping-particle":"","parse-names":false,"suffix":""},{"dropping-particle":"","family":"Nam","given":"Hoonsik","non-dropping-particle":"","parse-names":false,"suffix":""},{"dropping-particle":"","family":"Kim","given":"Jae J.","non-dropping-particle":"","parse-names":false,"suffix":""},{"dropping-particle":"","family":"Park","given":"Sunghyouk","non-dropping-particle":"","parse-names":false,"suffix":""},{"dropping-particle":"","family":"Kim","given":"Young Ho","non-dropping-particle":"","parse-names":false,"suffix":""}],"container-title":"Scientific Reports","id":"ITEM-1","issue":"1","issued":{"date-parts":[["2019"]]},"page":"1-10","publisher":"Springer US","title":"Urine-NMR metabolomics for screening of advanced colorectal adenoma and early stage colorectal cancer","type":"article-journal","volume":"9"},"uris":["http://www.mendeley.com/documents/?uuid=7d7ba012-416a-47d3-a4c2-ff33414a09b4"]}],"mendeley":{"formattedCitation":"&lt;sup&gt;[47]&lt;/sup&gt;","plainTextFormattedCitation":"[47]","previouslyFormattedCitation":"&lt;sup&gt;[47]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[47]</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24583BD3" w14:textId="77777777" w:rsidTr="0068667D">
        <w:trPr>
          <w:trHeight w:val="988"/>
        </w:trPr>
        <w:tc>
          <w:tcPr>
            <w:tcW w:w="1613" w:type="pct"/>
            <w:hideMark/>
          </w:tcPr>
          <w:p w14:paraId="24045500" w14:textId="37D2DE64"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Threonine, glycerol, hippurate, ascorbate, creatinine and citrate</w:t>
            </w:r>
          </w:p>
        </w:tc>
        <w:tc>
          <w:tcPr>
            <w:tcW w:w="791" w:type="pct"/>
            <w:hideMark/>
          </w:tcPr>
          <w:p w14:paraId="553DA87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39755B7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Urine</w:t>
            </w:r>
          </w:p>
        </w:tc>
        <w:tc>
          <w:tcPr>
            <w:tcW w:w="376" w:type="pct"/>
            <w:hideMark/>
          </w:tcPr>
          <w:p w14:paraId="6642A378"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Less</w:t>
            </w:r>
          </w:p>
        </w:tc>
        <w:tc>
          <w:tcPr>
            <w:tcW w:w="1170" w:type="pct"/>
            <w:hideMark/>
          </w:tcPr>
          <w:p w14:paraId="25861820" w14:textId="75D812A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Kim</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{"citationItems":[{"id":"ITEM-1","itemData":{"DOI":"10.1038/s41598-019-41216-y","ISSN":"20452322","PMID":"30886205","abstract":"Although colorectal cancer (CRC) is considered one of the most preventable cancers, no non-invasive, accurate diagnostic tool to screen CRC exists. We explored the potential of urine nuclear magnetic resonance (NMR) metabolomics as a diagnostic tool for early detection of CRC, focusing on advanced adenoma and stage 0 CRC. Urine metabolomics profiles from patients with colorectal neoplasia (CRN; 36 advanced adenomas and 56 CRCs at various stages, n = 92) and healthy controls (normal, n = 156) were analyzed by NMR spectroscopy. Healthy and CRN groups were statistically discriminated using orthogonal projections to latent structure discriminant analysis (OPLS-DA). The class prediction model was validated by three-fold cross-validation. The advanced adenoma and stage 0 CRC were grouped together as pre-invasive CRN. The OPLS-DA score plot showed statistically significant discrimination between pre-invasive CRN as well as advanced CRC and healthy controls with a Q2 value of 0.746. In the prediction validation study, the sensitivity and specificity for diagnosing pre-invasive CRN were 96.2% and 95%, respectively. The grades predicted by the OPLS-DA model showed that the areas under the curve were 0.823 for taurine, 0.783 for alanine, and 0.842 for 3-aminoisobutyrate. In multiple receiver operating characteristics curve analyses, taurine, alanine, and 3-aminoisobutyrate were good discriminators for CRC patients. NMR-based urine metabolomics profiles significantly and accurately discriminate patients with pre-invasive CRN as well as advanced CRC from healthy individuals. Urine-NMR metabolomics has potential as a screening tool for accurate diagnosis of pre-invasive CRN.","author":[{"dropping-particle":"","family":"Kim","given":"Eun Ran","non-dropping-particle":"","parse-names":false,"suffix":""},{"dropping-particle":"","family":"Kwon","given":"Hyuk Nam","non-dropping-particle":"","parse-names":false,"suffix":""},{"dropping-particle":"","family":"Nam","given":"Hoonsik","non-dropping-particle":"","parse-names":false,"suffix":""},{"dropping-particle":"","family":"Kim","given":"Jae J.","non-dropping-particle":"","parse-names":false,"suffix":""},{"dropping-particle":"","family":"Park","given":"Sunghyouk","non-dropping-particle":"","parse-names":false,"suffix":""},{"dropping-particle":"","family":"Kim","given":"Young Ho","non-dropping-particle":"","parse-names":false,"suffix":""}],"container-title":"Scientific Reports","id":"ITEM-1","issue":"1","issued":{"date-parts":[["2019"]]},"page":"1-10","publisher":"Springer US","title":"Urine-NMR metabolomics for screening of advanced colorectal adenoma and early stage colorectal cancer","type":"article-journal","volume":"9"},"uris":["http://www.mendeley.com/documents/?uuid=7d7ba012-416a-47d3-a4c2-ff33414a09b4"]}],"mendeley":{"formattedCitation":"&lt;sup&gt;[47]&lt;/sup&gt;","plainTextFormattedCitation":"[47]","previouslyFormattedCitation":"&lt;sup&gt;[47]&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[47]</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07D2D385" w14:textId="77777777" w:rsidTr="0068667D">
        <w:trPr>
          <w:trHeight w:val="1366"/>
        </w:trPr>
        <w:tc>
          <w:tcPr>
            <w:tcW w:w="1613" w:type="pct"/>
            <w:hideMark/>
          </w:tcPr>
          <w:p w14:paraId="67FBC9F8" w14:textId="55DCEB6E"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Proline, succinate, isoleucine, leucine valine, alanine, glutamate, dimethylglycine and lactate</w:t>
            </w:r>
          </w:p>
        </w:tc>
        <w:tc>
          <w:tcPr>
            <w:tcW w:w="791" w:type="pct"/>
            <w:hideMark/>
          </w:tcPr>
          <w:p w14:paraId="4180116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69285BE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Fecal</w:t>
            </w:r>
          </w:p>
        </w:tc>
        <w:tc>
          <w:tcPr>
            <w:tcW w:w="376" w:type="pct"/>
            <w:hideMark/>
          </w:tcPr>
          <w:p w14:paraId="4C59C12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2A54872F" w14:textId="205CA246"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Lin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{"citationItems":[{"id":"ITEM-1","itemData":{"DOI":"10.18632/oncotarget.8762","ISSN":"19492553","PMID":"27107423","abstract":"Colorectal cancer (CRC) is a growing cause of mortality in developing countries, warranting investigation into its earlier detection for optimal disease management. A metabolomics based approach provides potential for noninvasive identification of biomarkers of colorectal carcinogenesis, as well as dissection of molecular pathways of pathophysiological conditions. Here, proton nuclear magnetic resonance spectroscopy (1HNMR) -based metabolomic approach was used to profile fecal metabolites of 68 CRC patients (stage I/II=20; stage III=25 and stage IV=23) and 32 healthy controls (HC). Pattern recognition through principal component analysis (PCA) and orthogonal partial least squares-discriminant analysis (OPLS-DA) was applied on 1H-NMR processed data for dimension reduction. OPLS-DA revealed that each stage of CRC could be clearly distinguished from HC based on their metabolomic profiles. Successive analyses identified distinct disturbances to fecal metabolites of CRC patients at various stages, compared with those in cancer free controls, including reduced levels of acetate, butyrate, propionate, glucose, glutamine, and elevated quantities of succinate, proline, alanine, dimethylglycine, valine, glutamate, leucine, isoleucine and lactate. These altered fecal metabolites potentially involved in the disruption of normal bacterial ecology, malabsorption of nutrients, increased glycolysis and glutaminolysis. Our findings revealed that the fecal metabolic profiles of healthy controls can be distinguished from CRC patients, even in the early stage (stage I/II), highlighting the potential utility of NMR-based fecal metabolomics fingerprinting as predictors of earlier diagnosis in CRC patients.","author":[{"dropping-particle":"","family":"Lin","given":"Yan","non-dropping-particle":"","parse-names":false,"suffix":""},{"dropping-particle":"","family":"Ma","given":"Changchun","non-dropping-particle":"","parse-names":false,"suffix":""},{"dropping-particle":"","family":"Liu","given":"Chengkang","non-dropping-particle":"","parse-names":false,"suffix":""},{"dropping-particle":"","family":"Wang","given":"Zhening","non-dropping-particle":"","parse-names":false,"suffix":""},{"dropping-particle":"","family":"Yang","given":"Jurong","non-dropping-particle":"","parse-names":false,"suffix":""},{"dropping-particle":"","family":"Liu","given":"Xinmu","non-dropping-particle":"","parse-names":false,"suffix":""},{"dropping-particle":"","family":"Shen","given":"Zhiwei","non-dropping-particle":"","parse-names":false,"suffix":""},{"dropping-particle":"","family":"Wu","given":"Renhua","non-dropping-particle":"","parse-names":false,"suffix":""}],"container-title":"Oncotarget","id":"ITEM-1","issue":"20","issued":{"date-parts":[["2016"]]},"page":"29454-29464","title":"NMR-based fecal metabolomics fingerprinting as predictors of earlier diagnosis in patients with colorectal cancer","type":"article-journal","volume":"7"},"uris":["http://www.mendeley.com/documents/?uuid=315b7884-17fc-48da-83b6-8308a719fff8"]}],"mendeley":{"formattedCitation":"&lt;sup&gt;[44]&lt;/sup&gt;","plainTextFormattedCitation":"[44]","previouslyFormattedCitation":"&lt;sup&gt;[44]&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[44]</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37341BA2" w14:textId="77777777" w:rsidTr="0068667D">
        <w:trPr>
          <w:trHeight w:val="566"/>
        </w:trPr>
        <w:tc>
          <w:tcPr>
            <w:tcW w:w="1613" w:type="pct"/>
            <w:hideMark/>
          </w:tcPr>
          <w:p w14:paraId="3E0946B2" w14:textId="5CF6AF62"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 xml:space="preserve">Short Chain Fatty Acids, (acetate, propionate and butyrate), glucose, glutamine </w:t>
            </w:r>
          </w:p>
        </w:tc>
        <w:tc>
          <w:tcPr>
            <w:tcW w:w="791" w:type="pct"/>
            <w:hideMark/>
          </w:tcPr>
          <w:p w14:paraId="04E9E90B"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Amino acid</w:t>
            </w:r>
          </w:p>
        </w:tc>
        <w:tc>
          <w:tcPr>
            <w:tcW w:w="1050" w:type="pct"/>
            <w:hideMark/>
          </w:tcPr>
          <w:p w14:paraId="1C9DFE53"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Fecal</w:t>
            </w:r>
          </w:p>
        </w:tc>
        <w:tc>
          <w:tcPr>
            <w:tcW w:w="376" w:type="pct"/>
            <w:hideMark/>
          </w:tcPr>
          <w:p w14:paraId="743279E2"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Less</w:t>
            </w:r>
          </w:p>
        </w:tc>
        <w:tc>
          <w:tcPr>
            <w:tcW w:w="1170" w:type="pct"/>
            <w:hideMark/>
          </w:tcPr>
          <w:p w14:paraId="4F7ADB19" w14:textId="1ED2910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Lin </w:t>
            </w:r>
            <w:r w:rsidRPr="00BA2B87">
              <w:rPr>
                <w:rFonts w:ascii="Book Antiqua" w:hAnsi="Book Antiqua"/>
                <w:i/>
                <w:iCs/>
              </w:rPr>
              <w:t>et al</w:t>
            </w:r>
            <w:r w:rsidRPr="00BA2B87">
              <w:rPr>
                <w:rFonts w:ascii="Book Antiqua" w:eastAsia="Times New Roman" w:hAnsi="Book Antiqua" w:cs="Calibri"/>
                <w:color w:val="000000"/>
              </w:rPr>
              <w:fldChar w:fldCharType="begin" w:fldLock="1"/>
            </w:r>
            <w:r w:rsidRPr="00BA2B87">
              <w:rPr>
                <w:rFonts w:ascii="Book Antiqua" w:eastAsia="Times New Roman" w:hAnsi="Book Antiqua" w:cs="Calibri"/>
                <w:color w:val="000000"/>
                <w:lang w:val="en-US"/>
              </w:rPr>
              <w:instrText>ADDIN CSL_CITATION {"citationItems":[{"id":"ITEM-1","itemData":{"DOI":"10.18632/oncotarget.8762","ISSN":"19492553","PMID":"27107423","abstract":"Colorectal cancer (CRC) is a growing cause of mortality in developing countries, warranting investigation into its earlier detection for optimal disease management. A metabolomics based approach provides potential for noninvasive identification of biomarkers of colorectal carcinogenesis, as well as dissection of molecular pathways of pathophysiological conditions. Here, proton nuclear magnetic resonance spectroscopy (1HNMR) -based metabolomic approach was used to profile fecal metabolites of 68 CRC patients (stage I/II=20; stage III=25 and stage IV=23) and 32 healthy controls (HC). Pattern recognition through principal component analysis (PCA) and orthogonal partial least squares-discriminant analysis (OPLS-DA) was applied on 1H-NMR processed data for dimension reduction. OPLS-DA revealed that each stage of CRC could be clearly distinguished from HC based on their metabolomic profiles. Successive analyses identified distinct disturbances to fecal metabolites of CRC patients at various stages, compared with those in cancer free controls, including reduced levels of acetate, butyrate, propionate, glucose, glutamine, and elevated quantities of succinate, proline, alanine, dimethylglycine, valine, glutamate, leucine, isoleucine and lactate. These altered fecal metabolites potentially involved in the disruption of normal bacterial ecology, malabsorption of nutrients, increased glycolysis and glutaminolysis. Our findings revealed that the fecal metabolic profiles of healthy controls can be distinguished from CRC patients, even in the early stage (stage I/II), highlighting the potential utility of NMR-based fecal metabolomics fingerprinting as predictors of earlier diagnosis in CRC patients.","author":[{"dropping-particle":"","family":"Lin","given":"Yan","non-dropping-particle":"","parse-names":false,"suffix":""},{"dropping-particle":"","family":"Ma","given":"Changchun","non-dropping-particle":"","parse-names":false,"suffix":""},{"dropping-particle":"","family":"Liu","given":"Chengkang","non-dropping-particle":"","parse-names":false,"suffix":""},{"dropping-particle":"","family":"Wang","given":"Zhening","non-dropping-particle":"","parse-names":false,"suffix":""},{"dropping-particle":"","family":"Yang","given":"Jurong","non-dropping-particle":"","parse-names":false,"suffix":""},{"dropping-particle":"","family":"Liu","given":"Xinmu","non-dropping-particle":"","parse-names":false,"suffix":""},{"dropping-particle":"","family":"Shen","given":"Zhiwei","non-dropping-particle":"","parse-names":false,"suffix":""},{"dropping-particle":"","family":"Wu","given":"Renhua","non-dropping-particle":"","parse-names":false,"suffix":""}],"container-title":"Oncotarget","id":"ITEM-1","issue":"20","issued":{"date-parts":[["2016"]]},"page":"29454-29464","title":"NMR-based fecal metabolomics fingerprinting as predictors of earlier diagnosis in patients with colorectal cancer","type":"article-journal","volume":"7"},"uris":["http://www.mendeley.com/documents/?uuid=315b7884-17fc-48da-83b6-8308a719fff8"]}],"mendeley":{"formattedCitation":"&lt;sup&gt;[44]&lt;/sup&gt;","plainTextFormattedCitation":"[44]","previouslyFormattedCitation":"&lt;sup&gt;[44]&lt;/sup&gt;"},"properties":{"noteIndex":0},"schema":"https://github.com/citation-style-language/schema/raw/master/csl-citation.json"}</w:instrText>
            </w:r>
            <w:r w:rsidRPr="00BA2B87">
              <w:rPr>
                <w:rFonts w:ascii="Book Antiqua" w:eastAsia="Times New Roman" w:hAnsi="Book Antiqua" w:cs="Calibri"/>
                <w:color w:val="000000"/>
              </w:rPr>
              <w:fldChar w:fldCharType="separate"/>
            </w:r>
            <w:r w:rsidRPr="00BA2B87">
              <w:rPr>
                <w:rFonts w:ascii="Book Antiqua" w:eastAsia="Times New Roman" w:hAnsi="Book Antiqua" w:cs="Calibri"/>
                <w:noProof/>
                <w:color w:val="000000"/>
                <w:vertAlign w:val="superscript"/>
                <w:lang w:val="en-US"/>
              </w:rPr>
              <w:t>[44]</w:t>
            </w:r>
            <w:r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64AB94F6" w14:textId="77777777" w:rsidTr="0068667D">
        <w:trPr>
          <w:trHeight w:val="499"/>
        </w:trPr>
        <w:tc>
          <w:tcPr>
            <w:tcW w:w="1613" w:type="pct"/>
            <w:hideMark/>
          </w:tcPr>
          <w:p w14:paraId="6514EF9D" w14:textId="7EB32CD9"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lastRenderedPageBreak/>
              <w:t xml:space="preserve">Sphinganine, endocannabinoids </w:t>
            </w:r>
          </w:p>
        </w:tc>
        <w:tc>
          <w:tcPr>
            <w:tcW w:w="791" w:type="pct"/>
            <w:hideMark/>
          </w:tcPr>
          <w:p w14:paraId="6F394B19" w14:textId="77777777" w:rsidR="004F2744" w:rsidRPr="00BA2B87" w:rsidRDefault="004F2744" w:rsidP="00BA2B87">
            <w:pPr>
              <w:spacing w:line="360" w:lineRule="auto"/>
              <w:jc w:val="both"/>
              <w:rPr>
                <w:rFonts w:ascii="Book Antiqua" w:eastAsia="Times New Roman" w:hAnsi="Book Antiqua" w:cs="Calibri"/>
                <w:lang w:val="en-US"/>
              </w:rPr>
            </w:pPr>
          </w:p>
        </w:tc>
        <w:tc>
          <w:tcPr>
            <w:tcW w:w="1050" w:type="pct"/>
            <w:hideMark/>
          </w:tcPr>
          <w:p w14:paraId="040301F6"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Serum</w:t>
            </w:r>
          </w:p>
        </w:tc>
        <w:tc>
          <w:tcPr>
            <w:tcW w:w="376" w:type="pct"/>
            <w:hideMark/>
          </w:tcPr>
          <w:p w14:paraId="026EE1D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High</w:t>
            </w:r>
          </w:p>
        </w:tc>
        <w:tc>
          <w:tcPr>
            <w:tcW w:w="1170" w:type="pct"/>
            <w:hideMark/>
          </w:tcPr>
          <w:p w14:paraId="72DB5DD4" w14:textId="15925EE8" w:rsidR="004F2744" w:rsidRPr="00BA2B87" w:rsidRDefault="0030562D" w:rsidP="00BA2B87">
            <w:pPr>
              <w:spacing w:line="360" w:lineRule="auto"/>
              <w:jc w:val="both"/>
              <w:rPr>
                <w:rFonts w:ascii="Book Antiqua" w:eastAsia="Times New Roman" w:hAnsi="Book Antiqua" w:cs="Calibri"/>
                <w:color w:val="000000"/>
                <w:lang w:val="en-US"/>
              </w:rPr>
            </w:pPr>
            <w:r w:rsidRPr="00290348">
              <w:rPr>
                <w:rFonts w:ascii="Book Antiqua" w:hAnsi="Book Antiqua"/>
                <w:lang w:val="pt-BR"/>
              </w:rPr>
              <w:t>Martín-Blázquez</w:t>
            </w:r>
            <w:r w:rsidRPr="00290348">
              <w:rPr>
                <w:rFonts w:ascii="Book Antiqua" w:eastAsia="Times New Roman" w:hAnsi="Book Antiqua" w:cs="Calibri"/>
                <w:color w:val="000000"/>
                <w:lang w:val="pt-BR"/>
              </w:rPr>
              <w:t xml:space="preserve"> </w:t>
            </w:r>
            <w:r w:rsidRPr="00290348">
              <w:rPr>
                <w:rFonts w:ascii="Book Antiqua" w:eastAsia="Times New Roman" w:hAnsi="Book Antiqua" w:cs="Calibri"/>
                <w:i/>
                <w:iCs/>
                <w:color w:val="000000"/>
                <w:lang w:val="pt-BR"/>
              </w:rPr>
              <w:t>et al</w:t>
            </w:r>
            <w:r w:rsidR="004F2744" w:rsidRPr="00BA2B87">
              <w:rPr>
                <w:rFonts w:ascii="Book Antiqua" w:eastAsia="Times New Roman" w:hAnsi="Book Antiqua" w:cs="Calibri"/>
                <w:color w:val="000000"/>
              </w:rPr>
              <w:fldChar w:fldCharType="begin" w:fldLock="1"/>
            </w:r>
            <w:r w:rsidR="004F2744" w:rsidRPr="00290348">
              <w:rPr>
                <w:rFonts w:ascii="Book Antiqua" w:eastAsia="Times New Roman" w:hAnsi="Book Antiqua" w:cs="Calibri"/>
                <w:color w:val="000000"/>
                <w:lang w:val="pt-BR"/>
              </w:rPr>
              <w:instrText>ADDIN CSL_CITATION {"citationItems":[{"id":"ITEM-1","itemData":{"DOI":"10.1038/s41598-019-55952-8","ISSN":"20452322","PMID":"31882610","abstract":"Colorectal cancer is one of the main causes of cancer death worldwide, and novel biomarkers are urgently needed for its early diagnosis and treatment. The utilization of metabolomics to identify and quantify metabolites in body fluids may allow the detection of changes in their concentrations that could serve as diagnostic markers for colorectal cancer and may also represent new therapeutic targets. Metabolomics generates a pathophysiological ‘fingerprint’ that is unique to each individual. The purpose of our study was to identify a differential metabolomic signature for metastatic colorectal cancer. Serum samples from 60 healthy controls and 65 patients with metastatic colorectal cancer were studied by liquid chromatography coupled to high-resolution mass spectrometry in an untargeted metabolomic approach. Multivariate analysis revealed a separation between patients with metastatic colorectal cancer and healthy controls, who significantly differed in serum concentrations of one endocannabinoid, two glycerophospholipids, and two sphingolipids. These findings demonstrate that metabolomics using liquid-chromatography coupled to high-resolution mass spectrometry offers a potent diagnostic tool for metastatic colorectal cancer.","author":[{"dropping-particle"</w:instrText>
            </w:r>
            <w:r w:rsidR="004F2744" w:rsidRPr="00BA2B87">
              <w:rPr>
                <w:rFonts w:ascii="Book Antiqua" w:eastAsia="Times New Roman" w:hAnsi="Book Antiqua" w:cs="Calibri"/>
                <w:color w:val="000000"/>
                <w:lang w:val="pt-BR"/>
              </w:rPr>
              <w:instrText>:"","family":"Martín-Blázquez","given":"Ariadna","non-dropping-particle":"","parse-names":false,"suffix":""},{"dropping-particle":"","family":"Díaz","given":"Caridad","non-dropping-particle":"","parse-names":false,"suffix":""},{"dropping-particle":"","family":"González-Flores","given":"Encarnación","non-dropping-particle":"","parse-names":false,"suffix":""},{"dropping-particle":"","family":"Franco-Rivas","given":"Daniel","non-dropping-particle":""</w:instrText>
            </w:r>
            <w:r w:rsidR="004F2744" w:rsidRPr="00290348">
              <w:rPr>
                <w:rFonts w:ascii="Book Antiqua" w:eastAsia="Times New Roman" w:hAnsi="Book Antiqua" w:cs="Calibri"/>
                <w:color w:val="000000"/>
                <w:lang w:val="pt-BR"/>
              </w:rPr>
              <w:instrText>,"parse-names":false,"suffix":""},{"dropping-particle":"","family":"Jiménez-Luna","given":"Cristina","non-dropping-particle":"","parse-names":false,"suffix":""},{"dropping-particle":"","family":"Melguizo","given":"Consolación","non-dropping-particle":"","parse-names":false,"suffix":""},{"dropping-particle":"","family":"Prados","given":"José","non-dropping-particle":"","parse-names":false,"suffix":""},{"dropping-particle":"","family":"Genilloud","given":"Olga","non-dropping-particle":"","parse-names":false,"suffix":""},{"dropping-particle":"","family":"Vicente","given":"Francisca","non-dropping-particle":"","parse-names":false,"suffix":""},{"dropping-particle":"","family":"Caba","given":"Octavio","non-dropping-particle":"","parse-names":false,"suffix":""},{"dropping-particle":"","family":"Pérez del Palacio","given":"José","non-dropping-particle":"","parse-names":false,"suffix":""}],"container-title":"Scientific Reports","id":"ITEM-1","issue":"1","issued":{"date-parts":[["2019"]]},"page":"1-9","title":"Untargeted LC-HRMS-based metabolomics to identify novel biomarkers of metastatic colorect</w:instrText>
            </w:r>
            <w:r w:rsidR="004F2744" w:rsidRPr="00BA2B87">
              <w:rPr>
                <w:rFonts w:ascii="Book Antiqua" w:eastAsia="Times New Roman" w:hAnsi="Book Antiqua" w:cs="Calibri"/>
                <w:color w:val="000000"/>
                <w:lang w:val="en-US"/>
              </w:rPr>
              <w:instrText>al cancer","type":"article-journal","volume":"9"},"uris":["http://www.mendeley.com/documents/?uuid=22e48d4b-2406-41c1-a523-d5ae46af3636"]}],"mendeley":{"formattedCitation":"&lt;sup&gt;[51]&lt;/sup&gt;","plainTextFormattedCitation":"[51]","previouslyFormattedCitation":"&lt;sup&gt;[51]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[51]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2019</w:t>
            </w:r>
          </w:p>
        </w:tc>
      </w:tr>
      <w:tr w:rsidR="002328AB" w:rsidRPr="00BA2B87" w14:paraId="7F2735E4" w14:textId="77777777" w:rsidTr="0068667D">
        <w:trPr>
          <w:trHeight w:val="951"/>
        </w:trPr>
        <w:tc>
          <w:tcPr>
            <w:tcW w:w="1613" w:type="pct"/>
            <w:hideMark/>
          </w:tcPr>
          <w:p w14:paraId="257E9762"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CRCAL-4, CRCAL-3, CRCAL-2 (Long Intergenic Non-Protein Coding RNA 858), and CRCAL-1</w:t>
            </w:r>
          </w:p>
        </w:tc>
        <w:tc>
          <w:tcPr>
            <w:tcW w:w="791" w:type="pct"/>
            <w:hideMark/>
          </w:tcPr>
          <w:p w14:paraId="0482414E"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lncRNA</w:t>
            </w:r>
          </w:p>
        </w:tc>
        <w:tc>
          <w:tcPr>
            <w:tcW w:w="1050" w:type="pct"/>
            <w:hideMark/>
          </w:tcPr>
          <w:p w14:paraId="140FF161"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cell line</w:t>
            </w:r>
          </w:p>
        </w:tc>
        <w:tc>
          <w:tcPr>
            <w:tcW w:w="376" w:type="pct"/>
            <w:hideMark/>
          </w:tcPr>
          <w:p w14:paraId="42ABD7E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55858AB5" w14:textId="6C8042C8"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Yamada</w:t>
            </w:r>
            <w:r w:rsidRPr="00BA2B87">
              <w:rPr>
                <w:rFonts w:ascii="Book Antiqua" w:eastAsia="Times New Roman" w:hAnsi="Book Antiqua" w:cs="Calibri"/>
                <w:color w:val="000000"/>
                <w:lang w:val="en-US"/>
              </w:rPr>
              <w:t xml:space="preserve"> </w:t>
            </w:r>
            <w:r w:rsidRPr="005960C0">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{"citationItems":[{"id":"ITEM-1","itemData":{"DOI":"10.1038/s41598-017-18407-6","ISSN":"20452322","PMID":"29330370","abstract":"Long non-coding RNAs (lncRNAs) have been implicated in human pathology, however, their role in colorectal carcinogenesis have not been fully elucidated. In the current study, whole-transcriptome analysis was performed in 3 pairs of colorectal cancer (CRC) and matched normal mucosa (NM) by RNA sequencing (RNA-seq). Followed by confirmation using the Cancer Genome Atlas (TCGA) dataset, we identified 27 up-regulated and 22 down-regulated lncRNAs in CRC. Up-regulation of four lncRNAs, hereby named colorectal cancer associated lncRNA (CRCAL)-1 [AC021218.2], CRCAL-2 [LINC00858], CRCAL-3 [RP11-138J23.1] and CRCAL-4 [RP11-435O5.2], was further validated by real-time RT-PCR in 139 colorectal neoplasms and matched NM tissues. Knockdown of CRCAL-3 and CRCAL-4 in colon cancer cells reduced cell viability and colony formation ability, and induced cell cycle arrest. TCGA dataset supported the associations of CRCAL-3 and CRCAL-4 with cell cycle and revealed a co-expression network comprising dysregulated lncRNAs associated with protein-coding genes. In conclusion, RNA-seq identified numbers of novel lncRNAs dysregulated in CRC. In vitro experiments and GO term enrichment analysis indicated the functional relevance of CRCAL-3 and CRCAL-4 in association with cell cycle. Our data highlight the capability of RNA-seq to discover novel lncRNAs involved in human carcinogenesis, which may serve as alternative biomarkers and/or molecular treatment targets.","author":[{"dropping-particle":"","family":"Yamada","given":"Atsushi","non-dropping-particle":"","parse-names":false,"suffix":""},{"dropping-particle":"","family":"Yu","given":"Pingjian","non-dropping-particle":"","parse-names":false,"suffix":""},{"dropping-particle":"","family":"Lin","given":"Wei","non-dropping-particle":"","parse-names":false,"suffix":""},{"dropping-particle":"","family":"Okugawa","given":"Yoshinaga","non-dropping-particle":"","parse-names":false,"suffix":""},{"dropping-particle":"","family":"Boland","given":"C. Richard","non-dropping-particle":"","parse-names":false,"suffix":""},{"dropping-particle":"","family":"Goel","given":"Ajay","non-dropping-particle":"","parse-names":false,"suffix":""}],"container-title":"Scientific Reports","id":"ITEM-1","issue":"1","issued":{"date-parts":[["2018"]]},"page":"2-11","publisher":"Springer US","title":"A RNA-Sequencing approach for the identification of novel long non-coding RNA biomarkers in colorectal cancer","type":"article-journal","volume":"8"},"uris":["http://www.mendeley.com/documents/?uuid=bc273858-1a53-4622-bce3-5e4ee93ad8b1"]}],"mendeley":{"formattedCitation":"&lt;sup&gt;[27]&lt;/sup&gt;","plainTextFormattedCitation":"[27]","previouslyFormattedCitation":"&lt;sup&gt;[27]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[27]</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2018</w:t>
            </w:r>
          </w:p>
        </w:tc>
      </w:tr>
      <w:tr w:rsidR="002328AB" w:rsidRPr="00BA2B87" w14:paraId="1B1C87AD" w14:textId="77777777" w:rsidTr="0068667D">
        <w:trPr>
          <w:trHeight w:val="458"/>
        </w:trPr>
        <w:tc>
          <w:tcPr>
            <w:tcW w:w="1613" w:type="pct"/>
            <w:hideMark/>
          </w:tcPr>
          <w:p w14:paraId="1E4B5A80"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NONHSAT074176.2</w:t>
            </w:r>
          </w:p>
        </w:tc>
        <w:tc>
          <w:tcPr>
            <w:tcW w:w="791" w:type="pct"/>
            <w:hideMark/>
          </w:tcPr>
          <w:p w14:paraId="4BDB9EEA"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lncRNA</w:t>
            </w:r>
          </w:p>
        </w:tc>
        <w:tc>
          <w:tcPr>
            <w:tcW w:w="1050" w:type="pct"/>
            <w:hideMark/>
          </w:tcPr>
          <w:p w14:paraId="436C5C9C"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2F29B233"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6DA62D16" w14:textId="55D2231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Zhang</w:t>
            </w:r>
            <w:r w:rsidRPr="00BA2B87">
              <w:rPr>
                <w:rFonts w:ascii="Book Antiqua" w:eastAsia="Times New Roman" w:hAnsi="Book Antiqua" w:cs="Calibri"/>
                <w:color w:val="000000"/>
                <w:lang w:val="en-US"/>
              </w:rPr>
              <w:t xml:space="preserve"> </w:t>
            </w:r>
            <w:r w:rsidRPr="00BA2B8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{"citationItems":[{"id":"ITEM-1","itemData":{"DOI":"10.1002/jcb.27319","ISSN":"10974644","PMID":"30145796","abstract":"Long noncoding RNA (lncRNA) plays an important regulatory role in tumorigenesis. This study aims to analyze the lncRNA–messenger RNA (mRNA) expression network and potential roles in colorectal cancer (CRC). The LncRNA expression profile was analyzed in CRC tissue by RNA sequencing and the functions of differentially expressed genes were analyzed by Gene Ontology (GO) and Kyoto Encyclopedia of Genes and Genomes (KEGG). The lncRNA-mRNA network was predicted with bioinformatics. From the result, we identified 485 differential expression lncRNAs and 2383 mRNAs in CRC, GO, and KEGG analyses showed that the changes in lncRNAs were mainly associated with metabolism and transcription regulation that were different from mRNA function. Additionally, based on the predicted coexpression network, we identified that NONHSAT074176.2, downregulated in CRC tissue and cell lines, was a hub lncRNA in the development of CRC. Our results describe the lncRNA-mRNA network in detail and indicate that lncRNA NONHSAT074176.2 may be useful as a candidate diagnostic biomarker and may be a promising therapeutic target for CRC.","author":[{"dropping-particle":"","family":"Zhang","given":"Zheying","non-dropping-particle":"","parse-names":false,"suffix":""},{"dropping-particle":"","family":"Jia","given":"Huijie","non-dropping-particle":"","parse-names":false,"suffix":""},{"dropping-particle":"","family":"Gu","given":"Tengteng","non-dropping-particle":"","parse-names":false,"suffix":""},{"dropping-particle":"","family":"Hu","given":"Qing","non-dropping-particle":"","parse-names":false,"suffix":""},{"dropping-particle":"","family":"Yu","given":"Jian","non-dropping-particle":"","parse-names":false,"suffix":""},{"dropping-particle":"","family":"Zang","given":"Dan","non-dropping-particle":"","parse-names":false,"suffix":""},{"dropping-particle":"","family":"Song","given":"Na","non-dropping-particle":"","parse-names":false,"suffix":""},{"dropping-particle":"","family":"Wang","given":"Haijun","non-dropping-particle":"","parse-names":false,"suffix":""}],"container-title":"Journal of Cellular Biochemistry","id":"ITEM-1","issued":{"date-parts":[["2018"]]},"title":"RNA sequencing and bioinformatics analysis of the long noncoding RNA–mRNA network in colorectal cancer","type":"article-journal"},"uris":["http://www.mendeley.com/documents/?uuid=a3a539dd-0fdd-40d6-8c2a-ecd13030fd47"]}],"mendeley":{"formattedCitation":"&lt;sup&gt;[28]&lt;/sup&gt;","plainTextFormattedCitation":"[28]","previouslyFormattedCitation":"&lt;sup&gt;[28]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[28]</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2018</w:t>
            </w:r>
          </w:p>
        </w:tc>
      </w:tr>
      <w:tr w:rsidR="002328AB" w:rsidRPr="00BA2B87" w14:paraId="1D48502E" w14:textId="77777777" w:rsidTr="0068667D">
        <w:trPr>
          <w:trHeight w:val="630"/>
        </w:trPr>
        <w:tc>
          <w:tcPr>
            <w:tcW w:w="1613" w:type="pct"/>
            <w:hideMark/>
          </w:tcPr>
          <w:p w14:paraId="308DB3DE" w14:textId="7777777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CircDDX17</w:t>
            </w:r>
          </w:p>
        </w:tc>
        <w:tc>
          <w:tcPr>
            <w:tcW w:w="791" w:type="pct"/>
            <w:hideMark/>
          </w:tcPr>
          <w:p w14:paraId="473A1215"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lncRNA</w:t>
            </w:r>
          </w:p>
        </w:tc>
        <w:tc>
          <w:tcPr>
            <w:tcW w:w="1050" w:type="pct"/>
            <w:hideMark/>
          </w:tcPr>
          <w:p w14:paraId="19D47F9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082F235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Dysregylated</w:t>
            </w:r>
          </w:p>
        </w:tc>
        <w:tc>
          <w:tcPr>
            <w:tcW w:w="1170" w:type="pct"/>
            <w:hideMark/>
          </w:tcPr>
          <w:p w14:paraId="136B7A87" w14:textId="60FEA49F"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{"citationItems":[{"id":"ITEM-1","itemData":{"DOI":"10.1186/s13046-018-1006-x","ISSN":"17569966","PMID":"30591054","abstract":"Background: Circular RNA (circRNA) is a novel class of noncoding RNAs with functions in various pathophysiological activities. However, the expression profiles and functions of circRNAs in colorectal cancer (CRC) remain largely unknown. Methods: High-throughput RNA sequencing (RNA-seq) was performed to assess circRNA expression profiles in 4 paired CRC tissues, and significantly dysregulated circRNAs were validated by quantitative real-time polymerase chain reaction (qRT-PCR). Gene Ontology (GO) and Kyoto Encyclopedia of Genes and Genomes (KEGG) pathway enrichment analyses were performed to predict the potential functions of dysregulated circRNAs. Target miRNAs of circRNAs were predicted using miRanda software, and were further analyzed combining DIANA-miRPath v.3 platform (Reverse Search module) with KEGG pathways of COLORECTAL CANCER and MicroRNAs in cancer (Entry: map05210 and map05206). CircRNA-miRNA interaction networks were constructed using Cytoscape software. Expression levels of a significantly down-regulated circRNA, circDDX17 (hsa-circ-0002211), was detected by qRT-PCR in 60 paired CRC tissues. CircDDX17 was knockdown by siRNA, and the biological functions of circDDX17 were examined in CRC cell lines. Results: Totally 448 differentially expressed circRNAs were identified, including 394 up-regulated and 54 down-regulated circRNAs. qRT-PCR validation confirmed the reliability of the RNA-Seq data. GO and KEGG analyses revealed that these dysregulated circRNAs were potentially implicated in CRC pathogenesis. Analyses by combining miRanda and miRPath softwares with KEGG pathways suggested that the miRNAs targeted by the top 10 dysregulated circRNAs were associated with the KEGG pathways of COLORECTAL CANCER and MicroRNAs in cancer, indicating that circRNA-miRNA interactions might play important functional roles in the initiation and progression of CRC. The results of qRT-PCR for circDDX17 in 60 paired CRC tissues showed that circDDX17 was significantly down-regulated in CRC tissues and associated with unfavorable clinicopathological parameters. In vitro experiments showed that silencing of circDDX17 promoted CRC cell proliferation, migration, invasion, and inhibited apoptosis. Conclusions: In conclusion, we have identified numerous circRNAs that are dysregulated in CRC tissues compared with adjacent normal mucosa tissues. Bioinformatic analyses suggested that these dysregulated circRNAs might play important functional roles in CRC tumorigenesis. C…","author":[{"dropping-particle":"","family":"Li","given":"Xiang Nan","non-dropping-particle":"","parse-names":false,"suffix":""},{"dropping-particle":"","family":"Wang","given":"Zhen Jun","non-dropping-particle":"","parse-names":false,"suffix":""},{"dropping-particle":"","family":"Ye","given":"Chun Xiang","non-dropping-particle":"","parse-names":false,"suffix":""},{"dropping-particle":"","family":"Zhao","given":"Bao Cheng","non-dropping-particle":"","parse-names":false,"suffix":""},{"dropping-particle":"","family":"Li","given":"Zhu Lin","non-dropping-particle":"","parse-names":false,"suffix":""},{"dropping-particle":"","family":"Yang","given":"Yong","non-dropping-particle":"","parse-names":false,"suffix":""}],"container-title":"Journal of Experimental and Clinical Cancer Research","id":"ITEM-1","issued":{"date-parts":[["2018"]]},"title":"RNA sequencing reveals the expression profiles of circRNA and indicates that circDDX17 acts as a tumor suppressor in colorectal cancer","type":"article-journal"},"uris":["http://www.mendeley.com/documents/?uuid=2c73cf5f-4813-4d9c-8bb4-2a0a74611441"]}],"mendeley":{"formattedCitation":"&lt;sup&gt;[29]&lt;/sup&gt;","plainTextFormattedCitation":"[29]","previouslyFormattedCitation":"&lt;sup&gt;[29]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[29]</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2018</w:t>
            </w:r>
          </w:p>
        </w:tc>
      </w:tr>
      <w:tr w:rsidR="002328AB" w:rsidRPr="00BA2B87" w14:paraId="2E392FAF" w14:textId="77777777" w:rsidTr="0068667D">
        <w:trPr>
          <w:trHeight w:val="462"/>
        </w:trPr>
        <w:tc>
          <w:tcPr>
            <w:tcW w:w="1613" w:type="pct"/>
            <w:hideMark/>
          </w:tcPr>
          <w:p w14:paraId="7A38C4F5" w14:textId="3ACC7067"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Syndecan 2</w:t>
            </w:r>
          </w:p>
        </w:tc>
        <w:tc>
          <w:tcPr>
            <w:tcW w:w="791" w:type="pct"/>
            <w:hideMark/>
          </w:tcPr>
          <w:p w14:paraId="6EE8D972" w14:textId="49B27CFA"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Gene</w:t>
            </w:r>
          </w:p>
        </w:tc>
        <w:tc>
          <w:tcPr>
            <w:tcW w:w="1050" w:type="pct"/>
            <w:hideMark/>
          </w:tcPr>
          <w:p w14:paraId="75EAE0B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4EBC1237"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2013AF4F" w14:textId="050A2F53" w:rsidR="004F2744" w:rsidRPr="00BA2B87" w:rsidRDefault="0030562D"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Oh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{"citationItems":[{"id":"ITEM-1","itemData":{"DOI":"10.1016/j.jmoldx.2013.03.004","ISSN":"15251578","PMID":"23747112","abstract":"Aberrant DNA methylation has shown promise as a biomarker for the early detection of cancer. To discover novel genes frequently methylated at an early stage in colorectal cancer (CRC), DNA microarray analysis coupled with enriched methylated DNA was performed in primary tumors and compared with adjacent nontumor tissues of 12 patients with CRC at stages I to IV. Stepwise filtering for candidate selection in microarray data analysis yielded a set of genes that are highly methylated across all CRC tumors and that can be used as a composite biomarker for CRC detection. Verification assay identified the SDC2 gene as a potential methylation biomarker for early CRC detection. In clinical validation in tissues from 139 CRC patients, a much higher level of aberrant SDC2 methylation was measured in most primary tumors (97.8%), compared with corresponding nontumor tissue of CRC patients, irrespective of clinical stage. Clinical validation of SDC2 methylation in serum DNA from CRC patients (n = 131) at stages I to IV and from healthy individuals (n = 125) by quantitative methylation-specific PCR demonstrated a high sensitivity of 87.0% (95% CI, 80.0% to 92.3%) in detecting cancers, with a specificity of 95.2% (95% CI, 89.8% to 98.2%). Importantly, sensitivity at stage I was 92.3%, indicating the potential of SDC2 methylation as a blood-based DNA test for early detection of CRC. © 2013 American Society for Investigative Pathology and the Association for Molecular Pathology. Published by Elsevier Inc. All rights reserved.","author":[{"dropping-particle":"","family":"Oh","given":"Taejeong","non-dropping-particle":"","parse-names":false,"suffix":""},{"dropping-particle":"","family":"Kim","given":"Nayoung","non-dropping-particle":"","parse-names":false,"suffix":""},{"dropping-particle":"","family":"Moon","given":"Youngho","non-dropping-particle":"","parse-names":false,"suffix":""},{"dropping-particle":"","family":"Kim","given":"Myung Soon","non-dropping-particle":"","parse-names":false,"suffix":""},{"dropping-particle":"","family":"Hoehn","given":"Benjamin D.","non-dropping-particle":"","parse-names":false,"suffix":""},{"dropping-particle":"","family":"Park","given":"Chan Hee","non-dropping-particle":"","parse-names":false,"suffix":""},{"dropping-particle":"","family":"Kim","given":"Tae Soo","non-dropping-particle":"","parse-names":false,"suffix":""},{"dropping-particle":"","family":"Kim","given":"Nam Kyu","non-dropping-particle":"","parse-names":false,"suffix":""},{"dropping-particle":"","family":"Chung","given":"Hyun Cheol","non-dropping-particle":"","parse-names":false,"suffix":""},{"dropping-particle":"","family":"An","given":"Sungwhan","non-dropping-particle":"","parse-names":false,"suffix":""}],"container-title":"Journal of Molecular Diagnostics","id":"ITEM-1","issued":{"date-parts":[["2013"]]},"title":"Genome-wide identification and validation of a novel methylation biomarker, SDC2, for blood-based detection of colorectal cancer","type":"article-journal"},"uris":["http://www.mendeley.com/documents/?uuid=c4faa629-1cc2-4769-9d89-f0462d1d9bd6"]}],"mendeley":{"formattedCitation":"&lt;sup&gt;[20]&lt;/sup&gt;","plainTextFormattedCitation":"[20]","previouslyFormattedCitation":"&lt;sup&gt;[20]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[20]</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2013</w:t>
            </w:r>
          </w:p>
        </w:tc>
      </w:tr>
      <w:tr w:rsidR="002328AB" w:rsidRPr="00BA2B87" w14:paraId="5C81D7CA" w14:textId="77777777" w:rsidTr="0068667D">
        <w:trPr>
          <w:trHeight w:val="981"/>
        </w:trPr>
        <w:tc>
          <w:tcPr>
            <w:tcW w:w="1613" w:type="pct"/>
            <w:hideMark/>
          </w:tcPr>
          <w:p w14:paraId="62E71913" w14:textId="4D538E15"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PHOX1B, Glutamic acid de-carboxylase 2, and Fibroblast Growth Factor 12</w:t>
            </w:r>
          </w:p>
        </w:tc>
        <w:tc>
          <w:tcPr>
            <w:tcW w:w="791" w:type="pct"/>
            <w:hideMark/>
          </w:tcPr>
          <w:p w14:paraId="56B9D933" w14:textId="699B6035"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Gene</w:t>
            </w:r>
          </w:p>
        </w:tc>
        <w:tc>
          <w:tcPr>
            <w:tcW w:w="1050" w:type="pct"/>
            <w:hideMark/>
          </w:tcPr>
          <w:p w14:paraId="32CE5790"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Fresh frozen tissue</w:t>
            </w:r>
          </w:p>
        </w:tc>
        <w:tc>
          <w:tcPr>
            <w:tcW w:w="376" w:type="pct"/>
            <w:hideMark/>
          </w:tcPr>
          <w:p w14:paraId="31020794"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35E9918E" w14:textId="64EC419D" w:rsidR="004F2744" w:rsidRPr="00BA2B87" w:rsidRDefault="002328AB" w:rsidP="00BA2B87">
            <w:pPr>
              <w:spacing w:line="360" w:lineRule="auto"/>
              <w:jc w:val="both"/>
              <w:rPr>
                <w:rFonts w:ascii="Book Antiqua" w:eastAsia="Times New Roman" w:hAnsi="Book Antiqua" w:cs="Calibri"/>
                <w:color w:val="000000"/>
                <w:lang w:val="en-US"/>
              </w:rPr>
            </w:pPr>
            <w:r w:rsidRPr="00BA2B87">
              <w:rPr>
                <w:rFonts w:ascii="Book Antiqua" w:hAnsi="Book Antiqua"/>
              </w:rPr>
              <w:t xml:space="preserve">Li </w:t>
            </w:r>
            <w:r w:rsidRPr="00BA2B8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{"citationItems":[{"id":"ITEM-1","itemData":{"DOI":"10.3892/or.2012.1779","ISSN":"1021335X","PMID":"22552777","abstract":"To identify novel hypermethylated genes in colorectal cancer (CRC) and to test their potential application in CRC early diagnosis, a genome-wide screening of 57,723 CpG dinucleotides covering 4,010 genes was performed using MIRA-based microarrays in paired DNA samples extracted from 3 fresh frozen CRC tissues and their matching non-cancer tissues from 3 CRC patients undergoing curative surgery. Candidate hypermethylated genes screened by MIRA-based microarrays were further validated in independent CRC samples. A total of 297 CpG dinucleotides covering 211 genes were found to be hypermethylated in CRC tissues. From these 211 candidate methylated genes, three novel hypermethylated genes with more than four probes positive were picked up for validation. Direct bisulfite sequencing revealed that methylations occurred at multiple CpG sites of these three genes in cancer tissues, especially for PHOX2B and FGF12. Combined bisulfite restriction analysis showed that these three genes were methylated in cancer samples but not in non-cancer samples. We also compared the methylation levels of these three novel hypermethylated genes with those of vimentin and SEPT9, well-known hypermethylated genes in CRC, and found that methylated PHOX2B, FGF12 and GAD2 were better than methylated vimentin and SEPT9 in differentiating CRC cancer tissue from non-cancer tissue. Significant enrichment analysis of GO terms of the hypermethylated genes showed that a high proportion of hypermethylated genes in cancer tissues are involved in the regulation of transcription. In conclusion, we found a set of novel hypermethylated genes in CRC, which may have potential to be used as biomarkers for the early diagnosis of CRC.","author":[{"dropping-particle":"","family":"Li","given":"Hai","non-dropping-particle":"","parse-names":false,"suffix":""},{"dropping-particle":"","family":"Du","given":"Yong","non-dropping-particle":"","parse-names":false,"suffix":""},{"dropping-particle":"","family":"Zhang","given":"Dong","non-dropping-particle":"","parse-names":false,"suffix":""},{"dropping-particle":"","family":"Wang","given":"Li Na","non-dropping-particle":"","parse-names":false,"suffix":""},{"dropping-particle":"","family":"Yang","given":"Chun","non-dropping-particle":"","parse-names":false,"suffix":""},{"dropping-particle":"","family":"Liu","given":"Bin","non-dropping-particle":"","parse-names":false,"suffix":""},{"dropping-particle":"","family":"Wang","given":"Wei Jie","non-dropping-particle":"","parse-names":false,"suffix":""},{"dropping-particle":"","family":"Shi","given":"Lei","non-dropping-particle":"","parse-names":false,"suffix":""},{"dropping-particle":"","family":"Hong","given":"Wei Guo","non-dropping-particle":"","parse-names":false,"suffix":""},{"dropping-particle":"","family":"Zhang","given":"Liang","non-dropping-particle":"","parse-names":false,"suffix":""},{"dropping-particle":"","family":"Yang","given":"Yin Xue","non-dropping-particle":"","parse-names":false,"suffix":""}],"container-title":"Oncology Reports","id":"ITEM-1","issued":{"date-parts":[["2012"]]},"title":"Identification of novel DNA methylation markers in colorectal cancer using MIRA-based microarrays","type":"article-journal"},"uris":["http://www.mendeley.com/documents/?uuid=e13b19b2-09ea-4d4a-a490-b0620c69416a"]}],"mendeley":{"formattedCitation":"&lt;sup&gt;[21]&lt;/sup&gt;","plainTextFormattedCitation":"[21]","previouslyFormattedCitation":"&lt;sup&gt;[21]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[21]</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2012</w:t>
            </w:r>
          </w:p>
        </w:tc>
      </w:tr>
      <w:tr w:rsidR="002328AB" w:rsidRPr="00BA2B87" w14:paraId="6694349A" w14:textId="77777777" w:rsidTr="0068667D">
        <w:trPr>
          <w:trHeight w:val="487"/>
        </w:trPr>
        <w:tc>
          <w:tcPr>
            <w:tcW w:w="1613" w:type="pct"/>
            <w:hideMark/>
          </w:tcPr>
          <w:p w14:paraId="7C404D1A" w14:textId="197EA5A8" w:rsidR="004F2744" w:rsidRPr="00BA2B87" w:rsidRDefault="004F2744" w:rsidP="00BA2B87">
            <w:pPr>
              <w:spacing w:line="360" w:lineRule="auto"/>
              <w:jc w:val="both"/>
              <w:rPr>
                <w:rFonts w:ascii="Book Antiqua" w:eastAsia="Times New Roman" w:hAnsi="Book Antiqua" w:cs="Calibri"/>
                <w:lang w:val="en-US"/>
              </w:rPr>
            </w:pPr>
            <w:r w:rsidRPr="00BA2B87">
              <w:rPr>
                <w:rFonts w:ascii="Book Antiqua" w:eastAsia="Times New Roman" w:hAnsi="Book Antiqua" w:cs="Calibri"/>
                <w:lang w:val="en-US"/>
              </w:rPr>
              <w:t>Visual System Homeobox 2</w:t>
            </w:r>
          </w:p>
        </w:tc>
        <w:tc>
          <w:tcPr>
            <w:tcW w:w="791" w:type="pct"/>
            <w:hideMark/>
          </w:tcPr>
          <w:p w14:paraId="49DACDCA" w14:textId="52B8CDF1" w:rsidR="004F2744" w:rsidRPr="00BA2B87" w:rsidRDefault="00A540F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t>
            </w:r>
            <w:r w:rsidR="004F2744" w:rsidRPr="00BA2B87">
              <w:rPr>
                <w:rFonts w:ascii="Book Antiqua" w:eastAsia="Times New Roman" w:hAnsi="Book Antiqua" w:cs="Calibri"/>
                <w:color w:val="000000"/>
                <w:lang w:val="en-US"/>
              </w:rPr>
              <w:t>ene</w:t>
            </w:r>
          </w:p>
        </w:tc>
        <w:tc>
          <w:tcPr>
            <w:tcW w:w="1050" w:type="pct"/>
            <w:hideMark/>
          </w:tcPr>
          <w:p w14:paraId="6A159539"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Neoplastic colonic tissue</w:t>
            </w:r>
          </w:p>
        </w:tc>
        <w:tc>
          <w:tcPr>
            <w:tcW w:w="376" w:type="pct"/>
            <w:hideMark/>
          </w:tcPr>
          <w:p w14:paraId="590A998D" w14:textId="77777777" w:rsidR="004F2744" w:rsidRPr="00BA2B87" w:rsidRDefault="004F2744" w:rsidP="00BA2B8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w:t>
            </w:r>
          </w:p>
        </w:tc>
        <w:tc>
          <w:tcPr>
            <w:tcW w:w="1170" w:type="pct"/>
            <w:hideMark/>
          </w:tcPr>
          <w:p w14:paraId="06B19B01" w14:textId="36701FF4" w:rsidR="004F2744" w:rsidRPr="00BA2B87" w:rsidRDefault="002328AB" w:rsidP="00BA2B87">
            <w:pPr>
              <w:spacing w:line="360" w:lineRule="auto"/>
              <w:ind w:left="79"/>
              <w:jc w:val="both"/>
              <w:rPr>
                <w:rFonts w:ascii="Book Antiqua" w:eastAsia="Times New Roman" w:hAnsi="Book Antiqua" w:cs="Calibri"/>
                <w:color w:val="000000"/>
                <w:lang w:val="en-US"/>
              </w:rPr>
            </w:pPr>
            <w:r w:rsidRPr="00BA2B87">
              <w:rPr>
                <w:rFonts w:ascii="Book Antiqua" w:hAnsi="Book Antiqua"/>
              </w:rPr>
              <w:t>Mori 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{"citationItems":[{"id":"ITEM-1","itemData":{"DOI":"10.1530/ERC-11-0083","ISSN":"13510088","PMID":"21636702","abstract":"DNA hypermethylation is a common epigenetic abnormality in colorectal cancers (CRCs) and a promising class of CRC screening biomarkers. We conducted a genome-wide search for novel neoplasia-specific hypermethylation events in the colon. We applied methylation microarray analysis to identify loci hypermethylated in 17 primary CRCs relative to eight non-neoplastic colonic mucosae (NCs) from neoplasia-free subjects. These CRC-associated hypermethylation events were then individually evaluated for their ability to discriminate neoplastic from non-neoplastic cases, based on real-time quantitative methylation-specific PCR (qMSP) assays in 113 colonic tissues: 51 CRCs, nine adenomas, 19 NCs from CRC patients (CRC-NCs), and 34 NCs from neoplasia-free subjects (control NCs). A strict microarray data filtering identified 169 candidate CRC-associated hypermethylation events. Fourteen of these 169 loci were evaluated using qMSP assays. Ten of these 14 methylation events significantly distinguished CRCs from age-matched control NCs (P &lt; 0.05 by receiver operator characteristic curve analysis); methylation of visual system homeobox 2 (VSX2) achieved the highest discriminative accuracy (83.3% sensitivity and 92.3% specificity, P &lt; 1 × 10-6), followed by BEN domain containing 4 (BEND4), neuronal pentraxin I (NPTX1), ALX homeobox 3 (ALX3), miR-34b, glucagon-like peptide 1 receptor (GLP1R), BTG4, homer homolog 2 (HOMER2), zinc finger protein 583 (ZNF583), and gap junction protein, gamma 1 (GJC1). Adenomas were significantly discriminated from control NCs by hypermethylation of VSX2, BEND4, NPTX1, miR-34b, GLP1R, and HOMER2 (P &lt; 0.05). CRC-NCs were significantly distinguished from control NCs by methylation of ALX3 (P &lt; 1 × 10-4). In conclusion, systematic methylome-wide analysis has identified ten novel methylation events in neoplastic and non-neoplastic colonic mucosae from CRC patients. These potential biomarkers significantly discriminate CRC patients from controls. Thus, they merit further evaluation in stool- and circulating DNA-based CRC detection studies. © 2011 Society for Endocrinology.","author":[{"dropping-particle":"","family":"Mori","given":"Yuriko","non-dropping-particle":"","parse-names":false,"suffix":""},{"dropping-particle":"V.","family":"Olaru","given":"Alexandru","non-dropping-particle":"","parse-names":false,"suffix":""},{"dropping-particle":"","family":"Cheng","given":"Yulan","non-dropping-particle":"","parse-names":false,"suffix":""},{"dropping-particle":"","family":"Agarwal","given":"Rachana","non-dropping-particle":"","parse-names":false,"suffix":""},{"dropping-particle":"","family":"Yang","given":"Jian","non-dropping-particle":"","parse-names":false,"suffix":""},{"dropping-particle":"","family":"Luvsanjav","given":"Delgermaa","non-dropping-particle":"","parse-names":false,"suffix":""},{"dropping-particle":"","family":"Yu","given":"Wayne","non-dropping-particle":"","parse-names":false,"suffix":""},{"dropping-particle":"","family":"Selaru","given":"Florin M.","non-dropping-particle":"","parse-names":false,"suffix":""},{"dropping-particle":"","family":"Hutfless","given":"Susan","non-dropping-particle":"","parse-names":false,"suffix":""},{"dropping-particle":"","family":"Lazarev","given":"Mark","non-dropping-particle":"","parse-names":false,"suffix":""},{"dropping-particle":"","family":"Kwon","given":"John H.","non-dropping-particle":"","parse-names":false,"suffix":""},{"dropping-particle":"","family":"Brant","given":"Steven R.","non-dropping-particle":"","parse-names":false,"suffix":""},{"dropping-particle":"","family":"Marohn","given":"Michael R.","non-dropping-particle":"","parse-names":false,"suffix":""},{"dropping-particle":"","family":"Hutcheon","given":"David F.","non-dropping-particle":"","parse-names":false,"suffix":""},{"dropping-particle":"","family":"Duncan","given":"Mark D.","non-dropping-particle":"","parse-names":false,"suffix":""},{"dropping-particle":"","family":"Goel","given":"Ajay","non-dropping-particle":"","parse-names":false,"suffix":""},{"dropping-particle":"","family":"Meltzer","given":"Stephen J.","non-dropping-particle":"","parse-names":false,"suffix":""}],"container-title":"Endocrine-Related Cancer","id":"ITEM-1","issued":{"date-parts":[["2011"]]},"title":"Novel candidate colorectal cancer biomarkers identified by methylation microarray-based scanning","type":"article-journal"},"uris":["http://www.mendeley.com/documents/?uuid=a65ec414-fbe1-42c4-a84c-5b277abaa615"]}],"mendeley":{"formattedCitation":"&lt;sup&gt;[22]&lt;/sup&gt;","plainTextFormattedCitation":"[22]","previouslyFormattedCitation":"&lt;sup&gt;[22]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[22]</w:t>
            </w:r>
            <w:r w:rsidR="004F2744" w:rsidRPr="00BA2B87">
              <w:rPr>
                <w:rFonts w:ascii="Book Antiqua" w:eastAsia="Times New Roman" w:hAnsi="Book Antiqua" w:cs="Calibri"/>
                <w:color w:val="000000"/>
              </w:rPr>
              <w:fldChar w:fldCharType="end"/>
            </w:r>
            <w:r w:rsidRPr="00BA2B87">
              <w:rPr>
                <w:rFonts w:ascii="Book Antiqua" w:eastAsia="Times New Roman" w:hAnsi="Book Antiqua" w:cs="Calibri"/>
                <w:color w:val="000000"/>
                <w:lang w:val="en-US"/>
              </w:rPr>
              <w:t>, 2011</w:t>
            </w:r>
          </w:p>
        </w:tc>
      </w:tr>
    </w:tbl>
    <w:bookmarkEnd w:id="1"/>
    <w:p w14:paraId="5EB2DD79" w14:textId="7DC17BD5" w:rsidR="004F2744" w:rsidRPr="00BA2B87" w:rsidRDefault="0068667D" w:rsidP="00BA2B87">
      <w:pPr>
        <w:spacing w:line="360" w:lineRule="auto"/>
        <w:jc w:val="both"/>
        <w:rPr>
          <w:rFonts w:ascii="Book Antiqua" w:hAnsi="Book Antiqua"/>
        </w:rPr>
      </w:pPr>
      <w:r w:rsidRPr="00BA2B87">
        <w:rPr>
          <w:rFonts w:ascii="Book Antiqua" w:eastAsia="Book Antiqua" w:hAnsi="Book Antiqua" w:cs="Book Antiqua"/>
          <w:color w:val="000000"/>
        </w:rPr>
        <w:t xml:space="preserve">CRC: </w:t>
      </w:r>
      <w:r w:rsidR="000F26D3" w:rsidRPr="00BA2B87">
        <w:rPr>
          <w:rFonts w:ascii="Book Antiqua" w:eastAsia="Book Antiqua" w:hAnsi="Book Antiqua" w:cs="Book Antiqua"/>
          <w:color w:val="000000"/>
        </w:rPr>
        <w:t>C</w:t>
      </w:r>
      <w:r w:rsidRPr="00BA2B87">
        <w:rPr>
          <w:rFonts w:ascii="Book Antiqua" w:eastAsia="Book Antiqua" w:hAnsi="Book Antiqua" w:cs="Book Antiqua"/>
          <w:color w:val="000000"/>
        </w:rPr>
        <w:t>olorectal cancer</w:t>
      </w:r>
      <w:r w:rsidR="000F26D3" w:rsidRPr="00BA2B87">
        <w:rPr>
          <w:rFonts w:ascii="Book Antiqua" w:eastAsia="Book Antiqua" w:hAnsi="Book Antiqua" w:cs="Book Antiqua"/>
          <w:color w:val="000000"/>
        </w:rPr>
        <w:t>.</w:t>
      </w:r>
    </w:p>
    <w:p w14:paraId="7EBA125E" w14:textId="73EFDDAE" w:rsidR="004F2744" w:rsidRPr="00BA2B87" w:rsidRDefault="004F2744" w:rsidP="00BA2B87">
      <w:pPr>
        <w:spacing w:line="360" w:lineRule="auto"/>
        <w:jc w:val="both"/>
        <w:rPr>
          <w:rFonts w:ascii="Book Antiqua" w:hAnsi="Book Antiqua" w:cstheme="majorBidi"/>
          <w:bCs/>
        </w:rPr>
      </w:pPr>
      <w:r w:rsidRPr="00BA2B87">
        <w:rPr>
          <w:rFonts w:ascii="Book Antiqua" w:hAnsi="Book Antiqua"/>
          <w:b/>
          <w:bCs/>
        </w:rPr>
        <w:br w:type="page"/>
      </w:r>
      <w:r w:rsidRPr="00BA2B87">
        <w:rPr>
          <w:rFonts w:ascii="Book Antiqua" w:hAnsi="Book Antiqua" w:cstheme="majorBidi"/>
          <w:b/>
          <w:bCs/>
        </w:rPr>
        <w:lastRenderedPageBreak/>
        <w:t xml:space="preserve">Table 2 Prognostic markers found in </w:t>
      </w:r>
      <w:r w:rsidR="003830D1" w:rsidRPr="00BA2B87">
        <w:rPr>
          <w:rFonts w:ascii="Book Antiqua" w:eastAsia="Book Antiqua" w:hAnsi="Book Antiqua" w:cs="Book Antiqua"/>
          <w:b/>
          <w:bCs/>
          <w:color w:val="000000"/>
        </w:rPr>
        <w:t>colorectal cancer</w:t>
      </w:r>
    </w:p>
    <w:tbl>
      <w:tblPr>
        <w:tblStyle w:val="a7"/>
        <w:tblW w:w="10915"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418"/>
        <w:gridCol w:w="1417"/>
        <w:gridCol w:w="1418"/>
        <w:gridCol w:w="2097"/>
      </w:tblGrid>
      <w:tr w:rsidR="004F2744" w:rsidRPr="00BA2B87" w14:paraId="65FAC017" w14:textId="77777777" w:rsidTr="00E033F7">
        <w:trPr>
          <w:cantSplit/>
          <w:trHeight w:val="408"/>
        </w:trPr>
        <w:tc>
          <w:tcPr>
            <w:tcW w:w="4565" w:type="dxa"/>
            <w:tcBorders>
              <w:top w:val="single" w:sz="4" w:space="0" w:color="auto"/>
              <w:bottom w:val="single" w:sz="4" w:space="0" w:color="auto"/>
            </w:tcBorders>
          </w:tcPr>
          <w:p w14:paraId="435FA9A4" w14:textId="258FF474"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 xml:space="preserve">Prognostic </w:t>
            </w:r>
            <w:r w:rsidR="009525D9">
              <w:rPr>
                <w:rFonts w:ascii="Book Antiqua" w:hAnsi="Book Antiqua" w:cstheme="majorBidi"/>
                <w:b/>
                <w:bCs/>
              </w:rPr>
              <w:t>b</w:t>
            </w:r>
            <w:r w:rsidRPr="00BA2B87">
              <w:rPr>
                <w:rFonts w:ascii="Book Antiqua" w:hAnsi="Book Antiqua" w:cstheme="majorBidi"/>
                <w:b/>
                <w:bCs/>
              </w:rPr>
              <w:t>iomarker</w:t>
            </w:r>
          </w:p>
        </w:tc>
        <w:tc>
          <w:tcPr>
            <w:tcW w:w="1418" w:type="dxa"/>
            <w:tcBorders>
              <w:top w:val="single" w:sz="4" w:space="0" w:color="auto"/>
              <w:bottom w:val="single" w:sz="4" w:space="0" w:color="auto"/>
            </w:tcBorders>
          </w:tcPr>
          <w:p w14:paraId="47FBDE68" w14:textId="3DF5ED16"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 xml:space="preserve">Molecular </w:t>
            </w:r>
            <w:r w:rsidR="009525D9">
              <w:rPr>
                <w:rFonts w:ascii="Book Antiqua" w:hAnsi="Book Antiqua" w:cstheme="majorBidi"/>
                <w:b/>
                <w:bCs/>
              </w:rPr>
              <w:t>l</w:t>
            </w:r>
            <w:r w:rsidRPr="00BA2B87">
              <w:rPr>
                <w:rFonts w:ascii="Book Antiqua" w:hAnsi="Book Antiqua" w:cstheme="majorBidi"/>
                <w:b/>
                <w:bCs/>
              </w:rPr>
              <w:t>evel</w:t>
            </w:r>
          </w:p>
        </w:tc>
        <w:tc>
          <w:tcPr>
            <w:tcW w:w="1417" w:type="dxa"/>
            <w:tcBorders>
              <w:top w:val="single" w:sz="4" w:space="0" w:color="auto"/>
              <w:bottom w:val="single" w:sz="4" w:space="0" w:color="auto"/>
            </w:tcBorders>
          </w:tcPr>
          <w:p w14:paraId="24900FDA" w14:textId="77777777"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Sample</w:t>
            </w:r>
          </w:p>
        </w:tc>
        <w:tc>
          <w:tcPr>
            <w:tcW w:w="1418" w:type="dxa"/>
            <w:tcBorders>
              <w:top w:val="single" w:sz="4" w:space="0" w:color="auto"/>
              <w:bottom w:val="single" w:sz="4" w:space="0" w:color="auto"/>
            </w:tcBorders>
          </w:tcPr>
          <w:p w14:paraId="45BCF064" w14:textId="77777777"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Expression</w:t>
            </w:r>
          </w:p>
        </w:tc>
        <w:tc>
          <w:tcPr>
            <w:tcW w:w="2097" w:type="dxa"/>
            <w:tcBorders>
              <w:top w:val="single" w:sz="4" w:space="0" w:color="auto"/>
              <w:bottom w:val="single" w:sz="4" w:space="0" w:color="auto"/>
            </w:tcBorders>
          </w:tcPr>
          <w:p w14:paraId="7C5F1021" w14:textId="5FAC36A2" w:rsidR="004F2744" w:rsidRPr="00BA2B87" w:rsidRDefault="004F2744" w:rsidP="00BA2B87">
            <w:pPr>
              <w:spacing w:line="360" w:lineRule="auto"/>
              <w:jc w:val="both"/>
              <w:rPr>
                <w:rFonts w:ascii="Book Antiqua" w:hAnsi="Book Antiqua" w:cstheme="majorBidi"/>
                <w:b/>
                <w:bCs/>
              </w:rPr>
            </w:pPr>
            <w:r w:rsidRPr="00BA2B87">
              <w:rPr>
                <w:rFonts w:ascii="Book Antiqua" w:hAnsi="Book Antiqua" w:cstheme="majorBidi"/>
                <w:b/>
                <w:bCs/>
              </w:rPr>
              <w:t>Ref</w:t>
            </w:r>
            <w:r w:rsidR="009525D9">
              <w:rPr>
                <w:rFonts w:ascii="Book Antiqua" w:hAnsi="Book Antiqua" w:cstheme="majorBidi"/>
                <w:b/>
                <w:bCs/>
              </w:rPr>
              <w:t>.</w:t>
            </w:r>
          </w:p>
        </w:tc>
      </w:tr>
      <w:tr w:rsidR="004F2744" w:rsidRPr="00BA2B87" w14:paraId="20AE0D9D" w14:textId="77777777" w:rsidTr="00E033F7">
        <w:trPr>
          <w:cantSplit/>
          <w:trHeight w:val="656"/>
        </w:trPr>
        <w:tc>
          <w:tcPr>
            <w:tcW w:w="4565" w:type="dxa"/>
            <w:tcBorders>
              <w:top w:val="single" w:sz="4" w:space="0" w:color="auto"/>
            </w:tcBorders>
          </w:tcPr>
          <w:p w14:paraId="5FA8272B" w14:textId="541844BC"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 xml:space="preserve">Carcinoembryonic antigen </w:t>
            </w:r>
          </w:p>
        </w:tc>
        <w:tc>
          <w:tcPr>
            <w:tcW w:w="1418" w:type="dxa"/>
            <w:tcBorders>
              <w:top w:val="single" w:sz="4" w:space="0" w:color="auto"/>
            </w:tcBorders>
          </w:tcPr>
          <w:p w14:paraId="50F37D47"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Borders>
              <w:top w:val="single" w:sz="4" w:space="0" w:color="auto"/>
            </w:tcBorders>
          </w:tcPr>
          <w:p w14:paraId="2819F2C6"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Plasma</w:t>
            </w:r>
          </w:p>
        </w:tc>
        <w:tc>
          <w:tcPr>
            <w:tcW w:w="1418" w:type="dxa"/>
            <w:tcBorders>
              <w:top w:val="single" w:sz="4" w:space="0" w:color="auto"/>
            </w:tcBorders>
          </w:tcPr>
          <w:p w14:paraId="06835194"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Borders>
              <w:top w:val="single" w:sz="4" w:space="0" w:color="auto"/>
            </w:tcBorders>
          </w:tcPr>
          <w:p w14:paraId="76DD3E5B" w14:textId="4EDF46B2" w:rsidR="004F2744" w:rsidRPr="00BA2B87" w:rsidRDefault="007F026D" w:rsidP="00BA2B87">
            <w:pPr>
              <w:spacing w:line="360" w:lineRule="auto"/>
              <w:jc w:val="both"/>
              <w:rPr>
                <w:rFonts w:ascii="Book Antiqua" w:hAnsi="Book Antiqua" w:cstheme="majorBidi"/>
              </w:rPr>
            </w:pPr>
            <w:r w:rsidRPr="00BA2B87">
              <w:rPr>
                <w:rFonts w:ascii="Book Antiqua" w:hAnsi="Book Antiqua"/>
              </w:rPr>
              <w:t xml:space="preserve">Li </w:t>
            </w:r>
            <w:r w:rsidRPr="00BA2B87">
              <w:rPr>
                <w:rFonts w:ascii="Book Antiqua" w:hAnsi="Book Antiqua"/>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{"citationItems":[{"id":"ITEM-1","itemData":{"DOI":"10.1002/jcb.28087","ISSN":"10974644","abstract":"In view of the controversial findings on the utility of D-dimer and carcinoembryonic antigen (CEA) as biomarkers in advanced colorectal cancer (CRC), we evaluated the predictive and prognostic value of the D-dimer and CEA levels in unresectable advanced CRC patients treated with first-line chemotherapy. A total of 57 previously untreated patients with advanced CRC were enrolled. We assessed both plasma D-dimer and CEA levels at the start (D1 and CEA1) and after two cycles (D2 and CEA2) of chemotherapy. Based on the respective optimal cut-off values of 0.8 and 5.0 ng/mL for D1 and CEA1, respectively, patients were divided into low and high D-dimer or CEA groups. The results show that D1 and CEA1 levels were correlated (r = 0.392, P = 0.003). Mean CEA2 was reduced by 26.24 ng/mL in patients with partial response and stable disease and increased by 165.95 ng/mL in patients with progressive disease relative to the CEA1 level (P &lt; 0.001). However, no correlation was evident between changes in the D-dimer levels and chemotherapy response (P = 0.441). The overall survival (OS) of patients with high D1 was shorter than that of patients with low D1 (median OS, 16 vs 29 months, P = 0.009). Multivariate analyses further demonstrated that D1 (P = 0.042) and chemotherapy response (P = 0.016), but not CEA, were independent prognostic factors for OS in advanced CRC. Taken together, our result found that changes in CEA levels may serve as a predictive biomarker of the chemotherapy response and baseline D-dimer levels as a prognostic biomarker of OS in patients with advanced CRC.","author":[{"dropping-particle":"","family":"Li","given":"Huiping","non-dropping-particle":"","parse-names":false,"suffix":""},{"dropping-particle":"","family":"Zhao","given":"Shuangshuang","non-dropping-particle":"","parse-names":false,"suffix":""},{"dropping-particle":"","family":"Jing","given":"Zhao","non-dropping-particle":"","parse-names":false,"suffix":""},{"dropping-particle":"","family":"Li","given":"Juan","non-dropping-particle":"","parse-names":false,"suffix":""},{"dropping-particle":"","family":"Shuanying","given":"Yang","non-dropping-particle":"","parse-names":false,"suffix":""},{"dropping-particle":"","family":"Zhang","given":"Ni","non-dropping-particle":"","parse-names":false,"suffix":""}],"container-title":"Journal of Cellular Biochemistry","id":"ITEM-1","issued":{"date-parts":[["2019"]]},"title":"Combination of D-dimer and carcinoembryonic antigen levels as a predictive and prognostic biomarker in advanced colorectal cancer patients","type":"article-journal"},"uris":["http://www.mendeley.com/documents/?uuid=d3a6efc1-b94d-4aea-9acd-20a6d84cdd42"]}],"mendeley":{"formattedCitation":"&lt;sup&gt;[79]&lt;/sup&gt;","plainTextFormattedCitation":"[79]","previouslyFormattedCitation":"&lt;sup&gt;[79]&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[79]</w:t>
            </w:r>
            <w:r w:rsidR="004F2744" w:rsidRPr="00BA2B87">
              <w:rPr>
                <w:rFonts w:ascii="Book Antiqua" w:hAnsi="Book Antiqua" w:cstheme="majorBidi"/>
              </w:rPr>
              <w:fldChar w:fldCharType="end"/>
            </w:r>
            <w:r w:rsidRPr="00BA2B87">
              <w:rPr>
                <w:rFonts w:ascii="Book Antiqua" w:hAnsi="Book Antiqua" w:cstheme="majorBidi"/>
              </w:rPr>
              <w:t>, 2018</w:t>
            </w:r>
          </w:p>
        </w:tc>
      </w:tr>
      <w:tr w:rsidR="003830D1" w:rsidRPr="00BA2B87" w14:paraId="612711E1" w14:textId="77777777" w:rsidTr="00E033F7">
        <w:trPr>
          <w:cantSplit/>
          <w:trHeight w:val="761"/>
        </w:trPr>
        <w:tc>
          <w:tcPr>
            <w:tcW w:w="4565" w:type="dxa"/>
          </w:tcPr>
          <w:p w14:paraId="5A0E0CAE" w14:textId="2C19F3AF"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Major histocompatibility complex, class I, B (HLAB)</w:t>
            </w:r>
          </w:p>
        </w:tc>
        <w:tc>
          <w:tcPr>
            <w:tcW w:w="1418" w:type="dxa"/>
            <w:vMerge w:val="restart"/>
          </w:tcPr>
          <w:p w14:paraId="68095C74" w14:textId="77777777" w:rsidR="003830D1" w:rsidRPr="00BA2B87" w:rsidRDefault="003830D1"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vMerge w:val="restart"/>
          </w:tcPr>
          <w:p w14:paraId="4A2CC7E6" w14:textId="77777777" w:rsidR="003830D1" w:rsidRPr="00BA2B87" w:rsidRDefault="003830D1"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vMerge w:val="restart"/>
          </w:tcPr>
          <w:p w14:paraId="32FDA2C4" w14:textId="77777777" w:rsidR="003830D1" w:rsidRPr="00BA2B87" w:rsidRDefault="003830D1"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4759F55F" w14:textId="57C3EB88" w:rsidR="003830D1" w:rsidRPr="00BA2B87" w:rsidRDefault="007F026D" w:rsidP="00BA2B87">
            <w:pPr>
              <w:spacing w:line="360" w:lineRule="auto"/>
              <w:jc w:val="both"/>
              <w:rPr>
                <w:rFonts w:ascii="Book Antiqua" w:hAnsi="Book Antiqua" w:cstheme="majorBidi"/>
              </w:rPr>
            </w:pPr>
            <w:r w:rsidRPr="00BA2B87">
              <w:rPr>
                <w:rFonts w:ascii="Book Antiqua" w:hAnsi="Book Antiqua"/>
              </w:rPr>
              <w:t>Kirana</w:t>
            </w:r>
            <w:r w:rsidRPr="00BA2B87">
              <w:rPr>
                <w:rFonts w:ascii="Book Antiqua" w:hAnsi="Book Antiqua" w:cstheme="majorBidi"/>
              </w:rPr>
              <w:t xml:space="preserve"> </w:t>
            </w:r>
            <w:r w:rsidRPr="00BA2B87">
              <w:rPr>
                <w:rFonts w:ascii="Book Antiqua" w:hAnsi="Book Antiqua" w:cstheme="majorBidi"/>
                <w:i/>
                <w:iCs/>
              </w:rPr>
              <w:t>et al</w:t>
            </w:r>
            <w:r w:rsidR="003830D1" w:rsidRPr="00BA2B87">
              <w:rPr>
                <w:rFonts w:ascii="Book Antiqua" w:hAnsi="Book Antiqua" w:cstheme="majorBidi"/>
              </w:rPr>
              <w:fldChar w:fldCharType="begin" w:fldLock="1"/>
            </w:r>
            <w:r w:rsidR="003830D1" w:rsidRPr="00BA2B87">
              <w:rPr>
                <w:rFonts w:ascii="Book Antiqua" w:hAnsi="Book Antiqua" w:cstheme="majorBidi"/>
              </w:rPr>
              <w:instrText>ADDIN CSL_CITATION {"citationItems":[{"id":"ITEM-1","itemData":{"DOI":"10.1186/s12014-019-9223-7","ISBN":"1201401992","ISSN":"15590275","abstract":"Biomarkers are urgently required to support current histological staging to provide additional accuracy in stratifying colorectal cancer (CRC) patients according to risk of spread to properly assign adjuvant chemotherapy after surgery. Chemotherapy is given to patients with stage III to reduce the risk of recurrence but is controversial in stage II patients. Up to 25% of stage II patients will relapse within 5 years after tumor removal and when this occurs cure is seldom possible. The aim of this study was to identify protein biomarkers to stratify risk of spread of CRC patients. Laser micro-dissection was used to isolate cancer cells from primary colorectal tumors of stage II patients which did or did not metastasize within 5 years after surgical resection. Protein expression differences between two groups of tumors were profiled by 2D-DIGE with saturation CyDye labeling and identified using MALDI-TOF mass spectrometry. Evaluation of protein candidates was conducted using tissue micro array (TMA) immunohistochemistry on 125 colorectal tumor tissue samples of different stages. A total of 55 differentially expressed proteins were identified. Ten protein biomarkers were chosen based on p value and ratio between non metastasized and metastazised groups and evaluated on 125 tissues using TMA immunohistochemistry. Expression of HLAB, protein 14-3-3β, LTBP3, ADAMTS2, JAG2 and NME2 on tumour cells was significantly associated with clinical parameters related to tumour progression, invasion and metastasis. Kaplan-Meier survival curve showed strong expression of six proteins was associated with good CRC specific survival. Expression of HLAB, ADAMTS2, LTBP3, JAG2 and NME2 on tumour cells, was associated with tumour progression and invasion, metastasis and CRC specific survival may serve as potential biomarkers to stratify CRC patients into low and high risk of tumour metastasis. Combined methods of laser microdissection, 2D DIGE with saturation labelling and MALDI-TOF MS proved to be resourceful techniques capable of identifying protein biomarkers to predict risk of spread of CRC to liver.","author":[{"dropping-particle":"","family":"Kirana","given":"Chandra","non-dropping-particle":"","parse-names":false,"suffix":""},{"dropping-particle":"","family":"Peng","given":"Lifeng","non-dropping-particle":"","parse-names":false,"suffix":""},{"dropping-particle":"","family":"Miller","given":"Rose","non-dropping-particle":"","parse-names":false,"suffix":""},{"dropping-particle":"","family":"Keating","given":"John P.","non-dropping-particle":"","parse-names":false,"suffix":""},{"dropping-particle":"","family":"Glenn","given":"Corinne","non-dropping-particle":"","parse-names":false,"suffix":""},{"dropping-particle":"","family":"Shi","given":"Hongjun","non-dropping-particle":"","parse-names":false,"suffix":""},{"dropping-particle":"","family":"Jordan","given":"T. William","non-dropping-particle":"","parse-names":false,"suffix":""},{"dropping-particle":"","family":"Maddern","given":"Guy J.","non-dropping-particle":"","parse-names":false,"suffix":""},{"dropping-particle":"","family":"Stubbs","given":"Richard S.","non-dropping-particle":"","parse-names":false,"suffix":""}],"container-title":"Clinical Proteomics","id":"ITEM-1","issue":"1","issued":{"date-parts":[["2019"]]},"page":"1-13","publisher":"BioMed Central","title":"Combination of laser microdissection, 2D-DIGE and MALDI-TOF MS to identify protein biomarkers to predict colorectal cancer spread","type":"article-journal","volume":"16"},"uris":["http://www.mendeley.com/documents/?uuid=2afcfad6-411b-491c-9181-877e1f980e1a"]}],"mendeley":{"formattedCitation":"&lt;sup&gt;[80]&lt;/sup&gt;","plainTextFormattedCitation":"[80]","previouslyFormattedCitation":"&lt;sup&gt;[80]&lt;/sup&gt;"},"properties":{"noteIndex":0},"schema":"https://github.com/citation-style-language/schema/raw/master/csl-citation.json"}</w:instrText>
            </w:r>
            <w:r w:rsidR="003830D1" w:rsidRPr="00BA2B87">
              <w:rPr>
                <w:rFonts w:ascii="Book Antiqua" w:hAnsi="Book Antiqua" w:cstheme="majorBidi"/>
              </w:rPr>
              <w:fldChar w:fldCharType="separate"/>
            </w:r>
            <w:r w:rsidR="003830D1" w:rsidRPr="00BA2B87">
              <w:rPr>
                <w:rFonts w:ascii="Book Antiqua" w:hAnsi="Book Antiqua" w:cstheme="majorBidi"/>
                <w:noProof/>
                <w:vertAlign w:val="superscript"/>
              </w:rPr>
              <w:t>[80]</w:t>
            </w:r>
            <w:r w:rsidR="003830D1" w:rsidRPr="00BA2B87">
              <w:rPr>
                <w:rFonts w:ascii="Book Antiqua" w:hAnsi="Book Antiqua" w:cstheme="majorBidi"/>
              </w:rPr>
              <w:fldChar w:fldCharType="end"/>
            </w:r>
            <w:r w:rsidRPr="00BA2B87">
              <w:rPr>
                <w:rFonts w:ascii="Book Antiqua" w:hAnsi="Book Antiqua" w:cstheme="majorBidi"/>
              </w:rPr>
              <w:t>, 2019</w:t>
            </w:r>
          </w:p>
        </w:tc>
      </w:tr>
      <w:tr w:rsidR="003830D1" w:rsidRPr="00BA2B87" w14:paraId="623AB014" w14:textId="77777777" w:rsidTr="00E033F7">
        <w:trPr>
          <w:cantSplit/>
          <w:trHeight w:val="425"/>
        </w:trPr>
        <w:tc>
          <w:tcPr>
            <w:tcW w:w="4565" w:type="dxa"/>
          </w:tcPr>
          <w:p w14:paraId="640AF426" w14:textId="1B555189"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14-3-3b protein (YWHAB)</w:t>
            </w:r>
          </w:p>
        </w:tc>
        <w:tc>
          <w:tcPr>
            <w:tcW w:w="1418" w:type="dxa"/>
            <w:vMerge/>
          </w:tcPr>
          <w:p w14:paraId="13453544"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611934EA"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1F0FCC3A"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3C1A9108" w14:textId="77777777" w:rsidR="003830D1" w:rsidRPr="00BA2B87" w:rsidRDefault="003830D1" w:rsidP="00BA2B87">
            <w:pPr>
              <w:spacing w:line="360" w:lineRule="auto"/>
              <w:jc w:val="both"/>
              <w:rPr>
                <w:rFonts w:ascii="Book Antiqua" w:hAnsi="Book Antiqua" w:cstheme="majorBidi"/>
              </w:rPr>
            </w:pPr>
          </w:p>
        </w:tc>
      </w:tr>
      <w:tr w:rsidR="003830D1" w:rsidRPr="00BA2B87" w14:paraId="6EE30B82" w14:textId="77777777" w:rsidTr="00E033F7">
        <w:trPr>
          <w:cantSplit/>
          <w:trHeight w:val="1404"/>
        </w:trPr>
        <w:tc>
          <w:tcPr>
            <w:tcW w:w="4565" w:type="dxa"/>
          </w:tcPr>
          <w:p w14:paraId="45708337" w14:textId="14E1D0CB"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 xml:space="preserve">A disintegrin and metalloproteinase with thrombospondin motifs 2 </w:t>
            </w:r>
          </w:p>
        </w:tc>
        <w:tc>
          <w:tcPr>
            <w:tcW w:w="1418" w:type="dxa"/>
            <w:vMerge/>
          </w:tcPr>
          <w:p w14:paraId="0866A0E3"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6436D803"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2709EA18"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42666FFD" w14:textId="77777777" w:rsidR="003830D1" w:rsidRPr="00BA2B87" w:rsidRDefault="003830D1" w:rsidP="00BA2B87">
            <w:pPr>
              <w:spacing w:line="360" w:lineRule="auto"/>
              <w:jc w:val="both"/>
              <w:rPr>
                <w:rFonts w:ascii="Book Antiqua" w:hAnsi="Book Antiqua" w:cstheme="majorBidi"/>
              </w:rPr>
            </w:pPr>
          </w:p>
        </w:tc>
      </w:tr>
      <w:tr w:rsidR="003830D1" w:rsidRPr="00BA2B87" w14:paraId="40AC155C" w14:textId="77777777" w:rsidTr="00E033F7">
        <w:trPr>
          <w:cantSplit/>
          <w:trHeight w:val="418"/>
        </w:trPr>
        <w:tc>
          <w:tcPr>
            <w:tcW w:w="4565" w:type="dxa"/>
          </w:tcPr>
          <w:p w14:paraId="1CE3062F" w14:textId="48FE6CA0"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Leukotriene B3</w:t>
            </w:r>
          </w:p>
        </w:tc>
        <w:tc>
          <w:tcPr>
            <w:tcW w:w="1418" w:type="dxa"/>
            <w:vMerge/>
          </w:tcPr>
          <w:p w14:paraId="4C70FD1C"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25AAF251"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2A1ECA6B"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7A483F2A" w14:textId="77777777" w:rsidR="003830D1" w:rsidRPr="00BA2B87" w:rsidRDefault="003830D1" w:rsidP="00BA2B87">
            <w:pPr>
              <w:spacing w:line="360" w:lineRule="auto"/>
              <w:jc w:val="both"/>
              <w:rPr>
                <w:rFonts w:ascii="Book Antiqua" w:hAnsi="Book Antiqua" w:cstheme="majorBidi"/>
              </w:rPr>
            </w:pPr>
          </w:p>
        </w:tc>
      </w:tr>
      <w:tr w:rsidR="003830D1" w:rsidRPr="00BA2B87" w14:paraId="486FCC70" w14:textId="77777777" w:rsidTr="00E033F7">
        <w:trPr>
          <w:cantSplit/>
          <w:trHeight w:val="705"/>
        </w:trPr>
        <w:tc>
          <w:tcPr>
            <w:tcW w:w="4565" w:type="dxa"/>
          </w:tcPr>
          <w:p w14:paraId="35B7D1F4" w14:textId="639A22B2"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Nucleoside Diphosphate Kinase 2</w:t>
            </w:r>
          </w:p>
        </w:tc>
        <w:tc>
          <w:tcPr>
            <w:tcW w:w="1418" w:type="dxa"/>
            <w:vMerge/>
          </w:tcPr>
          <w:p w14:paraId="67FE43D9"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207DBD3E"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12D1AC19"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10C3F3E2" w14:textId="77777777" w:rsidR="003830D1" w:rsidRPr="00BA2B87" w:rsidRDefault="003830D1" w:rsidP="00BA2B87">
            <w:pPr>
              <w:spacing w:line="360" w:lineRule="auto"/>
              <w:jc w:val="both"/>
              <w:rPr>
                <w:rFonts w:ascii="Book Antiqua" w:hAnsi="Book Antiqua" w:cstheme="majorBidi"/>
              </w:rPr>
            </w:pPr>
          </w:p>
        </w:tc>
      </w:tr>
      <w:tr w:rsidR="003830D1" w:rsidRPr="00BA2B87" w14:paraId="5DD2A7FA" w14:textId="77777777" w:rsidTr="00E033F7">
        <w:trPr>
          <w:cantSplit/>
          <w:trHeight w:val="945"/>
        </w:trPr>
        <w:tc>
          <w:tcPr>
            <w:tcW w:w="4565" w:type="dxa"/>
          </w:tcPr>
          <w:p w14:paraId="5964CDA1" w14:textId="15CC8243" w:rsidR="003830D1" w:rsidRPr="00BA2B87" w:rsidRDefault="003830D1" w:rsidP="00BA2B87">
            <w:pPr>
              <w:spacing w:line="360" w:lineRule="auto"/>
              <w:jc w:val="both"/>
              <w:rPr>
                <w:rFonts w:ascii="Book Antiqua" w:hAnsi="Book Antiqua" w:cs="Arial"/>
                <w:shd w:val="clear" w:color="auto" w:fill="FFFFFF"/>
              </w:rPr>
            </w:pPr>
            <w:r w:rsidRPr="00BA2B87">
              <w:rPr>
                <w:rFonts w:ascii="Book Antiqua" w:hAnsi="Book Antiqua" w:cs="Arial"/>
                <w:shd w:val="clear" w:color="auto" w:fill="FFFFFF"/>
              </w:rPr>
              <w:t>Jagged Canonical Notch Ligand 2</w:t>
            </w:r>
          </w:p>
        </w:tc>
        <w:tc>
          <w:tcPr>
            <w:tcW w:w="1418" w:type="dxa"/>
            <w:vMerge/>
          </w:tcPr>
          <w:p w14:paraId="0B317581" w14:textId="77777777" w:rsidR="003830D1" w:rsidRPr="00BA2B87" w:rsidRDefault="003830D1" w:rsidP="00BA2B87">
            <w:pPr>
              <w:spacing w:line="360" w:lineRule="auto"/>
              <w:jc w:val="both"/>
              <w:rPr>
                <w:rFonts w:ascii="Book Antiqua" w:hAnsi="Book Antiqua" w:cstheme="majorBidi"/>
              </w:rPr>
            </w:pPr>
          </w:p>
        </w:tc>
        <w:tc>
          <w:tcPr>
            <w:tcW w:w="1417" w:type="dxa"/>
            <w:vMerge/>
          </w:tcPr>
          <w:p w14:paraId="03758B71" w14:textId="77777777" w:rsidR="003830D1" w:rsidRPr="00BA2B87" w:rsidRDefault="003830D1" w:rsidP="00BA2B87">
            <w:pPr>
              <w:spacing w:line="360" w:lineRule="auto"/>
              <w:jc w:val="both"/>
              <w:rPr>
                <w:rFonts w:ascii="Book Antiqua" w:eastAsia="Times New Roman" w:hAnsi="Book Antiqua" w:cs="Calibri"/>
                <w:color w:val="000000"/>
              </w:rPr>
            </w:pPr>
          </w:p>
        </w:tc>
        <w:tc>
          <w:tcPr>
            <w:tcW w:w="1418" w:type="dxa"/>
            <w:vMerge/>
          </w:tcPr>
          <w:p w14:paraId="4F731CA8" w14:textId="77777777" w:rsidR="003830D1" w:rsidRPr="00BA2B87" w:rsidRDefault="003830D1" w:rsidP="00BA2B87">
            <w:pPr>
              <w:spacing w:line="360" w:lineRule="auto"/>
              <w:jc w:val="both"/>
              <w:rPr>
                <w:rFonts w:ascii="Book Antiqua" w:hAnsi="Book Antiqua" w:cstheme="majorBidi"/>
              </w:rPr>
            </w:pPr>
          </w:p>
        </w:tc>
        <w:tc>
          <w:tcPr>
            <w:tcW w:w="2097" w:type="dxa"/>
            <w:vMerge/>
          </w:tcPr>
          <w:p w14:paraId="0E1F3220" w14:textId="77777777" w:rsidR="003830D1" w:rsidRPr="00BA2B87" w:rsidRDefault="003830D1" w:rsidP="00BA2B87">
            <w:pPr>
              <w:spacing w:line="360" w:lineRule="auto"/>
              <w:jc w:val="both"/>
              <w:rPr>
                <w:rFonts w:ascii="Book Antiqua" w:hAnsi="Book Antiqua" w:cstheme="majorBidi"/>
              </w:rPr>
            </w:pPr>
          </w:p>
        </w:tc>
      </w:tr>
      <w:tr w:rsidR="004F2744" w:rsidRPr="00BA2B87" w14:paraId="2C74A4C3" w14:textId="77777777" w:rsidTr="00E033F7">
        <w:trPr>
          <w:cantSplit/>
          <w:trHeight w:val="566"/>
        </w:trPr>
        <w:tc>
          <w:tcPr>
            <w:tcW w:w="4565" w:type="dxa"/>
          </w:tcPr>
          <w:p w14:paraId="32E5D2CF"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Collagen type XII (FACIT)</w:t>
            </w:r>
          </w:p>
        </w:tc>
        <w:tc>
          <w:tcPr>
            <w:tcW w:w="1418" w:type="dxa"/>
          </w:tcPr>
          <w:p w14:paraId="35D52285"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4C9A218E"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Colorectal liver metastasis tissue</w:t>
            </w:r>
          </w:p>
        </w:tc>
        <w:tc>
          <w:tcPr>
            <w:tcW w:w="1418" w:type="dxa"/>
          </w:tcPr>
          <w:p w14:paraId="50062B3D"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17B59728" w14:textId="5E693478" w:rsidR="004F2744" w:rsidRPr="00BA2B87" w:rsidRDefault="00BC3400" w:rsidP="00BA2B87">
            <w:pPr>
              <w:spacing w:line="360" w:lineRule="auto"/>
              <w:jc w:val="both"/>
              <w:rPr>
                <w:rFonts w:ascii="Book Antiqua" w:hAnsi="Book Antiqua" w:cstheme="majorBidi"/>
              </w:rPr>
            </w:pPr>
            <w:r w:rsidRPr="00BA2B87">
              <w:rPr>
                <w:rFonts w:ascii="Book Antiqua" w:hAnsi="Book Antiqua"/>
              </w:rPr>
              <w:t>van Huizen</w:t>
            </w:r>
            <w:r w:rsidRPr="00BA2B87">
              <w:rPr>
                <w:rFonts w:ascii="Book Antiqua" w:hAnsi="Book Antiqua" w:cstheme="majorBidi"/>
              </w:rPr>
              <w:t xml:space="preserve"> </w:t>
            </w:r>
            <w:r w:rsidRPr="00BA2B87">
              <w:rPr>
                <w:rFonts w:ascii="Book Antiqua" w:hAnsi="Book Antiqua" w:cstheme="majorBidi"/>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{"citationItems":[{"id":"ITEM-1","itemData":{"DOI":"10.1074/jbc.RA118.005087","ISSN":"1083351X","PMID":"30409905","abstract":"Changes to extracellular matrix (ECM) structures are linked to tumor cell proliferation and metastasis. We previously reported that naturally occurring peptides of collagen type I are elevated in urine of patients with colorectal liver metastasis (CRLM). In the present study, we took an MS-based proteomic approach to identify specific collagen types that are up-regulated in CRLM tissues compared with healthy, adjacent liver tissues from the same patients. We found that 19 of 22 collagen- chains are significantly up-regulated (p &lt; 0.05) in CRLM tissues compared with the healthy tissues. At least four collagen- chains were absent or had low expression in healthy colon and adjacent tissues, but were highly abundant in both colorectal cancer (CRC) and CRLM tissues. This expression pattern was also observed for six noncollagen colon-specific proteins, two of which (CDH17 and PPP1R1B/DARP-32) had not previously been linked to CRLM. Furthermore, we observed CRLM-associated up-regulation of 16 proteins (of 20 associated proteins identified) known to be required for collagen synthesis, indicating increased collagen production in CRLM. Immunohistochemistry validated that collagen type XII is significantly up-regulated in CRLM. The results of this study indicate that most collagen isoforms are up-regulated in CRLM compared with healthy tissues, most likely as a result of an increased collagen production in the metastatic cells. Our findings provide further insight into morphological changes in the ECM in CRLM and help explain the finding of tumor metastasis–associated proteins and peptides in urine, suggesting their utility as metastasis biomarkers.","author":[{"dropping-particle":"","family":"Huizen","given":"Nick A.","non-dropping-particle":"van","parse-names":false,"suffix":""},{"dropping-particle":"","family":"Coebergh van den Braak","given":"Robert R.J.","non-dropping-particle":"","parse-names":false,"suffix":""},{"dropping-particle":"","family":"Doukas","given":"Michael","non-dropping-particle":"","parse-names":false,"suffix":""},{"dropping-particle":"","family":"Dekker","given":"Lennard J.M.","non-dropping-particle":"","parse-names":false,"suffix":""},{"dropping-particle":"","family":"IJzermans","given":"Jan N.M.","non-dropping-particle":"","parse-names":false,"suffix":""},{"dropping-particle":"","family":"Luider","given":"Theo M.","non-dropping-particle":"","parse-names":false,"suffix":""}],"container-title":"Journal of Biological Chemistry","id":"ITEM-1","issue":"1","issued":{"date-parts":[["2019"]]},"page":"281-289","title":"Up-regulation of collagen proteins in colorectal liver metastasis compared with normal liver tissue","type":"article-journal","volume":"294"},"uris":["http://www.mendeley.com/documents/?uuid=4eeaac51-55d6-4f55-8b0a-f957733eabe4"]}],"mendeley":{"formattedCitation":"&lt;sup&gt;[81]&lt;/sup&gt;","plainTextFormattedCitation":"[81]","previouslyFormattedCitation":"&lt;sup&gt;[81]&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[81]</w:t>
            </w:r>
            <w:r w:rsidR="004F2744" w:rsidRPr="00BA2B87">
              <w:rPr>
                <w:rFonts w:ascii="Book Antiqua" w:hAnsi="Book Antiqua" w:cstheme="majorBidi"/>
              </w:rPr>
              <w:fldChar w:fldCharType="end"/>
            </w:r>
            <w:r w:rsidRPr="00BA2B87">
              <w:rPr>
                <w:rFonts w:ascii="Book Antiqua" w:hAnsi="Book Antiqua" w:cstheme="majorBidi"/>
              </w:rPr>
              <w:t>, 2019</w:t>
            </w:r>
          </w:p>
        </w:tc>
      </w:tr>
      <w:tr w:rsidR="004F2744" w:rsidRPr="00BA2B87" w14:paraId="78825E67" w14:textId="77777777" w:rsidTr="00E033F7">
        <w:trPr>
          <w:cantSplit/>
          <w:trHeight w:val="1047"/>
        </w:trPr>
        <w:tc>
          <w:tcPr>
            <w:tcW w:w="4565" w:type="dxa"/>
          </w:tcPr>
          <w:p w14:paraId="11E18E68" w14:textId="43602A5F"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Heat shock protein 47</w:t>
            </w:r>
          </w:p>
        </w:tc>
        <w:tc>
          <w:tcPr>
            <w:tcW w:w="1418" w:type="dxa"/>
          </w:tcPr>
          <w:p w14:paraId="1520DCCA"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28C2DCEB"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tcPr>
          <w:p w14:paraId="56A1EB4D"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1CCCD133" w14:textId="2FB81090" w:rsidR="004F2744" w:rsidRPr="00BA2B87" w:rsidRDefault="00BC3400" w:rsidP="00BA2B87">
            <w:pPr>
              <w:spacing w:line="360" w:lineRule="auto"/>
              <w:jc w:val="both"/>
              <w:rPr>
                <w:rFonts w:ascii="Book Antiqua" w:hAnsi="Book Antiqua" w:cstheme="majorBidi"/>
              </w:rPr>
            </w:pPr>
            <w:r w:rsidRPr="00BA2B87">
              <w:rPr>
                <w:rFonts w:ascii="Book Antiqua" w:hAnsi="Book Antiqua"/>
              </w:rPr>
              <w:t>Mori</w:t>
            </w:r>
            <w:r w:rsidRPr="00BA2B87">
              <w:rPr>
                <w:rFonts w:ascii="Book Antiqua" w:hAnsi="Book Antiqua" w:cstheme="majorBidi"/>
              </w:rPr>
              <w:t xml:space="preserve"> </w:t>
            </w:r>
            <w:r w:rsidRPr="00BA2B87">
              <w:rPr>
                <w:rFonts w:ascii="Book Antiqua" w:hAnsi="Book Antiqua" w:cstheme="majorBidi"/>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{"citationItems":[{"id":"ITEM-1","itemData":{"DOI":"10.1002/ijc.30557","ISSN":"10970215","PMID":"27925182","abstract":"The discovery of biomarkers to predict the potential for lymph node (LN) metastasis in patients with colorectal cancer (CRC) is essential for developing improved strategies for treating CRC. In the present study, they used isobaric tags for relative and absolute quantitation to conduct a proteomic analysis designed to identify novel biomarkers for predicting LN metastasis in patients with CRC. They identified 60 differentially expressed proteins specifically associated with LN metastasis in CRC patients and classified the molecular and functional characteristics of these proteins by bioinformatic approaches. A literature search led them to select heat shock protein 47 (HSP47) as the most suitable candidate biomarker for predicting LN metastasis. Validation analysis by immunohistochemistry showed that HSP47 expression in patients with CRC and the number of HSP47-positive spindle cells in the tumor stroma were significantly higher compared with those in adjacent normal colonic mucosa, and the number of the latter cells increased with tumor progression. Further, the number of HSP47-positive spindle cells in stroma was a more informative marker for identifying LN metastasis than HSP47expression. Multivariate analysis identified spindle cells that expressed elevated levels of HSP47 as an independent predictive biomarker for CRC with LN metastasis. Moreover, these cells served as an independent marker of disease-free and overall survival of patients with CRC. Their data indicate that the number of HSP47-positive spindle cells in the stroma of CRC may serve as a novel predictive biomarker of LN metastasis, early recurrence and poor prognosis.","author":[{"dropping-particle":"","family":"Mori","given":"Koichiro","non-dropping-particle":"","parse-names":false,"suffix":""},{"dropping-particle":"","family":"Toiyama","given":"Yuji","non-dropping-particle":"","parse-names":false,"suffix":""},{"dropping-particle":"","family":"Otake","given":"Kohei","non-dropping-particle":"","parse-names":false,"suffix":""},{"dropping-particle":"","family":"Fujikawa","given":"Hiroyuki","non-dropping-particle":"","parse-names":false,"suffix":""},{"dropping-particle":"","family":"Saigusa","given":"Susumu","non-dropping-particle":"","parse-names":false,"suffix":""},{"dropping-particle":"","family":"Hiro","given":"Junichiro","non-dropping-particle":"","parse-names":false,"suffix":""},{"dropping-particle":"","family":"Kobayashi","given":"Minako","non-dropping-particle":"","parse-names":false,"suffix":""},{"dropping-particle":"","family":"Ohi","given":"Masaki","non-dropping-particle":"","parse-names":false,"suffix":""},{"dropping-particle":"","family":"Tanaka","given":"Koji","non-dropping-particle":"","parse-names":false,"suffix":""},{"dropping-particle":"","family":"Inoue","given":"Yasuhiro","non-dropping-particle":"","parse-names":false,"suffix":""},{"dropping-particle":"","family":"Kobayashi","given":"Yuhko","non-dropping-particle":"","parse-names":false,"suffix":""},{"dropping-particle":"","family":"Kobayashi","given":"Issei","non-dropping-particle":"","parse-names":false,"suffix":""},{"dropping-particle":"","family":"Mohri","given":"Yasuhiko","non-dropping-particle":"","parse-names":false,"suffix":""},{"dropping-particle":"","family":"Goel","given":"Ajay","non-dropping-particle":"","parse-names":false,"suffix":""},{"dropping-particle":"","family":"Kusunoki","given":"Masato","non-dropping-particle":"","parse-names":false,"suffix":""}],"container-title":"International Journal of Cancer","id":"ITEM-1","issue":"6","issued":{"date-parts":[["2017"]]},"page":"1425-1435","title":"Proteomics analysis of differential protein expression identifies heat shock protein 47 as a predictive marker for lymph node metastasis in patients with colorectal cancer","type":"article-journal","volume":"140"},"uris":["http://www.mendeley.com/documents/?uuid=6b2e0499-e1a5-4ac8-ae5f-a5f22290cf13"]}],"mendeley":{"formattedCitation":"&lt;sup&gt;[82]&lt;/sup&gt;","plainTextFormattedCitation":"[82]","previouslyFormattedCitation":"&lt;sup&gt;[82]&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[82]</w:t>
            </w:r>
            <w:r w:rsidR="004F2744" w:rsidRPr="00BA2B87">
              <w:rPr>
                <w:rFonts w:ascii="Book Antiqua" w:hAnsi="Book Antiqua" w:cstheme="majorBidi"/>
              </w:rPr>
              <w:fldChar w:fldCharType="end"/>
            </w:r>
            <w:r w:rsidRPr="00BA2B87">
              <w:rPr>
                <w:rFonts w:ascii="Book Antiqua" w:hAnsi="Book Antiqua" w:cstheme="majorBidi"/>
              </w:rPr>
              <w:t xml:space="preserve">, </w:t>
            </w:r>
            <w:r w:rsidRPr="00BA2B87">
              <w:rPr>
                <w:rFonts w:ascii="Book Antiqua" w:hAnsi="Book Antiqua"/>
              </w:rPr>
              <w:t>2017</w:t>
            </w:r>
          </w:p>
        </w:tc>
      </w:tr>
      <w:tr w:rsidR="004F2744" w:rsidRPr="00BA2B87" w14:paraId="713CE112" w14:textId="77777777" w:rsidTr="00E033F7">
        <w:trPr>
          <w:cantSplit/>
          <w:trHeight w:val="320"/>
        </w:trPr>
        <w:tc>
          <w:tcPr>
            <w:tcW w:w="4565" w:type="dxa"/>
          </w:tcPr>
          <w:p w14:paraId="3C6C7D32"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Ezrin protein</w:t>
            </w:r>
          </w:p>
        </w:tc>
        <w:tc>
          <w:tcPr>
            <w:tcW w:w="1418" w:type="dxa"/>
          </w:tcPr>
          <w:p w14:paraId="290BB0AC"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4085713A"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Cells and tissue</w:t>
            </w:r>
          </w:p>
        </w:tc>
        <w:tc>
          <w:tcPr>
            <w:tcW w:w="1418" w:type="dxa"/>
          </w:tcPr>
          <w:p w14:paraId="5A55A77E"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23077C6B" w14:textId="461EA1EE" w:rsidR="004F2744" w:rsidRPr="00BA2B87" w:rsidRDefault="00BC3400" w:rsidP="00BA2B87">
            <w:pPr>
              <w:spacing w:line="360" w:lineRule="auto"/>
              <w:jc w:val="both"/>
              <w:rPr>
                <w:rFonts w:ascii="Book Antiqua" w:hAnsi="Book Antiqua" w:cstheme="majorBidi"/>
              </w:rPr>
            </w:pPr>
            <w:r w:rsidRPr="00820596">
              <w:rPr>
                <w:rFonts w:ascii="Book Antiqua" w:hAnsi="Book Antiqua"/>
              </w:rPr>
              <w:t>Patara</w:t>
            </w:r>
            <w:r w:rsidRPr="00BA2B87">
              <w:rPr>
                <w:rFonts w:ascii="Book Antiqua" w:hAnsi="Book Antiqua" w:cstheme="majorBidi"/>
              </w:rPr>
              <w:t xml:space="preserve"> </w:t>
            </w:r>
            <w:r w:rsidRPr="00BA2B87">
              <w:rPr>
                <w:rFonts w:ascii="Book Antiqua" w:hAnsi="Book Antiqua" w:cstheme="majorBidi"/>
                <w:i/>
                <w:iCs/>
              </w:rPr>
              <w:t>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{"citationItems":[{"id":"ITEM-1","itemData":{"DOI":"10.1007/s12253-011-9389-4","ISSN":"12194956","PMID":"21465252","abstract":"Ezrin protein acts in the regulation of cytoskeletal and directly influences survival and tumor progression;there is an increase in its expression in metastatic cells and tissues in several types of cancer including colorectal cancer. 250 Patients with colorectal cancer submitted to surgery from 1995 to 2002. Protein expression was carried through by Tissue Micro Array immunohistochemical tests of paraffined neoplasic tissues and associated with clinical variables. Differentiation degree, lymph node invasion, metastasis at diagnosis, and palliative surgery were associated to a higher expression of the protein and survival. Higher expression of the Ezrin correlates with tumor aggressiveness and worse prognosis for colorectal cancer. © Arányi Lajos Foundation 2011.","author":[{"dropping-particle":"","family":"Patara","given":"Marcelo","non-dropping-particle":"","parse-names":false,"suffix":""},{"dropping-particle":"","family":"Santos","given":"Erika Maria Monteiro","non-dropping-particle":"","parse-names":false,"suffix":""},{"dropping-particle":"","family":"Almeida Coudry","given":"Renata","non-dropping-particle":"De","parse-names":false,"suffix":""},{"dropping-particle":"","family":"Soares","given":"Fernando Augusto","non-dropping-particle":"","parse-names":false,"suffix":""},{"dropping-particle":"","family":"Ferreira","given":"Fábio Oliveira","non-dropping-particle":"","parse-names":false,"suffix":""},{"dropping-particle":"","family":"Rossi","given":"Benedito Mauro","non-dropping-particle":"","parse-names":false,"suffix":""}],"container-title":"Pathology and Oncology Research","id":"ITEM-1","issued":{"date-parts":[["2011"]]},"title":"Ezrin expression as a prognostic marker in colorectal adenocarcinoma","type":"article-journal"},"uris":["http://www.mendeley.com/documents/?uuid=33390ffc-575e-405b-aa04-7dc2c25c7998"]}],"mendeley":{"formattedCitation":"&lt;sup&gt;[93]&lt;/sup&gt;","plainTextFormattedCitation":"[93]","previouslyFormattedCitation":"&lt;sup&gt;[93]&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[85]</w:t>
            </w:r>
            <w:r w:rsidR="004F2744" w:rsidRPr="00BA2B87">
              <w:rPr>
                <w:rFonts w:ascii="Book Antiqua" w:hAnsi="Book Antiqua" w:cstheme="majorBidi"/>
              </w:rPr>
              <w:fldChar w:fldCharType="end"/>
            </w:r>
            <w:r w:rsidRPr="00BA2B87">
              <w:rPr>
                <w:rFonts w:ascii="Book Antiqua" w:hAnsi="Book Antiqua" w:cstheme="majorBidi"/>
              </w:rPr>
              <w:t>, 2011</w:t>
            </w:r>
          </w:p>
        </w:tc>
      </w:tr>
      <w:tr w:rsidR="00A8708F" w:rsidRPr="00BA2B87" w14:paraId="62F28C39" w14:textId="77777777" w:rsidTr="00E033F7">
        <w:trPr>
          <w:cantSplit/>
          <w:trHeight w:val="320"/>
        </w:trPr>
        <w:tc>
          <w:tcPr>
            <w:tcW w:w="4565" w:type="dxa"/>
          </w:tcPr>
          <w:p w14:paraId="74DEEF52" w14:textId="4DECC474"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Collagen VI (COL6)</w:t>
            </w:r>
          </w:p>
        </w:tc>
        <w:tc>
          <w:tcPr>
            <w:tcW w:w="1418" w:type="dxa"/>
            <w:vMerge w:val="restart"/>
          </w:tcPr>
          <w:p w14:paraId="2790174C" w14:textId="4811226A"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vMerge w:val="restart"/>
          </w:tcPr>
          <w:p w14:paraId="5DDA97D9" w14:textId="4B896583" w:rsidR="00A8708F" w:rsidRPr="00BA2B87" w:rsidRDefault="00A8708F" w:rsidP="00BA2B87">
            <w:pPr>
              <w:spacing w:line="360" w:lineRule="auto"/>
              <w:jc w:val="both"/>
              <w:rPr>
                <w:rFonts w:ascii="Book Antiqua" w:eastAsia="Times New Roman" w:hAnsi="Book Antiqua" w:cs="Calibri"/>
                <w:color w:val="000000"/>
              </w:rPr>
            </w:pPr>
            <w:r w:rsidRPr="00BA2B87">
              <w:rPr>
                <w:rFonts w:ascii="Book Antiqua" w:eastAsia="Times New Roman" w:hAnsi="Book Antiqua" w:cs="Calibri"/>
                <w:color w:val="000000"/>
              </w:rPr>
              <w:t>Fresh Frozen Tissue</w:t>
            </w:r>
          </w:p>
        </w:tc>
        <w:tc>
          <w:tcPr>
            <w:tcW w:w="1418" w:type="dxa"/>
            <w:vMerge w:val="restart"/>
          </w:tcPr>
          <w:p w14:paraId="2600467C" w14:textId="23E7724B"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739CD70A" w14:textId="31CE5B2B" w:rsidR="00A8708F" w:rsidRPr="00BA2B87" w:rsidRDefault="00A8708F" w:rsidP="00BA2B87">
            <w:pPr>
              <w:spacing w:line="360" w:lineRule="auto"/>
              <w:jc w:val="both"/>
              <w:rPr>
                <w:rFonts w:ascii="Book Antiqua" w:hAnsi="Book Antiqua"/>
                <w:lang w:val="pt-BR"/>
              </w:rPr>
            </w:pPr>
            <w:r w:rsidRPr="00A8708F">
              <w:rPr>
                <w:rFonts w:ascii="Book Antiqua" w:hAnsi="Book Antiqua"/>
              </w:rPr>
              <w:t>Clarke</w:t>
            </w:r>
            <w:r w:rsidRPr="00A8708F">
              <w:rPr>
                <w:rFonts w:ascii="Book Antiqua" w:hAnsi="Book Antiqua" w:cstheme="majorBidi"/>
              </w:rPr>
              <w:t xml:space="preserve"> </w:t>
            </w:r>
            <w:r w:rsidRPr="00A8708F">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rPr>
              <w:instrText>ADDIN CSL_CITATION {"citationItems":[{"id":"ITEM-1","itemData":{"DOI":"10.1245/s10434-017-6054-5.Proteomic","author":[{"dropping-particle":"","family":"Clarke","given":"Callisia N","non-dropping-particle":"","parse-names":false,"suffix":""},{"dropping-particle":"","family":"Lee","given":"Michael S","non-dropping-particle":"","parse-names":false,"suffix":""},{"dropping-particle":"","family":"Wei","given":"Wei","non-dropping-particle":"","parse-names":false,"suffix":""},{"dropping-particle":"","family":"Manyam","given":"Ganiraju","non-dropping-particle":"","parse-names":false,"suffix":""},{"dropping-particle":"","family":"Jiang","given":"Qin","non-dropping-particle":"","parse-names":false,"suffix":""},{"dropping-particle":"","family":"Lu","given":"Yiling","non-dropping-particle":"","parse-names":false,"suffix":""},{"dropping-particle":"","family":"Morris","given":"Jeffrey","non-dropping-particle":"","parse-names":false,"suffix":""},{"dropping-particle":"","family":"Broom","given":"Bradley","non-dropping-particle":"","parse-names":false,"suffix":""},{"dropping-particle":"","family":"Menter","given":"David","non-dropping-particle":"","parse-names":false,"suffix":""},{"dropping-particle":"","family":"Vilar-sanchez","given":"Eduardo","non-dropping-particle":"","parse-names":false,"suffix":""},{"dropping-particle":"","family":"Raghav","given":"Kanwal","non-dropping-particle":"","parse-names":false,"suffix":""},{"dropping-particle":"","family":"Eng","given":"Cathy","non-dropping-particle":"","parse-names":false,"suffix":""},{"dropping-particle":"","family":"George","given":"J","non-dropping-particle":"","parse-names":false,"suffix":""}],"id":"ITEM-1","issue":"13","issued":{"date-parts":[["2018"]]},"page":"4051-4058","title":"HHS Public Access","type":"article-journal","volume":"24"},"uris":["http://www.mendeley.com/documents/?uuid=4105e2ad-82b4-4c21-8467-ccff7dd9a4b8"]}],"mendeley":{"formattedCitation":"&lt;sup&gt;[86]&lt;/sup&gt;","plainTextFormattedCitation":"[86]","previouslyFormattedCitation":"&lt;sup&gt;[86]&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[86]</w:t>
            </w:r>
            <w:r w:rsidRPr="00BA2B87">
              <w:rPr>
                <w:rFonts w:ascii="Book Antiqua" w:hAnsi="Book Antiqua" w:cstheme="majorBidi"/>
              </w:rPr>
              <w:fldChar w:fldCharType="end"/>
            </w:r>
            <w:r>
              <w:rPr>
                <w:rFonts w:ascii="Book Antiqua" w:hAnsi="Book Antiqua" w:cstheme="majorBidi"/>
              </w:rPr>
              <w:t>, 2017</w:t>
            </w:r>
          </w:p>
        </w:tc>
      </w:tr>
      <w:tr w:rsidR="00A8708F" w:rsidRPr="00BA2B87" w14:paraId="62CFEC83" w14:textId="77777777" w:rsidTr="00E033F7">
        <w:trPr>
          <w:cantSplit/>
          <w:trHeight w:val="502"/>
        </w:trPr>
        <w:tc>
          <w:tcPr>
            <w:tcW w:w="4565" w:type="dxa"/>
          </w:tcPr>
          <w:p w14:paraId="5145A44A" w14:textId="49C43459"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Forkhead box O3</w:t>
            </w:r>
          </w:p>
        </w:tc>
        <w:tc>
          <w:tcPr>
            <w:tcW w:w="1418" w:type="dxa"/>
            <w:vMerge/>
          </w:tcPr>
          <w:p w14:paraId="77BC84B8" w14:textId="27C83E77" w:rsidR="00A8708F" w:rsidRPr="00BA2B87" w:rsidRDefault="00A8708F" w:rsidP="00BA2B87">
            <w:pPr>
              <w:spacing w:line="360" w:lineRule="auto"/>
              <w:jc w:val="both"/>
              <w:rPr>
                <w:rFonts w:ascii="Book Antiqua" w:hAnsi="Book Antiqua" w:cstheme="majorBidi"/>
              </w:rPr>
            </w:pPr>
          </w:p>
        </w:tc>
        <w:tc>
          <w:tcPr>
            <w:tcW w:w="1417" w:type="dxa"/>
            <w:vMerge/>
          </w:tcPr>
          <w:p w14:paraId="163C7EE2" w14:textId="10955277" w:rsidR="00A8708F" w:rsidRPr="00BA2B87" w:rsidRDefault="00A8708F" w:rsidP="00BA2B87">
            <w:pPr>
              <w:spacing w:line="360" w:lineRule="auto"/>
              <w:jc w:val="both"/>
              <w:rPr>
                <w:rFonts w:ascii="Book Antiqua" w:hAnsi="Book Antiqua" w:cstheme="majorBidi"/>
              </w:rPr>
            </w:pPr>
          </w:p>
        </w:tc>
        <w:tc>
          <w:tcPr>
            <w:tcW w:w="1418" w:type="dxa"/>
            <w:vMerge/>
          </w:tcPr>
          <w:p w14:paraId="29DC5747" w14:textId="4340B187" w:rsidR="00A8708F" w:rsidRPr="00BA2B87" w:rsidRDefault="00A8708F" w:rsidP="00BA2B87">
            <w:pPr>
              <w:spacing w:line="360" w:lineRule="auto"/>
              <w:jc w:val="both"/>
              <w:rPr>
                <w:rFonts w:ascii="Book Antiqua" w:hAnsi="Book Antiqua" w:cstheme="majorBidi"/>
              </w:rPr>
            </w:pPr>
          </w:p>
        </w:tc>
        <w:tc>
          <w:tcPr>
            <w:tcW w:w="2097" w:type="dxa"/>
            <w:vMerge/>
          </w:tcPr>
          <w:p w14:paraId="050D1AF5" w14:textId="0FA7C34A" w:rsidR="00A8708F" w:rsidRPr="00BA2B87" w:rsidRDefault="00A8708F" w:rsidP="00BA2B87">
            <w:pPr>
              <w:spacing w:line="360" w:lineRule="auto"/>
              <w:jc w:val="both"/>
              <w:rPr>
                <w:rFonts w:ascii="Book Antiqua" w:hAnsi="Book Antiqua" w:cstheme="majorBidi"/>
              </w:rPr>
            </w:pPr>
          </w:p>
        </w:tc>
      </w:tr>
      <w:tr w:rsidR="00A8708F" w:rsidRPr="00BA2B87" w14:paraId="0338A4BF" w14:textId="77777777" w:rsidTr="00E033F7">
        <w:trPr>
          <w:cantSplit/>
          <w:trHeight w:val="1020"/>
        </w:trPr>
        <w:tc>
          <w:tcPr>
            <w:tcW w:w="4565" w:type="dxa"/>
          </w:tcPr>
          <w:p w14:paraId="312DE6FB" w14:textId="2F14EA29"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RAD51 (DNA repair protein RAD51 homolog 1)</w:t>
            </w:r>
          </w:p>
        </w:tc>
        <w:tc>
          <w:tcPr>
            <w:tcW w:w="1418" w:type="dxa"/>
            <w:vMerge/>
          </w:tcPr>
          <w:p w14:paraId="4902EEEB"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10948F02"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2E3EE6D7"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3E2A98E7" w14:textId="77777777" w:rsidR="00A8708F" w:rsidRPr="00BA2B87" w:rsidRDefault="00A8708F" w:rsidP="00BA2B87">
            <w:pPr>
              <w:spacing w:line="360" w:lineRule="auto"/>
              <w:jc w:val="both"/>
              <w:rPr>
                <w:rFonts w:ascii="Book Antiqua" w:hAnsi="Book Antiqua" w:cstheme="majorBidi"/>
              </w:rPr>
            </w:pPr>
          </w:p>
        </w:tc>
      </w:tr>
      <w:tr w:rsidR="00A8708F" w:rsidRPr="00BA2B87" w14:paraId="54F33FAC" w14:textId="77777777" w:rsidTr="00E033F7">
        <w:trPr>
          <w:cantSplit/>
          <w:trHeight w:val="907"/>
        </w:trPr>
        <w:tc>
          <w:tcPr>
            <w:tcW w:w="4565" w:type="dxa"/>
          </w:tcPr>
          <w:p w14:paraId="50637BD9" w14:textId="004ED7F0" w:rsidR="00A8708F" w:rsidRPr="00BA2B87" w:rsidRDefault="00A8708F" w:rsidP="00BA2B87">
            <w:pPr>
              <w:spacing w:line="360" w:lineRule="auto"/>
              <w:jc w:val="both"/>
              <w:rPr>
                <w:rFonts w:ascii="Book Antiqua" w:hAnsi="Book Antiqua"/>
              </w:rPr>
            </w:pPr>
            <w:r w:rsidRPr="00BA2B87">
              <w:rPr>
                <w:rFonts w:ascii="Book Antiqua" w:hAnsi="Book Antiqua" w:cstheme="majorBidi"/>
                <w:bCs/>
              </w:rPr>
              <w:t>Lymphocyte-specific protein tyrosine kinase</w:t>
            </w:r>
          </w:p>
        </w:tc>
        <w:tc>
          <w:tcPr>
            <w:tcW w:w="1418" w:type="dxa"/>
            <w:vMerge/>
          </w:tcPr>
          <w:p w14:paraId="139325F3"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0F23A742"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65D4497E"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1C1461A9" w14:textId="77777777" w:rsidR="00A8708F" w:rsidRPr="00BA2B87" w:rsidRDefault="00A8708F" w:rsidP="00BA2B87">
            <w:pPr>
              <w:spacing w:line="360" w:lineRule="auto"/>
              <w:jc w:val="both"/>
              <w:rPr>
                <w:rFonts w:ascii="Book Antiqua" w:hAnsi="Book Antiqua" w:cstheme="majorBidi"/>
              </w:rPr>
            </w:pPr>
          </w:p>
        </w:tc>
      </w:tr>
      <w:tr w:rsidR="00A8708F" w:rsidRPr="00BA2B87" w14:paraId="688BF5E2" w14:textId="77777777" w:rsidTr="00E033F7">
        <w:trPr>
          <w:cantSplit/>
          <w:trHeight w:val="340"/>
        </w:trPr>
        <w:tc>
          <w:tcPr>
            <w:tcW w:w="4565" w:type="dxa"/>
          </w:tcPr>
          <w:p w14:paraId="52461F37" w14:textId="0E4D7713"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bCs/>
              </w:rPr>
              <w:lastRenderedPageBreak/>
              <w:t>Inositol polyphosphate-4-phosphatase</w:t>
            </w:r>
          </w:p>
        </w:tc>
        <w:tc>
          <w:tcPr>
            <w:tcW w:w="1418" w:type="dxa"/>
            <w:vMerge/>
          </w:tcPr>
          <w:p w14:paraId="672854AC"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11454692"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29B0FAB9"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058F6114" w14:textId="77777777" w:rsidR="00A8708F" w:rsidRPr="00BA2B87" w:rsidRDefault="00A8708F" w:rsidP="00BA2B87">
            <w:pPr>
              <w:spacing w:line="360" w:lineRule="auto"/>
              <w:jc w:val="both"/>
              <w:rPr>
                <w:rFonts w:ascii="Book Antiqua" w:hAnsi="Book Antiqua" w:cstheme="majorBidi"/>
              </w:rPr>
            </w:pPr>
          </w:p>
        </w:tc>
      </w:tr>
      <w:tr w:rsidR="00A8708F" w:rsidRPr="00BA2B87" w14:paraId="40B7CE16" w14:textId="77777777" w:rsidTr="00E033F7">
        <w:trPr>
          <w:cantSplit/>
          <w:trHeight w:val="340"/>
        </w:trPr>
        <w:tc>
          <w:tcPr>
            <w:tcW w:w="4565" w:type="dxa"/>
          </w:tcPr>
          <w:p w14:paraId="623D9047" w14:textId="1226FC0C" w:rsidR="00A8708F" w:rsidRPr="00BA2B87" w:rsidRDefault="00A8708F" w:rsidP="008B651D">
            <w:pPr>
              <w:spacing w:line="360" w:lineRule="auto"/>
              <w:jc w:val="both"/>
              <w:rPr>
                <w:rFonts w:ascii="Book Antiqua" w:hAnsi="Book Antiqua" w:cstheme="majorBidi"/>
              </w:rPr>
            </w:pPr>
            <w:r w:rsidRPr="00BA2B87">
              <w:rPr>
                <w:rFonts w:ascii="Book Antiqua" w:hAnsi="Book Antiqua" w:cstheme="majorBidi"/>
                <w:bCs/>
              </w:rPr>
              <w:t>Phospho-PEA15 (Ser116)</w:t>
            </w:r>
          </w:p>
        </w:tc>
        <w:tc>
          <w:tcPr>
            <w:tcW w:w="1418" w:type="dxa"/>
            <w:vMerge/>
          </w:tcPr>
          <w:p w14:paraId="6ED4F006"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7A08F629"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44D876F5"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3F587CC8" w14:textId="77777777" w:rsidR="00A8708F" w:rsidRPr="00BA2B87" w:rsidRDefault="00A8708F" w:rsidP="00BA2B87">
            <w:pPr>
              <w:spacing w:line="360" w:lineRule="auto"/>
              <w:jc w:val="both"/>
              <w:rPr>
                <w:rFonts w:ascii="Book Antiqua" w:hAnsi="Book Antiqua" w:cstheme="majorBidi"/>
              </w:rPr>
            </w:pPr>
          </w:p>
        </w:tc>
      </w:tr>
      <w:tr w:rsidR="00A8708F" w:rsidRPr="00BA2B87" w14:paraId="7CBD0D50" w14:textId="77777777" w:rsidTr="00E033F7">
        <w:trPr>
          <w:cantSplit/>
          <w:trHeight w:val="340"/>
        </w:trPr>
        <w:tc>
          <w:tcPr>
            <w:tcW w:w="4565" w:type="dxa"/>
          </w:tcPr>
          <w:p w14:paraId="637CC883" w14:textId="06E02E66" w:rsidR="00A8708F" w:rsidRPr="00BA2B87" w:rsidRDefault="00A8708F" w:rsidP="00BA2B87">
            <w:pPr>
              <w:spacing w:line="360" w:lineRule="auto"/>
              <w:jc w:val="both"/>
              <w:rPr>
                <w:rFonts w:ascii="Book Antiqua" w:hAnsi="Book Antiqua" w:cstheme="majorBidi"/>
              </w:rPr>
            </w:pPr>
            <w:r w:rsidRPr="00BA2B87">
              <w:rPr>
                <w:rFonts w:ascii="Book Antiqua" w:hAnsi="Book Antiqua" w:cstheme="majorBidi"/>
              </w:rPr>
              <w:t>Phosho-S6 (Ser240-244)</w:t>
            </w:r>
          </w:p>
        </w:tc>
        <w:tc>
          <w:tcPr>
            <w:tcW w:w="1418" w:type="dxa"/>
            <w:vMerge/>
          </w:tcPr>
          <w:p w14:paraId="452541DA"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415C1020"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03E383DB"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4A460F12" w14:textId="77777777" w:rsidR="00A8708F" w:rsidRPr="00BA2B87" w:rsidRDefault="00A8708F" w:rsidP="00BA2B87">
            <w:pPr>
              <w:spacing w:line="360" w:lineRule="auto"/>
              <w:jc w:val="both"/>
              <w:rPr>
                <w:rFonts w:ascii="Book Antiqua" w:hAnsi="Book Antiqua" w:cstheme="majorBidi"/>
              </w:rPr>
            </w:pPr>
          </w:p>
        </w:tc>
      </w:tr>
      <w:tr w:rsidR="00A8708F" w:rsidRPr="00BA2B87" w14:paraId="2DB9F8A5" w14:textId="77777777" w:rsidTr="00E033F7">
        <w:trPr>
          <w:cantSplit/>
          <w:trHeight w:val="340"/>
        </w:trPr>
        <w:tc>
          <w:tcPr>
            <w:tcW w:w="4565" w:type="dxa"/>
          </w:tcPr>
          <w:p w14:paraId="36C70971" w14:textId="7CA01666" w:rsidR="00A8708F" w:rsidRPr="00BA2B87" w:rsidRDefault="00A8708F" w:rsidP="008B651D">
            <w:pPr>
              <w:spacing w:line="360" w:lineRule="auto"/>
              <w:jc w:val="both"/>
              <w:rPr>
                <w:rFonts w:ascii="Book Antiqua" w:hAnsi="Book Antiqua" w:cstheme="majorBidi"/>
              </w:rPr>
            </w:pPr>
            <w:r w:rsidRPr="00BA2B87">
              <w:rPr>
                <w:rFonts w:ascii="Book Antiqua" w:hAnsi="Book Antiqua" w:cstheme="majorBidi"/>
              </w:rPr>
              <w:t>Phospho-PRAS40 (Thr-246)</w:t>
            </w:r>
          </w:p>
        </w:tc>
        <w:tc>
          <w:tcPr>
            <w:tcW w:w="1418" w:type="dxa"/>
            <w:vMerge/>
          </w:tcPr>
          <w:p w14:paraId="0CC21696" w14:textId="77777777" w:rsidR="00A8708F" w:rsidRPr="00BA2B87" w:rsidRDefault="00A8708F" w:rsidP="00BA2B87">
            <w:pPr>
              <w:spacing w:line="360" w:lineRule="auto"/>
              <w:jc w:val="both"/>
              <w:rPr>
                <w:rFonts w:ascii="Book Antiqua" w:hAnsi="Book Antiqua" w:cstheme="majorBidi"/>
              </w:rPr>
            </w:pPr>
          </w:p>
        </w:tc>
        <w:tc>
          <w:tcPr>
            <w:tcW w:w="1417" w:type="dxa"/>
            <w:vMerge/>
          </w:tcPr>
          <w:p w14:paraId="0CE92680" w14:textId="77777777" w:rsidR="00A8708F" w:rsidRPr="00BA2B87" w:rsidRDefault="00A8708F" w:rsidP="00BA2B87">
            <w:pPr>
              <w:spacing w:line="360" w:lineRule="auto"/>
              <w:jc w:val="both"/>
              <w:rPr>
                <w:rFonts w:ascii="Book Antiqua" w:eastAsia="Times New Roman" w:hAnsi="Book Antiqua" w:cs="Calibri"/>
                <w:color w:val="000000"/>
              </w:rPr>
            </w:pPr>
          </w:p>
        </w:tc>
        <w:tc>
          <w:tcPr>
            <w:tcW w:w="1418" w:type="dxa"/>
            <w:vMerge/>
          </w:tcPr>
          <w:p w14:paraId="6776C434" w14:textId="77777777" w:rsidR="00A8708F" w:rsidRPr="00BA2B87" w:rsidRDefault="00A8708F" w:rsidP="00BA2B87">
            <w:pPr>
              <w:spacing w:line="360" w:lineRule="auto"/>
              <w:jc w:val="both"/>
              <w:rPr>
                <w:rFonts w:ascii="Book Antiqua" w:hAnsi="Book Antiqua" w:cstheme="majorBidi"/>
              </w:rPr>
            </w:pPr>
          </w:p>
        </w:tc>
        <w:tc>
          <w:tcPr>
            <w:tcW w:w="2097" w:type="dxa"/>
            <w:vMerge/>
          </w:tcPr>
          <w:p w14:paraId="5251F893" w14:textId="77777777" w:rsidR="00A8708F" w:rsidRPr="00BA2B87" w:rsidRDefault="00A8708F" w:rsidP="00BA2B87">
            <w:pPr>
              <w:spacing w:line="360" w:lineRule="auto"/>
              <w:jc w:val="both"/>
              <w:rPr>
                <w:rFonts w:ascii="Book Antiqua" w:hAnsi="Book Antiqua" w:cstheme="majorBidi"/>
              </w:rPr>
            </w:pPr>
          </w:p>
        </w:tc>
      </w:tr>
      <w:tr w:rsidR="004F2744" w:rsidRPr="00BA2B87" w14:paraId="050FF519" w14:textId="77777777" w:rsidTr="00E033F7">
        <w:trPr>
          <w:cantSplit/>
          <w:trHeight w:val="801"/>
        </w:trPr>
        <w:tc>
          <w:tcPr>
            <w:tcW w:w="4565" w:type="dxa"/>
          </w:tcPr>
          <w:p w14:paraId="5DB150AE" w14:textId="105CEC8E" w:rsidR="004F2744" w:rsidRPr="00BA2B87" w:rsidRDefault="004F2744" w:rsidP="00BA2B87">
            <w:pPr>
              <w:spacing w:line="360" w:lineRule="auto"/>
              <w:jc w:val="both"/>
              <w:rPr>
                <w:rFonts w:ascii="Book Antiqua" w:hAnsi="Book Antiqua" w:cstheme="majorBidi"/>
              </w:rPr>
            </w:pPr>
            <w:r w:rsidRPr="00BA2B87">
              <w:rPr>
                <w:rFonts w:ascii="Book Antiqua" w:hAnsi="Book Antiqua" w:cs="Arial"/>
                <w:color w:val="202124"/>
                <w:shd w:val="clear" w:color="auto" w:fill="FFFFFF"/>
              </w:rPr>
              <w:t>Mammary serine protease inhibitor</w:t>
            </w:r>
            <w:r w:rsidRPr="00BA2B87">
              <w:rPr>
                <w:rFonts w:ascii="Book Antiqua" w:hAnsi="Book Antiqua" w:cstheme="majorBidi"/>
              </w:rPr>
              <w:t xml:space="preserve"> </w:t>
            </w:r>
          </w:p>
        </w:tc>
        <w:tc>
          <w:tcPr>
            <w:tcW w:w="1418" w:type="dxa"/>
          </w:tcPr>
          <w:p w14:paraId="7670FD0C"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tcPr>
          <w:p w14:paraId="67A8AD64"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tcPr>
          <w:p w14:paraId="4D10D53B"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19D11499" w14:textId="48917C5E" w:rsidR="004F2744" w:rsidRPr="00BA2B87" w:rsidRDefault="00A8708F" w:rsidP="00BA2B87">
            <w:pPr>
              <w:spacing w:line="360" w:lineRule="auto"/>
              <w:jc w:val="both"/>
              <w:rPr>
                <w:rFonts w:ascii="Book Antiqua" w:hAnsi="Book Antiqua" w:cstheme="majorBidi"/>
              </w:rPr>
            </w:pPr>
            <w:r w:rsidRPr="00A8708F">
              <w:rPr>
                <w:rFonts w:ascii="Book Antiqua" w:hAnsi="Book Antiqua"/>
              </w:rPr>
              <w:t>Snoeren</w:t>
            </w:r>
            <w:r w:rsidRPr="00A8708F">
              <w:rPr>
                <w:rFonts w:ascii="Book Antiqua" w:hAnsi="Book Antiqua" w:cstheme="majorBidi"/>
                <w:i/>
                <w:iCs/>
              </w:rPr>
              <w:t xml:space="preserve"> 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{"citationItems":[{"id":"ITEM-1","itemData":{"DOI":"10.1038/bjc.2013.489","ISSN":"00070920","PMID":"24002600","abstract":"Background:Little is known about the factors that drive metastasis formation in colorectal cancer (CRC). Here, we set out to identify genes and proteins in patients with colorectal liver metastases that correlate with early disease recurrence. Such factors may predict a propensity for metastasis in earlier stages of CRC.Methods:Gene expression profiling and proteomics were used to identify differentially expressed genes/proteins in resected liver metastases that recurred within 6 months following liver surgery vs those that did not recur for &gt;24 months. Expression of the identified genes/proteins in stage II (n=243) and III (n=176) tumours was analysed by immunohistochemistry on tissue microarrays. Correlation of protein levels with stage-specific outcome was assessed by uni- and multivariable analyses.Results:Both gene expression profiling and proteomics identified Maspin to be differentially expressed in colorectal liver metastases with early (&lt;6 months) and prolonged (&gt;24 months) time to recurrence. Immunohistochemical analysis of Maspin expression on tumour sections revealed that it was an independent predictor of time to recurrence (log-rank P=0.004) and CRC-specific survival (P=0.000) in stage III CRC. High Maspin expression was also correlated with mucinous differentiation. In stage II CRC patients, high Maspin expression did not correlate with survival but was correlated with a right-sided tumour location.Conclusion:High Maspin expression correlates with poor outcome in CRC after spread to the local lymph nodes. Therefore, Maspin may have a stage-specific function possibly related to tumour cell dissemination and/or metastatic outgrowth. © 2013 Cancer Research UK.","author":[{"dropping-particle":"","family":"Snoeren","given":"N.","non-dropping-particle":"","parse-names":false,"suffix":""},{"dropping-particle":"","family":"Emmink","given":"B. L.","non-dropping-particle":"","parse-names":false,"suffix":""},{"dropping-particle":"","family":"Koerkamp","given":"M. J.G.","non-dropping-particle":"","parse-names":false,"suffix":""},{"dropping-particle":"","family":"Hooff","given":"S. R.","non-dropping-particle":"Van","parse-names":false,"suffix":""},{"dropping-particle":"","family":"Goos","given":"J. A.C.M.","non-dropping-particle":"","parse-names":false,"suffix":""},{"dropping-particle":"","family":"Houdt","given":"W. J.","non-dropping-particle":"Van","parse-names":false,"suffix":""},{"dropping-particle":"","family":"Wit","given":"M.","non-dropping-particle":"De","parse-names":false,"suffix":""},{"dropping-particle":"","family":"Prins","given":"A. M.","non-dropping-particle":"","parse-names":false,"suffix":""},{"dropping-particle":"","family":"Piersma","given":"S. R.","non-dropping-particle":"","parse-names":false,"suffix":""},{"dropping-particle":"V.","family":"Pham","given":"T.","non-dropping-particle":"","parse-names":false,"suffix":""},{"dropping-particle":"","family":"Belt","given":"E. J.","non-dropping-particle":"","parse-names":false,"suffix":""},{"dropping-particle":"","family":"Bril","given":"H.","non-dropping-particle":"","parse-names":false,"suffix":""},{"dropping-particle":"","family":"Stockmann","given":"H. B.","non-dropping-particle":"","parse-names":false,"suffix":""},{"dropping-particle":"","family":"Meijer","given":"G. A.","non-dropping-particle":"","parse-names":false,"suffix":""},{"dropping-particle":"","family":"Hillegersberg","given":"R.","non-dropping-particle":"Van","parse-names":false,"suffix":""},{"dropping-particle":"","family":"Holstege","given":"F. C.","non-dropping-particle":"","parse-names":false,"suffix":""},{"dropping-particle":"","family":"Jimenez","given":"C. R.","non-dropping-particle":"","parse-names":false,"suffix":""},{"dropping-particle":"","family":"Fijneman","given":"R. J.A.","non-dropping-particle":"","parse-names":false,"suffix":""},{"dropping-particle":"","family":"Kranenburg","given":"O. W.","non-dropping-particle":"","parse-names":false,"suffix":""},{"dropping-particle":"","family":"Rinkes","given":"I. H.M.Borel","non-dropping-particle":"","parse-names":false,"suffix":""}],"container-title":"British Journal of Cancer","id":"ITEM-1","issue":"6","issued":{"date-parts":[["2013"]]},"page":"1636-1647","publisher":"Nature Publishing Group","title":"Maspin is a marker for early recurrence in primary stage III and IV colorectal cancer","type":"article-journal","volume":"109"},"uris":["http://www.mendeley.com/documents/?uuid=d483ef46-2e88-4d18-8eb3-7ec5700fc661"]}],"mendeley":{"formattedCitation":"&lt;sup&gt;[87]&lt;/sup&gt;","plainTextFormattedCitation":"[87]","previouslyFormattedCitation":"&lt;sup&gt;[87]&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[87]</w:t>
            </w:r>
            <w:r w:rsidR="004F2744" w:rsidRPr="00BA2B87">
              <w:rPr>
                <w:rFonts w:ascii="Book Antiqua" w:hAnsi="Book Antiqua" w:cstheme="majorBidi"/>
              </w:rPr>
              <w:fldChar w:fldCharType="end"/>
            </w:r>
            <w:r>
              <w:rPr>
                <w:rFonts w:ascii="Book Antiqua" w:hAnsi="Book Antiqua" w:cstheme="majorBidi"/>
              </w:rPr>
              <w:t>, 2013</w:t>
            </w:r>
          </w:p>
        </w:tc>
      </w:tr>
      <w:tr w:rsidR="006221E2" w:rsidRPr="00BA2B87" w14:paraId="7B93629C" w14:textId="77777777" w:rsidTr="00E033F7">
        <w:trPr>
          <w:cantSplit/>
          <w:trHeight w:val="302"/>
        </w:trPr>
        <w:tc>
          <w:tcPr>
            <w:tcW w:w="4565" w:type="dxa"/>
          </w:tcPr>
          <w:p w14:paraId="3DFDB59D" w14:textId="3057B648"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Alpha-fetoprotein</w:t>
            </w:r>
          </w:p>
        </w:tc>
        <w:tc>
          <w:tcPr>
            <w:tcW w:w="1418" w:type="dxa"/>
            <w:vMerge w:val="restart"/>
          </w:tcPr>
          <w:p w14:paraId="492D0B8C" w14:textId="77777777" w:rsidR="006221E2" w:rsidRPr="00BA2B87" w:rsidRDefault="006221E2" w:rsidP="00BA2B87">
            <w:pPr>
              <w:spacing w:line="360" w:lineRule="auto"/>
              <w:jc w:val="both"/>
              <w:rPr>
                <w:rFonts w:ascii="Book Antiqua" w:hAnsi="Book Antiqua" w:cstheme="majorBidi"/>
              </w:rPr>
            </w:pPr>
            <w:r w:rsidRPr="00BA2B87">
              <w:rPr>
                <w:rFonts w:ascii="Book Antiqua" w:hAnsi="Book Antiqua" w:cstheme="majorBidi"/>
              </w:rPr>
              <w:t>Protein</w:t>
            </w:r>
          </w:p>
        </w:tc>
        <w:tc>
          <w:tcPr>
            <w:tcW w:w="1417" w:type="dxa"/>
            <w:vMerge w:val="restart"/>
          </w:tcPr>
          <w:p w14:paraId="6020C696" w14:textId="77777777" w:rsidR="006221E2" w:rsidRPr="00BA2B87" w:rsidRDefault="006221E2" w:rsidP="00BA2B87">
            <w:pPr>
              <w:spacing w:line="360" w:lineRule="auto"/>
              <w:jc w:val="both"/>
              <w:rPr>
                <w:rFonts w:ascii="Book Antiqua" w:hAnsi="Book Antiqua" w:cstheme="majorBidi"/>
              </w:rPr>
            </w:pPr>
            <w:r w:rsidRPr="00BA2B87">
              <w:rPr>
                <w:rFonts w:ascii="Book Antiqua" w:hAnsi="Book Antiqua" w:cstheme="majorBidi"/>
              </w:rPr>
              <w:t>Serum</w:t>
            </w:r>
          </w:p>
        </w:tc>
        <w:tc>
          <w:tcPr>
            <w:tcW w:w="1418" w:type="dxa"/>
            <w:vMerge w:val="restart"/>
          </w:tcPr>
          <w:p w14:paraId="646F4254" w14:textId="77777777" w:rsidR="006221E2" w:rsidRPr="00BA2B87" w:rsidRDefault="006221E2"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1B50888E" w14:textId="6179469E" w:rsidR="006221E2" w:rsidRPr="00BA2B87" w:rsidRDefault="006221E2" w:rsidP="00BA2B87">
            <w:pPr>
              <w:spacing w:line="360" w:lineRule="auto"/>
              <w:jc w:val="both"/>
              <w:rPr>
                <w:rFonts w:ascii="Book Antiqua" w:hAnsi="Book Antiqua" w:cstheme="majorBidi"/>
                <w:lang w:eastAsia="zh-CN"/>
              </w:rPr>
            </w:pPr>
            <w:r w:rsidRPr="00A8708F">
              <w:rPr>
                <w:rFonts w:ascii="Book Antiqua" w:hAnsi="Book Antiqua"/>
              </w:rPr>
              <w:t>Zhu</w:t>
            </w:r>
            <w:r w:rsidRPr="00BA2B87">
              <w:rPr>
                <w:rFonts w:ascii="Book Antiqua" w:hAnsi="Book Antiqua" w:cstheme="majorBidi"/>
              </w:rPr>
              <w:t xml:space="preserve"> </w:t>
            </w:r>
            <w:r w:rsidRPr="00A8708F">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rPr>
              <w:instrText>ADDIN CSL_CITATION {"citationItems":[{"id":"ITEM-1","itemData":{"DOI":"10.1016/j.jss.2013.04.065","ISSN":"00224804","PMID":"23721930","abstract":"Background: There are currently no accurate predictive markers of metachronous liver metastasis (MLM) from colorectal cancer. Methods: Magnetic bead-based fractionation coupled with mass spectrometry analysis was used to compare serum samples from 64 patients with MLM and 64 without recurrence or metastasis for at least 3 y after radical colorectal surgery (NM). A total of 40 MLM and 40 NM serum samples were randomly selected to build a decision tree, and the remainder were tested as blinded samples. Selected peptides were identified. Results: The patients in the two groups were matched for gender, age, tumor location, TNM staging, and histologic differentiation grade. Preoperative serum carcinoembryonic antigen retained no independent power to predict MLM. The decision tree model with eight proteomic features (m/z 3315, 6637, 1207, 1466, 4167, 4210, 2660, and 4186) correctly classified 33 of 40 NM sera (82.5%) and 32 of 40 MLM sera (80%) in the training set and 19 of 24 NM sera (79.2%) and 17 of 24 MLM sera (70.8%) in the test set. The peptides were identified as fragments of alpha-fetoprotein, complement C4-A, fibrinogen alpha, eukaryotic peptide chain release factor GTP-binding subunit ERF3B, and angiotensinogen. Conclusions: In patients matched for gender, age, tumor location, TNM staging, and histologic differentiation grade, preoperative carcinoembryonic antigen retained no independent power to predict MLM. The decision tree model of eight proteomic features demonstrated promising value for predicting MLM in patients who underwent radical resection of colorectal cancer. © 2013 Elsevier Inc. All rights reserved.","author":[{"dropping-particle":"","family":"Zhu","given":"Dexiang","non-dropping-particle":"","parse-names":false,"suffix":""},{"dropping-particle":"","family":"Zhong","given":"Yunshi","non-dropping-particle":"","parse-names":false,"suffix":""},{"dropping-particle":"","family":"Wu","given":"Haifu","non-dropping-particle":"","parse-names":false,"suffix":""},{"dropping-particle":"","family":"Ye","given":"Lechi","non-</w:instrText>
            </w:r>
            <w:r w:rsidRPr="00BA2B87">
              <w:rPr>
                <w:rFonts w:ascii="Book Antiqua" w:hAnsi="Book Antiqua" w:cstheme="majorBidi"/>
                <w:lang w:eastAsia="zh-CN"/>
              </w:rPr>
              <w:instrText>dropping-particle":"","parse-names":false,"suffix":""},{"dropping-particle":"","family":"Wang","given":"Jie","non-dropping-particle":"","parse-names":false,"suffix":""},{"dropping-particle":"","family":"Li","given":"Yan","non-dropping-particle":"","parse-names":false,"suffix":""},{"dropping-particle":"","family":"Wei","given":"Ye","non-dropping-particle":"","parse-names":false,"suffix":""},{"dropping-particle":"","family":"Ren","given":"Li","non-dropping-particle":"","parse-names":false,"suffix":""},{"dropping-particle":"","family":"Xu","given":"Bin","non-dropping-particle":"","parse-names":false,"suffix":""},{"dropping-particle":"","family":"Xu","given":"Jianmin","non-dropping-particle":"","parse-names":false,"suffix":""},{"dropping-particle":"","family":"Qin","given":"Xinyu","non-dropping-particle":"","parse-names":false,"suffix":""}],"container-title":"Journal of Surgical Research","id":"ITEM-1","issue":"2","issued":{"date-parts":[["2013"]]},"page":"861-866","publisher":"Elsevier Ltd","title":"Predicting metachronous liver metastasis from colorectal cancer using serum proteomic fingerprinting","type":"article-journal","volume":"184"},"uris":["http://www.mendeley.com/documents/?uuid=0973c59e-ea84-41c4-9e9e-d3701e983d1b"]}],"mendeley":{"formattedCitation":"&lt;sup&gt;[88]&lt;/sup&gt;","plainTextFormattedCitation":"[88]","previouslyFormattedCitation":"&lt;sup&gt;[88]&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lang w:eastAsia="zh-CN"/>
              </w:rPr>
              <w:t>[88]</w:t>
            </w:r>
            <w:r w:rsidRPr="00BA2B87">
              <w:rPr>
                <w:rFonts w:ascii="Book Antiqua" w:hAnsi="Book Antiqua" w:cstheme="majorBidi"/>
              </w:rPr>
              <w:fldChar w:fldCharType="end"/>
            </w:r>
            <w:r>
              <w:rPr>
                <w:rFonts w:ascii="Book Antiqua" w:hAnsi="Book Antiqua" w:cstheme="majorBidi"/>
              </w:rPr>
              <w:t>, 2013</w:t>
            </w:r>
          </w:p>
        </w:tc>
      </w:tr>
      <w:tr w:rsidR="006221E2" w:rsidRPr="00BA2B87" w14:paraId="3EE157C3" w14:textId="77777777" w:rsidTr="00E033F7">
        <w:trPr>
          <w:cantSplit/>
          <w:trHeight w:val="302"/>
        </w:trPr>
        <w:tc>
          <w:tcPr>
            <w:tcW w:w="4565" w:type="dxa"/>
          </w:tcPr>
          <w:p w14:paraId="7DE4126A" w14:textId="3FB4BFB8"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Complement C4-A</w:t>
            </w:r>
            <w:r>
              <w:rPr>
                <w:rFonts w:ascii="Book Antiqua" w:hAnsi="Book Antiqua" w:cstheme="majorBidi"/>
                <w:bCs/>
              </w:rPr>
              <w:t xml:space="preserve"> </w:t>
            </w:r>
            <w:r w:rsidRPr="00BA2B87">
              <w:rPr>
                <w:rFonts w:ascii="Book Antiqua" w:hAnsi="Book Antiqua" w:cstheme="majorBidi"/>
                <w:bCs/>
              </w:rPr>
              <w:t>(C4A)</w:t>
            </w:r>
          </w:p>
        </w:tc>
        <w:tc>
          <w:tcPr>
            <w:tcW w:w="1418" w:type="dxa"/>
            <w:vMerge/>
          </w:tcPr>
          <w:p w14:paraId="31A35DBA"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634F6DBA"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79316B82"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77F64C7D" w14:textId="77777777" w:rsidR="006221E2" w:rsidRPr="00A8708F" w:rsidRDefault="006221E2" w:rsidP="00BA2B87">
            <w:pPr>
              <w:spacing w:line="360" w:lineRule="auto"/>
              <w:jc w:val="both"/>
              <w:rPr>
                <w:rFonts w:ascii="Book Antiqua" w:hAnsi="Book Antiqua"/>
              </w:rPr>
            </w:pPr>
          </w:p>
        </w:tc>
      </w:tr>
      <w:tr w:rsidR="006221E2" w:rsidRPr="00BA2B87" w14:paraId="4C70630B" w14:textId="77777777" w:rsidTr="00E033F7">
        <w:trPr>
          <w:cantSplit/>
          <w:trHeight w:val="302"/>
        </w:trPr>
        <w:tc>
          <w:tcPr>
            <w:tcW w:w="4565" w:type="dxa"/>
          </w:tcPr>
          <w:p w14:paraId="3A909383" w14:textId="0E9480A7"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Fibrinogen alpha</w:t>
            </w:r>
          </w:p>
        </w:tc>
        <w:tc>
          <w:tcPr>
            <w:tcW w:w="1418" w:type="dxa"/>
            <w:vMerge/>
          </w:tcPr>
          <w:p w14:paraId="5777C8F4"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2965139B"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25ADE86B"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1BBA12CF" w14:textId="77777777" w:rsidR="006221E2" w:rsidRPr="00A8708F" w:rsidRDefault="006221E2" w:rsidP="00BA2B87">
            <w:pPr>
              <w:spacing w:line="360" w:lineRule="auto"/>
              <w:jc w:val="both"/>
              <w:rPr>
                <w:rFonts w:ascii="Book Antiqua" w:hAnsi="Book Antiqua"/>
              </w:rPr>
            </w:pPr>
          </w:p>
        </w:tc>
      </w:tr>
      <w:tr w:rsidR="006221E2" w:rsidRPr="00BA2B87" w14:paraId="14F882CA" w14:textId="77777777" w:rsidTr="00E033F7">
        <w:trPr>
          <w:cantSplit/>
          <w:trHeight w:val="302"/>
        </w:trPr>
        <w:tc>
          <w:tcPr>
            <w:tcW w:w="4565" w:type="dxa"/>
          </w:tcPr>
          <w:p w14:paraId="36C427EC" w14:textId="095C0E95"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Eukaryotic peptide chain release factor GTP-binding subunit ERF3B (GSPT2)</w:t>
            </w:r>
          </w:p>
        </w:tc>
        <w:tc>
          <w:tcPr>
            <w:tcW w:w="1418" w:type="dxa"/>
            <w:vMerge/>
          </w:tcPr>
          <w:p w14:paraId="1E3C4A39"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09F83D1C"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134D0AD4"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0DA52E93" w14:textId="77777777" w:rsidR="006221E2" w:rsidRPr="00A8708F" w:rsidRDefault="006221E2" w:rsidP="00BA2B87">
            <w:pPr>
              <w:spacing w:line="360" w:lineRule="auto"/>
              <w:jc w:val="both"/>
              <w:rPr>
                <w:rFonts w:ascii="Book Antiqua" w:hAnsi="Book Antiqua"/>
              </w:rPr>
            </w:pPr>
          </w:p>
        </w:tc>
      </w:tr>
      <w:tr w:rsidR="006221E2" w:rsidRPr="00BA2B87" w14:paraId="7C13CDDD" w14:textId="77777777" w:rsidTr="00E033F7">
        <w:trPr>
          <w:cantSplit/>
          <w:trHeight w:val="302"/>
        </w:trPr>
        <w:tc>
          <w:tcPr>
            <w:tcW w:w="4565" w:type="dxa"/>
          </w:tcPr>
          <w:p w14:paraId="76029472" w14:textId="20AB1631" w:rsidR="006221E2" w:rsidRPr="00BA2B87" w:rsidRDefault="006221E2" w:rsidP="00BA2B87">
            <w:pPr>
              <w:spacing w:line="360" w:lineRule="auto"/>
              <w:jc w:val="both"/>
              <w:rPr>
                <w:rFonts w:ascii="Book Antiqua" w:hAnsi="Book Antiqua" w:cstheme="majorBidi"/>
                <w:bCs/>
              </w:rPr>
            </w:pPr>
            <w:r w:rsidRPr="00BA2B87">
              <w:rPr>
                <w:rFonts w:ascii="Book Antiqua" w:hAnsi="Book Antiqua" w:cstheme="majorBidi"/>
                <w:bCs/>
              </w:rPr>
              <w:t>Angiotensinogen</w:t>
            </w:r>
          </w:p>
        </w:tc>
        <w:tc>
          <w:tcPr>
            <w:tcW w:w="1418" w:type="dxa"/>
            <w:vMerge/>
          </w:tcPr>
          <w:p w14:paraId="5C05DE09" w14:textId="77777777" w:rsidR="006221E2" w:rsidRPr="00BA2B87" w:rsidRDefault="006221E2" w:rsidP="00BA2B87">
            <w:pPr>
              <w:spacing w:line="360" w:lineRule="auto"/>
              <w:jc w:val="both"/>
              <w:rPr>
                <w:rFonts w:ascii="Book Antiqua" w:hAnsi="Book Antiqua" w:cstheme="majorBidi"/>
              </w:rPr>
            </w:pPr>
          </w:p>
        </w:tc>
        <w:tc>
          <w:tcPr>
            <w:tcW w:w="1417" w:type="dxa"/>
            <w:vMerge/>
          </w:tcPr>
          <w:p w14:paraId="6823EC96" w14:textId="77777777" w:rsidR="006221E2" w:rsidRPr="00BA2B87" w:rsidRDefault="006221E2" w:rsidP="00BA2B87">
            <w:pPr>
              <w:spacing w:line="360" w:lineRule="auto"/>
              <w:jc w:val="both"/>
              <w:rPr>
                <w:rFonts w:ascii="Book Antiqua" w:hAnsi="Book Antiqua" w:cstheme="majorBidi"/>
              </w:rPr>
            </w:pPr>
          </w:p>
        </w:tc>
        <w:tc>
          <w:tcPr>
            <w:tcW w:w="1418" w:type="dxa"/>
            <w:vMerge/>
          </w:tcPr>
          <w:p w14:paraId="45383738" w14:textId="77777777" w:rsidR="006221E2" w:rsidRPr="00BA2B87" w:rsidRDefault="006221E2" w:rsidP="00BA2B87">
            <w:pPr>
              <w:spacing w:line="360" w:lineRule="auto"/>
              <w:jc w:val="both"/>
              <w:rPr>
                <w:rFonts w:ascii="Book Antiqua" w:hAnsi="Book Antiqua" w:cstheme="majorBidi"/>
              </w:rPr>
            </w:pPr>
          </w:p>
        </w:tc>
        <w:tc>
          <w:tcPr>
            <w:tcW w:w="2097" w:type="dxa"/>
            <w:vMerge/>
          </w:tcPr>
          <w:p w14:paraId="18AB3B6F" w14:textId="77777777" w:rsidR="006221E2" w:rsidRPr="00A8708F" w:rsidRDefault="006221E2" w:rsidP="00BA2B87">
            <w:pPr>
              <w:spacing w:line="360" w:lineRule="auto"/>
              <w:jc w:val="both"/>
              <w:rPr>
                <w:rFonts w:ascii="Book Antiqua" w:hAnsi="Book Antiqua"/>
              </w:rPr>
            </w:pPr>
          </w:p>
        </w:tc>
      </w:tr>
      <w:tr w:rsidR="006221E2" w:rsidRPr="00BA2B87" w14:paraId="4E3B302E" w14:textId="77777777" w:rsidTr="00E033F7">
        <w:trPr>
          <w:cantSplit/>
          <w:trHeight w:val="733"/>
        </w:trPr>
        <w:tc>
          <w:tcPr>
            <w:tcW w:w="4565" w:type="dxa"/>
          </w:tcPr>
          <w:p w14:paraId="4FF9A917" w14:textId="2E97D94D" w:rsidR="006221E2" w:rsidRPr="006221E2"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Hippurate, Butyrate</w:t>
            </w:r>
          </w:p>
        </w:tc>
        <w:tc>
          <w:tcPr>
            <w:tcW w:w="1418" w:type="dxa"/>
            <w:vMerge w:val="restart"/>
          </w:tcPr>
          <w:p w14:paraId="37D8C9B2" w14:textId="77777777" w:rsidR="006221E2" w:rsidRPr="00BA2B87"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Amino acid</w:t>
            </w:r>
          </w:p>
        </w:tc>
        <w:tc>
          <w:tcPr>
            <w:tcW w:w="1417" w:type="dxa"/>
            <w:vMerge w:val="restart"/>
          </w:tcPr>
          <w:p w14:paraId="12BE928D" w14:textId="77777777" w:rsidR="006221E2" w:rsidRPr="00BA2B87"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Urine</w:t>
            </w:r>
          </w:p>
        </w:tc>
        <w:tc>
          <w:tcPr>
            <w:tcW w:w="1418" w:type="dxa"/>
            <w:vMerge w:val="restart"/>
          </w:tcPr>
          <w:p w14:paraId="3408D961" w14:textId="77777777" w:rsidR="006221E2" w:rsidRPr="00BA2B87" w:rsidRDefault="006221E2" w:rsidP="00BA2B87">
            <w:pPr>
              <w:spacing w:line="360" w:lineRule="auto"/>
              <w:jc w:val="both"/>
              <w:rPr>
                <w:rFonts w:ascii="Book Antiqua" w:hAnsi="Book Antiqua" w:cstheme="majorBidi"/>
                <w:lang w:eastAsia="zh-CN"/>
              </w:rPr>
            </w:pPr>
            <w:r w:rsidRPr="00BA2B87">
              <w:rPr>
                <w:rFonts w:ascii="Book Antiqua" w:eastAsia="Times New Roman" w:hAnsi="Book Antiqua" w:cs="Calibri"/>
                <w:color w:val="000000"/>
                <w:lang w:eastAsia="zh-CN"/>
              </w:rPr>
              <w:t>↑</w:t>
            </w:r>
          </w:p>
        </w:tc>
        <w:tc>
          <w:tcPr>
            <w:tcW w:w="2097" w:type="dxa"/>
            <w:vMerge w:val="restart"/>
          </w:tcPr>
          <w:p w14:paraId="528833E1" w14:textId="468FAF44" w:rsidR="006221E2" w:rsidRPr="00BA2B87" w:rsidRDefault="00276974" w:rsidP="00BA2B87">
            <w:pPr>
              <w:spacing w:line="360" w:lineRule="auto"/>
              <w:jc w:val="both"/>
              <w:rPr>
                <w:rFonts w:ascii="Book Antiqua" w:hAnsi="Book Antiqua" w:cstheme="majorBidi"/>
                <w:lang w:eastAsia="zh-CN"/>
              </w:rPr>
            </w:pPr>
            <w:r w:rsidRPr="00276974">
              <w:rPr>
                <w:rFonts w:ascii="Book Antiqua" w:hAnsi="Book Antiqua"/>
              </w:rPr>
              <w:t>Liesenfeld</w:t>
            </w:r>
            <w:r w:rsidRPr="00BA2B87">
              <w:rPr>
                <w:rFonts w:ascii="Book Antiqua" w:hAnsi="Book Antiqua" w:cstheme="majorBidi"/>
              </w:rPr>
              <w:t xml:space="preserve"> </w:t>
            </w:r>
            <w:r w:rsidRPr="00276974">
              <w:rPr>
                <w:rFonts w:ascii="Book Antiqua" w:hAnsi="Book Antiqua" w:cstheme="majorBidi"/>
                <w:i/>
                <w:iCs/>
              </w:rPr>
              <w:t>et al</w:t>
            </w:r>
            <w:r w:rsidR="006221E2" w:rsidRPr="00BA2B87">
              <w:rPr>
                <w:rFonts w:ascii="Book Antiqua" w:hAnsi="Book Antiqua" w:cstheme="majorBidi"/>
              </w:rPr>
              <w:fldChar w:fldCharType="begin" w:fldLock="1"/>
            </w:r>
            <w:r w:rsidR="006221E2" w:rsidRPr="00BA2B87">
              <w:rPr>
                <w:rFonts w:ascii="Book Antiqua" w:hAnsi="Book Antiqua" w:cstheme="majorBidi"/>
                <w:lang w:eastAsia="zh-CN"/>
              </w:rPr>
              <w:instrText>ADDIN CSL_CITATION {"citationItems":[{"id":"ITEM-1","itemData":{"DOI":"10.1007/s11306-014-0758-3","ISSN":"15733890","abstract":"Metabolomics is a valuable tool for biomarker screening of colorectal cancer (CRC). In this study, we profiled the urinary</w:instrText>
            </w:r>
            <w:r w:rsidR="006221E2" w:rsidRPr="00BA2B87">
              <w:rPr>
                <w:rFonts w:ascii="Book Antiqua" w:hAnsi="Book Antiqua" w:cstheme="majorBidi"/>
              </w:rPr>
              <w:instrText xml:space="preserve"> metabolomes of patients enrolled in a prospective patient cohort (ColoCare). We aimed to determine changes in the metabolome of the longer clinical follow-up and ascertain candidate markers with possibly prognostic significance. In total, 199 urine samples from CRC patients prior to surgery (n = 97) or 1–8 days post-surgery (n = 12), and then after 6 (n = 52) and 12 months (n = 38) were analyzed using both GC–MS and 1H-NMR. Both datasets were analyzed separately with built in uni- and multivariate analyses of Metaboanalyst 2.0. Furthermore, adjusted linear mixed effects regression models were constructed. Many concentrations of the metabolites derived from the gut microbiome were affected by CRC surgery, presumably indicating a tumor-induced shift in bacterial species. Associations of the microbial metabolites with disease stage indicate an important role of the gut microbiome in CRC. We were able to differentiate the metabolite profiles of pre-surgery CRC patients from those at any post-surgery timepoint using a multivariate model containing 20 marker metabolites (AUCROC = 0.89; 95 % CI 0.84–0.95). This is one of the first metabolomic studies to follow CRC patients in a prospective setting with repeated urine sampling over time. We were able to confirm markers initially identified in case–control studies and metabolites which may represent prognostic biomarker candidates of CRC.","author":[{"dropping-particle":"","family":"Liesenfeld","given":"David B.","non-dropping-particle":"","parse-names":false,"suffix":""},{"dropping-particle":"","family":"Ha</w:instrText>
            </w:r>
            <w:r w:rsidR="006221E2" w:rsidRPr="00BA2B87">
              <w:rPr>
                <w:rFonts w:ascii="Book Antiqua" w:hAnsi="Book Antiqua" w:cstheme="majorBidi"/>
                <w:lang w:eastAsia="zh-CN"/>
              </w:rPr>
              <w:instrText>bermann","given":"Nina","non-dropping-particle":"","parse-names":false,"suffix":""},{"dropping-particle":"","family":"Toth","given":"Reka","non-dropping-particle":"","parse-names":false,"suffix":""},{"dropping-particle":"","family":"Owen","given":"Robert W.","non-dropping-particle":"","parse-names":false,"suffix":""},{"dropping-particle":"","family":"Frei","given":"Eva","non-dropping-particle":"","parse-names":false,"suffix":""},{"dropping-particle":"","family":"Böhm","given":"Jürgen","non-dropping-particle":"","parse-names":false,"suffix":""},{"dropping-particle":"","family":"Schrotz-King","given":"Petra","non-dropping-particle":"","parse-names":false,"suffix":""},{"dropping-particle":"","family":"Klika","given":"Karel D.","non-dropping-particle":"","parse-names":false,"suffix":""},{"dropping-particle":"","family":"Ulrich","given":"Cornelia M.","non-dropping-particle":"","parse-names":false,"suffix":""}],"container-title":"Metabolomics","id":"ITEM-1","issued":{"date-parts":[["2015"]]},"title":"Changes in urinary metabolic profiles of colorectal cancer patients enrolled in a prospective cohort study (ColoCare)","type":"article-journal"},"uris":["http://www.mendeley.com/documents/?uuid=648199d1-2994-4d7b-88bf-24e113e0750e"]}],"mendeley":{"formattedCitation":"&lt;sup&gt;[89]&lt;/sup&gt;","plainTextFormattedCitation":"[89]","previouslyFormattedCitation":"&lt;sup&gt;[89]&lt;/sup&gt;"},"properties":{"noteIndex":0},"schema":"https://github.com/citation-style-language/schema/raw/master/csl-citation.json"}</w:instrText>
            </w:r>
            <w:r w:rsidR="006221E2" w:rsidRPr="00BA2B87">
              <w:rPr>
                <w:rFonts w:ascii="Book Antiqua" w:hAnsi="Book Antiqua" w:cstheme="majorBidi"/>
              </w:rPr>
              <w:fldChar w:fldCharType="separate"/>
            </w:r>
            <w:r w:rsidR="006221E2" w:rsidRPr="00BA2B87">
              <w:rPr>
                <w:rFonts w:ascii="Book Antiqua" w:hAnsi="Book Antiqua" w:cstheme="majorBidi"/>
                <w:noProof/>
                <w:vertAlign w:val="superscript"/>
                <w:lang w:eastAsia="zh-CN"/>
              </w:rPr>
              <w:t>[89]</w:t>
            </w:r>
            <w:r w:rsidR="006221E2" w:rsidRPr="00BA2B87">
              <w:rPr>
                <w:rFonts w:ascii="Book Antiqua" w:hAnsi="Book Antiqua" w:cstheme="majorBidi"/>
              </w:rPr>
              <w:fldChar w:fldCharType="end"/>
            </w:r>
            <w:r>
              <w:rPr>
                <w:rFonts w:ascii="Book Antiqua" w:hAnsi="Book Antiqua" w:cstheme="majorBidi"/>
              </w:rPr>
              <w:t>, 2015</w:t>
            </w:r>
          </w:p>
        </w:tc>
      </w:tr>
      <w:tr w:rsidR="006221E2" w:rsidRPr="00BA2B87" w14:paraId="26AFB127" w14:textId="77777777" w:rsidTr="00E033F7">
        <w:trPr>
          <w:cantSplit/>
          <w:trHeight w:val="302"/>
        </w:trPr>
        <w:tc>
          <w:tcPr>
            <w:tcW w:w="4565" w:type="dxa"/>
          </w:tcPr>
          <w:p w14:paraId="2C3B80A1" w14:textId="127827E2" w:rsidR="006221E2" w:rsidRPr="00BA2B87" w:rsidRDefault="006221E2"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Glycerol, Galactarate</w:t>
            </w:r>
          </w:p>
        </w:tc>
        <w:tc>
          <w:tcPr>
            <w:tcW w:w="1418" w:type="dxa"/>
            <w:vMerge/>
          </w:tcPr>
          <w:p w14:paraId="01C25ED5" w14:textId="77777777" w:rsidR="006221E2" w:rsidRPr="00BA2B87" w:rsidRDefault="006221E2" w:rsidP="00BA2B87">
            <w:pPr>
              <w:spacing w:line="360" w:lineRule="auto"/>
              <w:jc w:val="both"/>
              <w:rPr>
                <w:rFonts w:ascii="Book Antiqua" w:hAnsi="Book Antiqua" w:cstheme="majorBidi"/>
                <w:lang w:eastAsia="zh-CN"/>
              </w:rPr>
            </w:pPr>
          </w:p>
        </w:tc>
        <w:tc>
          <w:tcPr>
            <w:tcW w:w="1417" w:type="dxa"/>
            <w:vMerge/>
          </w:tcPr>
          <w:p w14:paraId="18BCC9A7" w14:textId="77777777" w:rsidR="006221E2" w:rsidRPr="00BA2B87" w:rsidRDefault="006221E2" w:rsidP="00BA2B87">
            <w:pPr>
              <w:spacing w:line="360" w:lineRule="auto"/>
              <w:jc w:val="both"/>
              <w:rPr>
                <w:rFonts w:ascii="Book Antiqua" w:hAnsi="Book Antiqua" w:cstheme="majorBidi"/>
                <w:lang w:eastAsia="zh-CN"/>
              </w:rPr>
            </w:pPr>
          </w:p>
        </w:tc>
        <w:tc>
          <w:tcPr>
            <w:tcW w:w="1418" w:type="dxa"/>
            <w:vMerge/>
          </w:tcPr>
          <w:p w14:paraId="1D90CEF5" w14:textId="77777777" w:rsidR="006221E2" w:rsidRPr="00BA2B87" w:rsidRDefault="006221E2" w:rsidP="00BA2B87">
            <w:pPr>
              <w:spacing w:line="360" w:lineRule="auto"/>
              <w:jc w:val="both"/>
              <w:rPr>
                <w:rFonts w:ascii="Book Antiqua" w:eastAsia="Times New Roman" w:hAnsi="Book Antiqua" w:cs="Calibri"/>
                <w:color w:val="000000"/>
                <w:lang w:eastAsia="zh-CN"/>
              </w:rPr>
            </w:pPr>
          </w:p>
        </w:tc>
        <w:tc>
          <w:tcPr>
            <w:tcW w:w="2097" w:type="dxa"/>
            <w:vMerge/>
          </w:tcPr>
          <w:p w14:paraId="57605BD4" w14:textId="77777777" w:rsidR="006221E2" w:rsidRPr="00BA2B87" w:rsidRDefault="006221E2" w:rsidP="00BA2B87">
            <w:pPr>
              <w:spacing w:line="360" w:lineRule="auto"/>
              <w:jc w:val="both"/>
              <w:rPr>
                <w:rFonts w:ascii="Book Antiqua" w:hAnsi="Book Antiqua" w:cstheme="majorBidi"/>
              </w:rPr>
            </w:pPr>
          </w:p>
        </w:tc>
      </w:tr>
      <w:tr w:rsidR="004F2744" w:rsidRPr="00BA2B87" w14:paraId="7AFD1F59" w14:textId="77777777" w:rsidTr="00E033F7">
        <w:trPr>
          <w:cantSplit/>
          <w:trHeight w:val="314"/>
        </w:trPr>
        <w:tc>
          <w:tcPr>
            <w:tcW w:w="4565" w:type="dxa"/>
          </w:tcPr>
          <w:p w14:paraId="4FB42EB3" w14:textId="77777777" w:rsidR="004F2744" w:rsidRPr="00BA2B87" w:rsidRDefault="004F2744" w:rsidP="00BA2B87">
            <w:pPr>
              <w:spacing w:line="360" w:lineRule="auto"/>
              <w:jc w:val="both"/>
              <w:rPr>
                <w:rFonts w:ascii="Book Antiqua" w:hAnsi="Book Antiqua" w:cstheme="majorBidi"/>
                <w:b/>
                <w:lang w:eastAsia="zh-CN"/>
              </w:rPr>
            </w:pPr>
            <w:r w:rsidRPr="00BA2B87">
              <w:rPr>
                <w:rFonts w:ascii="Book Antiqua" w:hAnsi="Book Antiqua" w:cstheme="majorBidi"/>
                <w:lang w:eastAsia="zh-CN"/>
              </w:rPr>
              <w:t>Urea, Carnitine</w:t>
            </w:r>
          </w:p>
        </w:tc>
        <w:tc>
          <w:tcPr>
            <w:tcW w:w="1418" w:type="dxa"/>
          </w:tcPr>
          <w:p w14:paraId="4E7068A3" w14:textId="77777777" w:rsidR="004F2744" w:rsidRPr="00BA2B87" w:rsidRDefault="004F2744"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Amino acid</w:t>
            </w:r>
          </w:p>
        </w:tc>
        <w:tc>
          <w:tcPr>
            <w:tcW w:w="1417" w:type="dxa"/>
          </w:tcPr>
          <w:p w14:paraId="496B065D" w14:textId="77777777" w:rsidR="004F2744" w:rsidRPr="00BA2B87" w:rsidRDefault="004F2744"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Urine</w:t>
            </w:r>
          </w:p>
        </w:tc>
        <w:tc>
          <w:tcPr>
            <w:tcW w:w="1418" w:type="dxa"/>
          </w:tcPr>
          <w:p w14:paraId="29DFECC3" w14:textId="77777777" w:rsidR="004F2744" w:rsidRPr="00BA2B87" w:rsidRDefault="004F2744" w:rsidP="00BA2B87">
            <w:pPr>
              <w:spacing w:line="360" w:lineRule="auto"/>
              <w:jc w:val="both"/>
              <w:rPr>
                <w:rFonts w:ascii="Book Antiqua" w:hAnsi="Book Antiqua" w:cstheme="majorBidi"/>
                <w:lang w:eastAsia="zh-CN"/>
              </w:rPr>
            </w:pPr>
            <w:r w:rsidRPr="00BA2B87">
              <w:rPr>
                <w:rFonts w:ascii="Book Antiqua" w:eastAsia="Times New Roman" w:hAnsi="Book Antiqua" w:cs="Calibri"/>
                <w:color w:val="000000"/>
                <w:lang w:eastAsia="zh-CN"/>
              </w:rPr>
              <w:t>↓</w:t>
            </w:r>
          </w:p>
        </w:tc>
        <w:tc>
          <w:tcPr>
            <w:tcW w:w="2097" w:type="dxa"/>
          </w:tcPr>
          <w:p w14:paraId="0E8AB98D" w14:textId="698AB78D" w:rsidR="004F2744" w:rsidRPr="00BA2B87" w:rsidRDefault="00276974" w:rsidP="00BA2B87">
            <w:pPr>
              <w:spacing w:line="360" w:lineRule="auto"/>
              <w:jc w:val="both"/>
              <w:rPr>
                <w:rFonts w:ascii="Book Antiqua" w:hAnsi="Book Antiqua" w:cstheme="majorBidi"/>
                <w:lang w:eastAsia="zh-CN"/>
              </w:rPr>
            </w:pPr>
            <w:r w:rsidRPr="00276974">
              <w:rPr>
                <w:rFonts w:ascii="Book Antiqua" w:hAnsi="Book Antiqua"/>
              </w:rPr>
              <w:t>Liesenfeld</w:t>
            </w:r>
            <w:r w:rsidRPr="00BA2B87">
              <w:rPr>
                <w:rFonts w:ascii="Book Antiqua" w:hAnsi="Book Antiqua" w:cstheme="majorBidi"/>
              </w:rPr>
              <w:t xml:space="preserve"> </w:t>
            </w:r>
            <w:r w:rsidRPr="00276974">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{"citationItems":[{"id":"ITEM-1","itemData":{"DOI":"10.1007/s11306-014-0758-3","ISSN":"15733890","abstract":"Metabolomics is a valuable tool for biomarker screening of colorectal cancer (CRC). In this study, we profiled the urinary</w:instrText>
            </w:r>
            <w:r w:rsidRPr="00BA2B87">
              <w:rPr>
                <w:rFonts w:ascii="Book Antiqua" w:hAnsi="Book Antiqua" w:cstheme="majorBidi"/>
              </w:rPr>
              <w:instrText xml:space="preserve"> metabolomes of patients enrolled in a prospective patient cohort (ColoCare). We aimed to determine changes in the metabolome of the longer clinical follow-up and ascertain candidate markers with possibly prognostic significance. In total, 199 urine samples from CRC patients prior to surgery (n = 97) or 1–8 days post-surgery (n = 12), and then after 6 (n = 52) and 12 months (n = 38) were analyzed using both GC–MS and 1H-NMR. Both datasets were analyzed separately with built in uni- and multivariate analyses of Metaboanalyst 2.0. Furthermore, adjusted linear mixed effects regression models were constructed. Many concentrations of the metabolites derived from the gut microbiome were affected by CRC surgery, presumably indicating a tumor-induced shift in bacterial species. Associations of the microbial metabolites with disease stage indicate an important role of the gut microbiome in CRC. We were able to differentiate the metabolite profiles of pre-surgery CRC patients from those at any post-surgery timepoint using a multivariate model containing 20 marker metabolites (AUCROC = 0.89; 95 % CI 0.84–0.95). This is one of the first metabolomic studies to follow CRC patients in a prospective setting with repeated urine sampling over time. We were able to confirm markers initially identified in case–control studies and metabolites which may represent prognostic biomarker candidates of CRC.","author":[{"dropping-particle":"","family":"Liesenfeld","given":"David B.","non-dropping-particle":"","parse-names":false,"suffix":""},{"dropping-particle":"","family":"Ha</w:instrText>
            </w:r>
            <w:r w:rsidRPr="00BA2B87">
              <w:rPr>
                <w:rFonts w:ascii="Book Antiqua" w:hAnsi="Book Antiqua" w:cstheme="majorBidi"/>
                <w:lang w:eastAsia="zh-CN"/>
              </w:rPr>
              <w:instrText>bermann","given":"Nina","non-dropping-particle":"","parse-names":false,"suffix":""},{"dropping-particle":"","family":"Toth","given":"Reka","non-dropping-particle":"","parse-names":false,"suffix":""},{"dropping-particle":"","family":"Owen","given":"Robert W.","non-dropping-particle":"","parse-names":false,"suffix":""},{"dropping-particle":"","family":"Frei","given":"Eva","non-dropping-particle":"","parse-names":false,"suffix":""},{"dropping-particle":"","family":"Böhm","given":"Jürgen","non-dropping-particle":"","parse-names":false,"suffix":""},{"dropping-particle":"","family":"Schrotz-King","given":"Petra","non-dropping-particle":"","parse-names":false,"suffix":""},{"dropping-particle":"","family":"Klika","given":"Karel D.","non-dropping-particle":"","parse-names":false,"suffix":""},{"dropping-particle":"","family":"Ulrich","given":"Cornelia M.","non-dropping-particle":"","parse-names":false,"suffix":""}],"container-title":"Metabolomics","id":"ITEM-1","issued":{"date-parts":[["2015"]]},"title":"Changes in urinary metabolic profiles of colorectal cancer patients enrolled in a prospective cohort study (ColoCare)","type":"article-journal"},"uris":["http://www.mendeley.com/documents/?uuid=648199d1-2994-4d7b-88bf-24e113e0750e"]}],"mendeley":{"formattedCitation":"&lt;sup&gt;[89]&lt;/sup&gt;","plainTextFormattedCitation":"[89]","previouslyFormattedCitation":"&lt;sup&gt;[89]&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lang w:eastAsia="zh-CN"/>
              </w:rPr>
              <w:t>[89]</w:t>
            </w:r>
            <w:r w:rsidRPr="00BA2B87">
              <w:rPr>
                <w:rFonts w:ascii="Book Antiqua" w:hAnsi="Book Antiqua" w:cstheme="majorBidi"/>
              </w:rPr>
              <w:fldChar w:fldCharType="end"/>
            </w:r>
            <w:r>
              <w:rPr>
                <w:rFonts w:ascii="Book Antiqua" w:hAnsi="Book Antiqua" w:cstheme="majorBidi"/>
              </w:rPr>
              <w:t>, 2015</w:t>
            </w:r>
          </w:p>
        </w:tc>
      </w:tr>
      <w:tr w:rsidR="007615C8" w:rsidRPr="00BA2B87" w14:paraId="16E1502E" w14:textId="77777777" w:rsidTr="00E033F7">
        <w:trPr>
          <w:cantSplit/>
          <w:trHeight w:val="302"/>
        </w:trPr>
        <w:tc>
          <w:tcPr>
            <w:tcW w:w="4565" w:type="dxa"/>
          </w:tcPr>
          <w:p w14:paraId="6FB4DBE4" w14:textId="61A8EEF2" w:rsidR="007615C8" w:rsidRPr="00115296" w:rsidRDefault="007615C8" w:rsidP="00BA2B87">
            <w:pPr>
              <w:spacing w:line="360" w:lineRule="auto"/>
              <w:jc w:val="both"/>
              <w:rPr>
                <w:rFonts w:ascii="Book Antiqua" w:hAnsi="Book Antiqua" w:cstheme="majorBidi"/>
                <w:bCs/>
                <w:lang w:val="pt-BR" w:eastAsia="zh-CN"/>
              </w:rPr>
            </w:pPr>
            <w:r w:rsidRPr="00115296">
              <w:rPr>
                <w:rFonts w:ascii="Book Antiqua" w:hAnsi="Book Antiqua" w:cs="Arial"/>
                <w:shd w:val="clear" w:color="auto" w:fill="FFFFFF"/>
                <w:lang w:val="pt-BR" w:eastAsia="zh-CN"/>
              </w:rPr>
              <w:t>AFAP1 Antisense RNA 1</w:t>
            </w:r>
          </w:p>
        </w:tc>
        <w:tc>
          <w:tcPr>
            <w:tcW w:w="1418" w:type="dxa"/>
            <w:vMerge w:val="restart"/>
          </w:tcPr>
          <w:p w14:paraId="0864AE92" w14:textId="77777777" w:rsidR="007615C8" w:rsidRPr="00BA2B87" w:rsidRDefault="007615C8"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lncRNA</w:t>
            </w:r>
          </w:p>
        </w:tc>
        <w:tc>
          <w:tcPr>
            <w:tcW w:w="1417" w:type="dxa"/>
            <w:vMerge w:val="restart"/>
          </w:tcPr>
          <w:p w14:paraId="1989CA84" w14:textId="75CA39CA" w:rsidR="007615C8" w:rsidRPr="00BA2B87" w:rsidRDefault="007615C8" w:rsidP="00BA2B87">
            <w:pPr>
              <w:spacing w:line="360" w:lineRule="auto"/>
              <w:jc w:val="both"/>
              <w:rPr>
                <w:rFonts w:ascii="Book Antiqua" w:hAnsi="Book Antiqua" w:cstheme="majorBidi"/>
                <w:lang w:eastAsia="zh-CN"/>
              </w:rPr>
            </w:pPr>
            <w:r>
              <w:rPr>
                <w:rFonts w:ascii="Book Antiqua" w:hAnsi="Book Antiqua" w:cstheme="majorBidi"/>
                <w:lang w:eastAsia="zh-CN"/>
              </w:rPr>
              <w:t>D</w:t>
            </w:r>
            <w:r w:rsidRPr="00BA2B87">
              <w:rPr>
                <w:rFonts w:ascii="Book Antiqua" w:hAnsi="Book Antiqua" w:cstheme="majorBidi"/>
                <w:lang w:eastAsia="zh-CN"/>
              </w:rPr>
              <w:t>atasets</w:t>
            </w:r>
          </w:p>
        </w:tc>
        <w:tc>
          <w:tcPr>
            <w:tcW w:w="1418" w:type="dxa"/>
            <w:vMerge w:val="restart"/>
          </w:tcPr>
          <w:p w14:paraId="562AFBA0" w14:textId="77777777" w:rsidR="007615C8" w:rsidRPr="00BA2B87" w:rsidRDefault="007615C8" w:rsidP="00BA2B87">
            <w:pPr>
              <w:spacing w:line="360" w:lineRule="auto"/>
              <w:jc w:val="both"/>
              <w:rPr>
                <w:rFonts w:ascii="Book Antiqua" w:hAnsi="Book Antiqua" w:cstheme="majorBidi"/>
                <w:lang w:eastAsia="zh-CN"/>
              </w:rPr>
            </w:pPr>
            <w:r w:rsidRPr="00BA2B87">
              <w:rPr>
                <w:rFonts w:ascii="Book Antiqua" w:hAnsi="Book Antiqua" w:cstheme="majorBidi"/>
                <w:lang w:eastAsia="zh-CN"/>
              </w:rPr>
              <w:t>↑</w:t>
            </w:r>
          </w:p>
        </w:tc>
        <w:tc>
          <w:tcPr>
            <w:tcW w:w="2097" w:type="dxa"/>
            <w:vMerge w:val="restart"/>
          </w:tcPr>
          <w:p w14:paraId="4A040284" w14:textId="28C08706" w:rsidR="007615C8" w:rsidRPr="00BA2B87" w:rsidRDefault="007615C8" w:rsidP="00BA2B87">
            <w:pPr>
              <w:spacing w:line="360" w:lineRule="auto"/>
              <w:jc w:val="both"/>
              <w:rPr>
                <w:rFonts w:ascii="Book Antiqua" w:hAnsi="Book Antiqua" w:cstheme="majorBidi"/>
              </w:rPr>
            </w:pPr>
            <w:r w:rsidRPr="00276974">
              <w:rPr>
                <w:rFonts w:ascii="Book Antiqua" w:hAnsi="Book Antiqua"/>
              </w:rPr>
              <w:t xml:space="preserve">Li </w:t>
            </w:r>
            <w:r w:rsidRPr="00276974">
              <w:rPr>
                <w:rFonts w:ascii="Book Antiqua" w:hAnsi="Book Antiqua"/>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w:instrText>
            </w:r>
            <w:r w:rsidRPr="00BA2B87">
              <w:rPr>
                <w:rFonts w:ascii="Book Antiqua" w:hAnsi="Book Antiqua" w:cstheme="majorBidi"/>
              </w:rPr>
              <w:instrText>{"DOI":"10.4149/neo_2016_617","ISSN":"13384317","PMID":"27596298","abstract":"Colorectal cancer (CRC) is a disease with high incidence, especially in developed countries. Long non-coding RNAs (lncRNAs) are new research hotspots for their vital roles in regulating gene expression. This study aims to investigate the prognostic value of lncRNAs in CRC patients. A total of 21 cancer-related lncRNAs were detected by PCR array to reveal their expression changes in CRC tissue. A 120-week-long follow-up was performed in 30 CRC patients to analyze the relationship between lncRNA levels and CRC prognosis. Most of the 21 lncRNAs were differentially expressed in CRC tissue compared to the adjacent normal tissue, among which seven lncRNAs were significantly changed: AFAP1-AS1, BCAR4, H19, HOXA-AS2, MALAT1 and PVT1 were up-regulated, and ADAMTS9-AS2 was down-regulated in CRC tissue samples. No obvious correlation was found between lncRNA levels and the age, gender, tumor size or TNM stage of these patients. Log-rank test indicated that higher levels of AFAP1-AS1, BCAR4, H19, HOXA-AS2, MALAT1 or PVT1 and lower level of ADAMTS9-AS2 might predict the poor prognosis of CRC patients. This study suggests the potential value of the seven lncRNAs in the prognosis of CRC, providing reference information for future research on CRC prognostic and treatment strategy.","author":[{"dropping-particle":"","family":"Li","given":"Q.","non-dropping-particle":"","parse-names":false,"suffix":""},{"dropping-particle":"","family":"Dai","given":"Y.","non-dropping-particle":"","parse-names":false,"suffix":""},{"dropping-particle":"","family":"Wang","given":"F.","non-dropping-particle":"","parse-names":false,"suffix":""},{"dropping-particle":"","family":"Hou","given":"S.","non-dropping-particle":"","parse-names":false,"suffix":""}],"container-title":"Neoplasma","id":"ITEM-1","issued":{"date-parts":[["2016"]]},"title":"Differentially expressed long non-coding RNAs and the prognostic potential in colorectal cancer","type":"article-journal"},"uris":["http://www.mendeley.com/documents/?uuid=9f72a470-9086-4854-acdf-c770cf349315"]}],"mendeley":{"formattedCitation":"&lt;sup&gt;[72]&lt;/sup&gt;","plainTextFormattedCitation":"[72]","previouslyFormattedCitation":"&lt;sup&gt;[72]&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[72]</w:t>
            </w:r>
            <w:r w:rsidRPr="00BA2B87">
              <w:rPr>
                <w:rFonts w:ascii="Book Antiqua" w:hAnsi="Book Antiqua" w:cstheme="majorBidi"/>
              </w:rPr>
              <w:fldChar w:fldCharType="end"/>
            </w:r>
            <w:r>
              <w:rPr>
                <w:rFonts w:ascii="Book Antiqua" w:hAnsi="Book Antiqua" w:cstheme="majorBidi"/>
              </w:rPr>
              <w:t>, 2016</w:t>
            </w:r>
          </w:p>
        </w:tc>
      </w:tr>
      <w:tr w:rsidR="007615C8" w:rsidRPr="00BA2B87" w14:paraId="65C257D1" w14:textId="77777777" w:rsidTr="00E033F7">
        <w:trPr>
          <w:cantSplit/>
          <w:trHeight w:val="302"/>
        </w:trPr>
        <w:tc>
          <w:tcPr>
            <w:tcW w:w="4565" w:type="dxa"/>
          </w:tcPr>
          <w:p w14:paraId="6AC5DCA4" w14:textId="733E2E6C"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Arial"/>
                <w:shd w:val="clear" w:color="auto" w:fill="FFFFFF"/>
                <w:lang w:eastAsia="zh-CN"/>
              </w:rPr>
              <w:t>Breast Cancer Anti-Estrogen Resistance 4</w:t>
            </w:r>
          </w:p>
        </w:tc>
        <w:tc>
          <w:tcPr>
            <w:tcW w:w="1418" w:type="dxa"/>
            <w:vMerge/>
          </w:tcPr>
          <w:p w14:paraId="43AE6927"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1504D476"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75577DCB"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3881C72A" w14:textId="77777777" w:rsidR="007615C8" w:rsidRPr="00276974" w:rsidRDefault="007615C8" w:rsidP="00BA2B87">
            <w:pPr>
              <w:spacing w:line="360" w:lineRule="auto"/>
              <w:jc w:val="both"/>
              <w:rPr>
                <w:rFonts w:ascii="Book Antiqua" w:hAnsi="Book Antiqua"/>
              </w:rPr>
            </w:pPr>
          </w:p>
        </w:tc>
      </w:tr>
      <w:tr w:rsidR="007615C8" w:rsidRPr="00BA2B87" w14:paraId="61CF76D7" w14:textId="77777777" w:rsidTr="00E033F7">
        <w:trPr>
          <w:cantSplit/>
          <w:trHeight w:val="302"/>
        </w:trPr>
        <w:tc>
          <w:tcPr>
            <w:tcW w:w="4565" w:type="dxa"/>
          </w:tcPr>
          <w:p w14:paraId="3D121C77" w14:textId="73EF7C81"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theme="majorBidi"/>
                <w:bCs/>
                <w:lang w:eastAsia="zh-CN"/>
              </w:rPr>
              <w:t>H19</w:t>
            </w:r>
          </w:p>
        </w:tc>
        <w:tc>
          <w:tcPr>
            <w:tcW w:w="1418" w:type="dxa"/>
            <w:vMerge/>
          </w:tcPr>
          <w:p w14:paraId="7ADADED0"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39A2CCBF"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3595868A"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44573D17" w14:textId="77777777" w:rsidR="007615C8" w:rsidRPr="00276974" w:rsidRDefault="007615C8" w:rsidP="00BA2B87">
            <w:pPr>
              <w:spacing w:line="360" w:lineRule="auto"/>
              <w:jc w:val="both"/>
              <w:rPr>
                <w:rFonts w:ascii="Book Antiqua" w:hAnsi="Book Antiqua"/>
              </w:rPr>
            </w:pPr>
          </w:p>
        </w:tc>
      </w:tr>
      <w:tr w:rsidR="007615C8" w:rsidRPr="00115296" w14:paraId="703B3B64" w14:textId="77777777" w:rsidTr="00E033F7">
        <w:trPr>
          <w:cantSplit/>
          <w:trHeight w:val="302"/>
        </w:trPr>
        <w:tc>
          <w:tcPr>
            <w:tcW w:w="4565" w:type="dxa"/>
          </w:tcPr>
          <w:p w14:paraId="0FB2F3DA" w14:textId="65CD4E39" w:rsidR="007615C8" w:rsidRPr="00115296" w:rsidRDefault="007615C8" w:rsidP="00BA2B87">
            <w:pPr>
              <w:spacing w:line="360" w:lineRule="auto"/>
              <w:jc w:val="both"/>
              <w:rPr>
                <w:rFonts w:ascii="Book Antiqua" w:hAnsi="Book Antiqua" w:cs="Arial"/>
                <w:shd w:val="clear" w:color="auto" w:fill="FFFFFF"/>
                <w:lang w:val="pt-BR" w:eastAsia="zh-CN"/>
              </w:rPr>
            </w:pPr>
            <w:r w:rsidRPr="00EB46ED">
              <w:rPr>
                <w:rFonts w:ascii="Book Antiqua" w:hAnsi="Book Antiqua" w:cs="Arial"/>
                <w:bCs/>
                <w:shd w:val="clear" w:color="auto" w:fill="FFFFFF"/>
                <w:lang w:val="pt-BR" w:eastAsia="zh-CN"/>
              </w:rPr>
              <w:t>HOXA</w:t>
            </w:r>
            <w:r w:rsidRPr="00EB46ED">
              <w:rPr>
                <w:rFonts w:ascii="Book Antiqua" w:hAnsi="Book Antiqua" w:cs="Arial"/>
                <w:shd w:val="clear" w:color="auto" w:fill="FFFFFF"/>
                <w:lang w:val="pt-BR" w:eastAsia="zh-CN"/>
              </w:rPr>
              <w:t xml:space="preserve"> Cluster Antisense RNA 2 </w:t>
            </w:r>
          </w:p>
        </w:tc>
        <w:tc>
          <w:tcPr>
            <w:tcW w:w="1418" w:type="dxa"/>
            <w:vMerge/>
          </w:tcPr>
          <w:p w14:paraId="5F41B122" w14:textId="77777777" w:rsidR="007615C8" w:rsidRPr="00115296" w:rsidRDefault="007615C8" w:rsidP="00BA2B87">
            <w:pPr>
              <w:spacing w:line="360" w:lineRule="auto"/>
              <w:jc w:val="both"/>
              <w:rPr>
                <w:rFonts w:ascii="Book Antiqua" w:hAnsi="Book Antiqua" w:cstheme="majorBidi"/>
                <w:lang w:val="pt-BR" w:eastAsia="zh-CN"/>
              </w:rPr>
            </w:pPr>
          </w:p>
        </w:tc>
        <w:tc>
          <w:tcPr>
            <w:tcW w:w="1417" w:type="dxa"/>
            <w:vMerge/>
          </w:tcPr>
          <w:p w14:paraId="7635555E" w14:textId="77777777" w:rsidR="007615C8" w:rsidRPr="00115296" w:rsidRDefault="007615C8" w:rsidP="00BA2B87">
            <w:pPr>
              <w:spacing w:line="360" w:lineRule="auto"/>
              <w:jc w:val="both"/>
              <w:rPr>
                <w:rFonts w:ascii="Book Antiqua" w:hAnsi="Book Antiqua" w:cstheme="majorBidi"/>
                <w:lang w:val="pt-BR" w:eastAsia="zh-CN"/>
              </w:rPr>
            </w:pPr>
          </w:p>
        </w:tc>
        <w:tc>
          <w:tcPr>
            <w:tcW w:w="1418" w:type="dxa"/>
            <w:vMerge/>
          </w:tcPr>
          <w:p w14:paraId="7718E630" w14:textId="77777777" w:rsidR="007615C8" w:rsidRPr="00115296" w:rsidRDefault="007615C8" w:rsidP="00BA2B87">
            <w:pPr>
              <w:spacing w:line="360" w:lineRule="auto"/>
              <w:jc w:val="both"/>
              <w:rPr>
                <w:rFonts w:ascii="Book Antiqua" w:hAnsi="Book Antiqua" w:cstheme="majorBidi"/>
                <w:lang w:val="pt-BR" w:eastAsia="zh-CN"/>
              </w:rPr>
            </w:pPr>
          </w:p>
        </w:tc>
        <w:tc>
          <w:tcPr>
            <w:tcW w:w="2097" w:type="dxa"/>
            <w:vMerge/>
          </w:tcPr>
          <w:p w14:paraId="1143C723" w14:textId="77777777" w:rsidR="007615C8" w:rsidRPr="00115296" w:rsidRDefault="007615C8" w:rsidP="00BA2B87">
            <w:pPr>
              <w:spacing w:line="360" w:lineRule="auto"/>
              <w:jc w:val="both"/>
              <w:rPr>
                <w:rFonts w:ascii="Book Antiqua" w:hAnsi="Book Antiqua"/>
                <w:lang w:val="pt-BR"/>
              </w:rPr>
            </w:pPr>
          </w:p>
        </w:tc>
      </w:tr>
      <w:tr w:rsidR="007615C8" w:rsidRPr="00BA2B87" w14:paraId="58752E24" w14:textId="77777777" w:rsidTr="00E033F7">
        <w:trPr>
          <w:cantSplit/>
          <w:trHeight w:val="302"/>
        </w:trPr>
        <w:tc>
          <w:tcPr>
            <w:tcW w:w="4565" w:type="dxa"/>
          </w:tcPr>
          <w:p w14:paraId="0F118B0B" w14:textId="55AAD019" w:rsidR="007615C8" w:rsidRPr="00BA2B87" w:rsidRDefault="007615C8" w:rsidP="00BA2B87">
            <w:pPr>
              <w:spacing w:line="360" w:lineRule="auto"/>
              <w:jc w:val="both"/>
              <w:rPr>
                <w:rFonts w:ascii="Book Antiqua" w:hAnsi="Book Antiqua" w:cs="Arial"/>
                <w:shd w:val="clear" w:color="auto" w:fill="FFFFFF"/>
                <w:lang w:eastAsia="zh-CN"/>
              </w:rPr>
            </w:pPr>
            <w:r w:rsidRPr="00EB46ED">
              <w:rPr>
                <w:rFonts w:ascii="Book Antiqua" w:hAnsi="Book Antiqua" w:cs="Arial"/>
                <w:shd w:val="clear" w:color="auto" w:fill="FFFFFF"/>
                <w:lang w:val="pt-BR" w:eastAsia="zh-CN"/>
              </w:rPr>
              <w:t>Metastasis Associated</w:t>
            </w:r>
          </w:p>
        </w:tc>
        <w:tc>
          <w:tcPr>
            <w:tcW w:w="1418" w:type="dxa"/>
            <w:vMerge/>
          </w:tcPr>
          <w:p w14:paraId="2F0FD4F4"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0D6951B6"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1C706805"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1F534470" w14:textId="77777777" w:rsidR="007615C8" w:rsidRPr="00276974" w:rsidRDefault="007615C8" w:rsidP="00BA2B87">
            <w:pPr>
              <w:spacing w:line="360" w:lineRule="auto"/>
              <w:jc w:val="both"/>
              <w:rPr>
                <w:rFonts w:ascii="Book Antiqua" w:hAnsi="Book Antiqua"/>
              </w:rPr>
            </w:pPr>
          </w:p>
        </w:tc>
      </w:tr>
      <w:tr w:rsidR="007615C8" w:rsidRPr="00BA2B87" w14:paraId="12A935F4" w14:textId="77777777" w:rsidTr="00E033F7">
        <w:trPr>
          <w:cantSplit/>
          <w:trHeight w:val="302"/>
        </w:trPr>
        <w:tc>
          <w:tcPr>
            <w:tcW w:w="4565" w:type="dxa"/>
          </w:tcPr>
          <w:p w14:paraId="79E4934D" w14:textId="08493F4D"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Arial"/>
                <w:shd w:val="clear" w:color="auto" w:fill="FFFFFF"/>
                <w:lang w:eastAsia="zh-CN"/>
              </w:rPr>
              <w:t>Lung Adenocarcinoma Transcript 1 (</w:t>
            </w:r>
            <w:r w:rsidRPr="00BA2B87">
              <w:rPr>
                <w:rFonts w:ascii="Book Antiqua" w:hAnsi="Book Antiqua" w:cstheme="majorBidi"/>
                <w:bCs/>
                <w:lang w:eastAsia="zh-CN"/>
              </w:rPr>
              <w:t>MALAT1)</w:t>
            </w:r>
          </w:p>
        </w:tc>
        <w:tc>
          <w:tcPr>
            <w:tcW w:w="1418" w:type="dxa"/>
            <w:vMerge/>
          </w:tcPr>
          <w:p w14:paraId="50F3F06D"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395B5E63"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0140DF2D"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30BE6158" w14:textId="77777777" w:rsidR="007615C8" w:rsidRPr="00276974" w:rsidRDefault="007615C8" w:rsidP="00BA2B87">
            <w:pPr>
              <w:spacing w:line="360" w:lineRule="auto"/>
              <w:jc w:val="both"/>
              <w:rPr>
                <w:rFonts w:ascii="Book Antiqua" w:hAnsi="Book Antiqua"/>
              </w:rPr>
            </w:pPr>
          </w:p>
        </w:tc>
      </w:tr>
      <w:tr w:rsidR="007615C8" w:rsidRPr="00BA2B87" w14:paraId="5CB9DBB0" w14:textId="77777777" w:rsidTr="00E033F7">
        <w:trPr>
          <w:cantSplit/>
          <w:trHeight w:val="302"/>
        </w:trPr>
        <w:tc>
          <w:tcPr>
            <w:tcW w:w="4565" w:type="dxa"/>
          </w:tcPr>
          <w:p w14:paraId="1D21C05F" w14:textId="5F183DF2" w:rsidR="007615C8" w:rsidRPr="00BA2B87" w:rsidRDefault="007615C8" w:rsidP="00BA2B87">
            <w:pPr>
              <w:spacing w:line="360" w:lineRule="auto"/>
              <w:jc w:val="both"/>
              <w:rPr>
                <w:rFonts w:ascii="Book Antiqua" w:hAnsi="Book Antiqua" w:cs="Arial"/>
                <w:shd w:val="clear" w:color="auto" w:fill="FFFFFF"/>
                <w:lang w:eastAsia="zh-CN"/>
              </w:rPr>
            </w:pPr>
            <w:r w:rsidRPr="00BA2B87">
              <w:rPr>
                <w:rFonts w:ascii="Book Antiqua" w:hAnsi="Book Antiqua" w:cs="Arial"/>
                <w:shd w:val="clear" w:color="auto" w:fill="FFFFFF"/>
                <w:lang w:eastAsia="zh-CN"/>
              </w:rPr>
              <w:t>Plasmacytoma Variant Translocation 1</w:t>
            </w:r>
          </w:p>
        </w:tc>
        <w:tc>
          <w:tcPr>
            <w:tcW w:w="1418" w:type="dxa"/>
            <w:vMerge/>
          </w:tcPr>
          <w:p w14:paraId="32DDB250" w14:textId="77777777" w:rsidR="007615C8" w:rsidRPr="00BA2B87" w:rsidRDefault="007615C8" w:rsidP="00BA2B87">
            <w:pPr>
              <w:spacing w:line="360" w:lineRule="auto"/>
              <w:jc w:val="both"/>
              <w:rPr>
                <w:rFonts w:ascii="Book Antiqua" w:hAnsi="Book Antiqua" w:cstheme="majorBidi"/>
                <w:lang w:eastAsia="zh-CN"/>
              </w:rPr>
            </w:pPr>
          </w:p>
        </w:tc>
        <w:tc>
          <w:tcPr>
            <w:tcW w:w="1417" w:type="dxa"/>
            <w:vMerge/>
          </w:tcPr>
          <w:p w14:paraId="7E0E6A92" w14:textId="77777777" w:rsidR="007615C8" w:rsidRDefault="007615C8" w:rsidP="00BA2B87">
            <w:pPr>
              <w:spacing w:line="360" w:lineRule="auto"/>
              <w:jc w:val="both"/>
              <w:rPr>
                <w:rFonts w:ascii="Book Antiqua" w:hAnsi="Book Antiqua" w:cstheme="majorBidi"/>
                <w:lang w:eastAsia="zh-CN"/>
              </w:rPr>
            </w:pPr>
          </w:p>
        </w:tc>
        <w:tc>
          <w:tcPr>
            <w:tcW w:w="1418" w:type="dxa"/>
            <w:vMerge/>
          </w:tcPr>
          <w:p w14:paraId="0A1B5622" w14:textId="77777777" w:rsidR="007615C8" w:rsidRPr="00BA2B87" w:rsidRDefault="007615C8" w:rsidP="00BA2B87">
            <w:pPr>
              <w:spacing w:line="360" w:lineRule="auto"/>
              <w:jc w:val="both"/>
              <w:rPr>
                <w:rFonts w:ascii="Book Antiqua" w:hAnsi="Book Antiqua" w:cstheme="majorBidi"/>
                <w:lang w:eastAsia="zh-CN"/>
              </w:rPr>
            </w:pPr>
          </w:p>
        </w:tc>
        <w:tc>
          <w:tcPr>
            <w:tcW w:w="2097" w:type="dxa"/>
            <w:vMerge/>
          </w:tcPr>
          <w:p w14:paraId="55C409D4" w14:textId="77777777" w:rsidR="007615C8" w:rsidRPr="00276974" w:rsidRDefault="007615C8" w:rsidP="00BA2B87">
            <w:pPr>
              <w:spacing w:line="360" w:lineRule="auto"/>
              <w:jc w:val="both"/>
              <w:rPr>
                <w:rFonts w:ascii="Book Antiqua" w:hAnsi="Book Antiqua"/>
              </w:rPr>
            </w:pPr>
          </w:p>
        </w:tc>
      </w:tr>
      <w:tr w:rsidR="004F2744" w:rsidRPr="00BA2B87" w14:paraId="71509720" w14:textId="77777777" w:rsidTr="00E033F7">
        <w:trPr>
          <w:cantSplit/>
          <w:trHeight w:val="252"/>
        </w:trPr>
        <w:tc>
          <w:tcPr>
            <w:tcW w:w="4565" w:type="dxa"/>
          </w:tcPr>
          <w:p w14:paraId="5CCDC076" w14:textId="78AFB353" w:rsidR="004F2744" w:rsidRPr="00BA2B87" w:rsidRDefault="004F2744" w:rsidP="00BA2B87">
            <w:pPr>
              <w:spacing w:line="360" w:lineRule="auto"/>
              <w:jc w:val="both"/>
              <w:rPr>
                <w:rFonts w:ascii="Book Antiqua" w:hAnsi="Book Antiqua" w:cstheme="majorBidi"/>
                <w:bCs/>
              </w:rPr>
            </w:pPr>
            <w:r w:rsidRPr="00BA2B87">
              <w:rPr>
                <w:rFonts w:ascii="Book Antiqua" w:hAnsi="Book Antiqua" w:cs="Arial"/>
                <w:bCs/>
                <w:shd w:val="clear" w:color="auto" w:fill="FFFFFF"/>
              </w:rPr>
              <w:t>ADAMTS9</w:t>
            </w:r>
            <w:r w:rsidR="00276974">
              <w:rPr>
                <w:rFonts w:ascii="Book Antiqua" w:hAnsi="Book Antiqua" w:cs="Arial"/>
                <w:shd w:val="clear" w:color="auto" w:fill="FFFFFF"/>
              </w:rPr>
              <w:t xml:space="preserve"> </w:t>
            </w:r>
            <w:r w:rsidRPr="00BA2B87">
              <w:rPr>
                <w:rFonts w:ascii="Book Antiqua" w:hAnsi="Book Antiqua" w:cs="Arial"/>
                <w:shd w:val="clear" w:color="auto" w:fill="FFFFFF"/>
              </w:rPr>
              <w:t xml:space="preserve">Antisense RNA 2 </w:t>
            </w:r>
          </w:p>
        </w:tc>
        <w:tc>
          <w:tcPr>
            <w:tcW w:w="1418" w:type="dxa"/>
          </w:tcPr>
          <w:p w14:paraId="5C5D6135"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lncRNA</w:t>
            </w:r>
          </w:p>
        </w:tc>
        <w:tc>
          <w:tcPr>
            <w:tcW w:w="1417" w:type="dxa"/>
          </w:tcPr>
          <w:p w14:paraId="05670F24" w14:textId="32B6381B" w:rsidR="004F2744" w:rsidRPr="00BA2B87" w:rsidRDefault="000634E6" w:rsidP="00BA2B87">
            <w:pPr>
              <w:spacing w:line="360" w:lineRule="auto"/>
              <w:jc w:val="both"/>
              <w:rPr>
                <w:rFonts w:ascii="Book Antiqua" w:hAnsi="Book Antiqua" w:cstheme="majorBidi"/>
              </w:rPr>
            </w:pPr>
            <w:r>
              <w:rPr>
                <w:rFonts w:ascii="Book Antiqua" w:hAnsi="Book Antiqua" w:cstheme="majorBidi"/>
              </w:rPr>
              <w:t>D</w:t>
            </w:r>
            <w:r w:rsidR="004F2744" w:rsidRPr="00BA2B87">
              <w:rPr>
                <w:rFonts w:ascii="Book Antiqua" w:hAnsi="Book Antiqua" w:cstheme="majorBidi"/>
              </w:rPr>
              <w:t>atasets</w:t>
            </w:r>
          </w:p>
        </w:tc>
        <w:tc>
          <w:tcPr>
            <w:tcW w:w="1418" w:type="dxa"/>
          </w:tcPr>
          <w:p w14:paraId="5DBC863C"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24768171" w14:textId="71370E45" w:rsidR="004F2744" w:rsidRPr="00BA2B87" w:rsidRDefault="00276974" w:rsidP="00BA2B87">
            <w:pPr>
              <w:spacing w:line="360" w:lineRule="auto"/>
              <w:jc w:val="both"/>
              <w:rPr>
                <w:rFonts w:ascii="Book Antiqua" w:hAnsi="Book Antiqua" w:cstheme="majorBidi"/>
              </w:rPr>
            </w:pPr>
            <w:r w:rsidRPr="00276974">
              <w:rPr>
                <w:rFonts w:ascii="Book Antiqua" w:hAnsi="Book Antiqua"/>
              </w:rPr>
              <w:t xml:space="preserve">Li </w:t>
            </w:r>
            <w:r w:rsidRPr="00276974">
              <w:rPr>
                <w:rFonts w:ascii="Book Antiqua" w:hAnsi="Book Antiqua"/>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w:instrText>
            </w:r>
            <w:r w:rsidRPr="00BA2B87">
              <w:rPr>
                <w:rFonts w:ascii="Book Antiqua" w:hAnsi="Book Antiqua" w:cstheme="majorBidi"/>
              </w:rPr>
              <w:instrText>{"DOI":"10.4149/neo_2016_617","ISSN":"13384317","PMID":"27596298","abstract":"Colorectal cancer (CRC) is a disease with high incidence, especially in developed countries. Long non-coding RNAs (lncRNAs) are new research hotspots for their vital roles in regulating gene expression. This study aims to investigate the prognostic value of lncRNAs in CRC patients. A total of 21 cancer-related lncRNAs were detected by PCR array to reveal their expression changes in CRC tissue. A 120-week-long follow-up was performed in 30 CRC patients to analyze the relationship between lncRNA levels and CRC prognosis. Most of the 21 lncRNAs were differentially expressed in CRC tissue compared to the adjacent normal tissue, among which seven lncRNAs were significantly changed: AFAP1-AS1, BCAR4, H19, HOXA-AS2, MALAT1 and PVT1 were up-regulated, and ADAMTS9-AS2 was down-regulated in CRC tissue samples. No obvious correlation was found between lncRNA levels and the age, gender, tumor size or TNM stage of these patients. Log-rank test indicated that higher levels of AFAP1-AS1, BCAR4, H19, HOXA-AS2, MALAT1 or PVT1 and lower level of ADAMTS9-AS2 might predict the poor prognosis of CRC patients. This study suggests the potential value of the seven lncRNAs in the prognosis of CRC, providing reference information for future research on CRC prognostic and treatment strategy.","author":[{"dropping-particle":"","family":"Li","given":"Q.","non-dropping-particle":"","parse-names":false,"suffix":""},{"dropping-particle":"","family":"Dai","given":"Y.","non-dropping-particle":"","parse-names":false,"suffix":""},{"dropping-particle":"","family":"Wang","given":"F.","non-dropping-particle":"","parse-names":false,"suffix":""},{"dropping-particle":"","family":"Hou","given":"S.","non-dropping-particle":"","parse-names":false,"suffix":""}],"container-title":"Neoplasma","id":"ITEM-1","issued":{"date-parts":[["2016"]]},"title":"Differentially expressed long non-coding RNAs and the prognostic potential in colorectal cancer","type":"article-journal"},"uris":["http://www.mendeley.com/documents/?uuid=9f72a470-9086-4854-acdf-c770cf349315"]}],"mendeley":{"formattedCitation":"&lt;sup&gt;[72]&lt;/sup&gt;","plainTextFormattedCitation":"[72]","previouslyFormattedCitation":"&lt;sup&gt;[72]&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[72]</w:t>
            </w:r>
            <w:r w:rsidRPr="00BA2B87">
              <w:rPr>
                <w:rFonts w:ascii="Book Antiqua" w:hAnsi="Book Antiqua" w:cstheme="majorBidi"/>
              </w:rPr>
              <w:fldChar w:fldCharType="end"/>
            </w:r>
            <w:r>
              <w:rPr>
                <w:rFonts w:ascii="Book Antiqua" w:hAnsi="Book Antiqua" w:cstheme="majorBidi"/>
              </w:rPr>
              <w:t>, 2016</w:t>
            </w:r>
          </w:p>
        </w:tc>
      </w:tr>
      <w:tr w:rsidR="004F2744" w:rsidRPr="00BA2B87" w14:paraId="729C5465" w14:textId="77777777" w:rsidTr="00E033F7">
        <w:trPr>
          <w:cantSplit/>
          <w:trHeight w:val="218"/>
        </w:trPr>
        <w:tc>
          <w:tcPr>
            <w:tcW w:w="4565" w:type="dxa"/>
          </w:tcPr>
          <w:p w14:paraId="3BC2A6FA" w14:textId="77777777" w:rsidR="004F2744" w:rsidRPr="00BA2B87" w:rsidRDefault="004F2744" w:rsidP="00BA2B87">
            <w:pPr>
              <w:spacing w:line="360" w:lineRule="auto"/>
              <w:jc w:val="both"/>
              <w:rPr>
                <w:rFonts w:ascii="Book Antiqua" w:hAnsi="Book Antiqua" w:cstheme="majorBidi"/>
                <w:bCs/>
              </w:rPr>
            </w:pPr>
            <w:r w:rsidRPr="00BA2B87">
              <w:rPr>
                <w:rFonts w:ascii="Book Antiqua" w:hAnsi="Book Antiqua" w:cstheme="majorBidi"/>
                <w:bCs/>
              </w:rPr>
              <w:t>miR-429</w:t>
            </w:r>
          </w:p>
        </w:tc>
        <w:tc>
          <w:tcPr>
            <w:tcW w:w="1418" w:type="dxa"/>
          </w:tcPr>
          <w:p w14:paraId="358CA481"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microRNA</w:t>
            </w:r>
          </w:p>
        </w:tc>
        <w:tc>
          <w:tcPr>
            <w:tcW w:w="1417" w:type="dxa"/>
          </w:tcPr>
          <w:p w14:paraId="6F8FC0FA" w14:textId="77777777" w:rsidR="004F2744" w:rsidRPr="00BA2B87" w:rsidRDefault="004F2744" w:rsidP="00BA2B87">
            <w:pPr>
              <w:spacing w:line="360" w:lineRule="auto"/>
              <w:jc w:val="both"/>
              <w:rPr>
                <w:rFonts w:ascii="Book Antiqua" w:hAnsi="Book Antiqua" w:cstheme="majorBidi"/>
              </w:rPr>
            </w:pPr>
            <w:r w:rsidRPr="00BA2B87">
              <w:rPr>
                <w:rFonts w:ascii="Book Antiqua" w:eastAsia="Times New Roman" w:hAnsi="Book Antiqua" w:cs="Calibri"/>
                <w:color w:val="000000"/>
              </w:rPr>
              <w:t>Fresh Frozen Tissue</w:t>
            </w:r>
          </w:p>
        </w:tc>
        <w:tc>
          <w:tcPr>
            <w:tcW w:w="1418" w:type="dxa"/>
          </w:tcPr>
          <w:p w14:paraId="78EB2809"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706BCCCA" w14:textId="540779B6" w:rsidR="004F2744" w:rsidRPr="00BA2B87" w:rsidRDefault="003315E4" w:rsidP="00BA2B87">
            <w:pPr>
              <w:spacing w:line="360" w:lineRule="auto"/>
              <w:jc w:val="both"/>
              <w:rPr>
                <w:rFonts w:ascii="Book Antiqua" w:hAnsi="Book Antiqua" w:cstheme="majorBidi"/>
              </w:rPr>
            </w:pPr>
            <w:r w:rsidRPr="00276974">
              <w:rPr>
                <w:rFonts w:ascii="Book Antiqua" w:hAnsi="Book Antiqua"/>
              </w:rPr>
              <w:t xml:space="preserve">Li </w:t>
            </w:r>
            <w:r w:rsidRPr="00276974">
              <w:rPr>
                <w:rFonts w:ascii="Book Antiqua" w:hAnsi="Book Antiqua"/>
                <w:i/>
                <w:iCs/>
              </w:rPr>
              <w:t>et al</w:t>
            </w:r>
            <w:r w:rsidRPr="00BA2B87">
              <w:rPr>
                <w:rFonts w:ascii="Book Antiqua" w:hAnsi="Book Antiqua" w:cstheme="majorBidi"/>
              </w:rPr>
              <w:fldChar w:fldCharType="begin" w:fldLock="1"/>
            </w:r>
            <w:r w:rsidRPr="00BA2B87">
              <w:rPr>
                <w:rFonts w:ascii="Book Antiqua" w:hAnsi="Book Antiqua" w:cstheme="majorBidi"/>
                <w:lang w:eastAsia="zh-CN"/>
              </w:rPr>
              <w:instrText>ADDIN CSL_CITATION {"citationItems":[{"id":"ITEM-1","itemData":</w:instrText>
            </w:r>
            <w:r w:rsidRPr="00BA2B87">
              <w:rPr>
                <w:rFonts w:ascii="Book Antiqua" w:hAnsi="Book Antiqua" w:cstheme="majorBidi"/>
              </w:rPr>
              <w:instrText>{"DOI":"10.4149/neo_2016_617","ISSN":"13384317","PMID":"27596298","abstract":"Colorectal cancer (CRC) is a disease with high incidence, especially in developed countries. Long non-coding RNAs (lncRNAs) are new research hotspots for their vital roles in regulating gene expression. This study aims to investigate the prognostic value of lncRNAs in CRC patients. A total of 21 cancer-related lncRNAs were detected by PCR array to reveal their expression changes in CRC tissue. A 120-week-long follow-up was performed in 30 CRC patients to analyze the relationship between lncRNA levels and CRC prognosis. Most of the 21 lncRNAs were differentially expressed in CRC tissue compared to the adjacent normal tissue, among which seven lncRNAs were significantly changed: AFAP1-AS1, BCAR4, H19, HOXA-AS2, MALAT1 and PVT1 were up-regulated, and ADAMTS9-AS2 was down-regulated in CRC tissue samples. No obvious correlation was found between lncRNA levels and the age, gender, tumor size or TNM stage of these patients. Log-rank test indicated that higher levels of AFAP1-AS1, BCAR4, H19, HOXA-AS2, MALAT1 or PVT1 and lower level of ADAMTS9-AS2 might predict the poor prognosis of CRC patients. This study suggests the potential value of the seven lncRNAs in the prognosis of CRC, providing reference information for future research on CRC prognostic and treatment strategy.","author":[{"dropping-particle":"","family":"Li","given":"Q.","non-dropping-particle":"","parse-names":false,"suffix":""},{"dropping-particle":"","family":"Dai","given":"Y.","non-dropping-particle":"","parse-names":false,"suffix":""},{"dropping-particle":"","family":"Wang","given":"F.","non-dropping-particle":"","parse-names":false,"suffix":""},{"dropping-particle":"","family":"Hou","given":"S.","non-dropping-particle":"","parse-names":false,"suffix":""}],"container-title":"Neoplasma","id":"ITEM-1","issued":{"date-parts":[["2016"]]},"title":"Differentially expressed long non-coding RNAs and the prognostic potential in colorectal cancer","type":"article-journal"},"uris":["http://www.mendeley.com/documents/?uuid=9f72a470-9086-4854-acdf-c770cf349315"]}],"mendeley":{"formattedCitation":"&lt;sup&gt;[72]&lt;/sup&gt;","plainTextFormattedCitation":"[72]","previouslyFormattedCitation":"&lt;sup&gt;[72]&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w:t>
            </w:r>
            <w:r>
              <w:rPr>
                <w:rFonts w:ascii="Book Antiqua" w:hAnsi="Book Antiqua" w:cstheme="majorBidi"/>
                <w:noProof/>
                <w:vertAlign w:val="superscript"/>
              </w:rPr>
              <w:t>3</w:t>
            </w:r>
            <w:r w:rsidRPr="00BA2B87">
              <w:rPr>
                <w:rFonts w:ascii="Book Antiqua" w:hAnsi="Book Antiqua" w:cstheme="majorBidi"/>
                <w:noProof/>
                <w:vertAlign w:val="superscript"/>
              </w:rPr>
              <w:t>]</w:t>
            </w:r>
            <w:r w:rsidRPr="00BA2B87">
              <w:rPr>
                <w:rFonts w:ascii="Book Antiqua" w:hAnsi="Book Antiqua" w:cstheme="majorBidi"/>
              </w:rPr>
              <w:fldChar w:fldCharType="end"/>
            </w:r>
            <w:r>
              <w:rPr>
                <w:rFonts w:ascii="Book Antiqua" w:hAnsi="Book Antiqua" w:cstheme="majorBidi"/>
              </w:rPr>
              <w:t>, 2013</w:t>
            </w:r>
          </w:p>
        </w:tc>
      </w:tr>
      <w:tr w:rsidR="00441931" w:rsidRPr="00BA2B87" w14:paraId="7DC1CA1F" w14:textId="77777777" w:rsidTr="00E033F7">
        <w:trPr>
          <w:cantSplit/>
          <w:trHeight w:val="302"/>
        </w:trPr>
        <w:tc>
          <w:tcPr>
            <w:tcW w:w="4565" w:type="dxa"/>
          </w:tcPr>
          <w:p w14:paraId="0E04DD2F" w14:textId="03B289AC"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lastRenderedPageBreak/>
              <w:t>hsa-mir-191, hsa-mir-200b</w:t>
            </w:r>
          </w:p>
        </w:tc>
        <w:tc>
          <w:tcPr>
            <w:tcW w:w="1418" w:type="dxa"/>
            <w:vMerge w:val="restart"/>
          </w:tcPr>
          <w:p w14:paraId="6BA606CC" w14:textId="77777777" w:rsidR="00441931" w:rsidRPr="00BA2B87" w:rsidRDefault="00441931" w:rsidP="00BA2B87">
            <w:pPr>
              <w:spacing w:line="360" w:lineRule="auto"/>
              <w:jc w:val="both"/>
              <w:rPr>
                <w:rFonts w:ascii="Book Antiqua" w:hAnsi="Book Antiqua" w:cstheme="majorBidi"/>
              </w:rPr>
            </w:pPr>
            <w:r w:rsidRPr="00BA2B87">
              <w:rPr>
                <w:rFonts w:ascii="Book Antiqua" w:hAnsi="Book Antiqua" w:cstheme="majorBidi"/>
              </w:rPr>
              <w:t>microRNA</w:t>
            </w:r>
          </w:p>
        </w:tc>
        <w:tc>
          <w:tcPr>
            <w:tcW w:w="1417" w:type="dxa"/>
            <w:vMerge w:val="restart"/>
          </w:tcPr>
          <w:p w14:paraId="5B5FBF30" w14:textId="137E8F41" w:rsidR="00441931" w:rsidRPr="00BA2B87" w:rsidRDefault="00441931" w:rsidP="00BA2B87">
            <w:pPr>
              <w:spacing w:line="360" w:lineRule="auto"/>
              <w:jc w:val="both"/>
              <w:rPr>
                <w:rFonts w:ascii="Book Antiqua" w:hAnsi="Book Antiqua" w:cstheme="majorBidi"/>
              </w:rPr>
            </w:pPr>
            <w:r>
              <w:rPr>
                <w:rFonts w:ascii="Book Antiqua" w:hAnsi="Book Antiqua" w:cstheme="majorBidi"/>
              </w:rPr>
              <w:t>D</w:t>
            </w:r>
            <w:r w:rsidRPr="00BA2B87">
              <w:rPr>
                <w:rFonts w:ascii="Book Antiqua" w:hAnsi="Book Antiqua" w:cstheme="majorBidi"/>
              </w:rPr>
              <w:t>atasets</w:t>
            </w:r>
          </w:p>
        </w:tc>
        <w:tc>
          <w:tcPr>
            <w:tcW w:w="1418" w:type="dxa"/>
            <w:vMerge w:val="restart"/>
          </w:tcPr>
          <w:p w14:paraId="033670AE" w14:textId="77777777" w:rsidR="00441931" w:rsidRPr="00BA2B87" w:rsidRDefault="00441931"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5A8D6753" w14:textId="6390DCE9" w:rsidR="00441931" w:rsidRPr="00BA2B87" w:rsidRDefault="00441931" w:rsidP="00BA2B87">
            <w:pPr>
              <w:spacing w:line="360" w:lineRule="auto"/>
              <w:jc w:val="both"/>
              <w:rPr>
                <w:rFonts w:ascii="Book Antiqua" w:hAnsi="Book Antiqua" w:cstheme="majorBidi"/>
              </w:rPr>
            </w:pPr>
            <w:r w:rsidRPr="004F6127">
              <w:rPr>
                <w:rFonts w:ascii="Book Antiqua" w:hAnsi="Book Antiqua"/>
              </w:rPr>
              <w:t>Kandimalla</w:t>
            </w:r>
            <w:r w:rsidRPr="00BA2B87">
              <w:rPr>
                <w:rFonts w:ascii="Book Antiqua" w:hAnsi="Book Antiqua" w:cstheme="majorBidi"/>
              </w:rPr>
              <w:t xml:space="preserve"> </w:t>
            </w:r>
            <w:r w:rsidRPr="004F6127">
              <w:rPr>
                <w:rFonts w:ascii="Book Antiqua" w:hAnsi="Book Antiqua" w:cstheme="majorBidi"/>
                <w:i/>
                <w:iCs/>
              </w:rPr>
              <w:t>et al</w:t>
            </w:r>
            <w:r w:rsidRPr="00BA2B87">
              <w:rPr>
                <w:rFonts w:ascii="Book Antiqua" w:hAnsi="Book Antiqua" w:cstheme="majorBidi"/>
              </w:rPr>
              <w:fldChar w:fldCharType="begin" w:fldLock="1"/>
            </w:r>
            <w:r w:rsidRPr="00BA2B87">
              <w:rPr>
                <w:rFonts w:ascii="Book Antiqua" w:hAnsi="Book Antiqua" w:cstheme="majorBidi"/>
              </w:rPr>
              <w:instrText>ADDIN CSL_CITATION {"citationItems":[{"id":"ITEM-1","itemData":{"DOI":"10.1158/1078-0432.CCR-17-3236","ISSN":"15573265","PMID":"29514841","abstract":"Purpose: The current tumor–node–metastasis (TNM) staging system is inadequate at identifying patients with high-risk colorectal cancer. Using a systematic and comprehensive biomarker discovery and validation approach, we aimed to identify an miRNA recurrence classifier (MRC) that can improve upon the current TNM staging as well as is superior to currently offered molecular assays. Experimental Design: Three independent genome-wide miRNA expression profiling datasets were used for biomarker discovery (N ¼ 158) and in silico validation (N ¼ 109 and N ¼ 40) to identify an miRNA signature for predicting tumor recurrence in patients with colorectal cancer. Subsequently, this signature was analytically trained and validated in retrospectively collected independent patient cohorts of fresh-frozen (N ¼ 127, cohort 1) and formalin-fixed paraffin-embedded (FFPE; N ¼ 165, cohort 2 and N ¼ 139, cohort 3) specimens. Results: We identified an 8-miRNA signature that significantly predicted recurrence-free interval (RFI) in the discovery (P ¼ 0.002) and two independent publicly available datasets (P ¼ 0.00006 and P ¼ 0.002). The RT-PCR–based validation in independent clinical cohorts revealed that MRC-derived high-risk patients succumb to significantly poor RFI in patients with stage II and III colorectal cancer [cohort 1: hazard ratio (HR), 3.44 (1.56–7.45), P ¼ 0.001; cohort 2: HR, 6.15 (3.33–11.35), P ¼ 0.001; and cohort 3: HR, 4.23 (2.26–7.92), P ¼ 0.0003]. In multivariate analyses, MRC emerged as an independent predictor of tumor recurrence and achieved superior predictive accuracy over the currently available molecular assays. The RT-PCR–based MRC risk score ¼ (0.1218 miR-744) þ (3.7142 miR-429) þ (2.2051 miR-362) þ (3.0564 miR-200b) þ (2.4997 miR-191) þ (0.0065 miR-30c2) þ (2.2224 miR-30b) þ (1.1162 miR-33a). Conclusions: This novel MRC is superior to currently used clinicopathologic features, as well as National Comprehensive Cancer Network (NCCN) criteria, and works regardless of adjuvant chemotherapy status in identifying patients with high-risk stage II and III colorectal cancer. This can be readily deployed in clinical practice with FFPE specimens for decision-making pending further model testing and validation.","author":[{"dropping-particle":"","family":"Kandimalla","given":"Raju","non-dropping-particle":"","parse-names":false,"suffix":""},{"dropping-particle":"","family":"Gao","given":"Feng","non-dropping-particle":"","parse-names":false,"suffix":""},{"dropping-particle":"","family":"Matsuyama","given":"Takatoshi","non-dropping-particle":"","parse-names":false,"suffix":""},{"dropping-particle":"","family":"Ishikawa","given":"Toshiaki","non-dropping-particle":"","parse-names":false,"suffix":""},{"dropping-particle":"","family":"Uetake","given":"Hiroyuki","non-dropping-particle":"","parse-names":false,"suffix":""},{"dropping-particle":"","family":"Takahashi","given":"Naoki","non-dropping-particle":"","parse-names":false,"suffix":""},{"dropping-particle":"","family":"Yamada","given":"Yasuhide","non-dropping-particle":"","parse-names":false,"suffix":""},{"dropping-particle":"","family":"Becerra","given":"Carlos","non-dropping-particle":"","parse-names":false,"suffix":""},{"dropping-particle":"","family":"Kopetz","given":"Scott","non-dropping-particle":"","parse-names":false,"suffix":""},{"dropping-particle":"","family":"Wang","given":"Xin","non-dropping-particle":"","parse-names":false,"suffix":""},{"dropping-particle":"","family":"Goel","given":"Ajay","non-dropping-particle":"","parse-names":false,"suffix":""}],"container-title":"Clinical Cancer Research","id":"ITEM-1","issued":{"date-parts":[["2018"]]},"title":"Genome-wide discovery and identification of a novel miRNA signature for recurrence prediction in stage II and III colorectal cancer","type":"article-journal"},"uris":["http://www.mendeley.com/documents/?uuid=002c5a34-69c8-4a37-a878-0f08af4e8f46"]}],"mendeley":{"formattedCitation":"&lt;sup&gt;[75]&lt;/sup&gt;","plainTextFormattedCitation":"[75]","previouslyFormattedCitation":"&lt;sup&gt;[75]&lt;/sup&gt;"},"properties":{"noteIndex":0},"schema":"https://github.com/citation-style-language/schema/raw/master/csl-citation.json"}</w:instrText>
            </w:r>
            <w:r w:rsidRPr="00BA2B87">
              <w:rPr>
                <w:rFonts w:ascii="Book Antiqua" w:hAnsi="Book Antiqua" w:cstheme="majorBidi"/>
              </w:rPr>
              <w:fldChar w:fldCharType="separate"/>
            </w:r>
            <w:r w:rsidRPr="00BA2B87">
              <w:rPr>
                <w:rFonts w:ascii="Book Antiqua" w:hAnsi="Book Antiqua" w:cstheme="majorBidi"/>
                <w:noProof/>
                <w:vertAlign w:val="superscript"/>
              </w:rPr>
              <w:t>[75]</w:t>
            </w:r>
            <w:r w:rsidRPr="00BA2B87">
              <w:rPr>
                <w:rFonts w:ascii="Book Antiqua" w:hAnsi="Book Antiqua" w:cstheme="majorBidi"/>
              </w:rPr>
              <w:fldChar w:fldCharType="end"/>
            </w:r>
            <w:r>
              <w:rPr>
                <w:rFonts w:ascii="Book Antiqua" w:hAnsi="Book Antiqua" w:cstheme="majorBidi"/>
              </w:rPr>
              <w:t>, 2018</w:t>
            </w:r>
          </w:p>
        </w:tc>
      </w:tr>
      <w:tr w:rsidR="00441931" w:rsidRPr="00290348" w14:paraId="062BA3DB" w14:textId="77777777" w:rsidTr="00E033F7">
        <w:trPr>
          <w:cantSplit/>
          <w:trHeight w:val="302"/>
        </w:trPr>
        <w:tc>
          <w:tcPr>
            <w:tcW w:w="4565" w:type="dxa"/>
          </w:tcPr>
          <w:p w14:paraId="287D5438" w14:textId="2F459ABF"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t>hsa-mir-30b, hsa-mir-30c2</w:t>
            </w:r>
          </w:p>
        </w:tc>
        <w:tc>
          <w:tcPr>
            <w:tcW w:w="1418" w:type="dxa"/>
            <w:vMerge/>
          </w:tcPr>
          <w:p w14:paraId="6B14C1F5" w14:textId="77777777" w:rsidR="00441931" w:rsidRPr="00441931" w:rsidRDefault="00441931" w:rsidP="00BA2B87">
            <w:pPr>
              <w:spacing w:line="360" w:lineRule="auto"/>
              <w:jc w:val="both"/>
              <w:rPr>
                <w:rFonts w:ascii="Book Antiqua" w:hAnsi="Book Antiqua" w:cstheme="majorBidi"/>
                <w:lang w:val="pt-BR"/>
              </w:rPr>
            </w:pPr>
          </w:p>
        </w:tc>
        <w:tc>
          <w:tcPr>
            <w:tcW w:w="1417" w:type="dxa"/>
            <w:vMerge/>
          </w:tcPr>
          <w:p w14:paraId="1661B723" w14:textId="77777777" w:rsidR="00441931" w:rsidRPr="00441931" w:rsidRDefault="00441931" w:rsidP="00BA2B87">
            <w:pPr>
              <w:spacing w:line="360" w:lineRule="auto"/>
              <w:jc w:val="both"/>
              <w:rPr>
                <w:rFonts w:ascii="Book Antiqua" w:hAnsi="Book Antiqua" w:cstheme="majorBidi"/>
                <w:lang w:val="pt-BR"/>
              </w:rPr>
            </w:pPr>
          </w:p>
        </w:tc>
        <w:tc>
          <w:tcPr>
            <w:tcW w:w="1418" w:type="dxa"/>
            <w:vMerge/>
          </w:tcPr>
          <w:p w14:paraId="3DBB792E" w14:textId="77777777" w:rsidR="00441931" w:rsidRPr="00441931" w:rsidRDefault="00441931" w:rsidP="00BA2B87">
            <w:pPr>
              <w:spacing w:line="360" w:lineRule="auto"/>
              <w:jc w:val="both"/>
              <w:rPr>
                <w:rFonts w:ascii="Book Antiqua" w:hAnsi="Book Antiqua" w:cstheme="majorBidi"/>
                <w:lang w:val="pt-BR"/>
              </w:rPr>
            </w:pPr>
          </w:p>
        </w:tc>
        <w:tc>
          <w:tcPr>
            <w:tcW w:w="2097" w:type="dxa"/>
            <w:vMerge/>
          </w:tcPr>
          <w:p w14:paraId="5C24ADC7" w14:textId="77777777" w:rsidR="00441931" w:rsidRPr="00441931" w:rsidRDefault="00441931" w:rsidP="00BA2B87">
            <w:pPr>
              <w:spacing w:line="360" w:lineRule="auto"/>
              <w:jc w:val="both"/>
              <w:rPr>
                <w:rFonts w:ascii="Book Antiqua" w:hAnsi="Book Antiqua"/>
                <w:lang w:val="pt-BR"/>
              </w:rPr>
            </w:pPr>
          </w:p>
        </w:tc>
      </w:tr>
      <w:tr w:rsidR="00441931" w:rsidRPr="00BA2B87" w14:paraId="3CE366AA" w14:textId="77777777" w:rsidTr="00E033F7">
        <w:trPr>
          <w:cantSplit/>
          <w:trHeight w:val="302"/>
        </w:trPr>
        <w:tc>
          <w:tcPr>
            <w:tcW w:w="4565" w:type="dxa"/>
          </w:tcPr>
          <w:p w14:paraId="5C0922C6" w14:textId="4B5D0A3A"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t>hsa-mir-33a, hsamir-362</w:t>
            </w:r>
          </w:p>
        </w:tc>
        <w:tc>
          <w:tcPr>
            <w:tcW w:w="1418" w:type="dxa"/>
            <w:vMerge/>
          </w:tcPr>
          <w:p w14:paraId="6587EA8E" w14:textId="77777777" w:rsidR="00441931" w:rsidRPr="00BA2B87" w:rsidRDefault="00441931" w:rsidP="00BA2B87">
            <w:pPr>
              <w:spacing w:line="360" w:lineRule="auto"/>
              <w:jc w:val="both"/>
              <w:rPr>
                <w:rFonts w:ascii="Book Antiqua" w:hAnsi="Book Antiqua" w:cstheme="majorBidi"/>
              </w:rPr>
            </w:pPr>
          </w:p>
        </w:tc>
        <w:tc>
          <w:tcPr>
            <w:tcW w:w="1417" w:type="dxa"/>
            <w:vMerge/>
          </w:tcPr>
          <w:p w14:paraId="2A3E479E" w14:textId="77777777" w:rsidR="00441931" w:rsidRDefault="00441931" w:rsidP="00BA2B87">
            <w:pPr>
              <w:spacing w:line="360" w:lineRule="auto"/>
              <w:jc w:val="both"/>
              <w:rPr>
                <w:rFonts w:ascii="Book Antiqua" w:hAnsi="Book Antiqua" w:cstheme="majorBidi"/>
              </w:rPr>
            </w:pPr>
          </w:p>
        </w:tc>
        <w:tc>
          <w:tcPr>
            <w:tcW w:w="1418" w:type="dxa"/>
            <w:vMerge/>
          </w:tcPr>
          <w:p w14:paraId="324E3FCE" w14:textId="77777777" w:rsidR="00441931" w:rsidRPr="00BA2B87" w:rsidRDefault="00441931" w:rsidP="00BA2B87">
            <w:pPr>
              <w:spacing w:line="360" w:lineRule="auto"/>
              <w:jc w:val="both"/>
              <w:rPr>
                <w:rFonts w:ascii="Book Antiqua" w:hAnsi="Book Antiqua" w:cstheme="majorBidi"/>
              </w:rPr>
            </w:pPr>
          </w:p>
        </w:tc>
        <w:tc>
          <w:tcPr>
            <w:tcW w:w="2097" w:type="dxa"/>
            <w:vMerge/>
          </w:tcPr>
          <w:p w14:paraId="7EF29FA5" w14:textId="77777777" w:rsidR="00441931" w:rsidRPr="004F6127" w:rsidRDefault="00441931" w:rsidP="00BA2B87">
            <w:pPr>
              <w:spacing w:line="360" w:lineRule="auto"/>
              <w:jc w:val="both"/>
              <w:rPr>
                <w:rFonts w:ascii="Book Antiqua" w:hAnsi="Book Antiqua"/>
              </w:rPr>
            </w:pPr>
          </w:p>
        </w:tc>
      </w:tr>
      <w:tr w:rsidR="00441931" w:rsidRPr="00BA2B87" w14:paraId="4F6BA5BB" w14:textId="77777777" w:rsidTr="00E033F7">
        <w:trPr>
          <w:cantSplit/>
          <w:trHeight w:val="302"/>
        </w:trPr>
        <w:tc>
          <w:tcPr>
            <w:tcW w:w="4565" w:type="dxa"/>
          </w:tcPr>
          <w:p w14:paraId="31631B49" w14:textId="77DE40FA" w:rsidR="00441931" w:rsidRPr="00BA2B87" w:rsidRDefault="00441931" w:rsidP="00BA2B87">
            <w:pPr>
              <w:spacing w:line="360" w:lineRule="auto"/>
              <w:jc w:val="both"/>
              <w:rPr>
                <w:rFonts w:ascii="Book Antiqua" w:hAnsi="Book Antiqua" w:cstheme="majorBidi"/>
                <w:bCs/>
                <w:lang w:val="pt-BR"/>
              </w:rPr>
            </w:pPr>
            <w:r w:rsidRPr="00BA2B87">
              <w:rPr>
                <w:rFonts w:ascii="Book Antiqua" w:hAnsi="Book Antiqua" w:cstheme="majorBidi"/>
                <w:bCs/>
                <w:lang w:val="pt-BR"/>
              </w:rPr>
              <w:t>hsa-mir 429, and hsa-mir-744</w:t>
            </w:r>
          </w:p>
        </w:tc>
        <w:tc>
          <w:tcPr>
            <w:tcW w:w="1418" w:type="dxa"/>
            <w:vMerge/>
          </w:tcPr>
          <w:p w14:paraId="421A7B16" w14:textId="77777777" w:rsidR="00441931" w:rsidRPr="00BA2B87" w:rsidRDefault="00441931" w:rsidP="00BA2B87">
            <w:pPr>
              <w:spacing w:line="360" w:lineRule="auto"/>
              <w:jc w:val="both"/>
              <w:rPr>
                <w:rFonts w:ascii="Book Antiqua" w:hAnsi="Book Antiqua" w:cstheme="majorBidi"/>
              </w:rPr>
            </w:pPr>
          </w:p>
        </w:tc>
        <w:tc>
          <w:tcPr>
            <w:tcW w:w="1417" w:type="dxa"/>
            <w:vMerge/>
          </w:tcPr>
          <w:p w14:paraId="0CF0E458" w14:textId="77777777" w:rsidR="00441931" w:rsidRDefault="00441931" w:rsidP="00BA2B87">
            <w:pPr>
              <w:spacing w:line="360" w:lineRule="auto"/>
              <w:jc w:val="both"/>
              <w:rPr>
                <w:rFonts w:ascii="Book Antiqua" w:hAnsi="Book Antiqua" w:cstheme="majorBidi"/>
              </w:rPr>
            </w:pPr>
          </w:p>
        </w:tc>
        <w:tc>
          <w:tcPr>
            <w:tcW w:w="1418" w:type="dxa"/>
            <w:vMerge/>
          </w:tcPr>
          <w:p w14:paraId="1074C649" w14:textId="77777777" w:rsidR="00441931" w:rsidRPr="00BA2B87" w:rsidRDefault="00441931" w:rsidP="00BA2B87">
            <w:pPr>
              <w:spacing w:line="360" w:lineRule="auto"/>
              <w:jc w:val="both"/>
              <w:rPr>
                <w:rFonts w:ascii="Book Antiqua" w:hAnsi="Book Antiqua" w:cstheme="majorBidi"/>
              </w:rPr>
            </w:pPr>
          </w:p>
        </w:tc>
        <w:tc>
          <w:tcPr>
            <w:tcW w:w="2097" w:type="dxa"/>
            <w:vMerge/>
          </w:tcPr>
          <w:p w14:paraId="6AE7887A" w14:textId="77777777" w:rsidR="00441931" w:rsidRPr="004F6127" w:rsidRDefault="00441931" w:rsidP="00BA2B87">
            <w:pPr>
              <w:spacing w:line="360" w:lineRule="auto"/>
              <w:jc w:val="both"/>
              <w:rPr>
                <w:rFonts w:ascii="Book Antiqua" w:hAnsi="Book Antiqua"/>
              </w:rPr>
            </w:pPr>
          </w:p>
        </w:tc>
      </w:tr>
      <w:tr w:rsidR="004F2744" w:rsidRPr="00BA2B87" w14:paraId="34E0D441" w14:textId="77777777" w:rsidTr="00E033F7">
        <w:trPr>
          <w:cantSplit/>
          <w:trHeight w:val="302"/>
        </w:trPr>
        <w:tc>
          <w:tcPr>
            <w:tcW w:w="4565" w:type="dxa"/>
          </w:tcPr>
          <w:p w14:paraId="0E73F87B" w14:textId="77777777" w:rsidR="004F2744" w:rsidRPr="00BA2B87" w:rsidRDefault="004F2744" w:rsidP="00BA2B87">
            <w:pPr>
              <w:spacing w:line="360" w:lineRule="auto"/>
              <w:jc w:val="both"/>
              <w:rPr>
                <w:rFonts w:ascii="Book Antiqua" w:hAnsi="Book Antiqua" w:cstheme="majorBidi"/>
                <w:bCs/>
              </w:rPr>
            </w:pPr>
            <w:r w:rsidRPr="00BA2B87">
              <w:rPr>
                <w:rFonts w:ascii="Book Antiqua" w:hAnsi="Book Antiqua" w:cstheme="majorBidi"/>
                <w:bCs/>
              </w:rPr>
              <w:t>VNN1-AB</w:t>
            </w:r>
          </w:p>
        </w:tc>
        <w:tc>
          <w:tcPr>
            <w:tcW w:w="1418" w:type="dxa"/>
          </w:tcPr>
          <w:p w14:paraId="12104BD8" w14:textId="0F168770" w:rsidR="004F2744" w:rsidRPr="00BA2B87" w:rsidRDefault="00CA33C3" w:rsidP="00BA2B87">
            <w:pPr>
              <w:spacing w:line="360" w:lineRule="auto"/>
              <w:jc w:val="both"/>
              <w:rPr>
                <w:rFonts w:ascii="Book Antiqua" w:hAnsi="Book Antiqua" w:cstheme="majorBidi"/>
              </w:rPr>
            </w:pPr>
            <w:r>
              <w:rPr>
                <w:rFonts w:ascii="Book Antiqua" w:hAnsi="Book Antiqua" w:cstheme="majorBidi"/>
              </w:rPr>
              <w:t>T</w:t>
            </w:r>
            <w:r w:rsidR="004F2744" w:rsidRPr="00BA2B87">
              <w:rPr>
                <w:rFonts w:ascii="Book Antiqua" w:hAnsi="Book Antiqua" w:cstheme="majorBidi"/>
              </w:rPr>
              <w:t>ranscript</w:t>
            </w:r>
          </w:p>
        </w:tc>
        <w:tc>
          <w:tcPr>
            <w:tcW w:w="1417" w:type="dxa"/>
          </w:tcPr>
          <w:p w14:paraId="163A6A0C" w14:textId="35CC1995" w:rsidR="004F2744" w:rsidRPr="00BA2B87" w:rsidRDefault="00CA33C3" w:rsidP="00BA2B87">
            <w:pPr>
              <w:spacing w:line="360" w:lineRule="auto"/>
              <w:jc w:val="both"/>
              <w:rPr>
                <w:rFonts w:ascii="Book Antiqua" w:hAnsi="Book Antiqua" w:cstheme="majorBidi"/>
              </w:rPr>
            </w:pPr>
            <w:r>
              <w:rPr>
                <w:rFonts w:ascii="Book Antiqua" w:hAnsi="Book Antiqua" w:cstheme="majorBidi"/>
              </w:rPr>
              <w:t>D</w:t>
            </w:r>
            <w:r w:rsidR="004F2744" w:rsidRPr="00BA2B87">
              <w:rPr>
                <w:rFonts w:ascii="Book Antiqua" w:hAnsi="Book Antiqua" w:cstheme="majorBidi"/>
              </w:rPr>
              <w:t>atasets</w:t>
            </w:r>
          </w:p>
        </w:tc>
        <w:tc>
          <w:tcPr>
            <w:tcW w:w="1418" w:type="dxa"/>
          </w:tcPr>
          <w:p w14:paraId="5A031A43"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44135641" w14:textId="57841F23" w:rsidR="004F2744" w:rsidRPr="00BA2B87" w:rsidRDefault="008A7C09" w:rsidP="00BA2B87">
            <w:pPr>
              <w:shd w:val="clear" w:color="auto" w:fill="FFFFFF"/>
              <w:spacing w:line="360" w:lineRule="auto"/>
              <w:jc w:val="both"/>
              <w:rPr>
                <w:rFonts w:ascii="Book Antiqua" w:hAnsi="Book Antiqua" w:cstheme="majorBidi"/>
              </w:rPr>
            </w:pPr>
            <w:r w:rsidRPr="008A7C09">
              <w:rPr>
                <w:rFonts w:ascii="Book Antiqua" w:hAnsi="Book Antiqua"/>
              </w:rPr>
              <w:t>Løvf</w:t>
            </w:r>
            <w:r w:rsidRPr="00BA2B87">
              <w:rPr>
                <w:rFonts w:ascii="Book Antiqua" w:eastAsia="Times New Roman" w:hAnsi="Book Antiqua" w:cstheme="majorBidi"/>
              </w:rPr>
              <w:t xml:space="preserve"> </w:t>
            </w:r>
            <w:r w:rsidRPr="008A7C09">
              <w:rPr>
                <w:rFonts w:ascii="Book Antiqua" w:eastAsia="Times New Roman" w:hAnsi="Book Antiqua" w:cstheme="majorBidi"/>
                <w:i/>
                <w:iCs/>
              </w:rPr>
              <w:t>et al</w:t>
            </w:r>
            <w:r w:rsidR="004F2744" w:rsidRPr="00BA2B87">
              <w:rPr>
                <w:rFonts w:ascii="Book Antiqua" w:eastAsia="Times New Roman" w:hAnsi="Book Antiqua" w:cstheme="majorBidi"/>
              </w:rPr>
              <w:fldChar w:fldCharType="begin" w:fldLock="1"/>
            </w:r>
            <w:r w:rsidR="004F2744" w:rsidRPr="00BA2B87">
              <w:rPr>
                <w:rFonts w:ascii="Book Antiqua" w:eastAsia="Times New Roman" w:hAnsi="Book Antiqua" w:cstheme="majorBidi"/>
              </w:rPr>
              <w:instrText>ADDIN CSL_CITATION {"citationItems":[{"id":"ITEM-1","itemData":{"DOI":"10.1002/ijc.28855","ISSN":"10970215","PMID":"24687856","abstract":"Colorectal cancer is a global health challenge with high incidence rate and mortality. The patients' prognosis is strongly associated with disease stage and currently there is a need for improved prognostic and predictive biomarkers. In this study, novel colorectal cancer-specific transcript structures were nominated from whole transcriptome sequencing of seven colorectal cancer cell lines, two primary colorectal carcinomas with corresponding normal colonic mucosa and 16 normal tissues. The nominated transcripts were combined with gene level outlier expression analyses in a cohort of 505 colorectal cancers to identify biomarkers with capacity to stratify colorectal cancer subgroups. The transcriptome sequencing data and outlier expression analysis revealed 11 novel colorectal cancer-specific exon-exon junctions, of which 3 were located in the gene VNN1. The junctions within VNN1 were further characterized using rapid amplification of cDNA ends (RACE) and the prevalence of the subsequently characterized novel transcript, VNN1-AB, was investigated by real-time RT-PCR in 291 samples of miscellaneous origins. VNN1-AB was not present in any of the 43 normal colorectal tissue samples investigated, but in 5 of the 6 polyps, and 102 of the 136 (75%) colorectal cancers. We have identified a novel transcript of the VNN1 gene, with an organ-confined complete specificity for colorectal neoplasia. What's new? For colorectal cancer (CRC), prognosis is strongly associated with disease stage. Improved prognostic and predictive biomarkers would be extremely helpful. In this study, the authors used whole transcriptome sequencing of CRC and normal cells, followed by outlier-expression analysis from a large set of samples, to identify variant mRNA transcripts that might be useful as biomarkers of CRC. Real-time PCR showed that a novel transcript, VNN1-AB, had high sensitivity and 100% specificity for CRC. This transcript may thus be a valuable prognostic tool for stratifying CRC risk. © 2014 UICC.","author":[{"dropping-particle":"","family":"Løvf","given":"Marthe","non-dropping-particle":"","parse-names":false,"suffix":""},{"dropping-particle":"","family":"Nome","given":"Torfinn","non-dropping-particle":"","parse-names":false,"suffix":""},{"dropping-particle":"","family":"Bruun","given":"Jarle","non-dropping-particle":"","parse-names":false,"suffix":""},{"dropping-particle":"","family":"Eknæs","given":"Mette","non-dropping-particle":"","parse-names":false,"suffix":""},{"dropping-particle":"","family":"Bakken","given":"Anne C.","non-dropping-particle":"","parse-names":false,"suffix":""},{"dropping-particle":"","family":"Mpindi","given":"John P.","non-dropping-particle":"","parse-names":false,"suffix":""},{"dropping-particle":"","family":"Kilpinen","given":"Sami","non-dropping-particle":"","parse-names":false,"suffix":""},{"dropping-particle":"","family":"Rognum","given":"Torleiv O.","non-dropping-particle":"","parse-names":false,"suffix":""},{"dropping-particle":"","family":"Nesbakken","given":"Arild","non-dropping-particle":"","parse-names":false,"suffix":""},{"dropping-particle":"","family":"Kallioniemi","given":"Olli","non-dropping-particle":"","parse-names":false,"suffix":""},{"dropping-particle":"","family":"Lothe","given":"Ragnhild A.","non-dropping-particle":"","parse-names":false,"suffix":""},{"dropping-particle":"","family":"Skotheim","given":"Rolf I.","non-dropping-particle":"","parse-names":false,"suffix":""}],"container-title":"International Journal of Cancer","id":"ITEM-1","issued":{"date-parts":[["2014"]]},"title":"A novel transcript, VNN1-AB, as a biomarker for colorectal cancer","type":"article-journal"},"uris":["http://www.mendeley.com/documents/?uuid=1fbffcda-6bb5-4250-89f7-bbf697d5ceb1"]}],"mendeley":{"formattedCitation":"&lt;sup&gt;[76]&lt;/sup&gt;","plainTextFormattedCitation":"[76]","previouslyFormattedCitation":"&lt;sup&gt;[76]&lt;/sup&gt;"},"properties":{"noteIndex":0},"schema":"https://github.com/citation-style-language/schema/raw/master/csl-citation.json"}</w:instrText>
            </w:r>
            <w:r w:rsidR="004F2744" w:rsidRPr="00BA2B87">
              <w:rPr>
                <w:rFonts w:ascii="Book Antiqua" w:eastAsia="Times New Roman" w:hAnsi="Book Antiqua" w:cstheme="majorBidi"/>
              </w:rPr>
              <w:fldChar w:fldCharType="separate"/>
            </w:r>
            <w:r w:rsidR="004F2744" w:rsidRPr="00BA2B87">
              <w:rPr>
                <w:rFonts w:ascii="Book Antiqua" w:eastAsia="Times New Roman" w:hAnsi="Book Antiqua" w:cstheme="majorBidi"/>
                <w:noProof/>
                <w:vertAlign w:val="superscript"/>
              </w:rPr>
              <w:t>[76]</w:t>
            </w:r>
            <w:r w:rsidR="004F2744" w:rsidRPr="00BA2B87">
              <w:rPr>
                <w:rFonts w:ascii="Book Antiqua" w:eastAsia="Times New Roman" w:hAnsi="Book Antiqua" w:cstheme="majorBidi"/>
              </w:rPr>
              <w:fldChar w:fldCharType="end"/>
            </w:r>
            <w:r>
              <w:rPr>
                <w:rFonts w:ascii="Book Antiqua" w:eastAsia="Times New Roman" w:hAnsi="Book Antiqua" w:cstheme="majorBidi"/>
              </w:rPr>
              <w:t>, 2014</w:t>
            </w:r>
          </w:p>
        </w:tc>
      </w:tr>
      <w:tr w:rsidR="00CA33C3" w:rsidRPr="00BA2B87" w14:paraId="2F45AD3A" w14:textId="77777777" w:rsidTr="00E033F7">
        <w:trPr>
          <w:cantSplit/>
          <w:trHeight w:val="286"/>
        </w:trPr>
        <w:tc>
          <w:tcPr>
            <w:tcW w:w="4565" w:type="dxa"/>
          </w:tcPr>
          <w:p w14:paraId="79182AB3" w14:textId="32BB062D" w:rsidR="00CA33C3" w:rsidRPr="00BA2B87" w:rsidRDefault="00CA33C3" w:rsidP="00BA2B87">
            <w:pPr>
              <w:spacing w:line="360" w:lineRule="auto"/>
              <w:jc w:val="both"/>
              <w:rPr>
                <w:rFonts w:ascii="Book Antiqua" w:hAnsi="Book Antiqua" w:cstheme="majorBidi"/>
                <w:bCs/>
              </w:rPr>
            </w:pPr>
            <w:r w:rsidRPr="008A7C09">
              <w:rPr>
                <w:rStyle w:val="a8"/>
                <w:rFonts w:ascii="Book Antiqua" w:hAnsi="Book Antiqua" w:cs="Arial"/>
                <w:bCs/>
                <w:i w:val="0"/>
                <w:iCs w:val="0"/>
                <w:shd w:val="clear" w:color="auto" w:fill="FFFFFF"/>
              </w:rPr>
              <w:t>Kirsten rat sarcoma</w:t>
            </w:r>
            <w:r>
              <w:rPr>
                <w:rFonts w:ascii="Book Antiqua" w:hAnsi="Book Antiqua" w:cs="Arial"/>
                <w:i/>
                <w:shd w:val="clear" w:color="auto" w:fill="FFFFFF"/>
              </w:rPr>
              <w:t xml:space="preserve"> </w:t>
            </w:r>
            <w:r w:rsidRPr="00BA2B87">
              <w:rPr>
                <w:rFonts w:ascii="Book Antiqua" w:hAnsi="Book Antiqua" w:cs="Arial"/>
                <w:shd w:val="clear" w:color="auto" w:fill="FFFFFF"/>
              </w:rPr>
              <w:t>oncogene 2</w:t>
            </w:r>
            <w:r w:rsidRPr="00BA2B87">
              <w:rPr>
                <w:rFonts w:ascii="Book Antiqua" w:hAnsi="Book Antiqua" w:cstheme="majorBidi"/>
                <w:bCs/>
              </w:rPr>
              <w:t xml:space="preserve"> (KRAS)</w:t>
            </w:r>
          </w:p>
        </w:tc>
        <w:tc>
          <w:tcPr>
            <w:tcW w:w="1418" w:type="dxa"/>
            <w:vMerge w:val="restart"/>
          </w:tcPr>
          <w:p w14:paraId="2F2B039F" w14:textId="4930BF91" w:rsidR="00CA33C3" w:rsidRPr="00BA2B87" w:rsidRDefault="00CA33C3" w:rsidP="00BA2B87">
            <w:pPr>
              <w:spacing w:line="360" w:lineRule="auto"/>
              <w:jc w:val="both"/>
              <w:rPr>
                <w:rFonts w:ascii="Book Antiqua" w:hAnsi="Book Antiqua" w:cstheme="majorBidi"/>
              </w:rPr>
            </w:pPr>
            <w:r>
              <w:rPr>
                <w:rFonts w:ascii="Book Antiqua" w:hAnsi="Book Antiqua" w:cstheme="majorBidi"/>
              </w:rPr>
              <w:t>G</w:t>
            </w:r>
            <w:r w:rsidRPr="00BA2B87">
              <w:rPr>
                <w:rFonts w:ascii="Book Antiqua" w:hAnsi="Book Antiqua" w:cstheme="majorBidi"/>
              </w:rPr>
              <w:t>ene</w:t>
            </w:r>
          </w:p>
        </w:tc>
        <w:tc>
          <w:tcPr>
            <w:tcW w:w="1417" w:type="dxa"/>
            <w:vMerge w:val="restart"/>
          </w:tcPr>
          <w:p w14:paraId="2036C880" w14:textId="3E3A255C" w:rsidR="00CA33C3" w:rsidRPr="00BA2B87" w:rsidRDefault="00CA33C3" w:rsidP="00BA2B87">
            <w:pPr>
              <w:spacing w:line="360" w:lineRule="auto"/>
              <w:jc w:val="both"/>
              <w:rPr>
                <w:rFonts w:ascii="Book Antiqua" w:hAnsi="Book Antiqua" w:cstheme="majorBidi"/>
              </w:rPr>
            </w:pPr>
            <w:r>
              <w:rPr>
                <w:rFonts w:ascii="Book Antiqua" w:hAnsi="Book Antiqua" w:cstheme="majorBidi"/>
              </w:rPr>
              <w:t>D</w:t>
            </w:r>
            <w:r w:rsidRPr="00BA2B87">
              <w:rPr>
                <w:rFonts w:ascii="Book Antiqua" w:hAnsi="Book Antiqua" w:cstheme="majorBidi"/>
              </w:rPr>
              <w:t>atasets</w:t>
            </w:r>
          </w:p>
        </w:tc>
        <w:tc>
          <w:tcPr>
            <w:tcW w:w="1418" w:type="dxa"/>
            <w:vMerge w:val="restart"/>
          </w:tcPr>
          <w:p w14:paraId="70B692E4" w14:textId="77777777" w:rsidR="00CA33C3" w:rsidRPr="00BA2B87" w:rsidRDefault="00CA33C3"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272E1E1B" w14:textId="2A234434" w:rsidR="00CA33C3" w:rsidRPr="00BA2B87" w:rsidRDefault="00BF3D2F" w:rsidP="00BA2B87">
            <w:pPr>
              <w:spacing w:line="360" w:lineRule="auto"/>
              <w:jc w:val="both"/>
              <w:rPr>
                <w:rFonts w:ascii="Book Antiqua" w:hAnsi="Book Antiqua" w:cstheme="majorBidi"/>
              </w:rPr>
            </w:pPr>
            <w:r w:rsidRPr="00BF3D2F">
              <w:rPr>
                <w:rFonts w:ascii="Book Antiqua" w:hAnsi="Book Antiqua"/>
              </w:rPr>
              <w:t>Kadowaki</w:t>
            </w:r>
            <w:r w:rsidRPr="00BA2B87">
              <w:rPr>
                <w:rFonts w:ascii="Book Antiqua" w:hAnsi="Book Antiqua" w:cstheme="majorBidi"/>
              </w:rPr>
              <w:t xml:space="preserve"> </w:t>
            </w:r>
            <w:r w:rsidRPr="00BF3D2F">
              <w:rPr>
                <w:rFonts w:ascii="Book Antiqua" w:hAnsi="Book Antiqua" w:cstheme="majorBidi"/>
                <w:i/>
                <w:iCs/>
              </w:rPr>
              <w:t>et al</w:t>
            </w:r>
            <w:r w:rsidR="00CA33C3" w:rsidRPr="00BA2B87">
              <w:rPr>
                <w:rFonts w:ascii="Book Antiqua" w:hAnsi="Book Antiqua" w:cstheme="majorBidi"/>
              </w:rPr>
              <w:fldChar w:fldCharType="begin" w:fldLock="1"/>
            </w:r>
            <w:r w:rsidR="00CA33C3" w:rsidRPr="00BA2B87">
              <w:rPr>
                <w:rFonts w:ascii="Book Antiqua" w:hAnsi="Book Antiqua" w:cstheme="majorBidi"/>
              </w:rPr>
              <w:instrText>ADDIN CSL_CITATION {"citationItems":[{"id":"ITEM-1","itemData":{"DOI":"10.3748/wjg.v21.i4.1275","ISSN":"22192840","PMID":"25632202","abstract":"AIM: To investigate the prognostic role of KRAS and BRAF mutations after adjustment for microsatellite instability (MSI) status in Japanese colorectal cancer (CRC) population. METHODS: We assessed KRAS and BRAF mutations and MSI status in 813 Japanese patients with curatively resected, stage I-II CRC and examined associations of these mutations with disease-free survival (DFS) and overall survival (OS) using uni-and multivariate Cox proportional hazards models. RESULTS: KRAS and BRAF mutations were detected in 312 (38%) of 812 and 40 (5%) of 811 tumors, respectively. KRAS mutations occurred more frequently in females than in males (P = 0.02), while the presence of BRAF mutations was significantly associated with the female gender (P = 0.006), proximal tumor location (P &lt; 0.001), mucinous or poorly differentiated histology (P &lt; 0.001), and MSI-high tumors (P &lt; 0.001). After adjusting for relevant variables, including MSI status, KRAS mutations were associated with poorer DFS (HR = 1.35; 95%CI: 1.03-1.75) and OS (HR = 1.46; 95%CI: 1.09-1.97). BRAF mutations were poor prognostic factors for DFS (HR = 2.20; 95%CI: 1.19-4.06) and OS (HR = 2.30; 95%CI: 1.15-4.71). Neither the BRAF by MSI interaction test nor the KRAS by MSI interaction test yielded statistically significant results for DFS and OS. CONCLUSION: KRAS and BRAF mutations are associated with inferior survival, independent of MSI status, in Japanese patients with curatively resected CRC.","author":[{"dropping-particle":"","family":"Kadowaki","given":"Shigenori","non-dropping-particle":"","parse-names":false,"suffix":""},{"dropping-particle":"","family":"Kakuta","given":"Miho","non-dropping-particle":"","parse-names":false,"suffix":""},{"dropping-particle":"","family":"Takahashi","given":"Shuhei","non-dropping-particle":"","parse-names":false,"suffix":""},{"dropping-particle":"","family":"Takahashi","given":"Akemi","non-dropping-particle":"","parse-names":false,"suffix":""},{"dropping-particle":"","family":"Arai","given":"Yoshiko","non-dropping-particle":"","parse-names":false,"suffix":""},{"dropping-particle":"","family":"Nishimura","given":"Yoji","non-dropping-particle":"","parse-names":false,"suffix":""},{"dropping-particle":"","family":"Yatsuoka","given":"Toshimasa","non-dropping-particle":"","parse-names":false,"suffix":""},{"dropping-particle":"","family":"Ooki","given":"Akira","non-dropping-particle":"","parse-names":false,"suffix":""},{"dropping-particle":"","family":"Yamaguchi","given":"Kensei","non-dropping-particle":"","parse-names":false,"suffix":""},{"dropping-particle":"","family":"Matsuo","given":"Keitaro","non-dropping-particle":"","parse-names":false,"suffix":""},{"dropping-particle":"","family":"Muro","given":"Kei","non-dropping-particle":"","parse-names":false,"suffix":""},{"dropping-particle":"","family":"Akagi","given":"Kiwamu","non-dropping-particle":"","parse-names":false,"suffix":""}],"container-title":"World Journal of Gastroenterology","id":"ITEM-1","issued":{"date-parts":[["2015"]]},"title":"Prognostic value of KRAS and BRAF mutations in curatively resected colorectal cancer","type":"article-journal"},"uris":["http://www.mendeley.com/documents/?uuid=e5dbb5ce-3fa6-499e-8234-6e07e17a0a79"]}],"mendeley":{"formattedCitation":"&lt;sup&gt;[67]&lt;/sup&gt;","plainTextFormattedCitation":"[67]","previouslyFormattedCitation":"&lt;sup&gt;[67]&lt;/sup&gt;"},"properties":{"noteIndex":0},"schema":"https://github.com/citation-style-language/schema/raw/master/csl-citation.json"}</w:instrText>
            </w:r>
            <w:r w:rsidR="00CA33C3" w:rsidRPr="00BA2B87">
              <w:rPr>
                <w:rFonts w:ascii="Book Antiqua" w:hAnsi="Book Antiqua" w:cstheme="majorBidi"/>
              </w:rPr>
              <w:fldChar w:fldCharType="separate"/>
            </w:r>
            <w:r w:rsidR="00CA33C3" w:rsidRPr="00BA2B87">
              <w:rPr>
                <w:rFonts w:ascii="Book Antiqua" w:hAnsi="Book Antiqua" w:cstheme="majorBidi"/>
                <w:noProof/>
                <w:vertAlign w:val="superscript"/>
              </w:rPr>
              <w:t>[67]</w:t>
            </w:r>
            <w:r w:rsidR="00CA33C3" w:rsidRPr="00BA2B87">
              <w:rPr>
                <w:rFonts w:ascii="Book Antiqua" w:hAnsi="Book Antiqua" w:cstheme="majorBidi"/>
              </w:rPr>
              <w:fldChar w:fldCharType="end"/>
            </w:r>
            <w:r>
              <w:rPr>
                <w:rFonts w:ascii="Book Antiqua" w:hAnsi="Book Antiqua" w:cstheme="majorBidi"/>
              </w:rPr>
              <w:t>, 2015</w:t>
            </w:r>
          </w:p>
        </w:tc>
      </w:tr>
      <w:tr w:rsidR="00CA33C3" w:rsidRPr="00BA2B87" w14:paraId="5AE53AF3" w14:textId="77777777" w:rsidTr="00E033F7">
        <w:trPr>
          <w:cantSplit/>
          <w:trHeight w:val="850"/>
        </w:trPr>
        <w:tc>
          <w:tcPr>
            <w:tcW w:w="4565" w:type="dxa"/>
          </w:tcPr>
          <w:p w14:paraId="641312E9" w14:textId="5434A17B" w:rsidR="00CA33C3" w:rsidRPr="00BA2B87" w:rsidRDefault="00CA33C3" w:rsidP="00BA2B87">
            <w:pPr>
              <w:spacing w:line="360" w:lineRule="auto"/>
              <w:jc w:val="both"/>
              <w:rPr>
                <w:rStyle w:val="a8"/>
                <w:rFonts w:ascii="Book Antiqua" w:hAnsi="Book Antiqua" w:cs="Arial"/>
                <w:bCs/>
                <w:shd w:val="clear" w:color="auto" w:fill="FFFFFF"/>
              </w:rPr>
            </w:pPr>
            <w:r w:rsidRPr="00BA2B87">
              <w:rPr>
                <w:rFonts w:ascii="Book Antiqua" w:hAnsi="Book Antiqua" w:cs="Arial"/>
                <w:shd w:val="clear" w:color="auto" w:fill="FFFFFF"/>
              </w:rPr>
              <w:t>Murine sarcoma viral oncogene homolog B1</w:t>
            </w:r>
            <w:r w:rsidRPr="00BA2B87">
              <w:rPr>
                <w:rFonts w:ascii="Book Antiqua" w:hAnsi="Book Antiqua" w:cstheme="majorBidi"/>
                <w:bCs/>
              </w:rPr>
              <w:t xml:space="preserve"> (BRAF)</w:t>
            </w:r>
          </w:p>
        </w:tc>
        <w:tc>
          <w:tcPr>
            <w:tcW w:w="1418" w:type="dxa"/>
            <w:vMerge/>
          </w:tcPr>
          <w:p w14:paraId="4AC965A3" w14:textId="77777777" w:rsidR="00CA33C3" w:rsidRDefault="00CA33C3" w:rsidP="00BA2B87">
            <w:pPr>
              <w:spacing w:line="360" w:lineRule="auto"/>
              <w:jc w:val="both"/>
              <w:rPr>
                <w:rFonts w:ascii="Book Antiqua" w:hAnsi="Book Antiqua" w:cstheme="majorBidi"/>
              </w:rPr>
            </w:pPr>
          </w:p>
        </w:tc>
        <w:tc>
          <w:tcPr>
            <w:tcW w:w="1417" w:type="dxa"/>
            <w:vMerge/>
          </w:tcPr>
          <w:p w14:paraId="2B4CF4C2" w14:textId="77777777" w:rsidR="00CA33C3" w:rsidRDefault="00CA33C3" w:rsidP="00BA2B87">
            <w:pPr>
              <w:spacing w:line="360" w:lineRule="auto"/>
              <w:jc w:val="both"/>
              <w:rPr>
                <w:rFonts w:ascii="Book Antiqua" w:hAnsi="Book Antiqua" w:cstheme="majorBidi"/>
              </w:rPr>
            </w:pPr>
          </w:p>
        </w:tc>
        <w:tc>
          <w:tcPr>
            <w:tcW w:w="1418" w:type="dxa"/>
            <w:vMerge/>
          </w:tcPr>
          <w:p w14:paraId="42568873" w14:textId="77777777" w:rsidR="00CA33C3" w:rsidRPr="00BA2B87" w:rsidRDefault="00CA33C3" w:rsidP="00BA2B87">
            <w:pPr>
              <w:spacing w:line="360" w:lineRule="auto"/>
              <w:jc w:val="both"/>
              <w:rPr>
                <w:rFonts w:ascii="Book Antiqua" w:hAnsi="Book Antiqua" w:cstheme="majorBidi"/>
              </w:rPr>
            </w:pPr>
          </w:p>
        </w:tc>
        <w:tc>
          <w:tcPr>
            <w:tcW w:w="2097" w:type="dxa"/>
            <w:vMerge/>
          </w:tcPr>
          <w:p w14:paraId="0CBD72AE" w14:textId="77777777" w:rsidR="00CA33C3" w:rsidRPr="00BA2B87" w:rsidRDefault="00CA33C3" w:rsidP="00BA2B87">
            <w:pPr>
              <w:spacing w:line="360" w:lineRule="auto"/>
              <w:jc w:val="both"/>
              <w:rPr>
                <w:rFonts w:ascii="Book Antiqua" w:hAnsi="Book Antiqua" w:cstheme="majorBidi"/>
              </w:rPr>
            </w:pPr>
          </w:p>
        </w:tc>
      </w:tr>
      <w:tr w:rsidR="004F2744" w:rsidRPr="00BA2B87" w14:paraId="61700CBF" w14:textId="77777777" w:rsidTr="00E033F7">
        <w:trPr>
          <w:cantSplit/>
          <w:trHeight w:val="302"/>
        </w:trPr>
        <w:tc>
          <w:tcPr>
            <w:tcW w:w="4565" w:type="dxa"/>
          </w:tcPr>
          <w:p w14:paraId="1F13657C" w14:textId="74B78072" w:rsidR="004F2744" w:rsidRPr="00BA2B87" w:rsidRDefault="004F2744" w:rsidP="00BA2B87">
            <w:pPr>
              <w:spacing w:line="360" w:lineRule="auto"/>
              <w:jc w:val="both"/>
              <w:rPr>
                <w:rFonts w:ascii="Book Antiqua" w:hAnsi="Book Antiqua" w:cstheme="majorBidi"/>
                <w:bCs/>
              </w:rPr>
            </w:pPr>
            <w:r w:rsidRPr="00BA2B87">
              <w:rPr>
                <w:rFonts w:ascii="Book Antiqua" w:hAnsi="Book Antiqua" w:cstheme="majorBidi"/>
                <w:bCs/>
              </w:rPr>
              <w:t>Tumor protein 53</w:t>
            </w:r>
          </w:p>
        </w:tc>
        <w:tc>
          <w:tcPr>
            <w:tcW w:w="1418" w:type="dxa"/>
          </w:tcPr>
          <w:p w14:paraId="4629109A" w14:textId="64214C80" w:rsidR="004F2744" w:rsidRPr="00BA2B87" w:rsidRDefault="00CA33C3" w:rsidP="00BA2B87">
            <w:pPr>
              <w:spacing w:line="360" w:lineRule="auto"/>
              <w:jc w:val="both"/>
              <w:rPr>
                <w:rFonts w:ascii="Book Antiqua" w:hAnsi="Book Antiqua" w:cstheme="majorBidi"/>
              </w:rPr>
            </w:pPr>
            <w:r>
              <w:rPr>
                <w:rFonts w:ascii="Book Antiqua" w:hAnsi="Book Antiqua" w:cstheme="majorBidi"/>
              </w:rPr>
              <w:t>G</w:t>
            </w:r>
            <w:r w:rsidR="004F2744" w:rsidRPr="00BA2B87">
              <w:rPr>
                <w:rFonts w:ascii="Book Antiqua" w:hAnsi="Book Antiqua" w:cstheme="majorBidi"/>
              </w:rPr>
              <w:t>ene</w:t>
            </w:r>
          </w:p>
        </w:tc>
        <w:tc>
          <w:tcPr>
            <w:tcW w:w="1417" w:type="dxa"/>
          </w:tcPr>
          <w:p w14:paraId="306EB385" w14:textId="5277CAE7" w:rsidR="004F2744" w:rsidRPr="00BA2B87" w:rsidRDefault="00CA33C3" w:rsidP="00BA2B87">
            <w:pPr>
              <w:spacing w:line="360" w:lineRule="auto"/>
              <w:jc w:val="both"/>
              <w:rPr>
                <w:rFonts w:ascii="Book Antiqua" w:hAnsi="Book Antiqua" w:cstheme="majorBidi"/>
              </w:rPr>
            </w:pPr>
            <w:r>
              <w:rPr>
                <w:rFonts w:ascii="Book Antiqua" w:hAnsi="Book Antiqua" w:cstheme="majorBidi"/>
              </w:rPr>
              <w:t>D</w:t>
            </w:r>
            <w:r w:rsidR="004F2744" w:rsidRPr="00BA2B87">
              <w:rPr>
                <w:rFonts w:ascii="Book Antiqua" w:hAnsi="Book Antiqua" w:cstheme="majorBidi"/>
              </w:rPr>
              <w:t>atasets</w:t>
            </w:r>
          </w:p>
        </w:tc>
        <w:tc>
          <w:tcPr>
            <w:tcW w:w="1418" w:type="dxa"/>
          </w:tcPr>
          <w:p w14:paraId="21E9CB69" w14:textId="77777777" w:rsidR="004F2744" w:rsidRPr="00BA2B87" w:rsidRDefault="004F2744"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tcPr>
          <w:p w14:paraId="212D49AC" w14:textId="3D3AC3D9" w:rsidR="004F2744" w:rsidRPr="00BA2B87" w:rsidRDefault="008B582E" w:rsidP="00BA2B87">
            <w:pPr>
              <w:spacing w:line="360" w:lineRule="auto"/>
              <w:jc w:val="both"/>
              <w:rPr>
                <w:rFonts w:ascii="Book Antiqua" w:hAnsi="Book Antiqua" w:cstheme="majorBidi"/>
              </w:rPr>
            </w:pPr>
            <w:r w:rsidRPr="008B582E">
              <w:rPr>
                <w:rFonts w:ascii="Book Antiqua" w:hAnsi="Book Antiqua"/>
              </w:rPr>
              <w:t>Ting et al</w:t>
            </w:r>
            <w:r w:rsidR="004F2744" w:rsidRPr="00BA2B87">
              <w:rPr>
                <w:rFonts w:ascii="Book Antiqua" w:hAnsi="Book Antiqua" w:cstheme="majorBidi"/>
              </w:rPr>
              <w:fldChar w:fldCharType="begin" w:fldLock="1"/>
            </w:r>
            <w:r w:rsidR="004F2744" w:rsidRPr="00BA2B87">
              <w:rPr>
                <w:rFonts w:ascii="Book Antiqua" w:hAnsi="Book Antiqua" w:cstheme="majorBidi"/>
              </w:rPr>
              <w:instrText>ADDIN CSL_CITATION {"citationItems":[{"id":"ITEM-1","itemData":{"DOI":"10.1371/journal.pone.0056196","ISSN":"19326203","PMID":"23405266","abstract":"Compelling evidence has implicated the Wnt signaling pathway in the pathogenesis of colorectal cancer. We assessed the use of tag single nucleotide polymorphisms (tSNPs) in adenomatous polyposis coli (APC)/β-catenin (CTNNB1) genes to predict outcomes in patients with colorectal cancer. We selected and genotyped 10 tSNP to predict common variants across entire APC and CTNNB1 genes in 282 colorectal cancer patients. The associations of these tSNPs with distant metastasis-free survival and overall survival were evaluated by Kaplan-Meier analysis, Cox regression model, and survival tree analysis. The 5-year overall survival rate was 68.3%. Survival tree analysis identified a higher-order genetic interaction profile consisting of the APC rs565453, CTNNB1 2293303, and APC rs1816769 that was significantly associated with overall survival. The 5-year survival overall rates were 89.2%, 66.1%, and 58.8% for the low-, medium-, and high-risk genetic profiles, respectively (log-rank P = 0.001). After adjusting for possible confounders, including age, gender, carcinoembryonic antigen levels, tumor differentiation, stage, lymphovascular invasion, perineural invasion, and lymph node involvement, the genetic interaction profile remained significant. None of the studied SNPs were individually associated with distant metastasis-free survival and overall survival. Our results suggest that the genetic interaction profile among Wnt pathway SNPs might potentially increase the prognostic value in outcome prediction for colorectal cancer. © 2013 Ting et al.","author":[{"dropping-particle":"","family":"Ting","given":"Wen Chien","non-dropping-particle":"","parse-names":false,"suffix":""},{"dropping-particle":"","family":"Chen","given":"Lu Min","non-dropping-particle":"","parse-names":false,"suffix":""},{"dropping-particle":"","family":"Pao","given":"Jiunn Bey","non-dropping-particle":"","parse-names":false,"suffix":""},{"dropping-particle":"","family":"Yang","given":"Ying Pi","non-dropping-particle":"","parse-names":false,"suffix":""},{"dropping-particle":"","family":"You","given":"Bang Jau","non-dropping-particle":"","parse-names":false,"suffix":""},{"dropping-particle":"","family":"Chang","given":"Ta Yuan","non-dropping-particle":"","parse-names":false,"suffix":""},{"dropping-particle":"","family":"Lan","given":"Yu Hsuan","non-dropping-particle":"","parse-names":false,"suffix":""},{"dropping-particle":"","family":"Lee","given":"Hong Zin","non-dropping-particle":"","parse-names":false,"suffix":""},{"dropping-particle":"","family":"Bao","given":"Bo Ying","non-dropping-particle":"","parse-names":false,"suffix":""}],"container-title":"PLoS ONE","id":"ITEM-1","issued":{"date-parts":[["2013"]]},"title":"Common Genetic Variants in Wnt Signaling Pathway Genes as Potential Prognostic Biomarkers for Colorectal Cancer","type":"article-journal"},"uris":["http://www.mendeley.com/documents/?uuid=9ea28374-dbec-4c15-92d9-d1bc9636e4c1"]}],"mendeley":{"formattedCitation":"&lt;sup&gt;[59]&lt;/sup&gt;","plainTextFormattedCitation":"[59]","previouslyFormattedCitation":"&lt;sup&gt;[59]&lt;/sup&gt;"},"properties":{"noteIndex":0},"schema":"https://github.com/citation-style-language/schema/raw/master/csl-citation.json"}</w:instrText>
            </w:r>
            <w:r w:rsidR="004F2744" w:rsidRPr="00BA2B87">
              <w:rPr>
                <w:rFonts w:ascii="Book Antiqua" w:hAnsi="Book Antiqua" w:cstheme="majorBidi"/>
              </w:rPr>
              <w:fldChar w:fldCharType="separate"/>
            </w:r>
            <w:r w:rsidR="004F2744" w:rsidRPr="00BA2B87">
              <w:rPr>
                <w:rFonts w:ascii="Book Antiqua" w:hAnsi="Book Antiqua" w:cstheme="majorBidi"/>
                <w:noProof/>
                <w:vertAlign w:val="superscript"/>
              </w:rPr>
              <w:t>[59]</w:t>
            </w:r>
            <w:r w:rsidR="004F2744" w:rsidRPr="00BA2B87">
              <w:rPr>
                <w:rFonts w:ascii="Book Antiqua" w:hAnsi="Book Antiqua" w:cstheme="majorBidi"/>
              </w:rPr>
              <w:fldChar w:fldCharType="end"/>
            </w:r>
            <w:r>
              <w:rPr>
                <w:rFonts w:ascii="Book Antiqua" w:hAnsi="Book Antiqua" w:cstheme="majorBidi"/>
              </w:rPr>
              <w:t>, 2013</w:t>
            </w:r>
          </w:p>
        </w:tc>
      </w:tr>
      <w:tr w:rsidR="00CA33C3" w:rsidRPr="00BA2B87" w14:paraId="3C124B70" w14:textId="77777777" w:rsidTr="00E033F7">
        <w:trPr>
          <w:cantSplit/>
          <w:trHeight w:val="312"/>
        </w:trPr>
        <w:tc>
          <w:tcPr>
            <w:tcW w:w="4565" w:type="dxa"/>
          </w:tcPr>
          <w:p w14:paraId="502575E7" w14:textId="24FF1912" w:rsidR="00CA33C3" w:rsidRPr="00BA2B87" w:rsidRDefault="00CA33C3" w:rsidP="00BA2B87">
            <w:pPr>
              <w:spacing w:line="360" w:lineRule="auto"/>
              <w:jc w:val="both"/>
              <w:rPr>
                <w:rFonts w:ascii="Book Antiqua" w:hAnsi="Book Antiqua" w:cstheme="majorBidi"/>
                <w:bCs/>
              </w:rPr>
            </w:pPr>
            <w:r w:rsidRPr="00BA2B87">
              <w:rPr>
                <w:rFonts w:ascii="Book Antiqua" w:hAnsi="Book Antiqua" w:cs="Arial"/>
                <w:shd w:val="clear" w:color="auto" w:fill="FFFFFF"/>
              </w:rPr>
              <w:t>SMAD Family Member 4</w:t>
            </w:r>
          </w:p>
        </w:tc>
        <w:tc>
          <w:tcPr>
            <w:tcW w:w="1418" w:type="dxa"/>
            <w:vMerge w:val="restart"/>
          </w:tcPr>
          <w:p w14:paraId="48290BB7" w14:textId="1F7DC026" w:rsidR="00CA33C3" w:rsidRPr="00BA2B87" w:rsidRDefault="00CA33C3" w:rsidP="00BA2B87">
            <w:pPr>
              <w:spacing w:line="360" w:lineRule="auto"/>
              <w:jc w:val="both"/>
              <w:rPr>
                <w:rFonts w:ascii="Book Antiqua" w:hAnsi="Book Antiqua" w:cstheme="majorBidi"/>
              </w:rPr>
            </w:pPr>
            <w:r>
              <w:rPr>
                <w:rFonts w:ascii="Book Antiqua" w:hAnsi="Book Antiqua" w:cstheme="majorBidi"/>
              </w:rPr>
              <w:t>G</w:t>
            </w:r>
            <w:r w:rsidRPr="00BA2B87">
              <w:rPr>
                <w:rFonts w:ascii="Book Antiqua" w:hAnsi="Book Antiqua" w:cstheme="majorBidi"/>
              </w:rPr>
              <w:t>ene</w:t>
            </w:r>
          </w:p>
        </w:tc>
        <w:tc>
          <w:tcPr>
            <w:tcW w:w="1417" w:type="dxa"/>
            <w:vMerge w:val="restart"/>
          </w:tcPr>
          <w:p w14:paraId="69B33B6D" w14:textId="56D3209F" w:rsidR="00CA33C3" w:rsidRPr="00BA2B87" w:rsidRDefault="00CA33C3" w:rsidP="00BA2B87">
            <w:pPr>
              <w:spacing w:line="360" w:lineRule="auto"/>
              <w:jc w:val="both"/>
              <w:rPr>
                <w:rFonts w:ascii="Book Antiqua" w:hAnsi="Book Antiqua" w:cstheme="majorBidi"/>
              </w:rPr>
            </w:pPr>
            <w:r>
              <w:rPr>
                <w:rFonts w:ascii="Book Antiqua" w:hAnsi="Book Antiqua" w:cstheme="majorBidi"/>
              </w:rPr>
              <w:t>D</w:t>
            </w:r>
            <w:r w:rsidRPr="00BA2B87">
              <w:rPr>
                <w:rFonts w:ascii="Book Antiqua" w:hAnsi="Book Antiqua" w:cstheme="majorBidi"/>
              </w:rPr>
              <w:t>atasets</w:t>
            </w:r>
          </w:p>
        </w:tc>
        <w:tc>
          <w:tcPr>
            <w:tcW w:w="1418" w:type="dxa"/>
            <w:vMerge w:val="restart"/>
          </w:tcPr>
          <w:p w14:paraId="1BFBBD89" w14:textId="77777777" w:rsidR="00CA33C3" w:rsidRPr="00BA2B87" w:rsidRDefault="00CA33C3" w:rsidP="00BA2B87">
            <w:pPr>
              <w:spacing w:line="360" w:lineRule="auto"/>
              <w:jc w:val="both"/>
              <w:rPr>
                <w:rFonts w:ascii="Book Antiqua" w:hAnsi="Book Antiqua" w:cstheme="majorBidi"/>
              </w:rPr>
            </w:pPr>
            <w:r w:rsidRPr="00BA2B87">
              <w:rPr>
                <w:rFonts w:ascii="Book Antiqua" w:hAnsi="Book Antiqua" w:cstheme="majorBidi"/>
              </w:rPr>
              <w:t>-</w:t>
            </w:r>
          </w:p>
        </w:tc>
        <w:tc>
          <w:tcPr>
            <w:tcW w:w="2097" w:type="dxa"/>
            <w:vMerge w:val="restart"/>
          </w:tcPr>
          <w:p w14:paraId="23A2EAB1" w14:textId="7A079E89" w:rsidR="00CA33C3" w:rsidRPr="00BA2B87" w:rsidRDefault="00BF3D2F" w:rsidP="00BA2B87">
            <w:pPr>
              <w:spacing w:line="360" w:lineRule="auto"/>
              <w:jc w:val="both"/>
              <w:rPr>
                <w:rFonts w:ascii="Book Antiqua" w:hAnsi="Book Antiqua" w:cstheme="majorBidi"/>
              </w:rPr>
            </w:pPr>
            <w:r w:rsidRPr="00BF3D2F">
              <w:rPr>
                <w:rFonts w:ascii="Book Antiqua" w:hAnsi="Book Antiqua"/>
              </w:rPr>
              <w:t xml:space="preserve">Mei </w:t>
            </w:r>
            <w:r w:rsidRPr="00BF3D2F">
              <w:rPr>
                <w:rFonts w:ascii="Book Antiqua" w:hAnsi="Book Antiqua"/>
                <w:i/>
                <w:iCs/>
              </w:rPr>
              <w:t>et al</w:t>
            </w:r>
            <w:r w:rsidR="00CA33C3" w:rsidRPr="00BA2B87">
              <w:rPr>
                <w:rFonts w:ascii="Book Antiqua" w:hAnsi="Book Antiqua" w:cstheme="majorBidi"/>
              </w:rPr>
              <w:fldChar w:fldCharType="begin" w:fldLock="1"/>
            </w:r>
            <w:r w:rsidR="00CA33C3" w:rsidRPr="00BA2B87">
              <w:rPr>
                <w:rFonts w:ascii="Book Antiqua" w:hAnsi="Book Antiqua" w:cstheme="majorBidi"/>
              </w:rPr>
              <w:instrText>ADDIN CSL_CITATION {"citationItems":[{"id":"ITEM-1","itemData":{"DOI":"10.1186/s12885-018-4298-5","ISSN":"14712407","PMID":"29703253","abstract":"Background: Cetuximab, an anti-EGFR monoclonal antibody, is used in combination with chemotherapy in clinic to enhance the outcome in metastatic colorectal cancer (mCRC) patients with only ~20% response rate. To date only activating mutations in KRAS and NRAS have been identified as poor prognosis biomarkers in cetuximab-based treatment, which makes an urgent need for identification of novel prognosis biomarkers to precisely predict patients' response in order to maximize the benefit. Methods: In this study, we analysed the mutation profiles of 33 Chinese mCRC patients using comprehensive next-generation sequencing (NGS) targeting 416 cancer-relevant genes before cetuximab treatment. Upon receiving cetuximab-based therapy, patients were evaluated for drug response, and the progression-free survival (PFS) was monitored. The association of specific genetic alterations and cetuximab efficacy was analyzed. Results: Patients carrying SMAD4 mutations (SMAD4 mut, n=8) or NF1 mutations (NF1 mut, n=4) had significantly shorter PFS comparing to those carrying wildtype SMAD4 (SMAD4 wt, n=25) (P=0.0081) or wildtype NF1 (NF1 wt, n=29) (P=0.0028), respectively. None of the SMAD4 mut or NF1 mut patients showed response to cetuximab when assessed at 12-week post-treatment. Interestingly, two patients carrying both SMAD4 mut and NF1 mut showed the shortest PFS among all the patients. Conclusions: Our results demonstrated that SMAD4 and NF1 mutations can serve as potential biomarkers for poor prognosis to cetuximab-based therapy in Chinese mCRC patients.","author":[{"dropping-particle":"","family":"Mei","given":"Zhu","non-dropping-particle":"","parse-names":false,"suffix":""},{"dropping-particle":"","family":"Shao","given":"Yang W.","non-dropping-particle":"","parse-names":false,"suffix":""},{"dropping-particle":"","family":"Lin","given":"Peinan","non-dropping-particle":"","parse-names":false,"suffix":""},{"dropping-particle":"","family":"Cai","given":"Xiaomin","non-dropping-particle":"","parse-names":false,"suffix":""},{"dropping-particle":"","family":"Wang","given":"Biao","non-dropping-particle":"","parse-names":false,"suffix":""},{"dropping-particle":"","family":"Ding","given":"Yan","non-dropping-particle":"","parse-names":false,"suffix":""},{"dropping-particle":"","family":"Ma","given":"Xiangyuan","non-dropping-particle":"","parse-names":false,"suffix":""},{"dropping-particle":"","family":"Wu","given":"Xue","non-dropping-particle":"","parse-names":false,"suffix":""},{"dropping-particle":"","family":"Xia","given":"Yewei","non-dropping-particle":"","parse-names":false,"suffix":""},{"dropping-particle":"","family":"Zhu","given":"Dongqin","non-dropping-particle":"","parse-names":false,"suffix":""},{"dropping-particle":"","family":"Shu","given":"Yongqian","non-dropping-particle":"","parse-names":false,"suffix":""},{"dropping-particle":"","family":"Fu","given":"Zan","non-dropping-particle":"","parse-names":false,"suffix":""},{"dropping-particle":"","family":"Gu","given":"Yanhong","non-dropping-particle":"","parse-names":false,"suffix":""}],"container-title":"BMC Cancer","id":"ITEM-1","issued":{"date-parts":[["2018"]]},"title":"SMAD4 and NF1 mutations as potential biomarkers for poor prognosis to cetuximab-based therapy in Chinese metastatic colorectal cancer patients","type":"article-journal"},"uris":["http://www.mendeley.com/documents/?uuid=4299f188-97cc-4a9f-8c41-d1e81d4ceac7"]}],"mendeley":{"formattedCitation":"&lt;sup&gt;[65]&lt;/sup&gt;","plainTextFormattedCitation":"[65]","previouslyFormattedCitation":"&lt;sup&gt;[65]&lt;/sup&gt;"},"properties":{"noteIndex":0},"schema":"https://github.com/citation-style-language/schema/raw/master/csl-citation.json"}</w:instrText>
            </w:r>
            <w:r w:rsidR="00CA33C3" w:rsidRPr="00BA2B87">
              <w:rPr>
                <w:rFonts w:ascii="Book Antiqua" w:hAnsi="Book Antiqua" w:cstheme="majorBidi"/>
              </w:rPr>
              <w:fldChar w:fldCharType="separate"/>
            </w:r>
            <w:r w:rsidR="00CA33C3" w:rsidRPr="00BA2B87">
              <w:rPr>
                <w:rFonts w:ascii="Book Antiqua" w:hAnsi="Book Antiqua" w:cstheme="majorBidi"/>
                <w:noProof/>
                <w:vertAlign w:val="superscript"/>
              </w:rPr>
              <w:t>[65]</w:t>
            </w:r>
            <w:r w:rsidR="00CA33C3" w:rsidRPr="00BA2B87">
              <w:rPr>
                <w:rFonts w:ascii="Book Antiqua" w:hAnsi="Book Antiqua" w:cstheme="majorBidi"/>
              </w:rPr>
              <w:fldChar w:fldCharType="end"/>
            </w:r>
            <w:r>
              <w:rPr>
                <w:rFonts w:ascii="Book Antiqua" w:hAnsi="Book Antiqua" w:cstheme="majorBidi"/>
              </w:rPr>
              <w:t>, 2018</w:t>
            </w:r>
          </w:p>
        </w:tc>
      </w:tr>
      <w:tr w:rsidR="00CA33C3" w:rsidRPr="00BA2B87" w14:paraId="70570BC8" w14:textId="77777777" w:rsidTr="00E033F7">
        <w:trPr>
          <w:cantSplit/>
          <w:trHeight w:val="418"/>
        </w:trPr>
        <w:tc>
          <w:tcPr>
            <w:tcW w:w="4565" w:type="dxa"/>
          </w:tcPr>
          <w:p w14:paraId="128B3659" w14:textId="69718FEB" w:rsidR="00CA33C3" w:rsidRPr="00CA33C3" w:rsidRDefault="00CA33C3" w:rsidP="00BA2B87">
            <w:pPr>
              <w:spacing w:line="360" w:lineRule="auto"/>
              <w:jc w:val="both"/>
              <w:rPr>
                <w:rFonts w:ascii="Book Antiqua" w:hAnsi="Book Antiqua" w:cs="Arial"/>
                <w:i/>
                <w:iCs/>
                <w:shd w:val="clear" w:color="auto" w:fill="FFFFFF"/>
              </w:rPr>
            </w:pPr>
            <w:r w:rsidRPr="00CA33C3">
              <w:rPr>
                <w:rStyle w:val="a8"/>
                <w:rFonts w:ascii="Book Antiqua" w:hAnsi="Book Antiqua" w:cs="Arial"/>
                <w:bCs/>
                <w:i w:val="0"/>
                <w:iCs w:val="0"/>
                <w:shd w:val="clear" w:color="auto" w:fill="FFFFFF"/>
              </w:rPr>
              <w:t>Neurofibromatosis type 1</w:t>
            </w:r>
          </w:p>
        </w:tc>
        <w:tc>
          <w:tcPr>
            <w:tcW w:w="1418" w:type="dxa"/>
            <w:vMerge/>
          </w:tcPr>
          <w:p w14:paraId="01B09DD9" w14:textId="77777777" w:rsidR="00CA33C3" w:rsidRDefault="00CA33C3" w:rsidP="00BA2B87">
            <w:pPr>
              <w:spacing w:line="360" w:lineRule="auto"/>
              <w:jc w:val="both"/>
              <w:rPr>
                <w:rFonts w:ascii="Book Antiqua" w:hAnsi="Book Antiqua" w:cstheme="majorBidi"/>
              </w:rPr>
            </w:pPr>
          </w:p>
        </w:tc>
        <w:tc>
          <w:tcPr>
            <w:tcW w:w="1417" w:type="dxa"/>
            <w:vMerge/>
          </w:tcPr>
          <w:p w14:paraId="6FA43312" w14:textId="77777777" w:rsidR="00CA33C3" w:rsidRPr="00BA2B87" w:rsidRDefault="00CA33C3" w:rsidP="00BA2B87">
            <w:pPr>
              <w:spacing w:line="360" w:lineRule="auto"/>
              <w:jc w:val="both"/>
              <w:rPr>
                <w:rFonts w:ascii="Book Antiqua" w:hAnsi="Book Antiqua" w:cstheme="majorBidi"/>
              </w:rPr>
            </w:pPr>
          </w:p>
        </w:tc>
        <w:tc>
          <w:tcPr>
            <w:tcW w:w="1418" w:type="dxa"/>
            <w:vMerge/>
          </w:tcPr>
          <w:p w14:paraId="09481DF3" w14:textId="77777777" w:rsidR="00CA33C3" w:rsidRPr="00BA2B87" w:rsidRDefault="00CA33C3" w:rsidP="00BA2B87">
            <w:pPr>
              <w:spacing w:line="360" w:lineRule="auto"/>
              <w:jc w:val="both"/>
              <w:rPr>
                <w:rFonts w:ascii="Book Antiqua" w:hAnsi="Book Antiqua" w:cstheme="majorBidi"/>
              </w:rPr>
            </w:pPr>
          </w:p>
        </w:tc>
        <w:tc>
          <w:tcPr>
            <w:tcW w:w="2097" w:type="dxa"/>
            <w:vMerge/>
          </w:tcPr>
          <w:p w14:paraId="2EB1A6C1" w14:textId="77777777" w:rsidR="00CA33C3" w:rsidRPr="00BA2B87" w:rsidRDefault="00CA33C3" w:rsidP="00BA2B87">
            <w:pPr>
              <w:spacing w:line="360" w:lineRule="auto"/>
              <w:jc w:val="both"/>
              <w:rPr>
                <w:rFonts w:ascii="Book Antiqua" w:hAnsi="Book Antiqua" w:cstheme="majorBidi"/>
              </w:rPr>
            </w:pPr>
          </w:p>
        </w:tc>
      </w:tr>
    </w:tbl>
    <w:p w14:paraId="24E4D7F0" w14:textId="77777777" w:rsidR="004F2744" w:rsidRPr="00BA2B87" w:rsidRDefault="004F2744" w:rsidP="00BA2B87">
      <w:pPr>
        <w:pStyle w:val="Default"/>
        <w:spacing w:line="360" w:lineRule="auto"/>
        <w:jc w:val="both"/>
        <w:rPr>
          <w:rFonts w:ascii="Book Antiqua" w:hAnsi="Book Antiqua" w:cstheme="majorBidi"/>
          <w:bCs/>
          <w:color w:val="auto"/>
        </w:rPr>
      </w:pPr>
    </w:p>
    <w:p w14:paraId="0A06FEC5" w14:textId="77777777" w:rsidR="004F2744" w:rsidRPr="00BA2B87" w:rsidRDefault="004F2744" w:rsidP="00BA2B87">
      <w:pPr>
        <w:spacing w:line="360" w:lineRule="auto"/>
        <w:jc w:val="both"/>
        <w:rPr>
          <w:rFonts w:ascii="Book Antiqua" w:hAnsi="Book Antiqua"/>
        </w:rPr>
      </w:pPr>
    </w:p>
    <w:p w14:paraId="4968863C" w14:textId="77777777" w:rsidR="004F2744" w:rsidRPr="00BA2B87" w:rsidRDefault="004F2744" w:rsidP="00BA2B87">
      <w:pPr>
        <w:spacing w:line="360" w:lineRule="auto"/>
        <w:jc w:val="both"/>
        <w:rPr>
          <w:rFonts w:ascii="Book Antiqua" w:hAnsi="Book Antiqua"/>
        </w:rPr>
        <w:sectPr w:rsidR="004F2744" w:rsidRPr="00BA2B87" w:rsidSect="00FB00A8">
          <w:pgSz w:w="11906" w:h="16838"/>
          <w:pgMar w:top="1417" w:right="1417" w:bottom="1417" w:left="1417" w:header="708" w:footer="708" w:gutter="0"/>
          <w:cols w:space="708"/>
          <w:docGrid w:linePitch="360"/>
        </w:sectPr>
      </w:pPr>
    </w:p>
    <w:p w14:paraId="4799AF77" w14:textId="1F280861" w:rsidR="004F2744" w:rsidRPr="00BA2B87" w:rsidRDefault="004F2744" w:rsidP="00BA2B87">
      <w:pPr>
        <w:spacing w:line="360" w:lineRule="auto"/>
        <w:jc w:val="both"/>
        <w:rPr>
          <w:rFonts w:ascii="Book Antiqua" w:hAnsi="Book Antiqua" w:cstheme="majorBidi"/>
          <w:b/>
        </w:rPr>
      </w:pPr>
      <w:r w:rsidRPr="00BA2B87">
        <w:rPr>
          <w:rFonts w:ascii="Book Antiqua" w:hAnsi="Book Antiqua" w:cstheme="majorBidi"/>
          <w:b/>
        </w:rPr>
        <w:lastRenderedPageBreak/>
        <w:t xml:space="preserve">Table 3 Drug repurposing candidates for the prevention and/or treatment of </w:t>
      </w:r>
      <w:r w:rsidR="00C3685D" w:rsidRPr="00BA2B87">
        <w:rPr>
          <w:rFonts w:ascii="Book Antiqua" w:eastAsia="Times New Roman" w:hAnsi="Book Antiqua" w:cs="Calibri"/>
          <w:b/>
          <w:bCs/>
          <w:color w:val="000000"/>
        </w:rPr>
        <w:t>colorectal cancer</w:t>
      </w:r>
    </w:p>
    <w:tbl>
      <w:tblPr>
        <w:tblStyle w:val="TabloKlavuzu1"/>
        <w:tblW w:w="5269"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3543"/>
        <w:gridCol w:w="3260"/>
        <w:gridCol w:w="2946"/>
        <w:gridCol w:w="1441"/>
      </w:tblGrid>
      <w:tr w:rsidR="000E00C5" w:rsidRPr="00BA2B87" w14:paraId="59AB9831" w14:textId="77777777" w:rsidTr="006C69BA">
        <w:trPr>
          <w:trHeight w:val="261"/>
        </w:trPr>
        <w:tc>
          <w:tcPr>
            <w:tcW w:w="970" w:type="pct"/>
            <w:tcBorders>
              <w:top w:val="single" w:sz="4" w:space="0" w:color="auto"/>
              <w:bottom w:val="single" w:sz="4" w:space="0" w:color="auto"/>
            </w:tcBorders>
            <w:hideMark/>
          </w:tcPr>
          <w:p w14:paraId="6DED333B" w14:textId="1A611F50"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Drug</w:t>
            </w:r>
            <w:r w:rsidR="0044058A">
              <w:rPr>
                <w:rFonts w:ascii="Book Antiqua" w:eastAsia="Times New Roman" w:hAnsi="Book Antiqua" w:cs="Calibri"/>
                <w:b/>
                <w:bCs/>
                <w:color w:val="000000"/>
                <w:lang w:val="en-US"/>
              </w:rPr>
              <w:t xml:space="preserve"> </w:t>
            </w:r>
            <w:r w:rsidRPr="00BA2B87">
              <w:rPr>
                <w:rFonts w:ascii="Book Antiqua" w:eastAsia="Times New Roman" w:hAnsi="Book Antiqua" w:cs="Calibri"/>
                <w:b/>
                <w:bCs/>
                <w:color w:val="000000"/>
                <w:lang w:val="en-US"/>
              </w:rPr>
              <w:t>(s)</w:t>
            </w:r>
          </w:p>
        </w:tc>
        <w:tc>
          <w:tcPr>
            <w:tcW w:w="1276" w:type="pct"/>
            <w:tcBorders>
              <w:top w:val="single" w:sz="4" w:space="0" w:color="auto"/>
              <w:bottom w:val="single" w:sz="4" w:space="0" w:color="auto"/>
            </w:tcBorders>
            <w:hideMark/>
          </w:tcPr>
          <w:p w14:paraId="3FD357D1" w14:textId="2A85ADFA"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Pharmacological </w:t>
            </w:r>
            <w:r w:rsidR="0044058A">
              <w:rPr>
                <w:rFonts w:ascii="Book Antiqua" w:eastAsia="Times New Roman" w:hAnsi="Book Antiqua" w:cs="Calibri"/>
                <w:b/>
                <w:bCs/>
                <w:color w:val="000000"/>
                <w:lang w:val="en-US"/>
              </w:rPr>
              <w:t>c</w:t>
            </w:r>
            <w:r w:rsidRPr="00BA2B87">
              <w:rPr>
                <w:rFonts w:ascii="Book Antiqua" w:eastAsia="Times New Roman" w:hAnsi="Book Antiqua" w:cs="Calibri"/>
                <w:b/>
                <w:bCs/>
                <w:color w:val="000000"/>
                <w:lang w:val="en-US"/>
              </w:rPr>
              <w:t>lass</w:t>
            </w:r>
          </w:p>
        </w:tc>
        <w:tc>
          <w:tcPr>
            <w:tcW w:w="1174" w:type="pct"/>
            <w:tcBorders>
              <w:top w:val="single" w:sz="4" w:space="0" w:color="auto"/>
              <w:bottom w:val="single" w:sz="4" w:space="0" w:color="auto"/>
            </w:tcBorders>
            <w:hideMark/>
          </w:tcPr>
          <w:p w14:paraId="29DCD0A8" w14:textId="1751F43B"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Original </w:t>
            </w:r>
            <w:r w:rsidR="0044058A">
              <w:rPr>
                <w:rFonts w:ascii="Book Antiqua" w:eastAsia="Times New Roman" w:hAnsi="Book Antiqua" w:cs="Calibri"/>
                <w:b/>
                <w:bCs/>
                <w:color w:val="000000"/>
                <w:lang w:val="en-US"/>
              </w:rPr>
              <w:t>i</w:t>
            </w:r>
            <w:r w:rsidRPr="00BA2B87">
              <w:rPr>
                <w:rFonts w:ascii="Book Antiqua" w:eastAsia="Times New Roman" w:hAnsi="Book Antiqua" w:cs="Calibri"/>
                <w:b/>
                <w:bCs/>
                <w:color w:val="000000"/>
                <w:lang w:val="en-US"/>
              </w:rPr>
              <w:t>ndication</w:t>
            </w:r>
          </w:p>
        </w:tc>
        <w:tc>
          <w:tcPr>
            <w:tcW w:w="1061" w:type="pct"/>
            <w:tcBorders>
              <w:top w:val="single" w:sz="4" w:space="0" w:color="auto"/>
              <w:bottom w:val="single" w:sz="4" w:space="0" w:color="auto"/>
            </w:tcBorders>
            <w:hideMark/>
          </w:tcPr>
          <w:p w14:paraId="173D8DCF" w14:textId="057C5372"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 xml:space="preserve">CRC </w:t>
            </w:r>
            <w:r w:rsidR="00A546AF">
              <w:rPr>
                <w:rFonts w:ascii="Book Antiqua" w:eastAsia="Times New Roman" w:hAnsi="Book Antiqua" w:cs="Calibri"/>
                <w:b/>
                <w:bCs/>
                <w:color w:val="000000"/>
                <w:lang w:val="en-US"/>
              </w:rPr>
              <w:t>e</w:t>
            </w:r>
            <w:r w:rsidRPr="00BA2B87">
              <w:rPr>
                <w:rFonts w:ascii="Book Antiqua" w:eastAsia="Times New Roman" w:hAnsi="Book Antiqua" w:cs="Calibri"/>
                <w:b/>
                <w:bCs/>
                <w:color w:val="000000"/>
                <w:lang w:val="en-US"/>
              </w:rPr>
              <w:t>ffect</w:t>
            </w:r>
          </w:p>
        </w:tc>
        <w:tc>
          <w:tcPr>
            <w:tcW w:w="518" w:type="pct"/>
            <w:tcBorders>
              <w:top w:val="single" w:sz="4" w:space="0" w:color="auto"/>
              <w:bottom w:val="single" w:sz="4" w:space="0" w:color="auto"/>
            </w:tcBorders>
            <w:hideMark/>
          </w:tcPr>
          <w:p w14:paraId="2F75EA55" w14:textId="2DCFD615"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Ref</w:t>
            </w:r>
            <w:r w:rsidR="008075F4">
              <w:rPr>
                <w:rFonts w:ascii="Book Antiqua" w:eastAsia="Times New Roman" w:hAnsi="Book Antiqua" w:cs="Calibri"/>
                <w:b/>
                <w:bCs/>
                <w:color w:val="000000"/>
                <w:lang w:val="en-US"/>
              </w:rPr>
              <w:t>.</w:t>
            </w:r>
          </w:p>
        </w:tc>
      </w:tr>
      <w:tr w:rsidR="000E00C5" w:rsidRPr="00BA2B87" w14:paraId="72AA681B" w14:textId="77777777" w:rsidTr="006C69BA">
        <w:trPr>
          <w:trHeight w:val="84"/>
        </w:trPr>
        <w:tc>
          <w:tcPr>
            <w:tcW w:w="5000" w:type="pct"/>
            <w:gridSpan w:val="5"/>
            <w:tcBorders>
              <w:top w:val="single" w:sz="4" w:space="0" w:color="auto"/>
            </w:tcBorders>
            <w:noWrap/>
            <w:hideMark/>
          </w:tcPr>
          <w:p w14:paraId="26FA7D6C" w14:textId="77777777"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Based on computational approaches</w:t>
            </w:r>
          </w:p>
        </w:tc>
      </w:tr>
      <w:tr w:rsidR="000E00C5" w:rsidRPr="00BA2B87" w14:paraId="57E27ECC" w14:textId="77777777" w:rsidTr="006C69BA">
        <w:trPr>
          <w:trHeight w:val="1909"/>
        </w:trPr>
        <w:tc>
          <w:tcPr>
            <w:tcW w:w="970" w:type="pct"/>
            <w:vMerge w:val="restart"/>
            <w:hideMark/>
          </w:tcPr>
          <w:p w14:paraId="0E68C5C7" w14:textId="17AD288F"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GW-8510, ethacr</w:t>
            </w:r>
            <w:r w:rsidR="008B651D">
              <w:rPr>
                <w:rFonts w:ascii="Book Antiqua" w:eastAsia="Times New Roman" w:hAnsi="Book Antiqua" w:cs="Calibri"/>
                <w:color w:val="000000"/>
                <w:lang w:val="en-US"/>
              </w:rPr>
              <w:t>y</w:t>
            </w:r>
            <w:r w:rsidRPr="00BA2B87">
              <w:rPr>
                <w:rFonts w:ascii="Book Antiqua" w:eastAsia="Times New Roman" w:hAnsi="Book Antiqua" w:cs="Calibri"/>
                <w:color w:val="000000"/>
                <w:lang w:val="en-US"/>
              </w:rPr>
              <w:t>nic acid, ginkgolide A and 6-azathymine</w:t>
            </w:r>
          </w:p>
        </w:tc>
        <w:tc>
          <w:tcPr>
            <w:tcW w:w="1276" w:type="pct"/>
            <w:vMerge w:val="restart"/>
            <w:hideMark/>
          </w:tcPr>
          <w:p w14:paraId="64782168" w14:textId="68F9B33D"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 xml:space="preserve">GW-8510: </w:t>
            </w:r>
            <w:r w:rsidR="001E08DB">
              <w:rPr>
                <w:rFonts w:ascii="Book Antiqua" w:eastAsia="Times New Roman" w:hAnsi="Book Antiqua" w:cs="Calibri"/>
                <w:color w:val="000000"/>
                <w:lang w:val="en-US"/>
              </w:rPr>
              <w:t>I</w:t>
            </w:r>
            <w:r w:rsidRPr="00BA2B87">
              <w:rPr>
                <w:rFonts w:ascii="Book Antiqua" w:eastAsia="Times New Roman" w:hAnsi="Book Antiqua" w:cs="Calibri"/>
                <w:color w:val="000000"/>
                <w:lang w:val="en-US"/>
              </w:rPr>
              <w:t>nhibitor of cyclin-dependent kinase-2; ethacr</w:t>
            </w:r>
            <w:r w:rsidR="00DD0330">
              <w:rPr>
                <w:rFonts w:ascii="Book Antiqua" w:eastAsia="Times New Roman" w:hAnsi="Book Antiqua" w:cs="Calibri"/>
                <w:color w:val="000000"/>
                <w:lang w:val="en-US"/>
              </w:rPr>
              <w:t>y</w:t>
            </w:r>
            <w:r w:rsidRPr="00BA2B87">
              <w:rPr>
                <w:rFonts w:ascii="Book Antiqua" w:eastAsia="Times New Roman" w:hAnsi="Book Antiqua" w:cs="Calibri"/>
                <w:color w:val="000000"/>
                <w:lang w:val="en-US"/>
              </w:rPr>
              <w:t xml:space="preserve">nic acid: </w:t>
            </w:r>
            <w:r w:rsidR="001E08DB">
              <w:rPr>
                <w:rFonts w:ascii="Book Antiqua" w:eastAsia="Times New Roman" w:hAnsi="Book Antiqua" w:cs="Calibri"/>
                <w:color w:val="000000"/>
                <w:lang w:val="en-US"/>
              </w:rPr>
              <w:t>D</w:t>
            </w:r>
            <w:r w:rsidRPr="00BA2B87">
              <w:rPr>
                <w:rFonts w:ascii="Book Antiqua" w:eastAsia="Times New Roman" w:hAnsi="Book Antiqua" w:cs="Calibri"/>
                <w:color w:val="000000"/>
                <w:lang w:val="en-US"/>
              </w:rPr>
              <w:t xml:space="preserve">iuretic; ginkgolide A: </w:t>
            </w:r>
            <w:r w:rsidR="00976F1A">
              <w:rPr>
                <w:rFonts w:ascii="Book Antiqua" w:eastAsia="Times New Roman" w:hAnsi="Book Antiqua" w:cs="Calibri"/>
                <w:color w:val="000000"/>
                <w:lang w:val="en-US"/>
              </w:rPr>
              <w:t>P</w:t>
            </w:r>
            <w:r w:rsidRPr="00BA2B87">
              <w:rPr>
                <w:rFonts w:ascii="Book Antiqua" w:eastAsia="Times New Roman" w:hAnsi="Book Antiqua" w:cs="Calibri"/>
                <w:color w:val="000000"/>
                <w:lang w:val="en-US"/>
              </w:rPr>
              <w:t>latelet-activating factor antagonist; 6-azathymine: D-3-aminoisobutyrate-pyruvate aminotransferase inhibitor</w:t>
            </w:r>
          </w:p>
        </w:tc>
        <w:tc>
          <w:tcPr>
            <w:tcW w:w="1174" w:type="pct"/>
            <w:hideMark/>
          </w:tcPr>
          <w:p w14:paraId="6FA682DF" w14:textId="604EBD4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GW-8510: Prevention of</w:t>
            </w:r>
            <w:r w:rsidR="00DD0330">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t>chemotherapy</w:t>
            </w:r>
            <w:r w:rsidR="0062268E">
              <w:rPr>
                <w:rFonts w:ascii="宋体" w:eastAsia="宋体" w:hAnsi="宋体" w:cs="宋体" w:hint="eastAsia"/>
                <w:color w:val="000000"/>
                <w:lang w:val="en-US" w:eastAsia="zh-CN"/>
              </w:rPr>
              <w:t>-</w:t>
            </w:r>
            <w:r w:rsidRPr="00BA2B87">
              <w:rPr>
                <w:rFonts w:ascii="Book Antiqua" w:eastAsia="Times New Roman" w:hAnsi="Book Antiqua" w:cs="Calibri"/>
                <w:color w:val="000000"/>
                <w:lang w:val="en-US"/>
              </w:rPr>
              <w:t>induced alopecia; ethacr</w:t>
            </w:r>
            <w:r w:rsidR="00DD0330">
              <w:rPr>
                <w:rFonts w:ascii="Book Antiqua" w:eastAsia="Times New Roman" w:hAnsi="Book Antiqua" w:cs="Calibri"/>
                <w:color w:val="000000"/>
                <w:lang w:val="en-US"/>
              </w:rPr>
              <w:t>y</w:t>
            </w:r>
            <w:r w:rsidRPr="00BA2B87">
              <w:rPr>
                <w:rFonts w:ascii="Book Antiqua" w:eastAsia="Times New Roman" w:hAnsi="Book Antiqua" w:cs="Calibri"/>
                <w:color w:val="000000"/>
                <w:lang w:val="en-US"/>
              </w:rPr>
              <w:t xml:space="preserve">nic acid: </w:t>
            </w:r>
            <w:r w:rsidR="0062268E">
              <w:rPr>
                <w:rFonts w:ascii="Book Antiqua" w:eastAsia="Times New Roman" w:hAnsi="Book Antiqua" w:cs="Calibri"/>
                <w:color w:val="000000"/>
                <w:lang w:val="en-US"/>
              </w:rPr>
              <w:t>T</w:t>
            </w:r>
            <w:r w:rsidRPr="00BA2B87">
              <w:rPr>
                <w:rFonts w:ascii="Book Antiqua" w:eastAsia="Times New Roman" w:hAnsi="Book Antiqua" w:cs="Calibri"/>
                <w:color w:val="000000"/>
                <w:lang w:val="en-US"/>
              </w:rPr>
              <w:t>reat</w:t>
            </w:r>
            <w:r w:rsidR="00DD0330">
              <w:rPr>
                <w:rFonts w:ascii="Book Antiqua" w:eastAsia="Times New Roman" w:hAnsi="Book Antiqua" w:cs="Calibri"/>
                <w:color w:val="000000"/>
                <w:lang w:val="en-US"/>
              </w:rPr>
              <w:t>ment of</w:t>
            </w:r>
            <w:r w:rsidRPr="00BA2B87">
              <w:rPr>
                <w:rFonts w:ascii="Book Antiqua" w:eastAsia="Times New Roman" w:hAnsi="Book Antiqua" w:cs="Calibri"/>
                <w:color w:val="000000"/>
                <w:lang w:val="en-US"/>
              </w:rPr>
              <w:t xml:space="preserve"> high blood pressure and swelling; ginkgolide A: </w:t>
            </w:r>
            <w:r w:rsidR="0062268E">
              <w:rPr>
                <w:rFonts w:ascii="Book Antiqua" w:eastAsia="Times New Roman" w:hAnsi="Book Antiqua" w:cs="Calibri"/>
                <w:color w:val="000000"/>
                <w:lang w:val="en-US"/>
              </w:rPr>
              <w:t>T</w:t>
            </w:r>
            <w:r w:rsidRPr="00BA2B87">
              <w:rPr>
                <w:rFonts w:ascii="Book Antiqua" w:eastAsia="Times New Roman" w:hAnsi="Book Antiqua" w:cs="Calibri"/>
                <w:color w:val="000000"/>
                <w:lang w:val="en-US"/>
              </w:rPr>
              <w:t xml:space="preserve">reatment </w:t>
            </w:r>
            <w:r w:rsidR="00DD0330">
              <w:rPr>
                <w:rFonts w:ascii="Book Antiqua" w:eastAsia="Times New Roman" w:hAnsi="Book Antiqua" w:cs="Calibri"/>
                <w:color w:val="000000"/>
                <w:lang w:val="en-US"/>
              </w:rPr>
              <w:t>of</w:t>
            </w:r>
            <w:r w:rsidRPr="00BA2B87">
              <w:rPr>
                <w:rFonts w:ascii="Book Antiqua" w:eastAsia="Times New Roman" w:hAnsi="Book Antiqua" w:cs="Calibri"/>
                <w:color w:val="000000"/>
                <w:lang w:val="en-US"/>
              </w:rPr>
              <w:t xml:space="preserve"> a wide variety of cognitive and vascular disorders</w:t>
            </w:r>
          </w:p>
        </w:tc>
        <w:tc>
          <w:tcPr>
            <w:tcW w:w="1061" w:type="pct"/>
            <w:vMerge w:val="restart"/>
            <w:hideMark/>
          </w:tcPr>
          <w:p w14:paraId="61F79B06" w14:textId="1759EC55" w:rsidR="004F2744" w:rsidRPr="00BA2B87" w:rsidRDefault="00645940" w:rsidP="002C6B97">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I</w:t>
            </w:r>
            <w:r w:rsidR="004F2744" w:rsidRPr="00BA2B87">
              <w:rPr>
                <w:rFonts w:ascii="Book Antiqua" w:eastAsia="Times New Roman" w:hAnsi="Book Antiqua" w:cs="Calibri"/>
                <w:color w:val="000000"/>
                <w:lang w:val="en-US"/>
              </w:rPr>
              <w:t>nhibit CRC cells</w:t>
            </w:r>
          </w:p>
        </w:tc>
        <w:tc>
          <w:tcPr>
            <w:tcW w:w="518" w:type="pct"/>
            <w:vMerge w:val="restart"/>
            <w:hideMark/>
          </w:tcPr>
          <w:p w14:paraId="73031250" w14:textId="110BE9D3" w:rsidR="004F2744" w:rsidRPr="00BA2B87" w:rsidRDefault="00820596" w:rsidP="002C6B97">
            <w:pPr>
              <w:spacing w:line="360" w:lineRule="auto"/>
              <w:jc w:val="both"/>
              <w:rPr>
                <w:rFonts w:ascii="Book Antiqua" w:eastAsia="Times New Roman" w:hAnsi="Book Antiqua" w:cs="Calibri"/>
                <w:color w:val="000000"/>
                <w:lang w:val="en-US"/>
              </w:rPr>
            </w:pPr>
            <w:r w:rsidRPr="00820596">
              <w:rPr>
                <w:rFonts w:ascii="Book Antiqua" w:hAnsi="Book Antiqua"/>
              </w:rPr>
              <w:t>Chung</w:t>
            </w:r>
            <w:r w:rsidRPr="00BA2B87">
              <w:rPr>
                <w:rFonts w:ascii="Book Antiqua" w:eastAsia="Times New Roman" w:hAnsi="Book Antiqua" w:cs="Calibri"/>
                <w:color w:val="000000"/>
                <w:lang w:val="en-US"/>
              </w:rPr>
              <w:t xml:space="preserve"> </w:t>
            </w:r>
            <w:r w:rsidRPr="00820596">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{"citationItems":[{"id":"ITEM-1","itemData":{"DOI":"10.1371/journal.pone.0086299","ISSN":"19326203","PMID":"24475102","abstract":"Drug repurposing has become an increasingly attractive approach to drug development owing to the ever-growing cost of new drug discovery and frequent withdrawal of successful drugs caused by side effect issues. Here, we devised Functional Module Connectivity Map (FMCM) for the discovery of repurposed drug compounds for systems treatment of complex diseases, and applied it to colorectal adenocarcinoma. FMCM used multiple functional gene modules to query the Connectivity Map (CMap). The functional modules were built around hub genes identified, through a gene selection by trend-of-disease-progression (GSToP) procedure, from condition-specific gene-gene interaction networks constructed from sets of cohort gene expression microarrays. The candidate drug compounds were restricted to drugs exhibiting predicted minimal intracellular harmful side effects. We tested FMCM against the common practice of selecting drugs using a genomic signature represented by a single set of individual genes to query CMap (IGCM), and found FMCM to have higher robustness, accuracy, specificity, and reproducibility in identifying known anti-cancer agents. Among the 46 drug candidates selected by FMCM for colorectal adenocarcinoma treatment, 65% had literature support for association with anti-cancer activities, and 60% of the drugs predicted to have harmful effects on cancer had been reported to be associated with carcinogens/immune suppressors. Compounds were formed from the selected drug candidates where in each compound the component drugs collectively were beneficial to all the functional modules while no single component drug was harmful to any of the modules. In cell viability tests, we identified four candidate drugs: GW-8510, etacrynic acid, ginkgolide A, and 6-azathymine, as having high inhibitory activities against cancer cells. Through microarray experiments we confirmed the novel functional links predicted for three candidate drugs: phenoxybenzamine (broad effects), GW-8510 (cell cycle), and imipenem (immune system). We believe FMCM can be usefully applied to repurposed drug discovery for systems treatment of other types of cancer and other complex diseases. © 2014 Chung et al.","author":[{"dropping-particle":"","family":"Chung","given":"Feng Hsiang","non-dropping-particle":"","parse-names":false,"suffix":""},{"dropping-particle":"","family":"Chiang","given":"Yun Ru","non-dropping-particle":"","parse-names":false,"suffix":""},{"dropping-particle":"","family":"Tseng","given":"Ai Lun","non-dropping-particle":"","parse-names":false,"suffix":""},{"dropping-particle":"","family":"Sung","given":"Yung Chuan","non-dropping-particle":"","parse-names":false,"suffix":""},{"dropping-particle":"","family":"Lu","given":"Jean","non-dropping-particle":"","parse-names":false,"suffix":""},{"dropping-particle":"","family":"Huang","given":"Min Chang","non-dropping-particle":"","parse-names":false,"suffix":""},{"dropping-particle":"","family":"Ma","given":"Nianhan","non-dropping-particle":"","parse-names":false,"suffix":""},{"dropping-particle":"","family":"Lee","given":"Hoong Chien","non-dropping-particle":"","parse-names":false,"suffix":""}],"container-title":"PLoS ONE","id":"ITEM-1","issued":{"date-parts":[["2014"]]},"title":"Functional Module Connectivity Map (FMCM): A framework for searching repurposed drug compounds for systems treatment of cancer and an application to colorectal adenocarcinoma","type":"article-journal"},"uris":["http://www.mendeley.com/documents/?uuid=bae2ba49-798e-448e-baf8-545fd468eaaf"]}],"mendeley":{"formattedCitation":"&lt;sup&gt;[97]&lt;/sup&gt;","plainTextFormattedCitation":"[97]","previouslyFormattedCitation":"&lt;sup&gt;[97]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[97]</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2014</w:t>
            </w:r>
          </w:p>
        </w:tc>
      </w:tr>
      <w:tr w:rsidR="000E00C5" w:rsidRPr="00BA2B87" w14:paraId="01D13240" w14:textId="77777777" w:rsidTr="006C69BA">
        <w:trPr>
          <w:trHeight w:val="232"/>
        </w:trPr>
        <w:tc>
          <w:tcPr>
            <w:tcW w:w="970" w:type="pct"/>
            <w:vMerge/>
            <w:hideMark/>
          </w:tcPr>
          <w:p w14:paraId="27273C24"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273AF75D"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hideMark/>
          </w:tcPr>
          <w:p w14:paraId="1C306CCD" w14:textId="06514F9B"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 xml:space="preserve">6-azathymine: </w:t>
            </w:r>
            <w:r w:rsidR="006A2A08">
              <w:rPr>
                <w:rFonts w:ascii="Book Antiqua" w:eastAsia="Times New Roman" w:hAnsi="Book Antiqua" w:cs="Calibri"/>
                <w:color w:val="000000"/>
                <w:lang w:val="en-US"/>
              </w:rPr>
              <w:t>H</w:t>
            </w:r>
            <w:r w:rsidRPr="00BA2B87">
              <w:rPr>
                <w:rFonts w:ascii="Book Antiqua" w:eastAsia="Times New Roman" w:hAnsi="Book Antiqua" w:cs="Calibri"/>
                <w:color w:val="000000"/>
                <w:lang w:val="en-US"/>
              </w:rPr>
              <w:t>as antibacterial and antiviral activities</w:t>
            </w:r>
          </w:p>
        </w:tc>
        <w:tc>
          <w:tcPr>
            <w:tcW w:w="1061" w:type="pct"/>
            <w:vMerge/>
            <w:hideMark/>
          </w:tcPr>
          <w:p w14:paraId="08CAA8ED"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518" w:type="pct"/>
            <w:vMerge/>
            <w:hideMark/>
          </w:tcPr>
          <w:p w14:paraId="61BF4544" w14:textId="77777777" w:rsidR="004F2744" w:rsidRPr="00BA2B87" w:rsidRDefault="004F2744" w:rsidP="002C6B97">
            <w:pPr>
              <w:spacing w:line="360" w:lineRule="auto"/>
              <w:jc w:val="both"/>
              <w:rPr>
                <w:rFonts w:ascii="Book Antiqua" w:eastAsia="Times New Roman" w:hAnsi="Book Antiqua" w:cs="Calibri"/>
                <w:color w:val="000000"/>
                <w:lang w:val="en-US"/>
              </w:rPr>
            </w:pPr>
          </w:p>
        </w:tc>
      </w:tr>
      <w:tr w:rsidR="000E00C5" w:rsidRPr="00BA2B87" w14:paraId="517719A6" w14:textId="77777777" w:rsidTr="006C69BA">
        <w:trPr>
          <w:trHeight w:val="609"/>
        </w:trPr>
        <w:tc>
          <w:tcPr>
            <w:tcW w:w="970" w:type="pct"/>
            <w:hideMark/>
          </w:tcPr>
          <w:p w14:paraId="51816DF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GW-8510</w:t>
            </w:r>
          </w:p>
        </w:tc>
        <w:tc>
          <w:tcPr>
            <w:tcW w:w="1276" w:type="pct"/>
            <w:hideMark/>
          </w:tcPr>
          <w:p w14:paraId="6D6520E2" w14:textId="3D674FF9" w:rsidR="004F2744" w:rsidRPr="00BA2B87" w:rsidRDefault="006A2A08" w:rsidP="002C6B97">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I</w:t>
            </w:r>
            <w:r w:rsidR="004F2744" w:rsidRPr="00BA2B87">
              <w:rPr>
                <w:rFonts w:ascii="Book Antiqua" w:eastAsia="Times New Roman" w:hAnsi="Book Antiqua" w:cs="Calibri"/>
                <w:color w:val="000000"/>
                <w:lang w:val="en-US"/>
              </w:rPr>
              <w:t>nhibitor of cyclin-dependent kinase-2</w:t>
            </w:r>
          </w:p>
        </w:tc>
        <w:tc>
          <w:tcPr>
            <w:tcW w:w="1174" w:type="pct"/>
            <w:hideMark/>
          </w:tcPr>
          <w:p w14:paraId="5BAB61C1" w14:textId="42827B66"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Prevention of chemotherapy</w:t>
            </w:r>
            <w:r w:rsidR="00B0143D">
              <w:rPr>
                <w:rFonts w:ascii="宋体" w:eastAsia="宋体" w:hAnsi="宋体" w:cs="宋体" w:hint="eastAsia"/>
                <w:color w:val="000000"/>
                <w:lang w:val="en-US" w:eastAsia="zh-CN"/>
              </w:rPr>
              <w:t>-</w:t>
            </w:r>
            <w:r w:rsidRPr="00BA2B87">
              <w:rPr>
                <w:rFonts w:ascii="Book Antiqua" w:eastAsia="Times New Roman" w:hAnsi="Book Antiqua" w:cs="Calibri"/>
                <w:color w:val="000000"/>
                <w:lang w:val="en-US"/>
              </w:rPr>
              <w:t>induced alopecia</w:t>
            </w:r>
          </w:p>
        </w:tc>
        <w:tc>
          <w:tcPr>
            <w:tcW w:w="1061" w:type="pct"/>
            <w:hideMark/>
          </w:tcPr>
          <w:p w14:paraId="58D2196E"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therapeutic agent which targets RRM2 inhibition</w:t>
            </w:r>
          </w:p>
        </w:tc>
        <w:tc>
          <w:tcPr>
            <w:tcW w:w="518" w:type="pct"/>
            <w:hideMark/>
          </w:tcPr>
          <w:p w14:paraId="0F267585" w14:textId="448B72CB" w:rsidR="004F2744" w:rsidRPr="00BA2B87" w:rsidRDefault="00EC5BC1" w:rsidP="002C6B97">
            <w:pPr>
              <w:spacing w:line="360" w:lineRule="auto"/>
              <w:jc w:val="both"/>
              <w:rPr>
                <w:rFonts w:ascii="Book Antiqua" w:eastAsia="Times New Roman" w:hAnsi="Book Antiqua" w:cs="Calibri"/>
                <w:color w:val="000000"/>
                <w:lang w:val="en-US"/>
              </w:rPr>
            </w:pPr>
            <w:r w:rsidRPr="00EC5BC1">
              <w:rPr>
                <w:rFonts w:ascii="Book Antiqua" w:hAnsi="Book Antiqua"/>
              </w:rPr>
              <w:t>Hsieh</w:t>
            </w:r>
            <w:r w:rsidRPr="00BA2B87">
              <w:rPr>
                <w:rFonts w:ascii="Book Antiqua" w:eastAsia="Times New Roman" w:hAnsi="Book Antiqua" w:cs="Calibri"/>
                <w:color w:val="000000"/>
                <w:lang w:val="en-US"/>
              </w:rPr>
              <w:t xml:space="preserve"> </w:t>
            </w:r>
            <w:r w:rsidRPr="00EC5BC1">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{"citationItems":[{"id":"ITEM-1","itemData":{"DOI":"10.1038/cddiscovery.2016.27","ISSN":"20587716","abstract":"Colorectal cancer (CRC) is the second leading cause of cancer-related death in males and females in the world. It is of immediate importance to develop novel therapeutics. Human ribonucleotide reductase (RRM1/RRM2) has an essential role in converting ribonucleoside diphosphate to 2′-deoxyribonucleoside diphosphate to maintain the homeostasis of nucleotide pools. RRM2 is a prognostic biomarker and predicts poor survival of CRC. In addition, increased RRM2 activity is associated with malignant transformation and tumor cell growth. Bioinformatics analyses show that RRM2 was overexpressed in CRC and might be an attractive target for treating CRC. Therefore, we attempted to search novel RRM2 inhibitors by using a gene expression signature-based approach, connectivity MAP (CMAP). The result predicted GW8510, a cyclin-dependent kinase inhibitor, as a potential RRM2 inhibitor. Western blot analysis indicated that GW8510 inhibited RRM2 expression through promoting its proteasomal degradation. In addition, GW8510 induced autophagic cell death. In addition, the sensitivities of CRC cells to GW8510 were associated with the levels of RRM2 and endogenous autophagic flux. Taken together, our study indicates that GW8510 could be a potential anti-CRC agent through targeting RRM2.","author":[{"dropping-particle":"","family":"Hsieh","given":"Y. Y.","non-dropping-particle":"","parse-names":false,"suffix":""},{"dropping-particle":"","family":"Chou","given":"C. J.","non-dropping-particle":"","parse-names":false,"suffix":""},{"dropping-particle":"","family":"Lo","given":"H. L.","non-dropping-particle":"","parse-names":false,"suffix":""},{"dropping-particle":"","family":"Yang","given":"P. M.","non-dropping-particle":"","parse-names":false,"suffix":""}],"container-title":"Cell Death Discovery","id":"ITEM-1","issued":{"date-parts":[["2016"]]},"title":"Repositioning of a cyclin-dependent kinase inhibitor GW8510 as a ribonucleotide reductase M2 inhibitor to treat human colorectal cancer","type":"article-journal"},"uris":["http://www.mendeley.com/documents/?uuid=baaeb5ac-5379-47f7-8947-3801b7f49a9f"]}],"mendeley":{"formattedCitation":"&lt;sup&gt;[98]&lt;/sup&gt;","plainTextFormattedCitation":"[98]","previouslyFormattedCitation":"&lt;sup&gt;[98]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[98]</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2016</w:t>
            </w:r>
          </w:p>
        </w:tc>
      </w:tr>
      <w:tr w:rsidR="000E00C5" w:rsidRPr="00BA2B87" w14:paraId="1C4DCB3B" w14:textId="77777777" w:rsidTr="006C69BA">
        <w:trPr>
          <w:trHeight w:val="575"/>
        </w:trPr>
        <w:tc>
          <w:tcPr>
            <w:tcW w:w="970" w:type="pct"/>
            <w:hideMark/>
          </w:tcPr>
          <w:p w14:paraId="611FE732"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Abemaciclib</w:t>
            </w:r>
          </w:p>
        </w:tc>
        <w:tc>
          <w:tcPr>
            <w:tcW w:w="1276" w:type="pct"/>
            <w:hideMark/>
          </w:tcPr>
          <w:p w14:paraId="1FF5469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Anti-neoplastic</w:t>
            </w:r>
          </w:p>
        </w:tc>
        <w:tc>
          <w:tcPr>
            <w:tcW w:w="1174" w:type="pct"/>
            <w:hideMark/>
          </w:tcPr>
          <w:p w14:paraId="1FA248D4"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advanced or metastatic breast cancers</w:t>
            </w:r>
          </w:p>
        </w:tc>
        <w:tc>
          <w:tcPr>
            <w:tcW w:w="1061" w:type="pct"/>
            <w:hideMark/>
          </w:tcPr>
          <w:p w14:paraId="2FD0C06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therapeutic agent which targets FABP6</w:t>
            </w:r>
          </w:p>
        </w:tc>
        <w:tc>
          <w:tcPr>
            <w:tcW w:w="518" w:type="pct"/>
            <w:hideMark/>
          </w:tcPr>
          <w:p w14:paraId="76725C59" w14:textId="398D105F"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Liñares-Blanco</w:t>
            </w:r>
            <w:r w:rsidRPr="00BA2B87">
              <w:rPr>
                <w:rFonts w:ascii="Book Antiqua" w:eastAsia="Times New Roman" w:hAnsi="Book Antiqua" w:cs="Calibri"/>
                <w:color w:val="000000"/>
                <w:lang w:val="en-US"/>
              </w:rPr>
              <w:t xml:space="preserve"> </w:t>
            </w:r>
            <w:r w:rsidRPr="00B004E2">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{"citationItems":[{"id":"ITEM-1","itemData":{"DOI":"10.1186/s12860-020-00295-w","ISSN":"26618850","PMID":"32640984","abstract":"Background: The main challenge in cancer research is the identification of different omic variables that present a prognostic value and personalised diagnosis for each tumour. The fact that the diagnosis is personalised opens the doors to the design and discovery of new specific treatments for each patient. In this context, this work offers new ways to reuse existing databases and work to create added value in research. Three published signatures with significante prognostic value in Colon Adenocarcinoma (COAD) were indentified. These signatures were combined in a new meta-signature and validated with main Machine Learning (ML) and conventional statistical techniques. In addition, a drug repurposing experiment was carried out through Molecular Docking (MD) methodology in order to identify new potential treatments in COAD. Results: The prognostic potential of the signature was validated by means of ML algorithms and differential gene expression analysis. The results obtained supported the possibility that this meta-signature could harbor genes of interest for the prognosis and treatment of COAD. We studied drug repurposing following a molecular docking (MD) analysis, where the different protein data bank (PDB) structures of the genes of the meta-signature (in total 155) were confronted with 81 anti-cancer drugs approved by the FDA. We observed four interactions of interest: GLTP - Nilotinib, PTPRN - Venetoclax, VEGFA - Venetoclax and FABP6 - Abemaciclib. The FABP6 gene and its role within different metabolic pathways were studied in tumour and normal tissue and we observed the capability of the FABP6 gene to be a therapeutic target. Our in silico results showed a significant specificity of the union of the protein products of the FABP6 gene as well as the known action of Abemaciclib as an inhibitor of the CDK4/6 protein and therefore, of the cell cycle. Conclusions: The results of our ML and differential expression experiments have first shown the FABP6 gene as a possible new cancer biomarker due to its specificity in colonic tumour tissue and no expression in healthy adjacent tissue. Next, the MD analysis showed that the drug Abemaciclib characteristic affinity for the different protein structures of the FABP6 gene. Therefore, in silico experiments have shown a new opportunity that should be validated experimentally, thus helping to reduce the cost and speed of drug screening. For these reasons, we propose the validation of the drug Abemaciclib for the …","author":[{"dropping-particle":"","family":"Liñares-Blanco","given":"Jose","non-dropping-particle":"","parse-names":false,"suffix":""},{"dropping-particle":"","family":"Munteanu","given":"Cristian R.","non-dropping-particle":"","parse-names":false,"suffix":""},{"dropping-particle":"","family":"Pazos","given":"Alejandro","non-dropping-particle":"","parse-names":false,"suffix":""},{"dropping-particle":"","family":"Fernandez-Lozano","given":"Carlos","non-dropping-particle":"","parse-names":false,"suffix":""}],"container-title":"BMC Molecular and Cell Biology","id":"ITEM-1","issued":{"date-parts":[["2020"]]},"title":"Molecular docking and machine learning analysis of Abemaciclib in colon cancer","type":"article-journal"},"uris":["http://www.mendeley.com/documents/?uuid=4844d6fc-67e7-43e7-866c-e4ac0da7d260"]}],"mendeley":{"formattedCitation":"&lt;sup&gt;[99]&lt;/sup&gt;","plainTextFormattedCitation":"[99]","previouslyFormattedCitation":"&lt;sup&gt;[99]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[99]</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2020</w:t>
            </w:r>
          </w:p>
        </w:tc>
      </w:tr>
      <w:tr w:rsidR="000E00C5" w:rsidRPr="00BA2B87" w14:paraId="63F171C2" w14:textId="77777777" w:rsidTr="006C69BA">
        <w:trPr>
          <w:trHeight w:val="1661"/>
        </w:trPr>
        <w:tc>
          <w:tcPr>
            <w:tcW w:w="970" w:type="pct"/>
            <w:noWrap/>
            <w:hideMark/>
          </w:tcPr>
          <w:p w14:paraId="5372D1D6" w14:textId="1F0C69F1"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AG 957, Ro-28-1675, Brazilin, Importazole, PD 407824</w:t>
            </w:r>
          </w:p>
        </w:tc>
        <w:tc>
          <w:tcPr>
            <w:tcW w:w="1276" w:type="pct"/>
            <w:hideMark/>
          </w:tcPr>
          <w:p w14:paraId="76E8E64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AG 957: Inhibitor; Ro-28-1675: Activator; Brazilin: Anti-inflammatory agent; Importazole: Inhibitor; PD 407824: Indoles and derivatives</w:t>
            </w:r>
          </w:p>
        </w:tc>
        <w:tc>
          <w:tcPr>
            <w:tcW w:w="1174" w:type="pct"/>
            <w:hideMark/>
          </w:tcPr>
          <w:p w14:paraId="5FD7A622"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AG 957: Protein tyrosine kinase; Ro-28-1675: Glucokinase activator; Brazilin: NF-kappaB inhibitor and a hepatoprotective agent; Importazole: Transport receptor importin-β; PD 407824: Wee1/Chk1 inhibitor</w:t>
            </w:r>
          </w:p>
        </w:tc>
        <w:tc>
          <w:tcPr>
            <w:tcW w:w="1061" w:type="pct"/>
            <w:hideMark/>
          </w:tcPr>
          <w:p w14:paraId="6F0D4CE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CRC drug candidates</w:t>
            </w:r>
          </w:p>
        </w:tc>
        <w:tc>
          <w:tcPr>
            <w:tcW w:w="518" w:type="pct"/>
            <w:hideMark/>
          </w:tcPr>
          <w:p w14:paraId="6C4D137C" w14:textId="2E902451"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Beklen</w:t>
            </w:r>
            <w:r w:rsidRPr="00BA2B87">
              <w:rPr>
                <w:rFonts w:ascii="Book Antiqua" w:eastAsia="Times New Roman" w:hAnsi="Book Antiqua" w:cs="Calibri"/>
                <w:color w:val="000000"/>
                <w:lang w:val="en-US"/>
              </w:rPr>
              <w:t xml:space="preserve"> </w:t>
            </w:r>
            <w:r w:rsidRPr="00B004E2">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{"citationItems":[{"id":"ITEM-1","itemData":{"DOI":"10.3389/fonc.2020.01273","ISSN":"2234943X","abstract":"Colorectal cancer (CRC) is one of the most fatal types of cancers that is seen in both men and women. CRC is the third most common type of cancer worldwide. Over the years, several drugs are developed for the treatment of CRC; however, patients with advanced CRC can be resistant to some drugs. P-glycoprotein (P-gp) (also known as Multidrug Resistance 1, MDR1) is a well-identified membrane transporter protein expressed by ABCB1 gene. The high expression of MDR1 protein found in several cancer types causes chemotherapy failure owing to efflux drug molecules out of the cancer cell, decreases the drug concentration, and causes drug resistance. As same as other cancers, drug-resistant CRC is one of the major obstacles for effective therapy and novel therapeutic strategies are urgently needed. Network-based approaches can be used to determine specific biomarkers, potential drug targets, or repurposing approved drugs in drug-resistant cancers. Drug repositioning is the approach for using existing drugs for a new therapeutic purpose; it is a highly efficient and low-cost process. To improve current understanding of the MDR-1-related drug resistance in CRC, we explored gene co-expression networks around ABCB1 gene with different network sizes (50, 100, 150, 200 edges) and repurposed candidate drugs targeting the ABCB1 gene and its co-expression network by using drug repositioning approach for the treatment of CRC. The candidate drugs were also assessed by using molecular docking for determining the potential of physical interactions between the drug and MDR1 protein as a drug target. We also evaluated these four networks whether they are diagnostic or prognostic features in CRC besides biological function determined by functional enrichment analysis. Lastly, differentially expressed genes of drug-resistant (i.e., oxaliplatin, methotrexate, SN38) HT29 cell lines were found and used for repurposing drugs with reversal gene expressions. As a result, it is shown that all networks exhibited high diagnostic and prognostic performance besides the identification of various drug candidates for drug-resistant patients with CRC. All these results can shed light on the development of effective diagnosis, prognosis, and treatment strategies for drug resistance in CRC.","author":[{"dropping-particle":"","family":"Beklen","given":"Hande","non-dropping-particle":"","parse-names":false,"suffix":""},{"dropping-particle":"","family":"Gulfidan","given":"Gizem","non-dropping-particle":"","parse-names":false,"suffix":""},{"dropping-particle":"","family":"Arga","given":"Kazim Yalcin","non-dropping-particle":"","parse-names":false,"suffix":""},{"dropping-particle":"","family":"Mardinoglu","given":"Adil","non-dropping-particle":"","parse-names":false,"suffix":""},{"dropping-particle":"","family":"Turanli","given":"Beste","non-dropping-particle":"","parse-names":false,"suffix":""}],"container-title":"Frontiers in Oncology","id":"ITEM-1","issued":{"date-parts":[["2020"]]},"title":"Drug Repositioning for P-Glycoprotein Mediated Co-Expression Networks in Colorectal Cancer","type":"article-journal"},"uris":["http://www.mendeley.com/documents/?uuid=e879f927-cb2e-4329-a64b-7393e2b910d9"]}],"mendeley":{"formattedCitation":"&lt;sup&gt;[100]&lt;/sup&gt;","plainTextFormattedCitation":"[100]","previouslyFormattedCitation":"&lt;sup&gt;[100]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2020</w:t>
            </w:r>
          </w:p>
        </w:tc>
      </w:tr>
      <w:tr w:rsidR="000E00C5" w:rsidRPr="00BA2B87" w14:paraId="3C6B524D" w14:textId="77777777" w:rsidTr="006C69BA">
        <w:trPr>
          <w:trHeight w:val="330"/>
        </w:trPr>
        <w:tc>
          <w:tcPr>
            <w:tcW w:w="5000" w:type="pct"/>
            <w:gridSpan w:val="5"/>
            <w:noWrap/>
            <w:hideMark/>
          </w:tcPr>
          <w:p w14:paraId="40A6071A" w14:textId="77777777" w:rsidR="004F2744" w:rsidRPr="00BA2B87" w:rsidRDefault="004F2744" w:rsidP="002C6B97">
            <w:pPr>
              <w:spacing w:line="360" w:lineRule="auto"/>
              <w:jc w:val="both"/>
              <w:rPr>
                <w:rFonts w:ascii="Book Antiqua" w:eastAsia="Times New Roman" w:hAnsi="Book Antiqua" w:cs="Calibri"/>
                <w:b/>
                <w:bCs/>
                <w:color w:val="000000"/>
                <w:lang w:val="en-US"/>
              </w:rPr>
            </w:pPr>
            <w:r w:rsidRPr="00BA2B87">
              <w:rPr>
                <w:rFonts w:ascii="Book Antiqua" w:eastAsia="Times New Roman" w:hAnsi="Book Antiqua" w:cs="Calibri"/>
                <w:b/>
                <w:bCs/>
                <w:color w:val="000000"/>
                <w:lang w:val="en-US"/>
              </w:rPr>
              <w:t>Based on clinically or experimentally validated approaches</w:t>
            </w:r>
          </w:p>
        </w:tc>
      </w:tr>
      <w:tr w:rsidR="000E00C5" w:rsidRPr="00BA2B87" w14:paraId="628853CA" w14:textId="77777777" w:rsidTr="006C69BA">
        <w:trPr>
          <w:trHeight w:val="506"/>
        </w:trPr>
        <w:tc>
          <w:tcPr>
            <w:tcW w:w="970" w:type="pct"/>
            <w:vMerge w:val="restart"/>
            <w:noWrap/>
            <w:hideMark/>
          </w:tcPr>
          <w:p w14:paraId="7C41365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Metformin</w:t>
            </w:r>
          </w:p>
        </w:tc>
        <w:tc>
          <w:tcPr>
            <w:tcW w:w="1276" w:type="pct"/>
            <w:vMerge w:val="restart"/>
            <w:hideMark/>
          </w:tcPr>
          <w:p w14:paraId="6CCF077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Antidiabetic agent</w:t>
            </w:r>
          </w:p>
        </w:tc>
        <w:tc>
          <w:tcPr>
            <w:tcW w:w="1174" w:type="pct"/>
            <w:vMerge w:val="restart"/>
            <w:hideMark/>
          </w:tcPr>
          <w:p w14:paraId="5D5F3CB8"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type 2 diabetes mellitus</w:t>
            </w:r>
          </w:p>
        </w:tc>
        <w:tc>
          <w:tcPr>
            <w:tcW w:w="1061" w:type="pct"/>
            <w:hideMark/>
          </w:tcPr>
          <w:p w14:paraId="29A957D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Reduces pre-cancerous lesions and cancerous cell proliferation</w:t>
            </w:r>
          </w:p>
        </w:tc>
        <w:tc>
          <w:tcPr>
            <w:tcW w:w="518" w:type="pct"/>
            <w:hideMark/>
          </w:tcPr>
          <w:p w14:paraId="609C2D72" w14:textId="59D4100F"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 xml:space="preserve">Jia </w:t>
            </w:r>
            <w:r w:rsidRPr="00B004E2">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{"citationItems":[{"id":"ITEM-1","itemData":{"DOI":"10.1002/cam4.521","ISSN":"20457634","PMID":"26376762","abstract":"Epidemiologic studies have shown that the treatment of diabetics with metformin reduced the risk of cancer-related mortality. Here, we investigated the chemopreventive effects of metformin on dimethylhydrazine (DMH)-induced colorectal carcinogenesis in diabetic SD rats following metformin treatment and the effect on Warburg effect involved in this process. Diabetic rat models were induced with high-fat feeding in combination with a low dose of Streptozotocin (STZ) and then induce colorectal cancer with a low dose of DMH. The formation of colorectal Aberrant crypt foci (ACF) and the incidence, number and size of the tumor were measured. The proliferation indices of colonic tissues were determined through Proliferating cell nuclear antigen (PCNA) immunostaining. Then detect the expression of PK and IDH in colonic tissues using immunohistochemistry and Western blot. The enzyme activities of HK and PDH in colonic tissues were measured. The growth and expression of PK and IDH and activity of HK and PDH in cell lines LoVo and HT-29 were measured after metformin treatment. The results showed that metformin treatment significantly inhibited the formation of ACF and tumors. The proliferation index of colonic tissues was significantly decreased following metformin treatment. In addition, metformin inhibited cell growth and decreased the imbalance in the expression of the enzymes involved in glycolysis and the TCA cycle. These findings suggested that metformin might produce a synergistic colon cancer-preventative effect in diabetic patients through the regulation of the enzymes expression involved in glucose metabolism.","author":[{"dropping-particle":"","family":"Jia","given":"Yanglei","non-dropping-particle":"","parse-names":false,"suffix":""},{"dropping-particle":"","family":"Ma","given":"Zengyi","non-dropping-particle":"","parse-names":false,"suffix":""},{"dropping-particle":"","family":"Liu","given":"Xiaofei","non-dropping-particle":"","parse-names":false,"suffix":""},{"dropping-particle":"","family":"Zhou","given":"Wenjing","non-dropping-particle":"","parse-names":false,"suffix":""},{"dropping-particle":"","family":"He","given":"Shan","non-dropping-particle":"","parse-names":false,"suffix":""},{"dropping-particle":"","family":"Xu","given":"Xia","non-dropping-particle":"","parse-names":false,"suffix":""},{"dropping-particle":"","family":"Ren","given":"Guijie","non-dropping-particle":"","parse-names":false,"suffix":""},{"dropping-particle":"","family":"Xu","given":"Gang","non-dropping-particle":"","parse-names":false,"suffix":""},{"dropping-particle":"","family":"Tian","given":"Keli","non-dropping-particle":"","parse-names":false,"suffix":""}],"container-title":"Cancer Medicine","id":"ITEM-1","issued":{"date-parts":[["2015"]]},"title":"Metformin prevents DMH-induced colorectal cancer in diabetic rats by reversing the warburg effect","type":"article-journal"},"uris":["http://www.mendeley.com/documents/?uuid=36e3bc7d-ed61-4c59-988c-942134a92a93"]}],"mendeley":{"formattedCitation":"&lt;sup&gt;[102]&lt;/sup&gt;","plainTextFormattedCitation":"[102]","previouslyFormattedCitation":"&lt;sup&gt;[102]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[102]</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2015</w:t>
            </w:r>
          </w:p>
        </w:tc>
      </w:tr>
      <w:tr w:rsidR="000E00C5" w:rsidRPr="00BA2B87" w14:paraId="66177E61" w14:textId="77777777" w:rsidTr="006C69BA">
        <w:trPr>
          <w:trHeight w:val="70"/>
        </w:trPr>
        <w:tc>
          <w:tcPr>
            <w:tcW w:w="970" w:type="pct"/>
            <w:vMerge/>
            <w:hideMark/>
          </w:tcPr>
          <w:p w14:paraId="2303635F"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407F812"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50C4AC18"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240B0197" w14:textId="47C0B106" w:rsidR="004F2744" w:rsidRPr="00BA2B87" w:rsidRDefault="00DD0330" w:rsidP="00DD0330">
            <w:pPr>
              <w:spacing w:line="360" w:lineRule="auto"/>
              <w:jc w:val="both"/>
              <w:rPr>
                <w:rFonts w:ascii="Book Antiqua" w:eastAsia="Times New Roman" w:hAnsi="Book Antiqua" w:cs="Calibri"/>
                <w:color w:val="000000"/>
                <w:lang w:val="en-US"/>
              </w:rPr>
            </w:pPr>
            <w:r>
              <w:rPr>
                <w:rFonts w:ascii="Book Antiqua" w:eastAsia="Times New Roman" w:hAnsi="Book Antiqua" w:cs="Calibri"/>
                <w:color w:val="000000"/>
                <w:lang w:val="en-US"/>
              </w:rPr>
              <w:t>Results in</w:t>
            </w:r>
            <w:r w:rsidR="004F2744" w:rsidRPr="00BA2B87">
              <w:rPr>
                <w:rFonts w:ascii="Book Antiqua" w:eastAsia="Times New Roman" w:hAnsi="Book Antiqua" w:cs="Calibri"/>
                <w:color w:val="000000"/>
                <w:lang w:val="en-US"/>
              </w:rPr>
              <w:t xml:space="preserve"> better overall survival</w:t>
            </w:r>
          </w:p>
        </w:tc>
        <w:tc>
          <w:tcPr>
            <w:tcW w:w="518" w:type="pct"/>
            <w:hideMark/>
          </w:tcPr>
          <w:p w14:paraId="5548D4C5" w14:textId="0D7ECA6A" w:rsidR="004F2744" w:rsidRPr="00BA2B87" w:rsidRDefault="00B004E2" w:rsidP="002C6B97">
            <w:pPr>
              <w:spacing w:line="360" w:lineRule="auto"/>
              <w:jc w:val="both"/>
              <w:rPr>
                <w:rFonts w:ascii="Book Antiqua" w:eastAsia="Times New Roman" w:hAnsi="Book Antiqua" w:cs="Calibri"/>
                <w:color w:val="000000"/>
                <w:lang w:val="en-US"/>
              </w:rPr>
            </w:pPr>
            <w:r w:rsidRPr="00B004E2">
              <w:rPr>
                <w:rFonts w:ascii="Book Antiqua" w:hAnsi="Book Antiqua"/>
              </w:rPr>
              <w:t xml:space="preserve">Bishnoi </w:t>
            </w:r>
            <w:r w:rsidRPr="00B004E2">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{"citationItems":[{"id":"ITEM-1","itemData":{"DOI":"10.1200/jco.2018.36.15_suppl.e15636","ISSN":"0732-183X","abstract":"Background: It is well reported that patients with diabetes have higher risk of developing new malignancies including colorectal cancer (CRC), and previous studies also reported that antidiabetic drugs may positively impact survival in cancer patients, including CRC. The objective of this study was to determine the effect of antidiabetic drug metformin on the survival of metastatic CRC patients with type 2 diabetes. Method(s): Using SEER-Medicarelinked database, we performed a retrospective study in a cohort of diabetic patients 65 years and older diagnosed with stage IV CRC from January 1, 2007 to December 31, 2013. We used multivariable regression analyses to identify factors predicting the use of metformin. Cox proportional hazards models were used to analyze the association of metformin with overall survival. Result(s): We identified 1804 patients with preexisting diabetes and stage IV CRC, of these 35.9 % (n = 647) patients were on metformin for diabetes. Metformin utilization increased from 7.6% in 2007 to 17.3% in 2013. Overall survival was better for patients who were on Metformin (hazard ratio [HR] 0.85, 95% CI 0.76-0.94; p = 0.002). Patients who received any cancer directed therapy including surgery, chemo or radiation were associated with improved survival (p &lt; 0.05). The other significantly predictors of better survivals include younger age, females, Hispanic, and being married (p &lt; 0.05). Higher comorbidity (Charlson comorbidity index 2+ vs 0) were associated with worse overall survival (P &lt; 0.003). See table for details. Conclusion(s): This analysis on stage IV CRC patients based on large population-based data endorses anticancer effects of metformin, until confirmed by prospective studies. This analysis also highlights some other important factors and their effect on survival, which can be used for prognostication.","author":[{"dropping-particle":"","family":"Bishnoi","given":"Rohit","non-dropping-particle":"","parse-names":false,"suffix":""},{"dropping-particle":"","family":"Shah","given":"Chintan","non-dropping-particle":"","parse-names":false,"suffix":""},{"dropping-particle":"","family":"Schmit","given":"Jessica Marie","non-dropping-particle":"","parse-names":false,"suffix":""},{"dropping-particle":"","family":"Huo","given":"Jinhai (Stephen)","non-dropping-particle":"","parse-names":false,"suffix":""}],"container-title":"Journal of Clinical Oncology","id":"ITEM-1","issued":{"date-parts":[["2018"]]},"title":"Metformin and stage IV colorectal cancer in elderly.","type":"article-journal"},"uris":["http://www.mendeley.com/documents/?uuid=4bc7c2aa-2a95-4280-a5db-2f7a4cc9e5e0"]}],"mendeley":{"formattedCitation":"&lt;sup&gt;[104]&lt;/sup&gt;","plainTextFormattedCitation":"[104]","previouslyFormattedCitation":"&lt;sup&gt;[104]&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[104]</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3F167502" w14:textId="77777777" w:rsidTr="006C69BA">
        <w:trPr>
          <w:trHeight w:val="70"/>
        </w:trPr>
        <w:tc>
          <w:tcPr>
            <w:tcW w:w="970" w:type="pct"/>
            <w:vMerge/>
            <w:hideMark/>
          </w:tcPr>
          <w:p w14:paraId="2E582FE6"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08324A2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0C5435A1"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159A2B72" w14:textId="465417A9"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Causes both apoptosis and autophagy o</w:t>
            </w:r>
            <w:r w:rsidR="00DD0330">
              <w:rPr>
                <w:rFonts w:ascii="Book Antiqua" w:eastAsia="Times New Roman" w:hAnsi="Book Antiqua" w:cs="Calibri"/>
                <w:color w:val="000000"/>
                <w:lang w:val="en-US"/>
              </w:rPr>
              <w:t>f</w:t>
            </w:r>
            <w:r w:rsidRPr="00BA2B87">
              <w:rPr>
                <w:rFonts w:ascii="Book Antiqua" w:eastAsia="Times New Roman" w:hAnsi="Book Antiqua" w:cs="Calibri"/>
                <w:color w:val="000000"/>
                <w:lang w:val="en-US"/>
              </w:rPr>
              <w:t xml:space="preserve"> cultured HT29 cells</w:t>
            </w:r>
          </w:p>
        </w:tc>
        <w:tc>
          <w:tcPr>
            <w:tcW w:w="518" w:type="pct"/>
            <w:hideMark/>
          </w:tcPr>
          <w:p w14:paraId="5681729A" w14:textId="684D16E0"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Sena</w:t>
            </w:r>
            <w:r w:rsidRPr="002B0364">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{"citationItems":[{"id":"ITEM-1","itemData":{"DOI":"10.3390/ijms19051478","ISSN":"14220067","PMID":"29772687","abstract":"Accumulating evidence suggests that metformin, used as an antidiabetic drug, possesses anti-cancer properties. Metformin reduced the incidence and growth of experimental tumors in vivo. In a randomized clinical trial among nondiabetic patients, metformin treatment significantly decreased the number of aberrant crypt foci compared to the untreated group with a follow-up of 1 month. In our study, HT29 cells were treated with graded concentrations of metformin, 10 mM/25 mM/50 mM for 24/48 h. We performed immunofluorescence experiments by means of confocal microscopy and western blot analysis to evaluate a panel of factors involved in apoptotic/autophagic processes and oxidative stress response. Moreover, HT29 cells treated with metformin were analyzed by a flow cytometry assay to detect the cell apoptotic rate. The results demonstrate that metformin exerts growth inhibitory effects on cultured HT29 cells by increasing both apoptosis and autophagy; moreover, it affects the survival of cultured cells inhibiting the transcriptional activation of Nuclear factor E2-related factor 2 (NRF-2) and nuclear factor-kappa B (NF-κB). The effects of metformin on HT29 cells were dose- and time-dependent. These results are very intriguing since metformin is emerging as a multi-faceted drug: It has a good safety profile and is associated with low cost and might be a promising candidate for the prevention or the treatment of colorectal cancer.","author":[{"dropping-particle":"","family":"Sena","given":"Paola","non-dropping-particle":"","parse-names":false,"suffix":""},{"dropping-particle":"","family":"Mancini","given":"Stefano","non-dropping-particle":"","parse-names":false,"suffix":""},{"dropping-particle":"","family":"Benincasa","given":"Marta","non-dropping-particle":"","parse-names":false,"suffix":""},{"dropping-particle":"","family":"Mariani","given":"Francesco","non-dropping-particle":"","parse-names":false,"suffix":""},{"dropping-particle":"","family":"Palumbo","given":"Carla","non-dropping-particle":"","parse-names":false,"suffix":""},{"dropping-particle":"","family":"Roncucci","given":"Luca","non-dropping-particle":"","parse-names":false,"suffix":""}],"container-title":"International Journal of Molecular Sciences","id":"ITEM-1","issued":{"date-parts":[["2018"]]},"title":"Metformin induces apoptosis and alters cellular responses to oxidative stress in Ht29 colon cancer cells: Preliminary findings","type":"article-journal"},"uris":["http://www.mendeley.com/documents/?uuid=6aa6785d-2051-48e7-b266-8a8beb52bf92"]}],"mendeley":{"formattedCitation":"&lt;sup&gt;[103]&lt;/sup&gt;","plainTextFormattedCitation":"[103]","previouslyFormattedCitation":"&lt;sup&gt;[103]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[103]</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455EA71D" w14:textId="77777777" w:rsidTr="006C69BA">
        <w:trPr>
          <w:trHeight w:val="391"/>
        </w:trPr>
        <w:tc>
          <w:tcPr>
            <w:tcW w:w="970" w:type="pct"/>
            <w:vMerge w:val="restart"/>
            <w:noWrap/>
            <w:hideMark/>
          </w:tcPr>
          <w:p w14:paraId="5B939941"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Aspirin</w:t>
            </w:r>
          </w:p>
        </w:tc>
        <w:tc>
          <w:tcPr>
            <w:tcW w:w="1276" w:type="pct"/>
            <w:vMerge w:val="restart"/>
            <w:hideMark/>
          </w:tcPr>
          <w:p w14:paraId="486B300C"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Nonsteroidal anti-</w:t>
            </w:r>
            <w:r w:rsidRPr="00BA2B87">
              <w:rPr>
                <w:rFonts w:ascii="Book Antiqua" w:eastAsia="Times New Roman" w:hAnsi="Book Antiqua" w:cs="Calibri"/>
                <w:color w:val="000000"/>
                <w:lang w:val="en-US"/>
              </w:rPr>
              <w:lastRenderedPageBreak/>
              <w:t>inflammatory</w:t>
            </w:r>
          </w:p>
        </w:tc>
        <w:tc>
          <w:tcPr>
            <w:tcW w:w="1174" w:type="pct"/>
            <w:vMerge w:val="restart"/>
            <w:hideMark/>
          </w:tcPr>
          <w:p w14:paraId="531F299B" w14:textId="7D682BDD"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Relieve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minor aches, pains, </w:t>
            </w:r>
            <w:r w:rsidRPr="00BA2B87">
              <w:rPr>
                <w:rFonts w:ascii="Book Antiqua" w:eastAsia="Times New Roman" w:hAnsi="Book Antiqua" w:cs="Calibri"/>
                <w:color w:val="000000"/>
                <w:lang w:val="en-US"/>
              </w:rPr>
              <w:lastRenderedPageBreak/>
              <w:t>and fevers</w:t>
            </w:r>
          </w:p>
        </w:tc>
        <w:tc>
          <w:tcPr>
            <w:tcW w:w="1061" w:type="pct"/>
            <w:hideMark/>
          </w:tcPr>
          <w:p w14:paraId="6D8BF2B4"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 xml:space="preserve">Regular, long-term </w:t>
            </w:r>
            <w:r w:rsidRPr="00BA2B87">
              <w:rPr>
                <w:rFonts w:ascii="Book Antiqua" w:eastAsia="Times New Roman" w:hAnsi="Book Antiqua" w:cs="Calibri"/>
                <w:color w:val="000000"/>
                <w:lang w:val="en-US"/>
              </w:rPr>
              <w:lastRenderedPageBreak/>
              <w:t>aspirin use reduces CRC risk</w:t>
            </w:r>
          </w:p>
        </w:tc>
        <w:tc>
          <w:tcPr>
            <w:tcW w:w="518" w:type="pct"/>
            <w:hideMark/>
          </w:tcPr>
          <w:p w14:paraId="2CEAC39A" w14:textId="5068825B"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lastRenderedPageBreak/>
              <w:t>Chan</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 xml:space="preserve">et </w:t>
            </w:r>
            <w:r w:rsidRPr="002B0364">
              <w:rPr>
                <w:rFonts w:ascii="Book Antiqua" w:eastAsia="Times New Roman" w:hAnsi="Book Antiqua" w:cs="Calibri"/>
                <w:i/>
                <w:iCs/>
                <w:color w:val="000000"/>
                <w:lang w:val="en-US"/>
              </w:rPr>
              <w:lastRenderedPageBreak/>
              <w:t>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{"citationItems":[{"id":"ITEM-1","itemData":{"DOI":"10.1001/jama.294.8.914","ISSN":"00987484","PMID":"16118381","abstract":"Context: Randomized trials of short-term aspirin use for prevention of recurrent colorectal adenoma have provided compelling evidence of a causal relationship between aspirin and colorectal neoplasia. However, data on long-term risk of colorectal cancer according to dose, timing, or duration of therapy with aspirin and other nonsteroidal anti-inflammatory drugs (NSAIDs) remain limited. Objective: To examine the influence of aspirin and NSAIDs in prevention of colorectal cancer. Design, Setting, and Participants: Prospective cohort study of 82 911 women enrolled in the Nurses' Health Study providing data on medication use biennially since 1980 and followed up through June 1, 2000. Main Outcome Measure: Incident colorectal cancer. Results: Over a 20-year period, we documented 962 cases of colorectal cancer. Among women who regularly used aspirin (≥2 standard [325-mg] tablets per week), the multivariate relative risk (RR) for colorectal cancer was 0.77 (95% confidence interval [CI], 0.67-0.88) compared with nonregular users. However, significant risk reduction was not observed until more than 10 years of use (P≤.001 for trend). The benefit appeared related to dose: compared with women who reported no use, the multivariate RRs for cancer were 1.10 (95% CI, 0.92-1.31) for women who used 0.5 to 1.5 standard aspirin tablets per week, 0.89 (95% CI, 0.73-1.10) for 2 to 5 aspirin per week, 0.78 (95% CI, 0.62-0.97) for 6 to 14 aspirin per week, and 0.68 (95% CI, 0.49-0.95) for more than 14 aspirin per week (P&lt;.001 for trend). Notably, women who used more than 14 aspirin per week for longer than 10 years in the past had a multivariate RR for cancer of 0.47 (95% CI, 0.31-0.71). Asimilar dose-response relationship was found for nonaspirin NSAIDs (P=.007 for trend). The incidence of reported major gastrointestinal bleeding events per 1000 person-years also appeared to be dose-related: 0.77 among women who denied any aspirin use; 1.07 for 0.5 to 1.5 standard aspirin tablets per week; 1.07 for 2 to 5 aspirin per week; 1.40 for 6 to 14 aspirin per week; and 1.57 for more than 14 aspirin per week. Conclusions: Regular, long-term aspirin use reduces risk of colorectal cancer. Non-aspirin NSAIDs appear to have a similar effect. However, a significant benefit of aspirin is not apparent until more than a decade of use, with maximal risk reduction at doses greater than 14 tablets per week. These results suggest that optimal chemoprevention for colorectal cancer requires long-t…","author":[{"dropping-particle":"","family":"Chan","given":"Andrew T.","non-dropping-particle":"","parse-names":false,"suffix":""},{"dropping-particle":"","family":"Giovannucci","given":"Edward L.","non-dropping-particle":"","parse-names":false,"suffix":""},{"dropping-particle":"","family":"Meyerhardt","given":"Jeffrey A.","non-dropping-particle":"","parse-names":false,"suffix":""},{"dropping-particle":"","family":"Schernhammer","given":"Eva S.","non-dropping-particle":"","parse-names":false,"suffix":""},{"dropping-particle":"","family":"Curhan","given":"Gary C.","non-dropping-particle":"","parse-names":false,"suffix":""},{"dropping-particle":"","family":"Fuchs","given":"Charles S.","non-dropping-particle":"","parse-names":false,"suffix":""}],"container-title":"Journal of the American Medical Association","id":"ITEM-1","issued":{"date-parts":[["2005"]]},"title":"Long-term use of aspirin and nonsteroidal anti-inflammatory drugs and risk of colorectal cancer","type":"article-journal"},"uris":["http://www.mendeley.com/documents/?uuid=a0bccf58-b802-406b-bc40-b3ae3e441cf6"]}],"mendeley":{"formattedCitation":"&lt;sup&gt;[105]&lt;/sup&gt;","plainTextFormattedCitation":"[105]","previouslyFormattedCitation":"&lt;sup&gt;[105]&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[105]</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2005</w:t>
            </w:r>
          </w:p>
        </w:tc>
      </w:tr>
      <w:tr w:rsidR="000E00C5" w:rsidRPr="00BA2B87" w14:paraId="764B52DB" w14:textId="77777777" w:rsidTr="006C69BA">
        <w:trPr>
          <w:trHeight w:val="367"/>
        </w:trPr>
        <w:tc>
          <w:tcPr>
            <w:tcW w:w="970" w:type="pct"/>
            <w:vMerge/>
            <w:hideMark/>
          </w:tcPr>
          <w:p w14:paraId="5B3DD7E7"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6E90A6F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3E630B3B"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8B2AFAC"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Reduces CRC cell proliferation</w:t>
            </w:r>
          </w:p>
        </w:tc>
        <w:tc>
          <w:tcPr>
            <w:tcW w:w="518" w:type="pct"/>
            <w:hideMark/>
          </w:tcPr>
          <w:p w14:paraId="7A0A4022" w14:textId="010749A2"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Reddy</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{"citationItems":[{"id":"ITEM-1","itemData":{"DOI":"10.1158/0008-5472.CAN-05-4428","ISSN":"00085472","PMID":"16618783","abstract":"Preclinical and clinical studies have provided evidence that aspirin, celecoxib, (cyclooxygenase-2 inhibitor), and statins (3-hydroxy-3-methylglutaryl CoA reductase inhibitors) inhibit colon carcinogenesis. Chronic use of high doses of these agents may induce side effects in ostensibly normal individuals. Combining low doses of agents may be an effective way to increase their efficacy and minimize toxicity. We assessed the efficacy of atorvastatin (lipitor), celecoxib, and aspirin, given individually at high dose levels and in combination at lower doses against azoxymethane-induced colon carcinogenesis, in male F 344 rats. One day after the last azoxymethane treatment (15 mg/kg body weight, s.c., once weekly for 2 weeks), groups of male F 344 rats were fed the AIN-76A diet or AIN-76A diet containing 150 ppm atorvastatin, 600 ppm celecoxib, and 400 ppm aspirin, 100 ppm atorvastatin + 300 ppm celecoxib, and 100 ppm atorvastatin + 200 ppm aspirin. Rats were killed 42 weeks later, and colon tumors were processed histopathologically and analyzed for cell proliferation and apoptosis immunohistochemically. Administration of these agents individually and in combination significantly suppressed the incidence and multiplicity of colon adenocarcinomas. Low doses of these agents in combination inhibited colon carcinogenesis more effectively than when they were given individually at higher doses. Inhibition of colon carcinogenesis by these agents is associated with the inhibition of cell proliferation and increase in apoptosis in colon tumors. These observations are of clinical significance because this can pave the way for the use of combinations of these agents in small doses against colon cancer. ©2006 American Association for Cancer Research.","author":[{"dropping-particle":"","family":"Reddy","given":"Bandaru S.","non-dropping-particle":"","parse-names":false,"suffix":""},{"dropping-particle":"","family":"Chung","given":"Xiou Wang","non-dropping-particle":"","parse-names":false,"suffix":""},{"dropping-particle":"","family":"Kong","given":"Ah Ng","non-dropping-particle":"","parse-names":false,"suffix":""},{"dropping-particle":"","family":"Tin","given":"Oo Khor","non-dropping-particle":"","parse-names":false,"suffix":""},{"dropping-particle":"","family":"Zheng","given":"Xi","non-dropping-particle":"","parse-names":false,"suffix":""},{"dropping-particle":"","family":"Steele","given":"Vernon E.","non-dropping-particle":"","parse-names":false,"suffix":""},{"dropping-particle":"","family":"Kopelovich","given":"Levy","non-dropping-particle":"","parse-names":false,"suffix":""},{"dropping-particle":"V.","family":"Rao","given":"Chinthalapally","non-dropping-particle":"","parse-names":false,"suffix":""}],"container-title":"Cancer Research","id":"ITEM-1","issued":{"date-parts":[["2006"]]},"title":"Prevention of azoxymethane-induced colon cancer by combination of low doses of atorvastatin, aspirin, and celecoxib in F 344 rats","type":"article-journal"},"uris":["http://www.mendeley.com/documents/?uuid=652a32f1-eaab-4199-8dd0-2bebdd534d49"]}],"mendeley":{"formattedCitation":"&lt;sup&gt;[106]&lt;/sup&gt;","plainTextFormattedCitation":"[106]","previouslyFormattedCitation":"&lt;sup&gt;[106]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[106]</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2006</w:t>
            </w:r>
          </w:p>
        </w:tc>
      </w:tr>
      <w:tr w:rsidR="000E00C5" w:rsidRPr="00BA2B87" w14:paraId="3C52F06E" w14:textId="77777777" w:rsidTr="006C69BA">
        <w:trPr>
          <w:trHeight w:val="957"/>
        </w:trPr>
        <w:tc>
          <w:tcPr>
            <w:tcW w:w="970" w:type="pct"/>
            <w:vMerge/>
            <w:hideMark/>
          </w:tcPr>
          <w:p w14:paraId="42B69B29"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726B5A9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1B8060BA"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270B86D4" w14:textId="7492BA1E"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Daily use for about 5 yr is efficient in prevention, with a latency time of about 10 yr</w:t>
            </w:r>
          </w:p>
        </w:tc>
        <w:tc>
          <w:tcPr>
            <w:tcW w:w="518" w:type="pct"/>
            <w:hideMark/>
          </w:tcPr>
          <w:p w14:paraId="004042E5" w14:textId="60738149"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Flossmann</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{"citationItems":[{"id":"ITEM-1","itemData":{"DOI":"10.1016/S0140-6736(07)60747-8","ISSN":"01406736","PMID":"17499602","abstract":"Background: Randomised trials have shown that aspirin reduces the short-term risk of recurrent colorectal adenomas in patients with a history of adenomas or cancer, but large trials have shown no effect in primary prevention of colorectal cancer during 10 years' follow-up. However, the delay from the early development of adenoma to presentation with cancer is at least 10 years. We aimed to assess the longer-term effect of aspirin on the incidence of cancers. Methods: We studied the effect of aspirin in two large randomised trials with reliable post-trial follow-up for more than 20 years: the British Doctors Aspirin Trial (N=5139, two-thirds allocated 500 mg aspirin for 5 years, a third to open control) and UK-TIA Aspirin Trial (N=2449, two-thirds allocated 300 mg or 1200 mg aspirin for 1-7 years, a third placebo control). We also did a systematic review of all relevant observational studies to establish whether associations were consistent with the results of the randomised trials and, if so, what could be concluded about the likely effects of dose and regularity of aspirin use, other non-steroidal anti-inflammatory drugs (NSAID), and the effect of patient characteristics. Results: In the randomised trials, allocation to aspirin reduced the incidence of colorectal cancer (pooled HR 0·74, 95% CI 0·56-0·97, p=0·02 overall; 0·63, 0·47-0·85, p=0·002 if allocated aspirin for 5 years or more). However, this effect was only seen after a latency of 10 years (years 0-9: 0·92, 0·56-1·49, p=0·73; years 10-19: 0·60, 0·42-0·87, p=0·007), was dependent on duration of scheduled trial treatment and compliance, and was greatest 10-14 years after randomisation in patients who had had scheduled trial treatment of 5 years or more (0·37, 0·20-0·70, p=0·002; 0·26, 0·12-0·56, p=0·0002, if compliant). No significant effect on incidence of non-colorectal cancers was recorded (1.01, 0.88-1.16, p=0.87). In 19 case-control studies (20 815 cases) and 11 cohort studies (1 136 110 individuals), regular use of aspirin or NSAID was consistently associated with a reduced risk of colorectal cancer, especially after use for 10 years or more, with no difference between aspirin and other NSAIDs, or in relation to age, sex, race, or family history, site or aggressiveness of cancer, or any reduction in apparent effect with use for 20 years or more. However, a consistent association was only seen with use of 300 mg or more of aspirin a day, with diminished and inconsistent results for lower or…","author":[{"dropping-particle":"","family":"Flossmann","given":"Enrico","non-dropping-particle":"","parse-names":false,"suffix":""},{"dropping-particle":"","family":"Rothwell","given":"Peter M.","non-dropping-particle":"","parse-names":false,"suffix":""}],"container-title":"Lancet","id":"ITEM-1","issued":{"date-parts":[["2007"]]},"title":"Effect of aspirin on long-term risk of colorectal cancer: consistent evidence from randomised and observational studies","type":"article-journal"},"uris":["http://www.mendeley.com/documents/?uuid=a7b4a1f2-b8ff-44be-9f2f-53941ff06817"]}],"mendeley":{"formattedCitation":"&lt;sup&gt;[107]&lt;/sup&gt;","plainTextFormattedCitation":"[107]","previouslyFormattedCitation":"&lt;sup&gt;[107]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[107]</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2007</w:t>
            </w:r>
          </w:p>
        </w:tc>
      </w:tr>
      <w:tr w:rsidR="000E00C5" w:rsidRPr="00BA2B87" w14:paraId="0D77943B" w14:textId="77777777" w:rsidTr="006C69BA">
        <w:trPr>
          <w:trHeight w:val="70"/>
        </w:trPr>
        <w:tc>
          <w:tcPr>
            <w:tcW w:w="970" w:type="pct"/>
            <w:vMerge/>
            <w:hideMark/>
          </w:tcPr>
          <w:p w14:paraId="54DE905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7955374B"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55372D95"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40DC985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Restrains CRC tumor metastasis</w:t>
            </w:r>
          </w:p>
        </w:tc>
        <w:tc>
          <w:tcPr>
            <w:tcW w:w="518" w:type="pct"/>
            <w:hideMark/>
          </w:tcPr>
          <w:p w14:paraId="69CD8BC2" w14:textId="5B54F0E0"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Jin</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{"citationItems":[{"id":"ITEM-1","itemData":{"DOI":"10.3892/ol.2019.10089","ISSN":"17921082","PMID":"30944655","abstract":"The mechanism responsible for the initiation of tumor metastasis and epithelial-mesenchymal transition (EMT) is not well understood. During EMT, epithelial cells lose their polarity and adhesion to surrounding cells and migrate, resulting in transition into mesenchymal cells. Canonical Wnt signaling has been implicated in controlling gene transcription and body axis pattern formation during development. However, canonical Wnt signaling has also been indicated to serve a role in carcinogenesis by regulating EMT. In the present study, it was demonstrated that the expression of several positive regulators of EMT and Wnt signaling was repressed by aspirin treatment in SW480 tumor cells, and that this reduction was due to alterations in the localization of zinc finger E-box binding homeobox 1 and Snail family transcriptional repressor 2. It was also demonstrated that aspirin may be an effective inhibitor of EMT, reducing the viability and migration ability of SW480 tumor cells, including cells induced by TGF-β1.","author":[{"dropping-particle":"","family":"Jin","given":"Shenghang","non-dropping-particle":"","parse-names":false,"suffix":""},{"dropping-particle":"","family":"Wu","given":"Xianguo","non-dropping-particle":"","parse-names":false,"suffix":""}],"container-title":"Oncology Letters","id":"ITEM-1","issued":{"date-parts":[["2019"]]},"title":"Aspirin inhibits colon cancer cell line migration through regulating epithelial-mesenchymal transition via wnt signaling","type":"article-journal"},"uris":["http://www.mendeley.com/documents/?uuid=6baa135c-9ed7-4522-b524-679cd8b184d7"]}],"mendeley":{"formattedCitation":"&lt;sup&gt;[108]&lt;/sup&gt;","plainTextFormattedCitation":"[108]","previouslyFormattedCitation":"&lt;sup&gt;[108]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[108]</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2019</w:t>
            </w:r>
          </w:p>
        </w:tc>
      </w:tr>
      <w:tr w:rsidR="000E00C5" w:rsidRPr="00BA2B87" w14:paraId="2F91FB6C" w14:textId="77777777" w:rsidTr="006C69BA">
        <w:trPr>
          <w:trHeight w:val="394"/>
        </w:trPr>
        <w:tc>
          <w:tcPr>
            <w:tcW w:w="970" w:type="pct"/>
            <w:vMerge w:val="restart"/>
            <w:noWrap/>
            <w:hideMark/>
          </w:tcPr>
          <w:p w14:paraId="3F7E4D7C"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Cimetidine</w:t>
            </w:r>
          </w:p>
        </w:tc>
        <w:tc>
          <w:tcPr>
            <w:tcW w:w="1276" w:type="pct"/>
            <w:vMerge w:val="restart"/>
            <w:hideMark/>
          </w:tcPr>
          <w:p w14:paraId="6B6F74C5"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Gastrointestinal agent</w:t>
            </w:r>
          </w:p>
        </w:tc>
        <w:tc>
          <w:tcPr>
            <w:tcW w:w="1174" w:type="pct"/>
            <w:vMerge w:val="restart"/>
            <w:hideMark/>
          </w:tcPr>
          <w:p w14:paraId="2DDFAAE5"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ulcers and gastroesophageal reflux disease</w:t>
            </w:r>
          </w:p>
        </w:tc>
        <w:tc>
          <w:tcPr>
            <w:tcW w:w="1061" w:type="pct"/>
            <w:hideMark/>
          </w:tcPr>
          <w:p w14:paraId="78ABDA72" w14:textId="231C7820"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 xml:space="preserve">Short course </w:t>
            </w:r>
            <w:r w:rsidR="00DD0330">
              <w:rPr>
                <w:rFonts w:ascii="Book Antiqua" w:eastAsia="Times New Roman" w:hAnsi="Book Antiqua" w:cs="Calibri"/>
                <w:color w:val="000000"/>
                <w:lang w:val="en-US"/>
              </w:rPr>
              <w:t xml:space="preserve">of </w:t>
            </w:r>
            <w:r w:rsidRPr="00BA2B87">
              <w:rPr>
                <w:rFonts w:ascii="Book Antiqua" w:eastAsia="Times New Roman" w:hAnsi="Book Antiqua" w:cs="Calibri"/>
                <w:color w:val="000000"/>
                <w:lang w:val="en-US"/>
              </w:rPr>
              <w:t>cimetidine treatment ha</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an impact on patient survival</w:t>
            </w:r>
          </w:p>
        </w:tc>
        <w:tc>
          <w:tcPr>
            <w:tcW w:w="518" w:type="pct"/>
            <w:hideMark/>
          </w:tcPr>
          <w:p w14:paraId="73E83DA6" w14:textId="23404CA8" w:rsidR="004F2744" w:rsidRPr="00BA2B87" w:rsidRDefault="002B0364" w:rsidP="002C6B97">
            <w:pPr>
              <w:spacing w:line="360" w:lineRule="auto"/>
              <w:jc w:val="both"/>
              <w:rPr>
                <w:rFonts w:ascii="Book Antiqua" w:eastAsia="Times New Roman" w:hAnsi="Book Antiqua" w:cs="Calibri"/>
                <w:color w:val="000000"/>
                <w:lang w:val="en-US"/>
              </w:rPr>
            </w:pPr>
            <w:r w:rsidRPr="002B0364">
              <w:rPr>
                <w:rFonts w:ascii="Book Antiqua" w:hAnsi="Book Antiqua"/>
              </w:rPr>
              <w:t>Kelly</w:t>
            </w:r>
            <w:r w:rsidRPr="00BA2B87">
              <w:rPr>
                <w:rFonts w:ascii="Book Antiqua" w:eastAsia="Times New Roman" w:hAnsi="Book Antiqua" w:cs="Calibri"/>
                <w:color w:val="000000"/>
                <w:lang w:val="en-US"/>
              </w:rPr>
              <w:t xml:space="preserve"> </w:t>
            </w:r>
            <w:r w:rsidRPr="002B0364">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{"citationItems":[{"id":"ITEM-1","itemData":{"DOI":"10.1002/(SICI)1097-0142(19990415)85:8&lt;1658::AID-CNCR3&gt;3.0.CO;2-Q","ISSN":"0008543X","PMID":"10223557","abstract":"BACKGROUND. Previous studies have suggested that cimetidine, a histamine-2 receptor antagonist with immunostimulatory effects, may improve survival in patients with colorectal carcinoma. This effect may be apparent by an increase in the number of peritumoral lymphocytes. A prospective, double blind, randomized, placebo-controlled trial of a short course of preoperative treatment with cimetidine in patients with colorectal carcinoma was performed to assess the effect of cimetidine on survival and on the number of peritumoral lymphocytes. METHODS. One hundred and twenty-five patients who were scheduled to undergo elective colon or rectal excision for carcinoma were randomized to receive either placebo or cimetidine preoperatively for 5 days. In addition to standard histopathology, immunohistochemistry and computer video image analysis were used to assess the number of peritumoral lymphocytes in an objective manner. Interim survival analysis according to the Kaplan-Meier method was performed. RESULTS. A trend toward a survival advantage in the group of patients receiving cimetidine (800 mg twice daily) compared with the placebo group was observed (P = 0.20, log rank test) that was most marked in patients with replication error negative tumors (P = 0.04). Similarly, in these two groups there was a trend toward an increase in the number of patients with a conspicuous lymphocytic infiltration (P = 0.10, chi-square test). However, there was no difference in the number of peritumoral lymphocytes as measured by image analysis. CONCLUSIONS. Based on the results of the current study, a short course of preoperative treatment with cimetidine does appear to have an effect on patient survival; however, the exact mechanism is unknown. The failure of this study to demonstrate a clear increase in the local lymphocyte response does not exclude an immunologic mechanism of action.","author":[{"dropping-particle":"","family":"Kelly","given":"Michael D.","non-dropping-particle":"","parse-names":false,"suffix":""},{"dropping-particle":"","family":"King","given":"Julie","non-dropping-particle":"","parse-names":false,"suffix":""},{"dropping-particle":"","family":"Cherian","given":"Maya","non-dropping-particle":"","parse-names":false,"suffix":""},{"dropping-particle":"","family":"Dwerryhouse","given":"Simon J.","non-dropping-particle":"","parse-names":false,"suffix":""},{"dropping-particle":"","family":"Finlay","given":"Ian G.","non-dropping-particle":"","parse-names":false,"suffix":""},{"dropping-particle":"","family":"Adams","given":"Warwick J.","non-dropping-particle":"","parse-names":false,"suffix":""},{"dropping-particle":"","family":"King","given":"Denis W.","non-dropping-particle":"","parse-names":false,"suffix":""},{"dropping-particle":"","family":"Lubowski","given":"David Z.","non-dropping-particle":"","parse-names":false,"suffix":""},{"dropping-particle":"","family":"Morris","given":"David L.","non-dropping-particle":"","parse-names":false,"suffix":""}],"container-title":"Cancer","id":"ITEM-1","issued":{"date-parts":[["1999"]]},"title":"Randomized trial of preoperative cimetidine in patients with colorectal carcinoma with quantitative assessment of tumor-associated lymphocytes","type":"article-journal"},"uris":["http://www.mendeley.com/documents/?uuid=a031fb78-b072-47e9-b33d-c86ec1c4dce5"]}],"mendeley":{"formattedCitation":"&lt;sup&gt;[110]&lt;/sup&gt;","plainTextFormattedCitation":"[110]","previouslyFormattedCitation":"&lt;sup&gt;[110]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1999</w:t>
            </w:r>
          </w:p>
        </w:tc>
      </w:tr>
      <w:tr w:rsidR="000E00C5" w:rsidRPr="00BA2B87" w14:paraId="6682BBE2" w14:textId="77777777" w:rsidTr="006C69BA">
        <w:trPr>
          <w:trHeight w:val="218"/>
        </w:trPr>
        <w:tc>
          <w:tcPr>
            <w:tcW w:w="970" w:type="pct"/>
            <w:vMerge/>
            <w:hideMark/>
          </w:tcPr>
          <w:p w14:paraId="0E672A4A"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26CE1A5F"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4BD67EE9"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ECF86A9" w14:textId="16393347"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Inhibits the adhesion of CRC cells and repress</w:t>
            </w:r>
            <w:r w:rsidR="00DD0330">
              <w:rPr>
                <w:rFonts w:ascii="Book Antiqua" w:eastAsia="Times New Roman" w:hAnsi="Book Antiqua" w:cs="Calibri"/>
                <w:color w:val="000000"/>
                <w:lang w:val="en-US"/>
              </w:rPr>
              <w:t>es</w:t>
            </w:r>
            <w:r w:rsidRPr="00BA2B87">
              <w:rPr>
                <w:rFonts w:ascii="Book Antiqua" w:eastAsia="Times New Roman" w:hAnsi="Book Antiqua" w:cs="Calibri"/>
                <w:color w:val="000000"/>
                <w:lang w:val="en-US"/>
              </w:rPr>
              <w:t xml:space="preserve"> spread of cancer cells</w:t>
            </w:r>
          </w:p>
        </w:tc>
        <w:tc>
          <w:tcPr>
            <w:tcW w:w="518" w:type="pct"/>
            <w:hideMark/>
          </w:tcPr>
          <w:p w14:paraId="7A6DEF50" w14:textId="0FE360F1" w:rsidR="004F2744" w:rsidRPr="00BA2B87" w:rsidRDefault="002B0364" w:rsidP="002C6B97">
            <w:pPr>
              <w:spacing w:line="360" w:lineRule="auto"/>
              <w:jc w:val="both"/>
              <w:rPr>
                <w:rFonts w:ascii="Book Antiqua" w:eastAsia="Times New Roman" w:hAnsi="Book Antiqua" w:cs="Calibri"/>
                <w:color w:val="000000"/>
                <w:lang w:val="en-US"/>
              </w:rPr>
            </w:pPr>
            <w:r w:rsidRPr="004043E7">
              <w:rPr>
                <w:rFonts w:ascii="Book Antiqua" w:hAnsi="Book Antiqua"/>
              </w:rPr>
              <w:t>Kobayashi</w:t>
            </w:r>
            <w:r w:rsidRPr="00BA2B87">
              <w:rPr>
                <w:rFonts w:ascii="Book Antiqua" w:eastAsia="Times New Roman" w:hAnsi="Book Antiqua" w:cs="Calibri"/>
                <w:color w:val="000000"/>
                <w:lang w:val="en-US"/>
              </w:rPr>
              <w:t xml:space="preserve"> </w:t>
            </w:r>
            <w:r w:rsidR="004043E7"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{"citationItems":[{"id":"ITEM-1","itemData":{"ISSN":"00085472","PMID":"10919677","abstract":"Although the beneficial effect of cimetidine on survival in cancer has been clinically demonstrated in colorectal cancer patients, the mode of action of cimetidine has not been elucidated. In this report, we have demonstrated for the first time that cimetidine can block the adhesion of a colorectal tumor cell line to the endothelial cell monolayer in cell culture and that it can suppress the metastasis of the tumor cell in a nude mouse model. We also demonstrated that these antimetastasis effects of cimetidine might occur through down-regulation of the cell surface expression of E-selectin on endothelial cells, a ligand for sialyl Lewis antigens on tumor cells. We found that the cimetidine-mediated down-regulation of E-selectin did not involve down-regulation of E-selectin mRNA or blocking of the nuclear translocation of nuclear factor κB, a transcriptional activator of E-selectin gene expression. Because two other histamine type 2 receptor antagonists, famotidine and ranitidine, did not show any similar effect, these actions of cimetidine probably do not occur via blocking of the histamine receptor. These observations support the idea that cancer metastasis can be blocked by cimetidine administration through blocking the adhesion of tumor cells to the endothelium when an interaction between E-selectin and sialyl-Lewis antigens plays a role.","author":[{"dropping-particle":"","family":"Kobayashi","given":"Ken Ichi","non-dropping-particle":"","parse-names":false,"suffix":""},{"dropping-particle":"","family":"Matsumoto","given":"Sumio","non-dropping-particle":"","parse-names":false,"suffix":""},{"dropping-particle":"","family":"Morishima","given":"Takashi","non-dropping-particle":"","parse-names":false,"suffix":""},{"dropping-particle":"","family":"Kawabe","given":"Takumi","non-dropping-particle":"","parse-names":false,"suffix":""},{"dropping-particle":"","family":"Okamoto","given":"Takashi","non-dropping-particle":"","parse-names":false,"suffix":""}],"container-title":"Cancer Research","id":"ITEM-1","issued":{"date-parts":[["2000"]]},"title":"Cimetidine inhibits cancer cell adhesion to endothelial cells and prevents metastasis by blocking E-selectin expression","type":"article-journal"},"uris":["http://www.mendeley.com/documents/?uuid=85a33f7b-617d-40df-a367-d41c411b1446"]}],"mendeley":{"formattedCitation":"&lt;sup&gt;[111]&lt;/sup&gt;","plainTextFormattedCitation":"[111]","previouslyFormattedCitation":"&lt;sup&gt;[111]&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[111]</w:t>
            </w:r>
            <w:r w:rsidR="004F2744" w:rsidRPr="00BA2B87">
              <w:rPr>
                <w:rFonts w:ascii="Book Antiqua" w:eastAsia="Times New Roman" w:hAnsi="Book Antiqua" w:cs="Calibri"/>
                <w:color w:val="000000"/>
              </w:rPr>
              <w:fldChar w:fldCharType="end"/>
            </w:r>
            <w:r w:rsidR="004043E7">
              <w:rPr>
                <w:rFonts w:ascii="Book Antiqua" w:eastAsia="Times New Roman" w:hAnsi="Book Antiqua" w:cs="Calibri"/>
                <w:color w:val="000000"/>
                <w:lang w:val="en-US"/>
              </w:rPr>
              <w:t>, 2000</w:t>
            </w:r>
          </w:p>
        </w:tc>
      </w:tr>
      <w:tr w:rsidR="000E00C5" w:rsidRPr="00BA2B87" w14:paraId="4BC521AC" w14:textId="77777777" w:rsidTr="006C69BA">
        <w:trPr>
          <w:trHeight w:val="453"/>
        </w:trPr>
        <w:tc>
          <w:tcPr>
            <w:tcW w:w="970" w:type="pct"/>
            <w:vMerge/>
            <w:hideMark/>
          </w:tcPr>
          <w:p w14:paraId="406EB5A0"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723AA3DF"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4EAD9FAA"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5D32E1F" w14:textId="2B70E17E"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Reduces frequency of metastasis and increase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survival rate</w:t>
            </w:r>
          </w:p>
        </w:tc>
        <w:tc>
          <w:tcPr>
            <w:tcW w:w="518" w:type="pct"/>
            <w:hideMark/>
          </w:tcPr>
          <w:p w14:paraId="419D54A5" w14:textId="4A28C058"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 xml:space="preserve">Matsumoto </w:t>
            </w:r>
            <w:r w:rsidRPr="004043E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{"citationItems":[{"id":"ITEM-1","itemData":{"DOI":"10.1038/sj.bjc.6600048","ISSN":"00070920","PMID":"11870500","abstract":"Cimetidine has been shown to have beneficial effects in colorectal cancer patients. In this study, a total of 64 colorectal cancer patients who received curative operation were examined for the effects of cimetidine treatment on survival and recurrence. The cimetidine group was given 800 mg day-1 of cimetidine orally together with 200 mg day-1 of 5-fluorouracil, while the control group received 5-fluorouracil alone. The treatment was initiated 2 weeks after the operation and terminated after 1 year. Robust beneficial effects of cimetidine were noted: the 10-year survival rate of the cimetidine group was 84.6% whereas that of control group was 49.8% (P &lt; 0.0001). According to our previous observations that cimetidine blocked the expression of E-selectin on vascular endothelium and inhibited the adhesion of cancer cells to the endothelium, we have further stratified the patients according to the expression levels of sialyl Lewis antigens X (sLx) and A (sLa). We found that cimetidine treatment was particularly effective in patients whose tumour had higher sLx and sLa antigen levels. For example, the 10-year cumulative survival rate of the cimetidine group with higher CSLEX staining, recognizing sLx, of tumours was 95.5%, whereas that of control group was 35.1% (P=0.0001). In contrast, in the group of patients with no or low levels CSLEX staining, cimetidine did not show significant beneficial effect (the 10-year survival rate of the cimetidine group was 70.0% and that of control group was 85.7% (P=n.s.)). These results clearly indicate that cimetidine treatment dramatically improved survival in colorectal cancer patients with tumour cells expressing high levels of sLx and sLa. © 2002 The Cancer Research Campaign.","author":[{"dropping-particle":"","family":"Matsumoto","given":"S.","non-dropping-particle":"","parse-names":false,"suffix":""},{"dropping-particle":"","family":"Imaeda","given":"Y.","non-dropping-particle":"","parse-names":false,"suffix":""},{"dropping-particle":"","family":"Umemoto","given":"S.","non-dropping-particle":"","parse-names":false,"suffix":""},{"dropping-particle":"","family":"Kobayashi","given":"K.","non-dropping-particle":"","parse-names":false,"suffix":""},{"dropping-particle":"","family":"Suzuki","given":"H.","non-dropping-particle":"","parse-names":false,"suffix":""},{"dropping-particle":"","family":"Okannoto","given":"T.","non-dropping-particle":"","parse-names":false,"suffix":""}],"container-title":"British Journal of Cancer","id":"ITEM-1","issued":{"date-parts":[["2002"]]},"title":"Cimetidine increases survival of colorectal cancer patients with high levels of sialyl Lewis-X and sialyl Lewis-A epitope expression on tumour cells","type":"article-journal"},"uris":["http://www.mendeley.com/documents/?uuid=0c78d6d4-9c14-4b1e-8ae1-9ec58cb28482"]}],"mendeley":{"formattedCitation":"&lt;sup&gt;[112]&lt;/sup&gt;","plainTextFormattedCitation":"[112]","previouslyFormattedCitation":"&lt;sup&gt;[112]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[112]</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2002</w:t>
            </w:r>
          </w:p>
        </w:tc>
      </w:tr>
      <w:tr w:rsidR="000E00C5" w:rsidRPr="00BA2B87" w14:paraId="6702CF09" w14:textId="77777777" w:rsidTr="006C69BA">
        <w:trPr>
          <w:trHeight w:val="198"/>
        </w:trPr>
        <w:tc>
          <w:tcPr>
            <w:tcW w:w="970" w:type="pct"/>
            <w:vMerge/>
            <w:hideMark/>
          </w:tcPr>
          <w:p w14:paraId="64A99441"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8A97A79"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78CC4D45"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50BD3DB0" w14:textId="2487692E"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Prolong</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the </w:t>
            </w:r>
            <w:r w:rsidR="00DD0330">
              <w:rPr>
                <w:rFonts w:ascii="Book Antiqua" w:eastAsia="Times New Roman" w:hAnsi="Book Antiqua" w:cs="Calibri"/>
                <w:color w:val="000000"/>
                <w:lang w:val="en-US"/>
              </w:rPr>
              <w:t xml:space="preserve">probability of </w:t>
            </w:r>
            <w:r w:rsidRPr="00BA2B87">
              <w:rPr>
                <w:rFonts w:ascii="Book Antiqua" w:eastAsia="Times New Roman" w:hAnsi="Book Antiqua" w:cs="Calibri"/>
                <w:color w:val="000000"/>
                <w:lang w:val="en-US"/>
              </w:rPr>
              <w:t xml:space="preserve">recurrence </w:t>
            </w:r>
          </w:p>
        </w:tc>
        <w:tc>
          <w:tcPr>
            <w:tcW w:w="518" w:type="pct"/>
            <w:hideMark/>
          </w:tcPr>
          <w:p w14:paraId="06F458E4" w14:textId="5C271C0E"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 xml:space="preserve">Ali </w:t>
            </w:r>
            <w:r w:rsidRPr="004043E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{"citationItems":[{"id":"ITEM-1","itemData":{"DOI":"10.1097/MJT.0000000000000547","ISSN":"15363686","PMID":"29630589","abstract":"Background:Studies have reported that the perioperative use of cimetidine, a histamine type 2 receptor antagonist, in addition to chemotherapy in patients with lymph node-positive colorectal cancer (CRC) improves the survival.Study Question:To determine if time to CRC recurrence could be prolonged with cimetidine.Study Design:Cimetidine was prescribed to American Joint on Cancer Committee (AJCC) stage III CRC patients perioperatively. Tumor recurrence was defined as the time (in days) between tumor resection and CRC recurrence. Medical charts of patients diagnosed with CRC between 1996 and 2006 were reviewed. Inclusion criteria were patients with (a) AJCC stage III CRC, (b) who had undergone surgical resection of the tumor, and (c) who received chemotherapy (5-fluorouracil).Measures and Outcomes:AJCC stage III CRC patients who did and did not receive cimetidine as part of the treatment regimen were compared with respect to their clinical outcomes using univariate analysis and Kaplan-Meier modeling.Results:Between 1996 and 2006, 38 patients met our inclusion criteria. Twenty-six percent (10/38) received perioperative cimetidine (mean daily dose, 750 mg; mean duration, 369 days; mean total cumulative cimetidine dose, 274,070 mg/d) in addition to chemotherapy. Time to recurrence and cancer deaths were prolonged in the chemotherapy plus cimetidine group compared with the group that received chemotherapy alone (mean ± SD: 1078 ± 290 vs. 446 ± 62; P = 0.03). In addition, we found a significant positive relationship between the duration of cimetidine therapy (days) and survival duration (correlation coefficient = 0.94, P = 0.02) and time until cancer recurrence (correlation coefficient = 0.99, P = 0.04). Moreover, there was a significant positive relationship between the total cumulative cimetidine dose and survival duration (correlation coefficient = 0.92, P = 0.03).Conclusions:Prolonged duration of cimetidine may be superior to shorter courses in prolonging recurrence of CRC and thus survival.","author":[{"dropping-particle":"","family":"Ali","given":"Ahmad H.","non-dropping-particle":"","parse-names":false,"suffix":""},{"dropping-particle":"","family":"Hale","given":"Laurie","non-dropping-particle":"","parse-names":false,"suffix":""},{"dropping-particle":"","family":"Yalamanchili","given":"Bindu","non-dropping-particle":"","parse-names":false,"suffix":""},{"dropping-particle":"","family":"Ahmed","given":"Mashrafi","non-dropping-particle":"","parse-names":false,"suffix":""},{"dropping-particle":"","family":"Ahmed","given":"Marwa","non-dropping-particle":"","parse-names":false,"suffix":""},{"dropping-particle":"","family":"Zhou","given":"Rixin","non-dropping-particle":"","parse-names":false,"suffix":""},{"dropping-particle":"","family":"Wright","given":"Stephen E.","non-dropping-particle":"","parse-names":false,"suffix":""}],"container-title":"American Journal of Therapeutics","id":"ITEM-1","issued":{"date-parts":[["2018"]]},"title":"The Effect of Perioperative Cimetidine Administration on Time to Colorectal Cancer Recurrence","type":"article-journal"},"uris":["http://www.mendeley.com/documents/?uuid=bbb8e78b-9488-495c-91f0-ea9c9bae1f55"]}],"mendeley":{"formattedCitation":"&lt;sup&gt;[113]&lt;/sup&gt;","plainTextFormattedCitation":"[113]","previouslyFormattedCitation":"&lt;sup&gt;[113]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[113]</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5328F0C5" w14:textId="77777777" w:rsidTr="006C69BA">
        <w:trPr>
          <w:trHeight w:val="524"/>
        </w:trPr>
        <w:tc>
          <w:tcPr>
            <w:tcW w:w="970" w:type="pct"/>
            <w:vMerge w:val="restart"/>
            <w:noWrap/>
            <w:hideMark/>
          </w:tcPr>
          <w:p w14:paraId="71CD6C8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Diclofenac</w:t>
            </w:r>
          </w:p>
        </w:tc>
        <w:tc>
          <w:tcPr>
            <w:tcW w:w="1276" w:type="pct"/>
            <w:vMerge w:val="restart"/>
            <w:hideMark/>
          </w:tcPr>
          <w:p w14:paraId="70CA46B8"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Nonsteroidal anti-inflammatory</w:t>
            </w:r>
          </w:p>
        </w:tc>
        <w:tc>
          <w:tcPr>
            <w:tcW w:w="1174" w:type="pct"/>
            <w:vMerge w:val="restart"/>
            <w:hideMark/>
          </w:tcPr>
          <w:p w14:paraId="1B07F775" w14:textId="6C1B7091"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Relieve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pain and inflammation</w:t>
            </w:r>
          </w:p>
        </w:tc>
        <w:tc>
          <w:tcPr>
            <w:tcW w:w="1061" w:type="pct"/>
            <w:hideMark/>
          </w:tcPr>
          <w:p w14:paraId="1BAD0BAA" w14:textId="79DACB58"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Contributes t</w:t>
            </w:r>
            <w:r w:rsidR="00DD0330">
              <w:rPr>
                <w:rFonts w:ascii="Book Antiqua" w:eastAsia="Times New Roman" w:hAnsi="Book Antiqua" w:cs="Calibri"/>
                <w:color w:val="000000"/>
                <w:lang w:val="en-US"/>
              </w:rPr>
              <w:t>o</w:t>
            </w:r>
            <w:r w:rsidRPr="00BA2B87">
              <w:rPr>
                <w:rFonts w:ascii="Book Antiqua" w:eastAsia="Times New Roman" w:hAnsi="Book Antiqua" w:cs="Calibri"/>
                <w:color w:val="000000"/>
                <w:lang w:val="en-US"/>
              </w:rPr>
              <w:t xml:space="preserve"> tumor growth inhibition in colon cancer</w:t>
            </w:r>
          </w:p>
        </w:tc>
        <w:tc>
          <w:tcPr>
            <w:tcW w:w="518" w:type="pct"/>
            <w:hideMark/>
          </w:tcPr>
          <w:p w14:paraId="58A52929" w14:textId="39D4B8A4"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Falkowski</w:t>
            </w:r>
            <w:r w:rsidRPr="004043E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{"citationItems":[{"id":"ITEM-1","itemData":{"ISSN":"02507005","PMID":"12894507","abstract":"Background: Cyclooxygenase-2 (Cox-2) has been found to be overexpressed in several types of human cancers and its role in tumorigenesis has been proposed. The aim of this study was to investigate the effects of the cyclooxygenase inhibitor diclofenac on the growth of murine C-26 colon carcinoma cells. Materials and Methods: Expression of Cox-2 mRNA and protein was examined by RT-PCR analysis and immunohistochemistry, respectively. By using MTT-assay, we examined the effects of diclofenac at various concentrations on the growth of C-26 cells in vitro. The effect of diclofenac on the growth of the C-26 tumor in syngeneic mice was also investigated. Results: By RT-PCR, Cox-2 mRNA was detected in C-26 cells. Cox-2 protein was localized to C-26 cells and treatment with diclofenac resulted in apoptotic cell death in a dose-dependent manner. Diclofenac administered in drinking water resulted in growth inhibition of C-26 tumor in mice and correlated with plasma levels of both PGE2 and TXB2. Conclusion: Our data show that diclofenac may be a potential agent for the prevention and treatment of human colon cancer.","author":[{"dropping-particle":"","family":"Falkowski","given":"M.","non-dropping-particle":"","parse-names":false,"suffix":""},{"dropping-particle":"","family":"Skogstad","given":"S.","non-dropping-particle":"","parse-names":false,"suffix":""},{"dropping-particle":"","family":"Shahzidi","given":"S.","non-dropping-particle":"","parse-names":false,"suffix":""},{"dropping-particle":"","family":"Smedsröd","given":"B.","non-dropping-particle":"","parse-names":false,"suffix":""},{"dropping-particle":"","family":"Sveinbjörnsson","given":"B.","non-dropping-particle":"","parse-names":false,"suffix":""}],"container-title":"Anticancer Research","id":"ITEM-1","issued":{"date-parts":[["2003"]]},"title":"The effect of cyclooxygenase inhibitor diclofenac on experimental murine colon carcinoma","type":"article-journal"},"uris":["http://www.mendeley.com/documents/?uuid=d281cb99-2a5c-43ed-b182-2525078993ba"]}],"mendeley":{"formattedCitation":"&lt;sup&gt;[116]&lt;/sup&gt;","plainTextFormattedCitation":"[116]","previouslyFormattedCitation":"&lt;sup&gt;[116]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[116]</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2003</w:t>
            </w:r>
          </w:p>
        </w:tc>
      </w:tr>
      <w:tr w:rsidR="000E00C5" w:rsidRPr="00BA2B87" w14:paraId="4CA0A07B" w14:textId="77777777" w:rsidTr="006C69BA">
        <w:trPr>
          <w:trHeight w:val="220"/>
        </w:trPr>
        <w:tc>
          <w:tcPr>
            <w:tcW w:w="970" w:type="pct"/>
            <w:vMerge/>
            <w:hideMark/>
          </w:tcPr>
          <w:p w14:paraId="64A99E77"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A312075"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29B7118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6F294163" w14:textId="59B7F3A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Promotes cell death</w:t>
            </w:r>
          </w:p>
        </w:tc>
        <w:tc>
          <w:tcPr>
            <w:tcW w:w="518" w:type="pct"/>
            <w:hideMark/>
          </w:tcPr>
          <w:p w14:paraId="1CBE53C6" w14:textId="1C82130D"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Arisan</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{"citationItems":[{"id":"ITEM-1","itemData":{"DOI":"10.1007/s11033-018-4378-2","ISSN":"15734978","PMID":"30406888","abstract":"Diclofenac is a preferential cyclooxygenase 2 inhibitor (COX-2) and member of non-steroidal anti-inflammatory drugs (NSAIDs). Inflammation is one of the main reason of poor prognosis of colon cancer cases; thereby NSAIDs are potential therapeutic agents in colon cancer therapy. In this study, our aim to understand the potential molecular targets of diclofenac, which may propose new therapeutic targets in HCT 116 (wt p53) and SW480 (mutant p53R273H) colon cancer cells. For this purpose, we identified different response against diclofenac treatment through expression profiles of PI3K/Akt/MAPK signaling axis. Our hypothesis was diclofenac-mediated apoptosis is associated with inhibition of PI3K/Akt/MAPK signaling axis. We found that sub-cytotoxic concentration of diclofenac (400 µM) promoted further apoptosis in HCT 116 cells compared to SW480 colon cancer cells. Diclofenac triggered dephosphorylation of PTEN, PDK, Akt, which led to inhibition of PI3K/Akt survival axis in HCT 116 colon cancer cells. However, diclofenac showed lesser effect in SW480 colon cancer cells. In addition, diclofenac further activated p44/42, p38 and SAPK/JNK in HCT 116 cells compared to SW480 cells.","author":[{"dropping-particle":"","family":"Arisan","given":"Elif Damla","non-dropping-particle":"","parse-names":false,"suffix":""},{"dropping-particle":"","family":"Ergül","given":"Zehragül","non-dropping-particle":"","parse-names":false,"suffix":""},{"dropping-particle":"","family":"Bozdağ","given":"Gülnihal","non-dropping-particle":"","parse-names":false,"suffix":""},{"dropping-particle":"","family":"Rencüzoğulları","given":"Özge","non-dropping-particle":"","parse-names":false,"suffix":""},{"dropping-particle":"","family":"Çoker-Gürkan","given":"Ajda","non-dropping-particle":"","parse-names":false,"suffix":""},{"dropping-particle":"","family":"Obakan-Yerlikaya","given":"Pınar","non-dropping-particle":"","parse-names":false,"suffix":""},{"dropping-particle":"","family":"Coşkun","given":"Deniz","non-dropping-particle":"","parse-names":false,"suffix":""},{"dropping-particle":"","family":"Palavan-Ünsal","given":"Narçin","non-dropping-particle":"","parse-names":false,"suffix":""}],"container-title":"Molecular Biology Reports","id":"ITEM-1","issued":{"date-parts":[["2018"]]},"title":"Diclofenac induced apoptosis via altering PI3K/Akt/MAPK signaling axis in HCT 116 more efficiently compared to SW480 colon cancer cells","type":"article-journal"},"uris":["http://www.mendeley.com/documents/?uuid=8cc02b98-f8f3-4bc2-bea0-cc29b94f6e84"]}],"mendeley":{"formattedCitation":"&lt;sup&gt;[117]&lt;/sup&gt;","plainTextFormattedCitation":"[117]","previouslyFormattedCitation":"&lt;sup&gt;[117]&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[117]</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18F1DE28" w14:textId="77777777" w:rsidTr="006C69BA">
        <w:trPr>
          <w:trHeight w:val="607"/>
        </w:trPr>
        <w:tc>
          <w:tcPr>
            <w:tcW w:w="970" w:type="pct"/>
            <w:vMerge w:val="restart"/>
            <w:noWrap/>
            <w:hideMark/>
          </w:tcPr>
          <w:p w14:paraId="49396873"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Chloroquine</w:t>
            </w:r>
          </w:p>
        </w:tc>
        <w:tc>
          <w:tcPr>
            <w:tcW w:w="1276" w:type="pct"/>
            <w:vMerge w:val="restart"/>
            <w:hideMark/>
          </w:tcPr>
          <w:p w14:paraId="3A68CE7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Antimalarial</w:t>
            </w:r>
          </w:p>
        </w:tc>
        <w:tc>
          <w:tcPr>
            <w:tcW w:w="1174" w:type="pct"/>
            <w:vMerge w:val="restart"/>
            <w:hideMark/>
          </w:tcPr>
          <w:p w14:paraId="61C62231"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malaria</w:t>
            </w:r>
          </w:p>
        </w:tc>
        <w:tc>
          <w:tcPr>
            <w:tcW w:w="1061" w:type="pct"/>
            <w:hideMark/>
          </w:tcPr>
          <w:p w14:paraId="091AA605"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Increases cell inhibition and decreases reproduction</w:t>
            </w:r>
          </w:p>
        </w:tc>
        <w:tc>
          <w:tcPr>
            <w:tcW w:w="518" w:type="pct"/>
            <w:hideMark/>
          </w:tcPr>
          <w:p w14:paraId="5E5FB6BA" w14:textId="4063C643"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Sasaki</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{"citationItems":[{"id":"ITEM-1","itemData":{"author":[{"dropping-particle":"","family":"Sasaki","given":"Kazuhito","non-dropping-particle":"","parse-names":false,"suffix":""},{"dropping-particle":"","family":"Tsuno","given":"Nelson H","non-dropping-particle":"","parse-names":false,"suffix":""},{"dropping-particle":"","family":"Sunami","given":"Eiji","non-dropping-particle":"","parse-names":false,"suffix":""},{"dropping-particle":"","family":"Tsurita","given":"Giichiro","non-dropping-particle":"","parse-names":false,"suffix":""},{"dropping-particle":"","family":"Kawai","given":"Kazushige","non-dropping-particle":"","parse-names":false,"suffix":""},{"dropping-particle":"","family":"Okaji","given":"Yurai","non-dropping-particle":"","parse-names":false,"suffix":""},{"dropping-particle":"","family":"Nishikawa","given":"Takeshi","non-dropping-particle":"","parse-names":false,"suffix":""},{"dropping-particle":"","family":"Shuno","given":"Yasutaka","non-dropping-particle":"","parse-names":false,"suffix":""},{"dropping-particle":"","family":"Hongo","given":"Kumiko","non-dropping-particle":"","parse-names":false,"suffix":""},{"dropping-particle":"","family":"Hiyoshi","given":"Masaya","non-dropping-particle":"","parse-names":false,"suffix":""},{"dropping-particle":"","family":"Kaneko","given":"Manabu","non-dropping-particle":"","parse-names":false,"suffix":""},{"dropping-particle":"","family":"Kitayama","given":"Joji","non-dropping-particle":"","parse-names":false,"suffix":""},{"dropping-particle":"","family":"Takahashi","given":"Koki","non-dropping-particle":"","parse-names":false,"suffix":""},{"dropping-particle":"","family":"Nagawa","given":"Hirokazu","non-dropping-particle":"","parse-names":false,"suffix":""}],"id":"ITEM-1","issued":{"date-parts":[["2010"]]},"title":"Chloroquine potentiates the anti-cancer effect of 5-fluorouracil on colon cancer cells","type":"article-journal"},"uris":["http://www.mendeley.com/documents/?uuid=15f7f012-9440-4ead-aa31-d8934d204794"]}],"mendeley":{"formattedCitation":"&lt;sup&gt;[119]&lt;/sup&gt;","plainTextFormattedCitation":"[119]","previouslyFormattedCitation":"&lt;sup&gt;[119]&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[119]</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2010</w:t>
            </w:r>
          </w:p>
        </w:tc>
      </w:tr>
      <w:tr w:rsidR="000E00C5" w:rsidRPr="00BA2B87" w14:paraId="7706BB9C" w14:textId="77777777" w:rsidTr="006C69BA">
        <w:trPr>
          <w:trHeight w:val="842"/>
        </w:trPr>
        <w:tc>
          <w:tcPr>
            <w:tcW w:w="970" w:type="pct"/>
            <w:vMerge/>
            <w:hideMark/>
          </w:tcPr>
          <w:p w14:paraId="11E45D2E"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00D76D7B"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638FAAE6"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199C21A2" w14:textId="010BB4F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Us</w:t>
            </w:r>
            <w:r w:rsidR="00DD0330">
              <w:rPr>
                <w:rFonts w:ascii="Book Antiqua" w:eastAsia="Times New Roman" w:hAnsi="Book Antiqua" w:cs="Calibri"/>
                <w:color w:val="000000"/>
                <w:lang w:val="en-US"/>
              </w:rPr>
              <w:t>e</w:t>
            </w:r>
            <w:r w:rsidRPr="00BA2B87">
              <w:rPr>
                <w:rFonts w:ascii="Book Antiqua" w:eastAsia="Times New Roman" w:hAnsi="Book Antiqua" w:cs="Calibri"/>
                <w:color w:val="000000"/>
                <w:lang w:val="en-US"/>
              </w:rPr>
              <w:t xml:space="preserve"> at high doses (40–160 </w:t>
            </w:r>
            <w:r w:rsidR="00BF55A0" w:rsidRPr="00BF55A0">
              <w:rPr>
                <w:rFonts w:ascii="Book Antiqua" w:eastAsia="Times New Roman" w:hAnsi="Book Antiqua" w:cs="Calibri"/>
                <w:color w:val="000000"/>
                <w:lang w:val="en-US"/>
              </w:rPr>
              <w:t>μ</w:t>
            </w:r>
            <w:r w:rsidRPr="00BA2B87">
              <w:rPr>
                <w:rFonts w:ascii="Book Antiqua" w:eastAsia="Times New Roman" w:hAnsi="Book Antiqua" w:cs="Calibri"/>
                <w:color w:val="000000"/>
                <w:lang w:val="en-US"/>
              </w:rPr>
              <w:t>M) encourage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lysosomal membrane permeabilization and cell death</w:t>
            </w:r>
          </w:p>
        </w:tc>
        <w:tc>
          <w:tcPr>
            <w:tcW w:w="518" w:type="pct"/>
            <w:hideMark/>
          </w:tcPr>
          <w:p w14:paraId="15C30E42" w14:textId="5D9AFA30"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Park</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{"citationItems":[{"id":"ITEM-1","itemData":{"DOI":"10.12717/dr.2014.18.4.225","ISSN":"1226-6752","abstract":"Autophagy is a homeostatic degradation process that is involved in tumor development and normal development. Autophagy is induced in cancer cells in response to chemotherapeutic agents, and inhibition of autophagy results in enhanced cancer cell death or survival. Chloroquine (CQ), an anti-malarial drug, is a lysosomotropic agent and is currently used as a potential anticancer agent as well as an autophagy inhibitor. Here, we evaluate the characteristics of these dual activities of CQ using human colorectal cancer cell line HCT15. The results show that CQ inhibited cell viability in dose-and time-dependent manner in the range between 20 to 80 uM, while CQ did not show any antiproliferative activity at 5 and 10 uM. Cotreatment of CQ with antitumor agent NVP-BEZ235, a dual inhibitor of PI3K/mTOR, rescued the cell viability at low concentrations meaning that CQ acted as an autophagy inhibitor, but CQ induced the lethal effect at high concentrations. Acridine orange staining revealed that CQ at high doses induced lysosomal membrane permeabilization (LMP). High doses of CQ produced cellular reactive oxygen species (ROS) and cotreatment of antioxidants, such as NAC and trolox, with high doses of CQ rescued the cell viability. These results suggest that CQ may exert its dual activities, as autophagy inhibitor or LMP inducer, in concentration-dependent manner.","author":[{"dropping-particle":"","family":"Park","given":"Deokbae","non-dropping-particle":"","parse-names":false,"suffix":""},{"dropping-particle":"","family":"Lee","given":"Youngki","non-dropping-particle":"","parse-names":false,"suffix":""}],"container-title":"Development &amp; Reproduciton","id":"ITEM-1","issued":{"date-parts":[["2014"]]},"title":"Biphasic Activity of Chloroquine in Human Colorectal Cancer Cells","type":"article-journal"},"uris":["http://www.mendeley.com/documents/?uuid=76ea86fe-8e42-45c9-b32b-7bb7a0f1f47a"]}],"mendeley":{"formattedCitation":"&lt;sup&gt;[120]&lt;/sup&gt;","plainTextFormattedCitation":"[120]","previouslyFormattedCitation":"&lt;sup&gt;[120]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2014</w:t>
            </w:r>
          </w:p>
        </w:tc>
      </w:tr>
      <w:tr w:rsidR="000E00C5" w:rsidRPr="00BA2B87" w14:paraId="2A9EED23" w14:textId="77777777" w:rsidTr="006C69BA">
        <w:trPr>
          <w:trHeight w:val="1083"/>
        </w:trPr>
        <w:tc>
          <w:tcPr>
            <w:tcW w:w="970" w:type="pct"/>
            <w:vMerge w:val="restart"/>
            <w:noWrap/>
            <w:hideMark/>
          </w:tcPr>
          <w:p w14:paraId="5858545E"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Sulindac</w:t>
            </w:r>
          </w:p>
        </w:tc>
        <w:tc>
          <w:tcPr>
            <w:tcW w:w="1276" w:type="pct"/>
            <w:vMerge w:val="restart"/>
            <w:hideMark/>
          </w:tcPr>
          <w:p w14:paraId="4FA98E5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Nonsteroidal anti-inflammatory</w:t>
            </w:r>
          </w:p>
        </w:tc>
        <w:tc>
          <w:tcPr>
            <w:tcW w:w="1174" w:type="pct"/>
            <w:vMerge w:val="restart"/>
            <w:hideMark/>
          </w:tcPr>
          <w:p w14:paraId="36C7550F" w14:textId="392A83BB"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Reduce</w:t>
            </w:r>
            <w:r w:rsidR="00DD0330">
              <w:rPr>
                <w:rFonts w:ascii="Book Antiqua" w:eastAsia="Times New Roman" w:hAnsi="Book Antiqua" w:cs="Calibri"/>
                <w:color w:val="000000"/>
                <w:lang w:val="en-US"/>
              </w:rPr>
              <w:t>s</w:t>
            </w:r>
            <w:r w:rsidR="00B0143D">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t xml:space="preserve">pain, swelling, and joint stiffness </w:t>
            </w:r>
            <w:r w:rsidR="00DD0330">
              <w:rPr>
                <w:rFonts w:ascii="Book Antiqua" w:eastAsia="Times New Roman" w:hAnsi="Book Antiqua" w:cs="Calibri"/>
                <w:color w:val="000000"/>
                <w:lang w:val="en-US"/>
              </w:rPr>
              <w:t>due to</w:t>
            </w:r>
            <w:r w:rsidR="00B0143D">
              <w:rPr>
                <w:rFonts w:ascii="Book Antiqua" w:eastAsia="Times New Roman" w:hAnsi="Book Antiqua" w:cs="Calibri"/>
                <w:color w:val="000000"/>
                <w:lang w:val="en-US"/>
              </w:rPr>
              <w:t xml:space="preserve"> </w:t>
            </w:r>
            <w:r w:rsidRPr="00BA2B87">
              <w:rPr>
                <w:rFonts w:ascii="Book Antiqua" w:eastAsia="Times New Roman" w:hAnsi="Book Antiqua" w:cs="Calibri"/>
                <w:color w:val="000000"/>
                <w:lang w:val="en-US"/>
              </w:rPr>
              <w:t>arthritis</w:t>
            </w:r>
          </w:p>
        </w:tc>
        <w:tc>
          <w:tcPr>
            <w:tcW w:w="1061" w:type="pct"/>
            <w:hideMark/>
          </w:tcPr>
          <w:p w14:paraId="18170109" w14:textId="3C51B8FD"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Decreases final tumor counts and prevent</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CRC especially </w:t>
            </w:r>
            <w:r w:rsidR="00DD0330" w:rsidRPr="00BA2B87">
              <w:rPr>
                <w:rFonts w:ascii="Book Antiqua" w:eastAsia="Times New Roman" w:hAnsi="Book Antiqua" w:cs="Calibri"/>
                <w:color w:val="000000"/>
                <w:lang w:val="en-US"/>
              </w:rPr>
              <w:t xml:space="preserve">when </w:t>
            </w:r>
            <w:r w:rsidR="00DD0330">
              <w:rPr>
                <w:rFonts w:ascii="Book Antiqua" w:eastAsia="Times New Roman" w:hAnsi="Book Antiqua" w:cs="Calibri"/>
                <w:color w:val="000000"/>
                <w:lang w:val="en-US"/>
              </w:rPr>
              <w:t>given</w:t>
            </w:r>
            <w:r w:rsidRPr="00BA2B87">
              <w:rPr>
                <w:rFonts w:ascii="Book Antiqua" w:eastAsia="Times New Roman" w:hAnsi="Book Antiqua" w:cs="Calibri"/>
                <w:color w:val="000000"/>
                <w:lang w:val="en-US"/>
              </w:rPr>
              <w:t xml:space="preserve"> in intermittent doses</w:t>
            </w:r>
          </w:p>
        </w:tc>
        <w:tc>
          <w:tcPr>
            <w:tcW w:w="518" w:type="pct"/>
            <w:hideMark/>
          </w:tcPr>
          <w:p w14:paraId="458F6EEA" w14:textId="12EEE9B8"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Chandra</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{"citationItems":[{"id":"ITEM-1","itemData":{"DOI":"10.1158/1940-6207.CAPR-17-0038","ISSN":"19406215","PMID":"28611038","abstract":"Sulindac is an NSAID that can provide effective chemoprevention for colorectal cancer. In this study, alternative dosing regimens of sulindac were evaluated for their chemoprevention effectiveness in the azoxymethane-treated A/J mouse model of colorectal cancer. High-resolution endoscopic optical coherence tomography was utilized to time-serially measure tumor number and tumor burden in the distal colon as the biological endpoints. Four treatment groups were studied: (i) daily for 20 weeks (sulindac-daily); (ii) for 2 weeks, then no sulindac for 2 weeks, cycle repeated 5 times (sulindac-2); (iii) for 10 weeks (\"on\"), then no sulindac for 10 weeks (\"off\"; sulindac-10); and (iv) no sulindac (sulindac-none). Sulindac-2 and sulindacdaily had statistically significantly lower final tumor counts and slopes (change in number of tumors per week) when compared with sulindac-none (P &lt; 0.0001). All of the treatment groups had statistically significantly lower final tumor burdens and slopes when compared with sulindac-none (P &lt; 0.001). There was a prolonged latency period in the sulindac-10 group, with no significant difference between the \"off\" portion of this treatment and sulindac-none. These results suggest that, although daily doses of sulindac provide the most optimal effects, intermittent doses of sulindac in a 50% duty cycle with an overall 4-week period (sulindac-2 model) can provide highly effective chemoprevention of colorectal cancer in this model. After cessation of sulindac treatment (sulindac-10 \"off\"), there is no evidence of either a persistent chemopreventive effect or a rebound effect.","author":[{"dropping-particle":"","family":"Chandra","given":"Swati","non-dropping-particle":"","parse-names":false,"suffix":""},{"dropping-particle":"","family":"Nymeyer","given":"Ariel C.","non-dropping-particle":"","parse-names":false,"suffix":""},{"dropping-particle":"","family":"Rice","given":"Photini Faith","non-dropping-particle":"","parse-names":false,"suffix":""},{"dropping-particle":"","family":"Gerner","given":"Eugene W.","non-dropping-particle":"","parse-names":false,"suffix":""}],"container-title":"Cancer Prevention Research","id":"ITEM-1","issued":{"date-parts":[["2017"]]},"title":"Intermittent dosing with sulindac provides effective colorectal cancer chemoprevention in the azoxymethane-treated mouse model","type":"article-journal"},"uris":["http://www.mendeley.com/documents/?uuid=a06c4eb2-8cce-4cfc-b04e-fe7c36491672"]}],"mendeley":{"formattedCitation":"&lt;sup&gt;[122]&lt;/sup&gt;","plainTextFormattedCitation":"[122]","previouslyFormattedCitation":"&lt;sup&gt;[122]&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[122]</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2017</w:t>
            </w:r>
          </w:p>
        </w:tc>
      </w:tr>
      <w:tr w:rsidR="000E00C5" w:rsidRPr="00BA2B87" w14:paraId="020F66EC" w14:textId="77777777" w:rsidTr="006C69BA">
        <w:trPr>
          <w:trHeight w:val="107"/>
        </w:trPr>
        <w:tc>
          <w:tcPr>
            <w:tcW w:w="970" w:type="pct"/>
            <w:vMerge/>
            <w:hideMark/>
          </w:tcPr>
          <w:p w14:paraId="2DFC214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3C962252"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66AF8917"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772B275F"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Decreases polyp count</w:t>
            </w:r>
          </w:p>
        </w:tc>
        <w:tc>
          <w:tcPr>
            <w:tcW w:w="518" w:type="pct"/>
            <w:hideMark/>
          </w:tcPr>
          <w:p w14:paraId="4D92568E" w14:textId="2428B8FD"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Davis</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 xml:space="preserve">et </w:t>
            </w:r>
            <w:r w:rsidRPr="004043E7">
              <w:rPr>
                <w:rFonts w:ascii="Book Antiqua" w:eastAsia="Times New Roman" w:hAnsi="Book Antiqua" w:cs="Calibri"/>
                <w:i/>
                <w:iCs/>
                <w:color w:val="000000"/>
                <w:lang w:val="en-US"/>
              </w:rPr>
              <w:lastRenderedPageBreak/>
              <w:t>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{"citationItems":[{"id":"ITEM-1","itemData":{"DOI":"10.1186/s12885-020-07311-4","ISSN":"14712407","PMID":"32912193","abstract":"Background: Non-steroidal anti-inflammatory drugs (NSAIDs) such as aspirin and sulindac are effective for colorectal cancer prevention in humans and some animal models, but concerns over gastro-intestinal (GI) ulceration and bleeding limit their potential for chemopreventive use in broader populations. Recently, the combination of aspirin with a phospholipid, packaged as PL-ASA, was shown to reduce GI toxicity in a small clinical trial. However, these studies were done for relatively short periods of time. Since prolonged, regular use is needed for chemopreventive benefit, it is important to know whether GI safety is maintained over longer use periods and whether cancer prevention efficacy is preserved when an NSAID is combined with a phospholipid. Methods: As a first step to answering these questions, we treated seven to eight-week-old, male and female C57B/6 Apc min/+ mice with the NSAID sulindac, with and without phosphatidylcholine (PC) for 3-weeks. At the end of the treatment period, we evaluated polyp burden, gastric toxicity, urinary prostaglandins (as a marker of sulindac target engagement), and blood chemistries. Results: Both sulindac and sulindac-PC treatments resulted in significantly reduced polyp burden, and decreased urinary prostaglandins, but sulindac-PC treatment also resulted in the reduction of gastric lesions compared to sulindac alone. Conclusions: Together these data provide pre-clinical support for combining NSAIDs with a phospholipid, such as phosphatidylcholine to reduce GI toxicity while maintaining chemopreventive efficacy.","author":[{"dropping-particle":"","family":"Davis","given":"Jennifer S.","non-dropping-particle":"","parse-names":false,"suffix":""},{"dropping-particle":"","family":"Kanikarla-Marie","given":"Preeti","non-dropping-particle":"","parse-names":false,"suffix":""},{"dropping-particle":"","family":"Gagea","given":"Mihai","non-dropping-particle":"","parse-names":false,"suffix":""},{"dropping-particle":"","family":"Yu","given":"Patrick L.","non-dropping-particle":"","parse-names":false,"suffix":""},{"dropping-particle":"","family":"Fang","given":"Dexing","non-dropping-particle":"","parse-names":false,"suffix":""},{"dropping-particle":"","family":"Sebastian","given":"Manu","non-dropping-particle":"","parse-names":false,"suffix":""},{"dropping-particle":"","family":"Yang","given":"Peiying","non-dropping-particle":"","parse-names":false,"suffix":""},{"dropping-particle":"","family":"Hawk","given":"Ernest","non-dropping-particle":"","parse-names":false,"suffix":""},{"dropping-particle":"","family":"Dashwood","given":"Roderick","non-dropping-particle":"","parse-names":false,"suffix":""},{"dropping-particle":"","family":"Lichtenberger","given":"Lenard M.","non-dropping-particle":"","parse-names":false,"suffix":""},{"dropping-particle":"","family":"Menter","given":"David","non-dropping-particle":"","parse-names":false,"suffix":""},{"dropping-particle":"","family":"Kopetz","given":"Scott","non-dropping-particle":"","parse-names":false,"suffix":""}],"container-title":"BMC Cancer","id":"ITEM-1","issued":{"date-parts":[["2020"]]},"title":"Sulindac plus a phospholipid is effective for polyp reduction and safer than sulindac alone in a mouse model of colorectal cancer development","type":"article-journal"},"uris":["http://www.mendeley.com/documents/?uuid=5d75fc9e-0a9e-49d9-8bff-9059325756c3"]}],"mendeley":{"formattedCitation":"&lt;sup&gt;[123]&lt;/sup&gt;","plainTextFormattedCitation":"[123]","previouslyFormattedCitation":"&lt;sup&gt;[123]&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[123]</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2020</w:t>
            </w:r>
          </w:p>
        </w:tc>
      </w:tr>
      <w:tr w:rsidR="000E00C5" w:rsidRPr="00BA2B87" w14:paraId="5521E767" w14:textId="77777777" w:rsidTr="006C69BA">
        <w:trPr>
          <w:trHeight w:val="567"/>
        </w:trPr>
        <w:tc>
          <w:tcPr>
            <w:tcW w:w="970" w:type="pct"/>
            <w:vMerge w:val="restart"/>
            <w:noWrap/>
            <w:hideMark/>
          </w:tcPr>
          <w:p w14:paraId="23EC1D57"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lastRenderedPageBreak/>
              <w:t>Mesalazine</w:t>
            </w:r>
          </w:p>
        </w:tc>
        <w:tc>
          <w:tcPr>
            <w:tcW w:w="1276" w:type="pct"/>
            <w:vMerge w:val="restart"/>
            <w:hideMark/>
          </w:tcPr>
          <w:p w14:paraId="342E4F87"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Anti-inflammatory</w:t>
            </w:r>
          </w:p>
        </w:tc>
        <w:tc>
          <w:tcPr>
            <w:tcW w:w="1174" w:type="pct"/>
            <w:vMerge w:val="restart"/>
            <w:hideMark/>
          </w:tcPr>
          <w:p w14:paraId="6FADAC02"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mild to moderate ulcerative colitis</w:t>
            </w:r>
          </w:p>
        </w:tc>
        <w:tc>
          <w:tcPr>
            <w:tcW w:w="1061" w:type="pct"/>
            <w:hideMark/>
          </w:tcPr>
          <w:p w14:paraId="74ACAAE1" w14:textId="2E8EC563"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Decreases CRC cell number and enhance</w:t>
            </w:r>
            <w:r w:rsidR="00DD0330">
              <w:rPr>
                <w:rFonts w:ascii="Book Antiqua" w:eastAsia="Times New Roman" w:hAnsi="Book Antiqua" w:cs="Calibri"/>
                <w:color w:val="000000"/>
                <w:lang w:val="en-US"/>
              </w:rPr>
              <w:t>s</w:t>
            </w:r>
            <w:r w:rsidRPr="00BA2B87">
              <w:rPr>
                <w:rFonts w:ascii="Book Antiqua" w:eastAsia="Times New Roman" w:hAnsi="Book Antiqua" w:cs="Calibri"/>
                <w:color w:val="000000"/>
                <w:lang w:val="en-US"/>
              </w:rPr>
              <w:t xml:space="preserve"> apoptosis</w:t>
            </w:r>
          </w:p>
        </w:tc>
        <w:tc>
          <w:tcPr>
            <w:tcW w:w="518" w:type="pct"/>
            <w:hideMark/>
          </w:tcPr>
          <w:p w14:paraId="1F247825" w14:textId="17F74A1E"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Reinacher-Schick</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author":[{"dropping-particle":"","family":"Schoeneck","given":"A","non-dropping-particle":"","parse-names":false,"suffix":""},{"dropping-particle":"","family":"Graeven","given":"U","non-dropping-particle":"","parse-names":false,"suffix":""},{"dropping-particle":"","family":"Schmiegel","given":"W","non-dropping-particle":"","parse-names":false,"suffix":""}],"id":"ITEM-1","issue":"3","issued":{"date-parts":[["2003"]]},"page":"443-451","title":"Mesalazine causes a mitotic arrest and induces caspase-dependent apoptosis in colon carcinoma cells prevention is still limited due to toxicities . There is longstanding clinical experience with the aminosalicylate mesalazine in the treatment of patients ","type":"article-journal","volume":"24"},"uris":["http://www.mendeley.com/documents/?uuid=c270b7a2-2930-4480-b977-8d0297dd512c"]}],"mendeley":{"formattedCitation":"&lt;sup&gt;[125]&lt;/sup&gt;","plainTextFormattedCitation":"[125]","previouslyFormattedCitation":"&lt;sup&gt;[125]&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[125]</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2003</w:t>
            </w:r>
          </w:p>
        </w:tc>
      </w:tr>
      <w:tr w:rsidR="000E00C5" w:rsidRPr="00BA2B87" w14:paraId="2CAEF70C" w14:textId="77777777" w:rsidTr="006C69BA">
        <w:trPr>
          <w:trHeight w:val="418"/>
        </w:trPr>
        <w:tc>
          <w:tcPr>
            <w:tcW w:w="970" w:type="pct"/>
            <w:vMerge/>
            <w:hideMark/>
          </w:tcPr>
          <w:p w14:paraId="10B72A98"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276" w:type="pct"/>
            <w:vMerge/>
            <w:hideMark/>
          </w:tcPr>
          <w:p w14:paraId="5DE9CA54"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174" w:type="pct"/>
            <w:vMerge/>
            <w:hideMark/>
          </w:tcPr>
          <w:p w14:paraId="6D03F2CC" w14:textId="77777777" w:rsidR="004F2744" w:rsidRPr="00BA2B87" w:rsidRDefault="004F2744" w:rsidP="002C6B97">
            <w:pPr>
              <w:spacing w:line="360" w:lineRule="auto"/>
              <w:jc w:val="both"/>
              <w:rPr>
                <w:rFonts w:ascii="Book Antiqua" w:eastAsia="Times New Roman" w:hAnsi="Book Antiqua" w:cs="Calibri"/>
                <w:color w:val="000000"/>
                <w:lang w:val="en-US"/>
              </w:rPr>
            </w:pPr>
          </w:p>
        </w:tc>
        <w:tc>
          <w:tcPr>
            <w:tcW w:w="1061" w:type="pct"/>
            <w:hideMark/>
          </w:tcPr>
          <w:p w14:paraId="4B8666BB"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Causes CRC cell cycle arrest and cell death</w:t>
            </w:r>
          </w:p>
        </w:tc>
        <w:tc>
          <w:tcPr>
            <w:tcW w:w="518" w:type="pct"/>
            <w:hideMark/>
          </w:tcPr>
          <w:p w14:paraId="7E20000D" w14:textId="4CD07B0D"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Koelink</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{"citationItems":[{"id":"ITEM-1","itemData":{"DOI":"10.1002/ibd.21086","ISSN":"10780998","PMID":"19774649","abstract":"Introduction: Epidemiological data suggests that 5-aminosalicylic acid (5-ASA), a nonsteroidal antiinflammatory drug used in the treatment of inflammatory bowel diseases, prevents colorectal cancer development in these patients, although the mechanisms remain incompletely understood. Methods and Results: Here we report that 5-ASA prevents growth of several colorectal cancer cell lines by interfering in the cell cycle, i.e., an S-phase and G2/M phase arrest, dependent on 5-ASA dosage and concentration, together with an increased mitotic index. In addition, prolonged cell cycle arrest by repeated 5-ASA treatment induced apoptosis and caused abnormal spindle organization leading to mitotic catastrophe, another form of cell death. Conclusion: These observations illustrate that 5-ASA has chemopreventive and chemotherapeutic properties. Copyright © 2009 Crohn's &amp; Colitis Foundation of America, Inc.","author":[{"dropping-particle":"","family":"Koelink","given":"Pim J.","non-dropping-particle":"","parse-names":false,"suffix":""},{"dropping-particle":"","family":"Mieremet-Ooms","given":"Marij A.C.","non-dropping-particle":"","parse-names":false,"suffix":""},{"dropping-particle":"","family":"Corver","given":"Willem E.","non-dropping-particle":"","parse-names":false,"suffix":""},{"dropping-particle":"","family":"Wolanin","given":"Kamila","non-dropping-particle":"","parse-names":false,"suffix":""},{"dropping-particle":"","family":"Hommes","given":"Daniel W.","non-dropping-particle":"","parse-names":false,"suffix":""},{"dropping-particle":"","family":"Lamers","given":"Cornelis B.H.W.","non-dropping-particle":"","parse-names":false,"suffix":""},{"dropping-particle":"","family":"Verspaget","given":"Hein W.","non-dropping-particle":"","parse-names":false,"suffix":""}],"container-title":"Inflammatory Bowel Diseases","id":"ITEM-1","issued":{"date-parts":[["2010"]]},"title":"5-Aminosalicylic acid interferes in the cell cycle of colorectal cancer cells and induces cell death modes","type":"article-journal"},"uris":["http://www.mendeley.com/documents/?uuid=5ed71348-b45e-4b0f-ae7c-a7c9a9280a6a"]}],"mendeley":{"formattedCitation":"&lt;sup&gt;[126]&lt;/sup&gt;","plainTextFormattedCitation":"[126]","previouslyFormattedCitation":"&lt;sup&gt;[126]&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[126]</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2010</w:t>
            </w:r>
          </w:p>
        </w:tc>
      </w:tr>
      <w:tr w:rsidR="000E00C5" w:rsidRPr="00BA2B87" w14:paraId="41AC1FC6" w14:textId="77777777" w:rsidTr="006C69BA">
        <w:trPr>
          <w:trHeight w:val="370"/>
        </w:trPr>
        <w:tc>
          <w:tcPr>
            <w:tcW w:w="970" w:type="pct"/>
            <w:noWrap/>
            <w:hideMark/>
          </w:tcPr>
          <w:p w14:paraId="4F4858CE"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Disulfiram</w:t>
            </w:r>
          </w:p>
        </w:tc>
        <w:tc>
          <w:tcPr>
            <w:tcW w:w="1276" w:type="pct"/>
            <w:hideMark/>
          </w:tcPr>
          <w:p w14:paraId="2583C1B0"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Enzyme inhibitor</w:t>
            </w:r>
          </w:p>
        </w:tc>
        <w:tc>
          <w:tcPr>
            <w:tcW w:w="1174" w:type="pct"/>
            <w:hideMark/>
          </w:tcPr>
          <w:p w14:paraId="4AAA312A"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Alcohol addictive disorder</w:t>
            </w:r>
          </w:p>
        </w:tc>
        <w:tc>
          <w:tcPr>
            <w:tcW w:w="1061" w:type="pct"/>
            <w:hideMark/>
          </w:tcPr>
          <w:p w14:paraId="7E2CE2E2" w14:textId="26329695"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Promotes cell viability inhibition</w:t>
            </w:r>
          </w:p>
        </w:tc>
        <w:tc>
          <w:tcPr>
            <w:tcW w:w="518" w:type="pct"/>
            <w:hideMark/>
          </w:tcPr>
          <w:p w14:paraId="1B08F502" w14:textId="7D3A7095"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Stenvang</w:t>
            </w:r>
            <w:r w:rsidRPr="00BA2B87">
              <w:rPr>
                <w:rFonts w:ascii="Book Antiqua" w:eastAsia="Times New Roman" w:hAnsi="Book Antiqua" w:cs="Calibri"/>
                <w:color w:val="000000"/>
                <w:lang w:val="en-US"/>
              </w:rPr>
              <w:t xml:space="preserve"> </w:t>
            </w:r>
            <w:r w:rsidRPr="004043E7">
              <w:rPr>
                <w:rFonts w:ascii="Book Antiqua" w:eastAsia="Times New Roman" w:hAnsi="Book Antiqua" w:cs="Calibri"/>
                <w:i/>
                <w:iCs/>
                <w:color w:val="000000"/>
                <w:lang w:val="en-U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{"citationItems":[{"id":"ITEM-1","itemData":{"DOI":"10.1158/1535-7163.targ-17-a143","ISSN":"1535-7163","abstract":"Abstracts: AACR-NCI-EORTC International Conference: Molecular Targets and Cancer Therapeutics; October 26-30, 2017; Philadelphia, PAIntroduction: Drug repurposing has emerged as an attractive alternative to the classical pipeline of drug development for novel anticancer drugs. We have selected disulfiram, which was FDA approved for treatment of alcoholism already in 1951. Disulfiram has been examined in various in vitro cancer model systems and has demonstrated several different mechanistic types of anticancer effects. The consensus is that coadministration of divalent metal ions, especially copper, is required for the maximal anticancer effect of disulfiram. Disulfiram has also been investigated in a few clinical trials but with a difference in efficacy. However, there are no data on the clinical effects of disulfiram in patients with colorectal cancer, and no studies on disulfiram in colorectal cancer can be found at www.clinicaltrials.org. Methods: We have established a research platform consisting of isogenic pairs of parental (sensitive) and drug-resistant human colorectal cancer cell lines (HT-29, HCT-116, LoVo) with resistance to either oxaliplatin or SN-38 (the active metabolite of irinotecan) (Jensen et al., Mol Oncol 2015 9(6):1169-85). We have tested disulfiram {\\textpm} copper in this panel. MTT assay was used to estimate cell number. Results: In all 9 cell lines it was observed that addition of copper to disulfiram resulted in increased cell cell viability inhibition. Even more importantly, when combining disulfiram and copper with oxaliplatin or SN38, an additive or synergistic viability inhibitory effect was observed with oxaliplatin in SN-38 resistant cell lines and with SN-38 in oxaliplatin resistant cell lines. Conclusions: Based on these in vitro results, we are now planning a clinical phase 2 study using Simon{\\textquoteright}s two-stage min/max design enrolling metastatic colorectal cancer patients having failed first-line treatment with either oxaliplatin- or irinotecan-containing treatment. The patients will as second-line treatment receive irinotecan- or oxaliplatin-containing treatment (depending on their first-line treatment) plus disulfiram and copper. Endpoint will be objective response rate according to RECIST version 1.1.Citation Format: Jan Stenvang, Helle Keinicke, Signe L. Nielsen, Haatisha Jandu, Jiri Bartek, Nils Brünner. Repurposing disulfiram as a potential novel treatment of drug-resistant metastatic colorectal canc…","author":[{"dropping-particle":"","family":"Stenvang","given":"Jan","non-dropping-particle":"","parse-names":false,"suffix":""},{"dropping-particle":"","family":"Keinicke","given":"Helle","non-dropping-particle":"","parse-names":false,"suffix":""},{"dropping-particle":"","family":"Nielsen","given":"Signe L.","non-dropping-particle":"","parse-names":false,"suffix":""},{"dropping-particle":"","family":"Jandu","given":"Haatisha","non-dropping-particle":"","parse-names":false,"suffix":""},{"dropping-particle":"","family":"Bartek","given":"Jiri","non-dropping-particle":"","parse-names":false,"suffix":""},{"dropping-particle":"","family":"Brünner","given":"Nils","non-dropping-particle":"","parse-names":false,"suffix":""}],"id":"ITEM-1","issued":{"date-parts":[["2018"]]},"title":"Repurposing disulfiram as a potential novel treatment of drug-resistant metastatic colorectal cancer","type":"paper-conference"},"uris":["http://www.mendeley.com/documents/?uuid=a502490f-e122-407a-90b7-056d784ffcbe"]}],"mendeley":{"formattedCitation":"&lt;sup&gt;[128]&lt;/sup&gt;","plainTextFormattedCitation":"[128]","previouslyFormattedCitation":"&lt;sup&gt;[128]&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[128]</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2018</w:t>
            </w:r>
          </w:p>
        </w:tc>
      </w:tr>
      <w:tr w:rsidR="000E00C5" w:rsidRPr="00BA2B87" w14:paraId="40583086" w14:textId="77777777" w:rsidTr="006C69BA">
        <w:trPr>
          <w:trHeight w:val="984"/>
        </w:trPr>
        <w:tc>
          <w:tcPr>
            <w:tcW w:w="970" w:type="pct"/>
            <w:noWrap/>
            <w:hideMark/>
          </w:tcPr>
          <w:p w14:paraId="034BC4CD"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Erlotinib</w:t>
            </w:r>
          </w:p>
        </w:tc>
        <w:tc>
          <w:tcPr>
            <w:tcW w:w="1276" w:type="pct"/>
            <w:hideMark/>
          </w:tcPr>
          <w:p w14:paraId="0CC9A619" w14:textId="77777777"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Anti-neoplastic</w:t>
            </w:r>
          </w:p>
        </w:tc>
        <w:tc>
          <w:tcPr>
            <w:tcW w:w="1174" w:type="pct"/>
            <w:hideMark/>
          </w:tcPr>
          <w:p w14:paraId="2EF5B459" w14:textId="237417F3" w:rsidR="004F2744" w:rsidRPr="00BA2B87" w:rsidRDefault="004F2744" w:rsidP="002C6B97">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Treatment of non-small cell lung and pancreatic cancer</w:t>
            </w:r>
          </w:p>
        </w:tc>
        <w:tc>
          <w:tcPr>
            <w:tcW w:w="1061" w:type="pct"/>
            <w:hideMark/>
          </w:tcPr>
          <w:p w14:paraId="23148BB2" w14:textId="6BD30C2A" w:rsidR="004F2744" w:rsidRPr="00BA2B87" w:rsidRDefault="004F2744" w:rsidP="00DD0330">
            <w:pPr>
              <w:spacing w:line="360" w:lineRule="auto"/>
              <w:jc w:val="both"/>
              <w:rPr>
                <w:rFonts w:ascii="Book Antiqua" w:eastAsia="Times New Roman" w:hAnsi="Book Antiqua" w:cs="Calibri"/>
                <w:color w:val="000000"/>
                <w:lang w:val="en-US"/>
              </w:rPr>
            </w:pPr>
            <w:r w:rsidRPr="00BA2B87">
              <w:rPr>
                <w:rFonts w:ascii="Book Antiqua" w:eastAsia="Times New Roman" w:hAnsi="Book Antiqua" w:cs="Calibri"/>
                <w:color w:val="000000"/>
                <w:lang w:val="en-US"/>
              </w:rPr>
              <w:t>Contributes t</w:t>
            </w:r>
            <w:r w:rsidR="00DD0330">
              <w:rPr>
                <w:rFonts w:ascii="Book Antiqua" w:eastAsia="Times New Roman" w:hAnsi="Book Antiqua" w:cs="Calibri"/>
                <w:color w:val="000000"/>
                <w:lang w:val="en-US"/>
              </w:rPr>
              <w:t>o</w:t>
            </w:r>
            <w:r w:rsidRPr="00BA2B87">
              <w:rPr>
                <w:rFonts w:ascii="Book Antiqua" w:eastAsia="Times New Roman" w:hAnsi="Book Antiqua" w:cs="Calibri"/>
                <w:color w:val="000000"/>
                <w:lang w:val="en-US"/>
              </w:rPr>
              <w:t xml:space="preserve"> enhance</w:t>
            </w:r>
            <w:r w:rsidR="00DD0330">
              <w:rPr>
                <w:rFonts w:ascii="Book Antiqua" w:eastAsia="Times New Roman" w:hAnsi="Book Antiqua" w:cs="Calibri"/>
                <w:color w:val="000000"/>
                <w:lang w:val="en-US"/>
              </w:rPr>
              <w:t>d</w:t>
            </w:r>
            <w:r w:rsidRPr="00BA2B87">
              <w:rPr>
                <w:rFonts w:ascii="Book Antiqua" w:eastAsia="Times New Roman" w:hAnsi="Book Antiqua" w:cs="Calibri"/>
                <w:color w:val="000000"/>
                <w:lang w:val="en-US"/>
              </w:rPr>
              <w:t xml:space="preserve"> progression-free survival and overall survival of metastatic CRC patients</w:t>
            </w:r>
          </w:p>
        </w:tc>
        <w:tc>
          <w:tcPr>
            <w:tcW w:w="518" w:type="pct"/>
            <w:hideMark/>
          </w:tcPr>
          <w:p w14:paraId="6640004B" w14:textId="72477DCB" w:rsidR="004F2744" w:rsidRPr="00BA2B87" w:rsidRDefault="004043E7" w:rsidP="002C6B97">
            <w:pPr>
              <w:spacing w:line="360" w:lineRule="auto"/>
              <w:jc w:val="both"/>
              <w:rPr>
                <w:rFonts w:ascii="Book Antiqua" w:eastAsia="Times New Roman" w:hAnsi="Book Antiqua" w:cs="Calibri"/>
                <w:color w:val="000000"/>
                <w:lang w:val="en-US"/>
              </w:rPr>
            </w:pPr>
            <w:r w:rsidRPr="004043E7">
              <w:rPr>
                <w:rFonts w:ascii="Book Antiqua" w:hAnsi="Book Antiqua"/>
              </w:rPr>
              <w:t xml:space="preserve">Shi </w:t>
            </w:r>
            <w:r w:rsidRPr="004043E7">
              <w:rPr>
                <w:rFonts w:ascii="Book Antiqua" w:hAnsi="Book Antiqua"/>
                <w:i/>
                <w:iCs/>
              </w:rPr>
              <w:t>et al</w:t>
            </w:r>
            <w:r w:rsidR="004F2744" w:rsidRPr="00BA2B87">
              <w:rPr>
                <w:rFonts w:ascii="Book Antiqua" w:eastAsia="Times New Roman" w:hAnsi="Book Antiqua" w:cs="Calibri"/>
                <w:color w:val="000000"/>
              </w:rPr>
              <w:fldChar w:fldCharType="begin" w:fldLock="1"/>
            </w:r>
            <w:r w:rsidR="004F2744" w:rsidRPr="00BA2B87">
              <w:rPr>
                <w:rFonts w:ascii="Book Antiqua" w:eastAsia="Times New Roman" w:hAnsi="Book Antiqua" w:cs="Calibri"/>
                <w:color w:val="000000"/>
                <w:lang w:val="en-US"/>
              </w:rPr>
              <w:instrText>ADDIN CSL_CITATION {"citationItems":[{"id":"ITEM-1","itemData":{"ISSN":"21566976","PMID":"28979818","abstract":"Background: We conducted a phase II study by combining FOLFOX4 plus bevacizumab (BV) with erlotinib (ER) as second-line chemotherapy for patients with metastatic colorectal cancer (mCRC). Methods: Patients were divided into two groups in randomized double-blind manner. One group was given FOLFOX4 plus 5 mg/kg BV on day 1 of 2-week cycle. The other group was given 2-week-cycle of BV + FOLFOX4, and 100 mg ER every day. The primary endpoint was progression-free survival (PFS). The secondary endpoints were overall survival (OS), clinical response rates and adverse events (AEs). Results: 66 patients received 2nd-line treatment of ER + BV+ FOLFOX4, and 65 received BV + FOLFOX4. Median PFS was 9.6 months of ER + BV + FOLFOX4 group, significantly better than 6.9 months of BV + FOLFOX4 group (P = 0.021, HR = 1.15, 95% CI = 0.88-1.39). Medium OS for ER + BV + FOLFOX4 group was 12.5 months, not statistically different than 12.1 months for BV + FOLFOX4 group (P = 00.146, HR = 0.63, 95% CI = 0.34-1.02). Combined partial response and stable disease rate was 48.5% for ER + BV + FOLFOX4 group, significantly higher than 32.2% for BV + FOLFOX4 group (P = 0.015). Patients in ER + BV + FOLFOX4 group had higher incidence rates of AEs. Conclusion: In second-line chemotherapy for patients with mCRC, combining erlotinib with FOLFOX4 plus bevacizumab may improve PFS, clinical response rates, but not OS. AEs, though with high incidence rates, were generally tolerable among patients receiving multiple reagents.","author":[{"dropping-particle":"","family":"Shi","given":"Sha","non-dropping-particle":"","parse-names":false,"suffix":""},{"dropping-particle":"","family":"Lu","given":"Kemei","non-dropping-particle":"","parse-names":false,"suffix":""},{"dropping-particle":"","family":"Gao","given":"Hui","non-dropping-particle":"","parse-names":false,"suffix":""},{"dropping-particle":"","family":"Sun","given":"Huidong","non-dropping-particle":"","parse-names":false,"suffix":""},{"dropping-particle":"","family":"Li","given":"Senlin","non-dropping-particle":"","parse-names":false,"suffix":""}],"container-title":"American Journal of Cancer Research","id":"ITEM-1","issued":{"date-parts":[["2017"]]},"title":"Erlotinib in combination with bevacizumab and FOLFOX4 as second-line chemotherapy for patients with metastatic colorectal cancer","type":"article-journal"},"uris":["http://www.mendeley.com/documents/?uuid=2a47084f-23b3-469f-ac6c-7b632e7aa1a1"]}],"mendeley":{"formattedCitation":"&lt;sup&gt;[130]&lt;/sup&gt;","plainTextFormattedCitation":"[130]","previouslyFormattedCitation":"&lt;sup&gt;[130]&lt;/sup&gt;"},"properties":{"noteIndex":0},"schema":"https://github.com/citation-style-language/schema/raw/master/csl-citation.json"}</w:instrText>
            </w:r>
            <w:r w:rsidR="004F2744" w:rsidRPr="00BA2B87">
              <w:rPr>
                <w:rFonts w:ascii="Book Antiqua" w:eastAsia="Times New Roman" w:hAnsi="Book Antiqua" w:cs="Calibri"/>
                <w:color w:val="000000"/>
              </w:rPr>
              <w:fldChar w:fldCharType="separate"/>
            </w:r>
            <w:r w:rsidR="004F2744" w:rsidRPr="00BA2B87">
              <w:rPr>
                <w:rFonts w:ascii="Book Antiqua" w:eastAsia="Times New Roman" w:hAnsi="Book Antiqua" w:cs="Calibri"/>
                <w:noProof/>
                <w:color w:val="000000"/>
                <w:vertAlign w:val="superscript"/>
                <w:lang w:val="en-US"/>
              </w:rPr>
              <w:t>[130]</w:t>
            </w:r>
            <w:r w:rsidR="004F2744" w:rsidRPr="00BA2B87">
              <w:rPr>
                <w:rFonts w:ascii="Book Antiqua" w:eastAsia="Times New Roman" w:hAnsi="Book Antiqua" w:cs="Calibri"/>
                <w:color w:val="000000"/>
              </w:rPr>
              <w:fldChar w:fldCharType="end"/>
            </w:r>
            <w:r>
              <w:rPr>
                <w:rFonts w:ascii="Book Antiqua" w:eastAsia="Times New Roman" w:hAnsi="Book Antiqua" w:cs="Calibri"/>
                <w:color w:val="000000"/>
                <w:lang w:val="en-US"/>
              </w:rPr>
              <w:t>, 2017</w:t>
            </w:r>
          </w:p>
        </w:tc>
      </w:tr>
    </w:tbl>
    <w:p w14:paraId="124A5CCC" w14:textId="5DD6D1A6" w:rsidR="004F2744" w:rsidRPr="002C6B97" w:rsidRDefault="002C6B97" w:rsidP="00BA2B87">
      <w:pPr>
        <w:spacing w:line="360" w:lineRule="auto"/>
        <w:jc w:val="both"/>
        <w:rPr>
          <w:rFonts w:ascii="Book Antiqua" w:hAnsi="Book Antiqua" w:cstheme="majorBidi"/>
        </w:rPr>
      </w:pPr>
      <w:r w:rsidRPr="002C6B97">
        <w:rPr>
          <w:rFonts w:ascii="Book Antiqua" w:eastAsia="Times New Roman" w:hAnsi="Book Antiqua" w:cs="Calibri"/>
          <w:color w:val="000000"/>
        </w:rPr>
        <w:t>CRC: Colorectal cancer.</w:t>
      </w:r>
    </w:p>
    <w:p w14:paraId="4022D6D1" w14:textId="77777777" w:rsidR="0002120B" w:rsidRDefault="0002120B" w:rsidP="00BA2B87">
      <w:pPr>
        <w:spacing w:line="360" w:lineRule="auto"/>
        <w:jc w:val="both"/>
        <w:rPr>
          <w:rFonts w:ascii="Book Antiqua" w:hAnsi="Book Antiqua"/>
          <w:b/>
          <w:bCs/>
        </w:rPr>
        <w:sectPr w:rsidR="0002120B" w:rsidSect="00645E1B">
          <w:pgSz w:w="15840" w:h="12240" w:orient="landscape"/>
          <w:pgMar w:top="1440" w:right="1440" w:bottom="1440" w:left="1440" w:header="720" w:footer="720" w:gutter="0"/>
          <w:cols w:space="720"/>
          <w:docGrid w:linePitch="360"/>
        </w:sectPr>
      </w:pPr>
    </w:p>
    <w:p w14:paraId="1397E4D3" w14:textId="77777777" w:rsidR="0002120B" w:rsidRDefault="0002120B" w:rsidP="0002120B">
      <w:pPr>
        <w:jc w:val="center"/>
        <w:rPr>
          <w:rFonts w:ascii="Book Antiqua" w:hAnsi="Book Antiqua"/>
        </w:rPr>
      </w:pPr>
    </w:p>
    <w:p w14:paraId="45321E69" w14:textId="77777777" w:rsidR="0002120B" w:rsidRDefault="0002120B" w:rsidP="0002120B">
      <w:pPr>
        <w:jc w:val="center"/>
        <w:rPr>
          <w:rFonts w:ascii="Book Antiqua" w:hAnsi="Book Antiqua"/>
        </w:rPr>
      </w:pPr>
      <w:r>
        <w:rPr>
          <w:rFonts w:ascii="Book Antiqua" w:hAnsi="Book Antiqua"/>
          <w:noProof/>
        </w:rPr>
        <w:drawing>
          <wp:inline distT="0" distB="0" distL="0" distR="0" wp14:anchorId="0B882AA5" wp14:editId="01D8C4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C57EFB" w14:textId="77777777" w:rsidR="0002120B" w:rsidRDefault="0002120B" w:rsidP="0002120B">
      <w:pPr>
        <w:jc w:val="center"/>
        <w:rPr>
          <w:rFonts w:ascii="Book Antiqua" w:hAnsi="Book Antiqua"/>
        </w:rPr>
      </w:pPr>
    </w:p>
    <w:p w14:paraId="69A53F0B" w14:textId="77777777" w:rsidR="0002120B" w:rsidRPr="00763D22" w:rsidRDefault="0002120B" w:rsidP="0002120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3707D5D" w14:textId="77777777" w:rsidR="0002120B" w:rsidRPr="00763D22" w:rsidRDefault="0002120B" w:rsidP="000212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D860FA3" w14:textId="77777777" w:rsidR="0002120B" w:rsidRPr="00763D22" w:rsidRDefault="0002120B" w:rsidP="000212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129231" w14:textId="77777777" w:rsidR="0002120B" w:rsidRPr="00763D22" w:rsidRDefault="0002120B" w:rsidP="000212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27F418F" w14:textId="77777777" w:rsidR="0002120B" w:rsidRPr="00763D22" w:rsidRDefault="0002120B" w:rsidP="000212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02EA2F" w14:textId="77777777" w:rsidR="0002120B" w:rsidRPr="00763D22" w:rsidRDefault="0002120B" w:rsidP="0002120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5DEE1BE" w14:textId="77777777" w:rsidR="0002120B" w:rsidRDefault="0002120B" w:rsidP="0002120B">
      <w:pPr>
        <w:jc w:val="center"/>
        <w:rPr>
          <w:rFonts w:ascii="Book Antiqua" w:hAnsi="Book Antiqua"/>
        </w:rPr>
      </w:pPr>
    </w:p>
    <w:p w14:paraId="4287199A" w14:textId="77777777" w:rsidR="0002120B" w:rsidRDefault="0002120B" w:rsidP="0002120B">
      <w:pPr>
        <w:jc w:val="center"/>
        <w:rPr>
          <w:rFonts w:ascii="Book Antiqua" w:hAnsi="Book Antiqua"/>
        </w:rPr>
      </w:pPr>
    </w:p>
    <w:p w14:paraId="53EE1225" w14:textId="77777777" w:rsidR="0002120B" w:rsidRDefault="0002120B" w:rsidP="0002120B">
      <w:pPr>
        <w:jc w:val="center"/>
        <w:rPr>
          <w:rFonts w:ascii="Book Antiqua" w:hAnsi="Book Antiqua"/>
        </w:rPr>
      </w:pPr>
    </w:p>
    <w:p w14:paraId="6F3AF02D" w14:textId="77777777" w:rsidR="0002120B" w:rsidRDefault="0002120B" w:rsidP="0002120B">
      <w:pPr>
        <w:jc w:val="center"/>
        <w:rPr>
          <w:rFonts w:ascii="Book Antiqua" w:hAnsi="Book Antiqua"/>
        </w:rPr>
      </w:pPr>
      <w:r>
        <w:rPr>
          <w:rFonts w:ascii="Book Antiqua" w:hAnsi="Book Antiqua"/>
          <w:noProof/>
        </w:rPr>
        <w:drawing>
          <wp:inline distT="0" distB="0" distL="0" distR="0" wp14:anchorId="73FEC8D0" wp14:editId="106ABF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1CED47" w14:textId="77777777" w:rsidR="0002120B" w:rsidRDefault="0002120B" w:rsidP="0002120B">
      <w:pPr>
        <w:jc w:val="center"/>
        <w:rPr>
          <w:rFonts w:ascii="Book Antiqua" w:hAnsi="Book Antiqua"/>
        </w:rPr>
      </w:pPr>
    </w:p>
    <w:p w14:paraId="47C78B3E" w14:textId="77777777" w:rsidR="0002120B" w:rsidRDefault="0002120B" w:rsidP="0002120B">
      <w:pPr>
        <w:jc w:val="center"/>
        <w:rPr>
          <w:rFonts w:ascii="Book Antiqua" w:hAnsi="Book Antiqua"/>
        </w:rPr>
      </w:pPr>
    </w:p>
    <w:p w14:paraId="4D35AA2E" w14:textId="77777777" w:rsidR="0002120B" w:rsidRDefault="0002120B" w:rsidP="0002120B">
      <w:pPr>
        <w:jc w:val="center"/>
        <w:rPr>
          <w:rFonts w:ascii="Book Antiqua" w:hAnsi="Book Antiqua"/>
        </w:rPr>
      </w:pPr>
    </w:p>
    <w:p w14:paraId="1ECE8CB1" w14:textId="77777777" w:rsidR="0002120B" w:rsidRDefault="0002120B" w:rsidP="0002120B">
      <w:pPr>
        <w:jc w:val="center"/>
        <w:rPr>
          <w:rFonts w:ascii="Book Antiqua" w:hAnsi="Book Antiqua"/>
        </w:rPr>
      </w:pPr>
    </w:p>
    <w:p w14:paraId="74F81DF1" w14:textId="77777777" w:rsidR="0002120B" w:rsidRDefault="0002120B" w:rsidP="0002120B">
      <w:pPr>
        <w:jc w:val="center"/>
        <w:rPr>
          <w:rFonts w:ascii="Book Antiqua" w:hAnsi="Book Antiqua"/>
        </w:rPr>
      </w:pPr>
    </w:p>
    <w:p w14:paraId="6DA196DE" w14:textId="77777777" w:rsidR="0002120B" w:rsidRDefault="0002120B" w:rsidP="0002120B">
      <w:pPr>
        <w:jc w:val="center"/>
        <w:rPr>
          <w:rFonts w:ascii="Book Antiqua" w:hAnsi="Book Antiqua"/>
        </w:rPr>
      </w:pPr>
    </w:p>
    <w:p w14:paraId="6B25A746" w14:textId="77777777" w:rsidR="0002120B" w:rsidRDefault="0002120B" w:rsidP="0002120B">
      <w:pPr>
        <w:jc w:val="center"/>
        <w:rPr>
          <w:rFonts w:ascii="Book Antiqua" w:hAnsi="Book Antiqua"/>
        </w:rPr>
      </w:pPr>
    </w:p>
    <w:p w14:paraId="1E8F2689" w14:textId="77777777" w:rsidR="0002120B" w:rsidRDefault="0002120B" w:rsidP="0002120B">
      <w:pPr>
        <w:jc w:val="center"/>
        <w:rPr>
          <w:rFonts w:ascii="Book Antiqua" w:hAnsi="Book Antiqua"/>
        </w:rPr>
      </w:pPr>
    </w:p>
    <w:p w14:paraId="74C62437" w14:textId="77777777" w:rsidR="0002120B" w:rsidRDefault="0002120B" w:rsidP="0002120B">
      <w:pPr>
        <w:jc w:val="center"/>
        <w:rPr>
          <w:rFonts w:ascii="Book Antiqua" w:hAnsi="Book Antiqua"/>
        </w:rPr>
      </w:pPr>
    </w:p>
    <w:p w14:paraId="70685900" w14:textId="77777777" w:rsidR="0002120B" w:rsidRPr="00763D22" w:rsidRDefault="0002120B" w:rsidP="0002120B">
      <w:pPr>
        <w:jc w:val="right"/>
        <w:rPr>
          <w:rFonts w:ascii="Book Antiqua" w:hAnsi="Book Antiqua"/>
          <w:color w:val="000000" w:themeColor="text1"/>
        </w:rPr>
      </w:pPr>
    </w:p>
    <w:p w14:paraId="6025C649" w14:textId="296624ED" w:rsidR="004F2744" w:rsidRPr="0002120B" w:rsidRDefault="0002120B" w:rsidP="0002120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4F2744" w:rsidRPr="0002120B"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F832" w14:textId="77777777" w:rsidR="00AA044F" w:rsidRDefault="00AA044F" w:rsidP="00C153AD">
      <w:r>
        <w:separator/>
      </w:r>
    </w:p>
  </w:endnote>
  <w:endnote w:type="continuationSeparator" w:id="0">
    <w:p w14:paraId="3F4C3735" w14:textId="77777777" w:rsidR="00AA044F" w:rsidRDefault="00AA044F" w:rsidP="00C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haris SI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9DAE" w14:textId="77777777" w:rsidR="008B651D" w:rsidRPr="008B64D7" w:rsidRDefault="008B651D" w:rsidP="008B64D7">
    <w:pPr>
      <w:pStyle w:val="a5"/>
      <w:jc w:val="right"/>
      <w:rPr>
        <w:rFonts w:ascii="Book Antiqua" w:hAnsi="Book Antiqua"/>
        <w:sz w:val="24"/>
        <w:szCs w:val="24"/>
      </w:rPr>
    </w:pPr>
    <w:r w:rsidRPr="008B64D7">
      <w:rPr>
        <w:rFonts w:ascii="Book Antiqua" w:hAnsi="Book Antiqua"/>
        <w:sz w:val="24"/>
        <w:szCs w:val="24"/>
        <w:lang w:val="zh-CN" w:eastAsia="zh-CN"/>
      </w:rPr>
      <w:t xml:space="preserve"> </w:t>
    </w:r>
    <w:r w:rsidRPr="008B64D7">
      <w:rPr>
        <w:rFonts w:ascii="Book Antiqua" w:hAnsi="Book Antiqua"/>
        <w:sz w:val="24"/>
        <w:szCs w:val="24"/>
      </w:rPr>
      <w:fldChar w:fldCharType="begin"/>
    </w:r>
    <w:r w:rsidRPr="008B64D7">
      <w:rPr>
        <w:rFonts w:ascii="Book Antiqua" w:hAnsi="Book Antiqua"/>
        <w:sz w:val="24"/>
        <w:szCs w:val="24"/>
      </w:rPr>
      <w:instrText>PAGE  \* Arabic  \* MERGEFORMAT</w:instrText>
    </w:r>
    <w:r w:rsidRPr="008B64D7">
      <w:rPr>
        <w:rFonts w:ascii="Book Antiqua" w:hAnsi="Book Antiqua"/>
        <w:sz w:val="24"/>
        <w:szCs w:val="24"/>
      </w:rPr>
      <w:fldChar w:fldCharType="separate"/>
    </w:r>
    <w:r w:rsidR="006F516A" w:rsidRPr="006F516A">
      <w:rPr>
        <w:rFonts w:ascii="Book Antiqua" w:hAnsi="Book Antiqua"/>
        <w:noProof/>
        <w:sz w:val="24"/>
        <w:szCs w:val="24"/>
        <w:lang w:val="zh-CN" w:eastAsia="zh-CN"/>
      </w:rPr>
      <w:t>45</w:t>
    </w:r>
    <w:r w:rsidRPr="008B64D7">
      <w:rPr>
        <w:rFonts w:ascii="Book Antiqua" w:hAnsi="Book Antiqua"/>
        <w:sz w:val="24"/>
        <w:szCs w:val="24"/>
      </w:rPr>
      <w:fldChar w:fldCharType="end"/>
    </w:r>
    <w:r w:rsidRPr="008B64D7">
      <w:rPr>
        <w:rFonts w:ascii="Book Antiqua" w:hAnsi="Book Antiqua"/>
        <w:sz w:val="24"/>
        <w:szCs w:val="24"/>
        <w:lang w:val="zh-CN" w:eastAsia="zh-CN"/>
      </w:rPr>
      <w:t xml:space="preserve"> / </w:t>
    </w:r>
    <w:r w:rsidRPr="008B64D7">
      <w:rPr>
        <w:rFonts w:ascii="Book Antiqua" w:hAnsi="Book Antiqua"/>
        <w:sz w:val="24"/>
        <w:szCs w:val="24"/>
      </w:rPr>
      <w:fldChar w:fldCharType="begin"/>
    </w:r>
    <w:r w:rsidRPr="008B64D7">
      <w:rPr>
        <w:rFonts w:ascii="Book Antiqua" w:hAnsi="Book Antiqua"/>
        <w:sz w:val="24"/>
        <w:szCs w:val="24"/>
      </w:rPr>
      <w:instrText>NUMPAGES  \* Arabic  \* MERGEFORMAT</w:instrText>
    </w:r>
    <w:r w:rsidRPr="008B64D7">
      <w:rPr>
        <w:rFonts w:ascii="Book Antiqua" w:hAnsi="Book Antiqua"/>
        <w:sz w:val="24"/>
        <w:szCs w:val="24"/>
      </w:rPr>
      <w:fldChar w:fldCharType="separate"/>
    </w:r>
    <w:r w:rsidR="006F516A" w:rsidRPr="006F516A">
      <w:rPr>
        <w:rFonts w:ascii="Book Antiqua" w:hAnsi="Book Antiqua"/>
        <w:noProof/>
        <w:sz w:val="24"/>
        <w:szCs w:val="24"/>
        <w:lang w:val="zh-CN" w:eastAsia="zh-CN"/>
      </w:rPr>
      <w:t>59</w:t>
    </w:r>
    <w:r w:rsidRPr="008B64D7">
      <w:rPr>
        <w:rFonts w:ascii="Book Antiqua" w:hAnsi="Book Antiqua"/>
        <w:sz w:val="24"/>
        <w:szCs w:val="24"/>
      </w:rPr>
      <w:fldChar w:fldCharType="end"/>
    </w:r>
  </w:p>
  <w:p w14:paraId="0165DB0F" w14:textId="77777777" w:rsidR="008B651D" w:rsidRDefault="008B6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6EED2" w14:textId="77777777" w:rsidR="00AA044F" w:rsidRDefault="00AA044F" w:rsidP="00C153AD">
      <w:r>
        <w:separator/>
      </w:r>
    </w:p>
  </w:footnote>
  <w:footnote w:type="continuationSeparator" w:id="0">
    <w:p w14:paraId="5FC15602" w14:textId="77777777" w:rsidR="00AA044F" w:rsidRDefault="00AA044F" w:rsidP="00C15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20B"/>
    <w:rsid w:val="000634E6"/>
    <w:rsid w:val="00074A89"/>
    <w:rsid w:val="00093407"/>
    <w:rsid w:val="000A0CA1"/>
    <w:rsid w:val="000E00C5"/>
    <w:rsid w:val="000F26D3"/>
    <w:rsid w:val="001035FB"/>
    <w:rsid w:val="00115296"/>
    <w:rsid w:val="00132DDA"/>
    <w:rsid w:val="0019702A"/>
    <w:rsid w:val="001A500F"/>
    <w:rsid w:val="001C6D63"/>
    <w:rsid w:val="001E08DB"/>
    <w:rsid w:val="00213D1C"/>
    <w:rsid w:val="00224DB1"/>
    <w:rsid w:val="002328AB"/>
    <w:rsid w:val="00267245"/>
    <w:rsid w:val="00276974"/>
    <w:rsid w:val="00276A0B"/>
    <w:rsid w:val="00276FB5"/>
    <w:rsid w:val="00290348"/>
    <w:rsid w:val="002948DC"/>
    <w:rsid w:val="002B0364"/>
    <w:rsid w:val="002C6B97"/>
    <w:rsid w:val="0030562D"/>
    <w:rsid w:val="0033125B"/>
    <w:rsid w:val="003315E4"/>
    <w:rsid w:val="003830D1"/>
    <w:rsid w:val="003902A2"/>
    <w:rsid w:val="003A7002"/>
    <w:rsid w:val="003D6471"/>
    <w:rsid w:val="003F5A34"/>
    <w:rsid w:val="004043E7"/>
    <w:rsid w:val="00420FAF"/>
    <w:rsid w:val="00434947"/>
    <w:rsid w:val="00435B3C"/>
    <w:rsid w:val="0044058A"/>
    <w:rsid w:val="00441931"/>
    <w:rsid w:val="0044600D"/>
    <w:rsid w:val="0046408A"/>
    <w:rsid w:val="00482D4A"/>
    <w:rsid w:val="004D0B39"/>
    <w:rsid w:val="004F2744"/>
    <w:rsid w:val="004F6127"/>
    <w:rsid w:val="005218B4"/>
    <w:rsid w:val="00550202"/>
    <w:rsid w:val="005611AE"/>
    <w:rsid w:val="00566196"/>
    <w:rsid w:val="00572745"/>
    <w:rsid w:val="00580682"/>
    <w:rsid w:val="005960C0"/>
    <w:rsid w:val="005A5805"/>
    <w:rsid w:val="006221E2"/>
    <w:rsid w:val="0062268E"/>
    <w:rsid w:val="00645940"/>
    <w:rsid w:val="00645E1B"/>
    <w:rsid w:val="006516F7"/>
    <w:rsid w:val="00675CE2"/>
    <w:rsid w:val="00685B31"/>
    <w:rsid w:val="0068667D"/>
    <w:rsid w:val="00697DCD"/>
    <w:rsid w:val="006A2A08"/>
    <w:rsid w:val="006B4958"/>
    <w:rsid w:val="006C69BA"/>
    <w:rsid w:val="006F516A"/>
    <w:rsid w:val="007378BF"/>
    <w:rsid w:val="007615C8"/>
    <w:rsid w:val="007669BE"/>
    <w:rsid w:val="007A4920"/>
    <w:rsid w:val="007B7679"/>
    <w:rsid w:val="007C5A5C"/>
    <w:rsid w:val="007C7C00"/>
    <w:rsid w:val="007F026D"/>
    <w:rsid w:val="007F1C1D"/>
    <w:rsid w:val="007F50CE"/>
    <w:rsid w:val="008075F4"/>
    <w:rsid w:val="00820596"/>
    <w:rsid w:val="00827ABD"/>
    <w:rsid w:val="00866CC5"/>
    <w:rsid w:val="008871A1"/>
    <w:rsid w:val="008A79C5"/>
    <w:rsid w:val="008A7C09"/>
    <w:rsid w:val="008B0602"/>
    <w:rsid w:val="008B29B4"/>
    <w:rsid w:val="008B582E"/>
    <w:rsid w:val="008B64D7"/>
    <w:rsid w:val="008B651D"/>
    <w:rsid w:val="00925687"/>
    <w:rsid w:val="0094702A"/>
    <w:rsid w:val="009525D9"/>
    <w:rsid w:val="00976F1A"/>
    <w:rsid w:val="00992A50"/>
    <w:rsid w:val="009956FB"/>
    <w:rsid w:val="009A5BC6"/>
    <w:rsid w:val="009B2918"/>
    <w:rsid w:val="009C37C8"/>
    <w:rsid w:val="009F2EB4"/>
    <w:rsid w:val="00A23947"/>
    <w:rsid w:val="00A540F4"/>
    <w:rsid w:val="00A546AF"/>
    <w:rsid w:val="00A77B3E"/>
    <w:rsid w:val="00A81BA9"/>
    <w:rsid w:val="00A83A72"/>
    <w:rsid w:val="00A8708F"/>
    <w:rsid w:val="00A97E6F"/>
    <w:rsid w:val="00AA044F"/>
    <w:rsid w:val="00AE2A59"/>
    <w:rsid w:val="00AF1501"/>
    <w:rsid w:val="00AF1F11"/>
    <w:rsid w:val="00B004E2"/>
    <w:rsid w:val="00B0143D"/>
    <w:rsid w:val="00B23F1F"/>
    <w:rsid w:val="00B6393B"/>
    <w:rsid w:val="00B75CAD"/>
    <w:rsid w:val="00BA2B87"/>
    <w:rsid w:val="00BB14FD"/>
    <w:rsid w:val="00BB1C84"/>
    <w:rsid w:val="00BC3400"/>
    <w:rsid w:val="00BF3D2F"/>
    <w:rsid w:val="00BF55A0"/>
    <w:rsid w:val="00C03939"/>
    <w:rsid w:val="00C153AD"/>
    <w:rsid w:val="00C3685D"/>
    <w:rsid w:val="00C70A63"/>
    <w:rsid w:val="00C742F5"/>
    <w:rsid w:val="00CA2A55"/>
    <w:rsid w:val="00CA33C3"/>
    <w:rsid w:val="00CB3C34"/>
    <w:rsid w:val="00CB57DA"/>
    <w:rsid w:val="00CD3EF4"/>
    <w:rsid w:val="00CF54BB"/>
    <w:rsid w:val="00D071DA"/>
    <w:rsid w:val="00D10672"/>
    <w:rsid w:val="00D41E72"/>
    <w:rsid w:val="00D75DDE"/>
    <w:rsid w:val="00D934AE"/>
    <w:rsid w:val="00D93D1A"/>
    <w:rsid w:val="00DD0330"/>
    <w:rsid w:val="00DF2F04"/>
    <w:rsid w:val="00E0265A"/>
    <w:rsid w:val="00E033F7"/>
    <w:rsid w:val="00E32FFC"/>
    <w:rsid w:val="00E35D98"/>
    <w:rsid w:val="00E43A83"/>
    <w:rsid w:val="00E61858"/>
    <w:rsid w:val="00E8435C"/>
    <w:rsid w:val="00EB46ED"/>
    <w:rsid w:val="00EC5BC1"/>
    <w:rsid w:val="00ED2E77"/>
    <w:rsid w:val="00F034F1"/>
    <w:rsid w:val="00F81FA1"/>
    <w:rsid w:val="00FB00A8"/>
    <w:rsid w:val="00FC022C"/>
    <w:rsid w:val="00FC0BFB"/>
    <w:rsid w:val="00FD6F1F"/>
    <w:rsid w:val="00FE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23879"/>
  <w15:docId w15:val="{1D0553E9-33A5-4A23-95DC-67AF98D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53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53AD"/>
    <w:rPr>
      <w:sz w:val="18"/>
      <w:szCs w:val="18"/>
    </w:rPr>
  </w:style>
  <w:style w:type="paragraph" w:styleId="a5">
    <w:name w:val="footer"/>
    <w:basedOn w:val="a"/>
    <w:link w:val="a6"/>
    <w:uiPriority w:val="99"/>
    <w:unhideWhenUsed/>
    <w:rsid w:val="00C153AD"/>
    <w:pPr>
      <w:tabs>
        <w:tab w:val="center" w:pos="4153"/>
        <w:tab w:val="right" w:pos="8306"/>
      </w:tabs>
      <w:snapToGrid w:val="0"/>
    </w:pPr>
    <w:rPr>
      <w:sz w:val="18"/>
      <w:szCs w:val="18"/>
    </w:rPr>
  </w:style>
  <w:style w:type="character" w:customStyle="1" w:styleId="a6">
    <w:name w:val="页脚 字符"/>
    <w:basedOn w:val="a0"/>
    <w:link w:val="a5"/>
    <w:uiPriority w:val="99"/>
    <w:rsid w:val="00C153AD"/>
    <w:rPr>
      <w:sz w:val="18"/>
      <w:szCs w:val="18"/>
    </w:rPr>
  </w:style>
  <w:style w:type="table" w:customStyle="1" w:styleId="TabloKlavuzu1">
    <w:name w:val="Tablo Kılavuzu1"/>
    <w:basedOn w:val="a1"/>
    <w:next w:val="a7"/>
    <w:uiPriority w:val="39"/>
    <w:rsid w:val="004F2744"/>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F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4F2744"/>
    <w:rPr>
      <w:i/>
      <w:iCs/>
    </w:rPr>
  </w:style>
  <w:style w:type="paragraph" w:customStyle="1" w:styleId="Default">
    <w:name w:val="Default"/>
    <w:rsid w:val="004F2744"/>
    <w:pPr>
      <w:autoSpaceDE w:val="0"/>
      <w:autoSpaceDN w:val="0"/>
      <w:adjustRightInd w:val="0"/>
    </w:pPr>
    <w:rPr>
      <w:rFonts w:ascii="Charis SIL" w:hAnsi="Charis SIL" w:cs="Charis SIL"/>
      <w:color w:val="000000"/>
      <w:sz w:val="24"/>
      <w:szCs w:val="24"/>
    </w:rPr>
  </w:style>
  <w:style w:type="character" w:styleId="a9">
    <w:name w:val="Hyperlink"/>
    <w:basedOn w:val="a0"/>
    <w:unhideWhenUsed/>
    <w:rsid w:val="00BA2B87"/>
    <w:rPr>
      <w:color w:val="0000FF" w:themeColor="hyperlink"/>
      <w:u w:val="single"/>
    </w:rPr>
  </w:style>
  <w:style w:type="character" w:styleId="aa">
    <w:name w:val="annotation reference"/>
    <w:basedOn w:val="a0"/>
    <w:semiHidden/>
    <w:unhideWhenUsed/>
    <w:rsid w:val="0044600D"/>
    <w:rPr>
      <w:sz w:val="21"/>
      <w:szCs w:val="21"/>
    </w:rPr>
  </w:style>
  <w:style w:type="paragraph" w:styleId="ab">
    <w:name w:val="annotation text"/>
    <w:basedOn w:val="a"/>
    <w:link w:val="ac"/>
    <w:unhideWhenUsed/>
    <w:rsid w:val="0044600D"/>
  </w:style>
  <w:style w:type="character" w:customStyle="1" w:styleId="ac">
    <w:name w:val="批注文字 字符"/>
    <w:basedOn w:val="a0"/>
    <w:link w:val="ab"/>
    <w:rsid w:val="0044600D"/>
    <w:rPr>
      <w:sz w:val="24"/>
      <w:szCs w:val="24"/>
    </w:rPr>
  </w:style>
  <w:style w:type="paragraph" w:styleId="ad">
    <w:name w:val="annotation subject"/>
    <w:basedOn w:val="ab"/>
    <w:next w:val="ab"/>
    <w:link w:val="ae"/>
    <w:semiHidden/>
    <w:unhideWhenUsed/>
    <w:rsid w:val="0044600D"/>
    <w:rPr>
      <w:b/>
      <w:bCs/>
    </w:rPr>
  </w:style>
  <w:style w:type="character" w:customStyle="1" w:styleId="ae">
    <w:name w:val="批注主题 字符"/>
    <w:basedOn w:val="ac"/>
    <w:link w:val="ad"/>
    <w:semiHidden/>
    <w:rsid w:val="0044600D"/>
    <w:rPr>
      <w:b/>
      <w:bCs/>
      <w:sz w:val="24"/>
      <w:szCs w:val="24"/>
    </w:rPr>
  </w:style>
  <w:style w:type="paragraph" w:styleId="af">
    <w:name w:val="Balloon Text"/>
    <w:basedOn w:val="a"/>
    <w:link w:val="af0"/>
    <w:rsid w:val="00FB00A8"/>
    <w:rPr>
      <w:rFonts w:ascii="Tahoma" w:hAnsi="Tahoma" w:cs="Tahoma"/>
      <w:sz w:val="16"/>
      <w:szCs w:val="16"/>
    </w:rPr>
  </w:style>
  <w:style w:type="character" w:customStyle="1" w:styleId="af0">
    <w:name w:val="批注框文本 字符"/>
    <w:basedOn w:val="a0"/>
    <w:link w:val="af"/>
    <w:rsid w:val="00FB00A8"/>
    <w:rPr>
      <w:rFonts w:ascii="Tahoma" w:hAnsi="Tahoma" w:cs="Tahoma"/>
      <w:sz w:val="16"/>
      <w:szCs w:val="16"/>
    </w:rPr>
  </w:style>
  <w:style w:type="character" w:styleId="af1">
    <w:name w:val="Unresolved Mention"/>
    <w:basedOn w:val="a0"/>
    <w:uiPriority w:val="99"/>
    <w:semiHidden/>
    <w:unhideWhenUsed/>
    <w:rsid w:val="00E3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action/doSearch?ContribAuthorStored=L%C3%B8vf%2C+Marthe"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jcs.biologists.org/content/120/19/332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60</Pages>
  <Words>51511</Words>
  <Characters>293619</Characters>
  <Application>Microsoft Office Word</Application>
  <DocSecurity>0</DocSecurity>
  <Lines>2446</Lines>
  <Paragraphs>688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xiang</cp:lastModifiedBy>
  <cp:revision>10</cp:revision>
  <dcterms:created xsi:type="dcterms:W3CDTF">2021-06-14T20:39:00Z</dcterms:created>
  <dcterms:modified xsi:type="dcterms:W3CDTF">2021-07-12T11:19:00Z</dcterms:modified>
</cp:coreProperties>
</file>