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11E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Name of Journal: </w:t>
      </w:r>
      <w:r w:rsidRPr="00B11F4B">
        <w:rPr>
          <w:rFonts w:ascii="Book Antiqua" w:eastAsia="Book Antiqua" w:hAnsi="Book Antiqua" w:cs="Book Antiqua"/>
          <w:i/>
          <w:color w:val="000000"/>
        </w:rPr>
        <w:t>World Journal of Clinical Cases</w:t>
      </w:r>
    </w:p>
    <w:p w14:paraId="7876D74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NO: </w:t>
      </w:r>
      <w:r w:rsidRPr="00B11F4B">
        <w:rPr>
          <w:rFonts w:ascii="Book Antiqua" w:eastAsia="Book Antiqua" w:hAnsi="Book Antiqua" w:cs="Book Antiqua"/>
          <w:color w:val="000000"/>
        </w:rPr>
        <w:t>65420</w:t>
      </w:r>
    </w:p>
    <w:p w14:paraId="022E071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Type: </w:t>
      </w:r>
      <w:r w:rsidRPr="00B11F4B">
        <w:rPr>
          <w:rFonts w:ascii="Book Antiqua" w:eastAsia="Book Antiqua" w:hAnsi="Book Antiqua" w:cs="Book Antiqua"/>
          <w:color w:val="000000"/>
        </w:rPr>
        <w:t>ORIGINAL ARTICLE</w:t>
      </w:r>
    </w:p>
    <w:p w14:paraId="3AD251F9" w14:textId="77777777" w:rsidR="00A77B3E" w:rsidRPr="00B11F4B" w:rsidRDefault="00A77B3E" w:rsidP="00664BFB">
      <w:pPr>
        <w:adjustRightInd w:val="0"/>
        <w:snapToGrid w:val="0"/>
        <w:spacing w:line="360" w:lineRule="auto"/>
        <w:jc w:val="both"/>
        <w:rPr>
          <w:rFonts w:ascii="Book Antiqua" w:hAnsi="Book Antiqua"/>
        </w:rPr>
      </w:pPr>
    </w:p>
    <w:p w14:paraId="319F90C8" w14:textId="77777777" w:rsidR="00A77B3E" w:rsidRPr="00B11F4B" w:rsidRDefault="000313D3" w:rsidP="00664BFB">
      <w:pPr>
        <w:adjustRightInd w:val="0"/>
        <w:snapToGrid w:val="0"/>
        <w:spacing w:line="360" w:lineRule="auto"/>
        <w:jc w:val="both"/>
        <w:rPr>
          <w:rFonts w:ascii="Book Antiqua" w:hAnsi="Book Antiqua"/>
        </w:rPr>
      </w:pPr>
      <w:bookmarkStart w:id="0" w:name="OLE_LINK549"/>
      <w:bookmarkStart w:id="1" w:name="OLE_LINK550"/>
      <w:r w:rsidRPr="00B11F4B">
        <w:rPr>
          <w:rFonts w:ascii="Book Antiqua" w:eastAsia="Book Antiqua" w:hAnsi="Book Antiqua" w:cs="Book Antiqua"/>
          <w:b/>
          <w:i/>
          <w:color w:val="000000"/>
        </w:rPr>
        <w:t>Retrospective Study</w:t>
      </w:r>
    </w:p>
    <w:bookmarkEnd w:id="0"/>
    <w:bookmarkEnd w:id="1"/>
    <w:p w14:paraId="51821289" w14:textId="11F0B6B2"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Novel model </w:t>
      </w:r>
      <w:r w:rsidR="00816210" w:rsidRPr="00B11F4B">
        <w:rPr>
          <w:rFonts w:ascii="Book Antiqua" w:eastAsia="Book Antiqua" w:hAnsi="Book Antiqua" w:cs="Book Antiqua"/>
          <w:b/>
          <w:bCs/>
          <w:color w:val="000000"/>
        </w:rPr>
        <w:t>combin</w:t>
      </w:r>
      <w:r w:rsidR="00816210">
        <w:rPr>
          <w:rFonts w:ascii="Book Antiqua" w:eastAsia="Book Antiqua" w:hAnsi="Book Antiqua" w:cs="Book Antiqua"/>
          <w:b/>
          <w:bCs/>
          <w:color w:val="000000"/>
        </w:rPr>
        <w:t>ing</w:t>
      </w:r>
      <w:r w:rsidR="00816210"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contrast-enhanced ultrasound with serology predicts hepatocellular carcinoma recurrence after hepatectomy</w:t>
      </w:r>
    </w:p>
    <w:p w14:paraId="060DEF5C" w14:textId="77777777" w:rsidR="00A77B3E" w:rsidRPr="00B11F4B" w:rsidRDefault="00A77B3E" w:rsidP="00664BFB">
      <w:pPr>
        <w:adjustRightInd w:val="0"/>
        <w:snapToGrid w:val="0"/>
        <w:spacing w:line="360" w:lineRule="auto"/>
        <w:jc w:val="both"/>
        <w:rPr>
          <w:rFonts w:ascii="Book Antiqua" w:hAnsi="Book Antiqua"/>
        </w:rPr>
      </w:pPr>
    </w:p>
    <w:p w14:paraId="5FA44AE0" w14:textId="5A9D743F"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Tu </w:t>
      </w:r>
      <w:r w:rsidRPr="00B11F4B">
        <w:rPr>
          <w:rFonts w:ascii="Book Antiqua" w:hAnsi="Book Antiqua" w:cs="Book Antiqua"/>
          <w:color w:val="000000"/>
          <w:lang w:eastAsia="zh-CN"/>
        </w:rPr>
        <w:t xml:space="preserve">HB </w:t>
      </w:r>
      <w:r w:rsidRPr="00B11F4B">
        <w:rPr>
          <w:rFonts w:ascii="Book Antiqua" w:hAnsi="Book Antiqua" w:cs="Book Antiqua"/>
          <w:i/>
          <w:color w:val="000000"/>
          <w:lang w:eastAsia="zh-CN"/>
        </w:rPr>
        <w:t>et al</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 xml:space="preserve">Model </w:t>
      </w:r>
      <w:r w:rsidR="00816210" w:rsidRPr="00B11F4B">
        <w:rPr>
          <w:rFonts w:ascii="Book Antiqua" w:eastAsia="Book Antiqua" w:hAnsi="Book Antiqua" w:cs="Book Antiqua"/>
          <w:color w:val="000000"/>
        </w:rPr>
        <w:t>combin</w:t>
      </w:r>
      <w:r w:rsidR="00816210">
        <w:rPr>
          <w:rFonts w:ascii="Book Antiqua" w:eastAsia="Book Antiqua" w:hAnsi="Book Antiqua" w:cs="Book Antiqua"/>
          <w:color w:val="000000"/>
        </w:rPr>
        <w:t>ing</w:t>
      </w:r>
      <w:r w:rsidR="00816210"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CEUS</w:t>
      </w:r>
      <w:r w:rsidR="00816210">
        <w:rPr>
          <w:rFonts w:ascii="Book Antiqua" w:eastAsia="Book Antiqua" w:hAnsi="Book Antiqua" w:cs="Book Antiqua"/>
          <w:color w:val="000000"/>
        </w:rPr>
        <w:t xml:space="preserve"> with </w:t>
      </w:r>
      <w:r w:rsidR="00816210" w:rsidRPr="00816210">
        <w:rPr>
          <w:rFonts w:ascii="Book Antiqua" w:eastAsia="Book Antiqua" w:hAnsi="Book Antiqua" w:cs="Book Antiqua"/>
          <w:color w:val="000000"/>
        </w:rPr>
        <w:t>serology</w:t>
      </w:r>
      <w:r w:rsidRPr="00B11F4B">
        <w:rPr>
          <w:rFonts w:ascii="Book Antiqua" w:eastAsia="Book Antiqua" w:hAnsi="Book Antiqua" w:cs="Book Antiqua"/>
          <w:color w:val="000000"/>
        </w:rPr>
        <w:t xml:space="preserve"> predicts HCC recurrence</w:t>
      </w:r>
    </w:p>
    <w:p w14:paraId="3CD964E4" w14:textId="77777777" w:rsidR="00A77B3E" w:rsidRPr="00B11F4B" w:rsidRDefault="00A77B3E" w:rsidP="00664BFB">
      <w:pPr>
        <w:adjustRightInd w:val="0"/>
        <w:snapToGrid w:val="0"/>
        <w:spacing w:line="360" w:lineRule="auto"/>
        <w:jc w:val="both"/>
        <w:rPr>
          <w:rFonts w:ascii="Book Antiqua" w:hAnsi="Book Antiqua"/>
        </w:rPr>
      </w:pPr>
    </w:p>
    <w:p w14:paraId="7B005FC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Hai-Bin Tu, Li-Hong Chen, Yu-Jie Huang, Si-Yi Feng, Jian-Ling Lin, Yong-Yi Zeng</w:t>
      </w:r>
    </w:p>
    <w:p w14:paraId="58677D81" w14:textId="77777777" w:rsidR="00A77B3E" w:rsidRPr="00B11F4B" w:rsidRDefault="00A77B3E" w:rsidP="00664BFB">
      <w:pPr>
        <w:adjustRightInd w:val="0"/>
        <w:snapToGrid w:val="0"/>
        <w:spacing w:line="360" w:lineRule="auto"/>
        <w:jc w:val="both"/>
        <w:rPr>
          <w:rFonts w:ascii="Book Antiqua" w:hAnsi="Book Antiqua"/>
        </w:rPr>
      </w:pPr>
    </w:p>
    <w:p w14:paraId="1546B5D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Hai-Bin Tu, Li-Hong Chen, Yu-Jie Huang, Si-Yi Feng, Jian-Ling Lin, </w:t>
      </w:r>
      <w:r w:rsidRPr="00B11F4B">
        <w:rPr>
          <w:rFonts w:ascii="Book Antiqua" w:eastAsia="Book Antiqua" w:hAnsi="Book Antiqua" w:cs="Book Antiqua"/>
          <w:color w:val="000000"/>
        </w:rPr>
        <w:t>Department of Ultrasound, Mengchao Hepatobiliary Hospital of Fujian Medical University, Fuzhou 350025, Fujian Province, China</w:t>
      </w:r>
    </w:p>
    <w:p w14:paraId="54BA3213" w14:textId="77777777" w:rsidR="00A77B3E" w:rsidRPr="00B11F4B" w:rsidRDefault="00A77B3E" w:rsidP="00664BFB">
      <w:pPr>
        <w:adjustRightInd w:val="0"/>
        <w:snapToGrid w:val="0"/>
        <w:spacing w:line="360" w:lineRule="auto"/>
        <w:jc w:val="both"/>
        <w:rPr>
          <w:rFonts w:ascii="Book Antiqua" w:hAnsi="Book Antiqua"/>
        </w:rPr>
      </w:pPr>
    </w:p>
    <w:p w14:paraId="061FD54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Yong-Yi Zeng, </w:t>
      </w:r>
      <w:r w:rsidRPr="00B11F4B">
        <w:rPr>
          <w:rFonts w:ascii="Book Antiqua" w:eastAsia="Book Antiqua" w:hAnsi="Book Antiqua" w:cs="Book Antiqua"/>
          <w:color w:val="000000"/>
        </w:rPr>
        <w:t>Department of Hepatobiliary Surgery, Mengchao Hepatobiliary Hospital of Fujian Medical University, Fuzhou 350025, Fujian Province, China</w:t>
      </w:r>
    </w:p>
    <w:p w14:paraId="0E44C3A2" w14:textId="77777777" w:rsidR="00A77B3E" w:rsidRPr="00B11F4B" w:rsidRDefault="00A77B3E" w:rsidP="00664BFB">
      <w:pPr>
        <w:adjustRightInd w:val="0"/>
        <w:snapToGrid w:val="0"/>
        <w:spacing w:line="360" w:lineRule="auto"/>
        <w:jc w:val="both"/>
        <w:rPr>
          <w:rFonts w:ascii="Book Antiqua" w:hAnsi="Book Antiqua"/>
        </w:rPr>
      </w:pPr>
    </w:p>
    <w:p w14:paraId="7F11C6FC" w14:textId="65818DD2"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Author contributions: </w:t>
      </w:r>
      <w:r w:rsidRPr="00B11F4B">
        <w:rPr>
          <w:rFonts w:ascii="Book Antiqua" w:eastAsia="Book Antiqua" w:hAnsi="Book Antiqua" w:cs="Book Antiqua"/>
          <w:color w:val="000000"/>
        </w:rPr>
        <w:t xml:space="preserve">Tu HB designed and performed the research, </w:t>
      </w:r>
      <w:r w:rsidR="00816210">
        <w:rPr>
          <w:rFonts w:ascii="Book Antiqua" w:eastAsia="Book Antiqua" w:hAnsi="Book Antiqua" w:cs="Book Antiqua"/>
          <w:color w:val="000000"/>
        </w:rPr>
        <w:t xml:space="preserve">and </w:t>
      </w:r>
      <w:r w:rsidRPr="00B11F4B">
        <w:rPr>
          <w:rFonts w:ascii="Book Antiqua" w:eastAsia="Book Antiqua" w:hAnsi="Book Antiqua" w:cs="Book Antiqua"/>
          <w:color w:val="000000"/>
        </w:rPr>
        <w:t>wrote and analyze</w:t>
      </w:r>
      <w:r w:rsidR="00816210">
        <w:rPr>
          <w:rFonts w:ascii="Book Antiqua" w:eastAsia="Book Antiqua" w:hAnsi="Book Antiqua" w:cs="Book Antiqua"/>
          <w:color w:val="000000"/>
        </w:rPr>
        <w:t>d</w:t>
      </w:r>
      <w:r w:rsidRPr="00B11F4B">
        <w:rPr>
          <w:rFonts w:ascii="Book Antiqua" w:eastAsia="Book Antiqua" w:hAnsi="Book Antiqua" w:cs="Book Antiqua"/>
          <w:color w:val="000000"/>
        </w:rPr>
        <w:t xml:space="preserve"> the paper; Chen LH, Huang YJ</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and Feng SY designed the research</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collected the data</w:t>
      </w:r>
      <w:r w:rsidR="00816210">
        <w:rPr>
          <w:rFonts w:ascii="Book Antiqua" w:eastAsia="Book Antiqua" w:hAnsi="Book Antiqua" w:cs="Book Antiqua"/>
          <w:color w:val="000000"/>
        </w:rPr>
        <w:t>,</w:t>
      </w:r>
      <w:r w:rsidRPr="00B11F4B">
        <w:rPr>
          <w:rFonts w:ascii="Book Antiqua" w:eastAsia="Book Antiqua" w:hAnsi="Book Antiqua" w:cs="Book Antiqua"/>
          <w:color w:val="000000"/>
        </w:rPr>
        <w:t xml:space="preserve"> and supervised the report; Lin JL provided clinical advice; and Zeng YY supervised the report.</w:t>
      </w:r>
    </w:p>
    <w:p w14:paraId="680BA708" w14:textId="77777777" w:rsidR="00A77B3E" w:rsidRPr="00B11F4B" w:rsidRDefault="00A77B3E" w:rsidP="00664BFB">
      <w:pPr>
        <w:adjustRightInd w:val="0"/>
        <w:snapToGrid w:val="0"/>
        <w:spacing w:line="360" w:lineRule="auto"/>
        <w:jc w:val="both"/>
        <w:rPr>
          <w:rFonts w:ascii="Book Antiqua" w:hAnsi="Book Antiqua"/>
        </w:rPr>
      </w:pPr>
    </w:p>
    <w:p w14:paraId="2213D6E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Supported by </w:t>
      </w:r>
      <w:r w:rsidRPr="00B11F4B">
        <w:rPr>
          <w:rFonts w:ascii="Book Antiqua" w:eastAsia="Book Antiqua" w:hAnsi="Book Antiqua" w:cs="Book Antiqua"/>
          <w:color w:val="000000"/>
        </w:rPr>
        <w:t xml:space="preserve">Startup Fund for </w:t>
      </w:r>
      <w:r w:rsidRPr="00B11F4B">
        <w:rPr>
          <w:rFonts w:ascii="Book Antiqua" w:eastAsia="Book Antiqua" w:hAnsi="Book Antiqua" w:cs="Book Antiqua"/>
          <w:caps/>
          <w:color w:val="000000"/>
        </w:rPr>
        <w:t>s</w:t>
      </w:r>
      <w:r w:rsidRPr="00B11F4B">
        <w:rPr>
          <w:rFonts w:ascii="Book Antiqua" w:eastAsia="Book Antiqua" w:hAnsi="Book Antiqua" w:cs="Book Antiqua"/>
          <w:color w:val="000000"/>
        </w:rPr>
        <w:t xml:space="preserve">cientific </w:t>
      </w:r>
      <w:r w:rsidRPr="00B11F4B">
        <w:rPr>
          <w:rFonts w:ascii="Book Antiqua" w:eastAsia="Book Antiqua" w:hAnsi="Book Antiqua" w:cs="Book Antiqua"/>
          <w:caps/>
          <w:color w:val="000000"/>
        </w:rPr>
        <w:t>r</w:t>
      </w:r>
      <w:r w:rsidRPr="00B11F4B">
        <w:rPr>
          <w:rFonts w:ascii="Book Antiqua" w:eastAsia="Book Antiqua" w:hAnsi="Book Antiqua" w:cs="Book Antiqua"/>
          <w:color w:val="000000"/>
        </w:rPr>
        <w:t>esearch, Fujian Medical University, No. 2019QH1302.</w:t>
      </w:r>
    </w:p>
    <w:p w14:paraId="6E28B642" w14:textId="77777777" w:rsidR="00A77B3E" w:rsidRPr="00B11F4B" w:rsidRDefault="00A77B3E" w:rsidP="00664BFB">
      <w:pPr>
        <w:adjustRightInd w:val="0"/>
        <w:snapToGrid w:val="0"/>
        <w:spacing w:line="360" w:lineRule="auto"/>
        <w:jc w:val="both"/>
        <w:rPr>
          <w:rFonts w:ascii="Book Antiqua" w:hAnsi="Book Antiqua"/>
        </w:rPr>
      </w:pPr>
    </w:p>
    <w:p w14:paraId="2AE4E7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lastRenderedPageBreak/>
        <w:t xml:space="preserve">Corresponding author: Yong-Yi Zeng, MD, PhD, Professor, </w:t>
      </w:r>
      <w:r w:rsidRPr="00B11F4B">
        <w:rPr>
          <w:rFonts w:ascii="Book Antiqua" w:eastAsia="Book Antiqua" w:hAnsi="Book Antiqua" w:cs="Book Antiqua"/>
          <w:color w:val="000000"/>
        </w:rPr>
        <w:t>Department of Hepatobiliary Surgery, Mengchao Hepatobiliary Hospital of Fujian Medical University, No. 312 Xihong Road, Fuzhou 350025, Fujian Province, China. lamp197311@126.com</w:t>
      </w:r>
    </w:p>
    <w:p w14:paraId="2A8C5EC2" w14:textId="77777777" w:rsidR="00A77B3E" w:rsidRPr="00B11F4B" w:rsidRDefault="00A77B3E" w:rsidP="00664BFB">
      <w:pPr>
        <w:adjustRightInd w:val="0"/>
        <w:snapToGrid w:val="0"/>
        <w:spacing w:line="360" w:lineRule="auto"/>
        <w:jc w:val="both"/>
        <w:rPr>
          <w:rFonts w:ascii="Book Antiqua" w:hAnsi="Book Antiqua"/>
        </w:rPr>
      </w:pPr>
    </w:p>
    <w:p w14:paraId="661C04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Received: </w:t>
      </w:r>
      <w:r w:rsidRPr="00B11F4B">
        <w:rPr>
          <w:rFonts w:ascii="Book Antiqua" w:eastAsia="Book Antiqua" w:hAnsi="Book Antiqua" w:cs="Book Antiqua"/>
          <w:color w:val="000000"/>
        </w:rPr>
        <w:t>March 13, 2021</w:t>
      </w:r>
    </w:p>
    <w:p w14:paraId="5BD277C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Revised: </w:t>
      </w:r>
      <w:r w:rsidRPr="00B11F4B">
        <w:rPr>
          <w:rFonts w:ascii="Book Antiqua" w:eastAsia="Book Antiqua" w:hAnsi="Book Antiqua" w:cs="Book Antiqua"/>
          <w:color w:val="000000"/>
        </w:rPr>
        <w:t>June 12, 2021</w:t>
      </w:r>
    </w:p>
    <w:p w14:paraId="344ABA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Accepted: </w:t>
      </w:r>
      <w:r w:rsidR="00516DAA" w:rsidRPr="00516DAA">
        <w:rPr>
          <w:rFonts w:ascii="Book Antiqua" w:eastAsia="Book Antiqua" w:hAnsi="Book Antiqua" w:cs="Book Antiqua"/>
          <w:bCs/>
          <w:color w:val="000000"/>
        </w:rPr>
        <w:t>July 5, 2021</w:t>
      </w:r>
    </w:p>
    <w:p w14:paraId="31DC0874" w14:textId="44F02AFE" w:rsidR="00A77B3E" w:rsidRPr="00B86D12" w:rsidRDefault="000313D3" w:rsidP="00664BFB">
      <w:pPr>
        <w:adjustRightInd w:val="0"/>
        <w:snapToGrid w:val="0"/>
        <w:spacing w:line="360" w:lineRule="auto"/>
        <w:jc w:val="both"/>
        <w:rPr>
          <w:rFonts w:ascii="Book Antiqua" w:hAnsi="Book Antiqua"/>
          <w:lang w:eastAsia="zh-CN"/>
        </w:rPr>
      </w:pPr>
      <w:r w:rsidRPr="00B11F4B">
        <w:rPr>
          <w:rFonts w:ascii="Book Antiqua" w:eastAsia="Book Antiqua" w:hAnsi="Book Antiqua" w:cs="Book Antiqua"/>
          <w:b/>
          <w:bCs/>
          <w:color w:val="000000"/>
        </w:rPr>
        <w:t>Published online:</w:t>
      </w:r>
      <w:r w:rsidR="00B86D12">
        <w:rPr>
          <w:rFonts w:ascii="Book Antiqua" w:hAnsi="Book Antiqua" w:cs="Book Antiqua" w:hint="eastAsia"/>
          <w:b/>
          <w:bCs/>
          <w:color w:val="000000"/>
          <w:lang w:eastAsia="zh-CN"/>
        </w:rPr>
        <w:t xml:space="preserve"> </w:t>
      </w:r>
      <w:r w:rsidR="00B86D12">
        <w:rPr>
          <w:rFonts w:ascii="Book Antiqua" w:eastAsia="Book Antiqua" w:hAnsi="Book Antiqua" w:cs="Book Antiqua"/>
          <w:bCs/>
          <w:color w:val="000000"/>
        </w:rPr>
        <w:t xml:space="preserve">August </w:t>
      </w:r>
      <w:r w:rsidR="00B86D12">
        <w:rPr>
          <w:rFonts w:ascii="Book Antiqua" w:hAnsi="Book Antiqua" w:cs="Book Antiqua" w:hint="eastAsia"/>
          <w:bCs/>
          <w:color w:val="000000"/>
          <w:lang w:eastAsia="zh-CN"/>
        </w:rPr>
        <w:t>2</w:t>
      </w:r>
      <w:r w:rsidR="00B86D12" w:rsidRPr="003D41D4">
        <w:rPr>
          <w:rFonts w:ascii="Book Antiqua" w:eastAsia="Book Antiqua" w:hAnsi="Book Antiqua" w:cs="Book Antiqua"/>
          <w:bCs/>
          <w:color w:val="000000"/>
        </w:rPr>
        <w:t>6</w:t>
      </w:r>
      <w:r w:rsidR="00B86D12" w:rsidRPr="003D41D4">
        <w:rPr>
          <w:rFonts w:ascii="Book Antiqua" w:hAnsi="Book Antiqua" w:cs="Book Antiqua" w:hint="eastAsia"/>
          <w:bCs/>
          <w:color w:val="000000"/>
          <w:lang w:eastAsia="zh-CN"/>
        </w:rPr>
        <w:t xml:space="preserve">, </w:t>
      </w:r>
      <w:r w:rsidR="00B86D12" w:rsidRPr="003D41D4">
        <w:rPr>
          <w:rFonts w:ascii="Book Antiqua" w:eastAsia="Book Antiqua" w:hAnsi="Book Antiqua" w:cs="Book Antiqua"/>
          <w:bCs/>
          <w:color w:val="000000"/>
        </w:rPr>
        <w:t>2021</w:t>
      </w:r>
    </w:p>
    <w:p w14:paraId="613D2A59" w14:textId="77777777" w:rsidR="00A77B3E" w:rsidRPr="00B11F4B" w:rsidRDefault="00A77B3E" w:rsidP="00664BFB">
      <w:pPr>
        <w:adjustRightInd w:val="0"/>
        <w:snapToGrid w:val="0"/>
        <w:spacing w:line="360" w:lineRule="auto"/>
        <w:jc w:val="both"/>
        <w:rPr>
          <w:rFonts w:ascii="Book Antiqua" w:hAnsi="Book Antiqua"/>
        </w:rPr>
        <w:sectPr w:rsidR="00A77B3E" w:rsidRPr="00B11F4B">
          <w:footerReference w:type="default" r:id="rId7"/>
          <w:pgSz w:w="12240" w:h="15840"/>
          <w:pgMar w:top="1440" w:right="1440" w:bottom="1440" w:left="1440" w:header="720" w:footer="720" w:gutter="0"/>
          <w:cols w:space="720"/>
          <w:docGrid w:linePitch="360"/>
        </w:sectPr>
      </w:pPr>
    </w:p>
    <w:p w14:paraId="028E7AD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Abstract</w:t>
      </w:r>
    </w:p>
    <w:p w14:paraId="2F0C44A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BACKGROUND</w:t>
      </w:r>
    </w:p>
    <w:p w14:paraId="04B2A8B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Surgery is the primary curative option in patients with hepatocellular carcinoma (HCC). However, recurrence within 2 years is observed in 30%–50% of patients, being a major cause of mortality. </w:t>
      </w:r>
    </w:p>
    <w:p w14:paraId="550044FC" w14:textId="77777777" w:rsidR="00A77B3E" w:rsidRPr="00B11F4B" w:rsidRDefault="00A77B3E" w:rsidP="00664BFB">
      <w:pPr>
        <w:adjustRightInd w:val="0"/>
        <w:snapToGrid w:val="0"/>
        <w:spacing w:line="360" w:lineRule="auto"/>
        <w:jc w:val="both"/>
        <w:rPr>
          <w:rFonts w:ascii="Book Antiqua" w:hAnsi="Book Antiqua"/>
        </w:rPr>
      </w:pPr>
    </w:p>
    <w:p w14:paraId="066347B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AIM</w:t>
      </w:r>
    </w:p>
    <w:p w14:paraId="29C3455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To construct and verify a non-invasive prediction model combining contrast-enhanced ultrasound </w:t>
      </w:r>
      <w:r w:rsidR="00D472B5" w:rsidRPr="00B11F4B">
        <w:rPr>
          <w:rFonts w:ascii="Book Antiqua" w:eastAsia="Book Antiqua" w:hAnsi="Book Antiqua" w:cs="Book Antiqua"/>
          <w:color w:val="000000"/>
        </w:rPr>
        <w:t>(CEUS)</w:t>
      </w:r>
      <w:r w:rsidR="00D472B5">
        <w:rPr>
          <w:rFonts w:ascii="Book Antiqua" w:eastAsia="Book Antiqua" w:hAnsi="Book Antiqua" w:cs="Book Antiqua"/>
          <w:color w:val="000000"/>
        </w:rPr>
        <w:t xml:space="preserve"> </w:t>
      </w:r>
      <w:r w:rsidRPr="00B11F4B">
        <w:rPr>
          <w:rFonts w:ascii="Book Antiqua" w:eastAsia="Book Antiqua" w:hAnsi="Book Antiqua" w:cs="Book Antiqua"/>
          <w:color w:val="000000"/>
        </w:rPr>
        <w:t>with serology biomarkers to predict the early recurrence of HCC.</w:t>
      </w:r>
    </w:p>
    <w:p w14:paraId="43472EB5" w14:textId="77777777" w:rsidR="00A77B3E" w:rsidRPr="00B11F4B" w:rsidRDefault="00A77B3E" w:rsidP="00664BFB">
      <w:pPr>
        <w:adjustRightInd w:val="0"/>
        <w:snapToGrid w:val="0"/>
        <w:spacing w:line="360" w:lineRule="auto"/>
        <w:jc w:val="both"/>
        <w:rPr>
          <w:rFonts w:ascii="Book Antiqua" w:hAnsi="Book Antiqua"/>
        </w:rPr>
      </w:pPr>
    </w:p>
    <w:p w14:paraId="1CD7C06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METHODS</w:t>
      </w:r>
    </w:p>
    <w:p w14:paraId="1BFC0EED" w14:textId="7F08CB6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Records of 744 consecutive patients undergoing first-line curative surgery for HCC in one institution from 2016–2018 were reviewed, and 292 </w:t>
      </w:r>
      <w:r w:rsidR="00816210">
        <w:rPr>
          <w:rFonts w:ascii="Book Antiqua" w:eastAsia="Book Antiqua" w:hAnsi="Book Antiqua" w:cs="Book Antiqua"/>
          <w:color w:val="000000"/>
        </w:rPr>
        <w:t>l</w:t>
      </w:r>
      <w:r w:rsidR="00816210" w:rsidRPr="00B11F4B">
        <w:rPr>
          <w:rFonts w:ascii="Book Antiqua" w:eastAsia="Book Antiqua" w:hAnsi="Book Antiqua" w:cs="Book Antiqua"/>
          <w:color w:val="000000"/>
        </w:rPr>
        <w:t xml:space="preserve">ocal </w:t>
      </w:r>
      <w:r w:rsidRPr="00B11F4B">
        <w:rPr>
          <w:rFonts w:ascii="Book Antiqua" w:eastAsia="Book Antiqua" w:hAnsi="Book Antiqua" w:cs="Book Antiqua"/>
          <w:color w:val="000000"/>
        </w:rPr>
        <w:t>patients were selected for analysis. General characteristics</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including gender</w:t>
      </w:r>
      <w:r w:rsidR="00816210">
        <w:rPr>
          <w:rFonts w:ascii="Book Antiqua" w:eastAsia="Book Antiqua" w:hAnsi="Book Antiqua" w:cs="Book Antiqua"/>
          <w:color w:val="000000"/>
        </w:rPr>
        <w:t xml:space="preserve"> and</w:t>
      </w:r>
      <w:r w:rsidR="00816210"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age</w:t>
      </w:r>
      <w:r w:rsidR="00816210">
        <w:rPr>
          <w:rFonts w:ascii="Book Antiqua" w:eastAsia="Book Antiqua" w:hAnsi="Book Antiqua" w:cs="Book Antiqua"/>
          <w:color w:val="000000"/>
        </w:rPr>
        <w:t xml:space="preserve">, </w:t>
      </w:r>
      <w:r w:rsidR="00D472B5" w:rsidRPr="00B11F4B">
        <w:rPr>
          <w:rFonts w:ascii="Book Antiqua" w:eastAsia="Book Antiqua" w:hAnsi="Book Antiqua" w:cs="Book Antiqua"/>
          <w:color w:val="000000"/>
        </w:rPr>
        <w:t xml:space="preserve">CEUS </w:t>
      </w:r>
      <w:r w:rsidRPr="00B11F4B">
        <w:rPr>
          <w:rFonts w:ascii="Book Antiqua" w:eastAsia="Book Antiqua" w:hAnsi="Book Antiqua" w:cs="Book Antiqua"/>
          <w:color w:val="000000"/>
        </w:rPr>
        <w:t xml:space="preserve">liver imaging reporting and data system (LIRADS) </w:t>
      </w:r>
      <w:r w:rsidR="00D472B5">
        <w:rPr>
          <w:rFonts w:ascii="Book Antiqua" w:eastAsia="Book Antiqua" w:hAnsi="Book Antiqua" w:cs="Book Antiqua"/>
          <w:color w:val="000000"/>
        </w:rPr>
        <w:t xml:space="preserve">parameters </w:t>
      </w:r>
      <w:r w:rsidRPr="00B11F4B">
        <w:rPr>
          <w:rFonts w:ascii="Book Antiqua" w:eastAsia="Book Antiqua" w:hAnsi="Book Antiqua" w:cs="Book Antiqua"/>
          <w:color w:val="000000"/>
        </w:rPr>
        <w:t xml:space="preserve">including wash-in time, wash-in </w:t>
      </w:r>
      <w:r w:rsidR="002F66A4">
        <w:rPr>
          <w:rFonts w:ascii="Book Antiqua" w:eastAsia="Book Antiqua" w:hAnsi="Book Antiqua" w:cs="Book Antiqua"/>
          <w:color w:val="000000"/>
        </w:rPr>
        <w:t>type</w:t>
      </w:r>
      <w:r w:rsidRPr="00B11F4B">
        <w:rPr>
          <w:rFonts w:ascii="Book Antiqua" w:eastAsia="Book Antiqua" w:hAnsi="Book Antiqua" w:cs="Book Antiqua"/>
          <w:color w:val="000000"/>
        </w:rPr>
        <w:t xml:space="preserve">, wash-out time,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wash-out </w:t>
      </w:r>
      <w:r w:rsidR="002F66A4">
        <w:rPr>
          <w:rFonts w:ascii="Book Antiqua" w:eastAsia="Book Antiqua" w:hAnsi="Book Antiqua" w:cs="Book Antiqua"/>
          <w:color w:val="000000"/>
        </w:rPr>
        <w:t>type, and</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s</w:t>
      </w:r>
      <w:r w:rsidR="002F66A4" w:rsidRPr="00B11F4B">
        <w:rPr>
          <w:rFonts w:ascii="Book Antiqua" w:eastAsia="Book Antiqua" w:hAnsi="Book Antiqua" w:cs="Book Antiqua"/>
          <w:color w:val="000000"/>
        </w:rPr>
        <w:t xml:space="preserve">erology </w:t>
      </w:r>
      <w:r w:rsidRPr="00B11F4B">
        <w:rPr>
          <w:rFonts w:ascii="Book Antiqua" w:eastAsia="Book Antiqua" w:hAnsi="Book Antiqua" w:cs="Book Antiqua"/>
          <w:color w:val="000000"/>
        </w:rPr>
        <w:t>biomarkers including alanine aminotransferase, aspartate aminotransferase, platelet</w:t>
      </w:r>
      <w:r w:rsidR="002F66A4">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alpha-fetoprotein (AFP)</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were collected. Univariate analysis and multivariate Cox proportional hazards regression model </w:t>
      </w:r>
      <w:r w:rsidR="002F66A4" w:rsidRPr="00B11F4B">
        <w:rPr>
          <w:rFonts w:ascii="Book Antiqua" w:eastAsia="Book Antiqua" w:hAnsi="Book Antiqua" w:cs="Book Antiqua"/>
          <w:color w:val="000000"/>
        </w:rPr>
        <w:t>w</w:t>
      </w:r>
      <w:r w:rsidR="002F66A4">
        <w:rPr>
          <w:rFonts w:ascii="Book Antiqua" w:eastAsia="Book Antiqua" w:hAnsi="Book Antiqua" w:cs="Book Antiqua"/>
          <w:color w:val="000000"/>
        </w:rPr>
        <w:t>ere</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used to evaluate the independent prognostic factors</w:t>
      </w:r>
      <w:r w:rsidR="002F66A4">
        <w:rPr>
          <w:rFonts w:ascii="Book Antiqua" w:eastAsia="Book Antiqua" w:hAnsi="Book Antiqua" w:cs="Book Antiqua"/>
          <w:color w:val="000000"/>
        </w:rPr>
        <w:t xml:space="preserve"> for</w:t>
      </w:r>
      <w:r w:rsidRPr="00B11F4B">
        <w:rPr>
          <w:rFonts w:ascii="Book Antiqua" w:eastAsia="Book Antiqua" w:hAnsi="Book Antiqua" w:cs="Book Antiqua"/>
          <w:color w:val="000000"/>
        </w:rPr>
        <w:t xml:space="preserve"> tumor recurrence. Then a nomogram called CEUS model was constructed. The CEUS model was </w:t>
      </w:r>
      <w:r w:rsidR="002F66A4">
        <w:rPr>
          <w:rFonts w:ascii="Book Antiqua" w:eastAsia="Book Antiqua" w:hAnsi="Book Antiqua" w:cs="Book Antiqua"/>
          <w:color w:val="000000"/>
        </w:rPr>
        <w:t xml:space="preserve">then </w:t>
      </w:r>
      <w:r w:rsidRPr="00B11F4B">
        <w:rPr>
          <w:rFonts w:ascii="Book Antiqua" w:eastAsia="Book Antiqua" w:hAnsi="Book Antiqua" w:cs="Book Antiqua"/>
          <w:color w:val="000000"/>
        </w:rPr>
        <w:t xml:space="preserve">used </w:t>
      </w:r>
      <w:r w:rsidR="002F66A4">
        <w:rPr>
          <w:rFonts w:ascii="Book Antiqua" w:eastAsia="Book Antiqua" w:hAnsi="Book Antiqua" w:cs="Book Antiqua"/>
          <w:color w:val="000000"/>
        </w:rPr>
        <w:t>to</w:t>
      </w:r>
      <w:r w:rsidR="002F66A4" w:rsidRPr="00B11F4B">
        <w:rPr>
          <w:rFonts w:ascii="Book Antiqua" w:eastAsia="Book Antiqua" w:hAnsi="Book Antiqua" w:cs="Book Antiqua"/>
          <w:color w:val="000000"/>
        </w:rPr>
        <w:t xml:space="preserve"> predict</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recurrence </w:t>
      </w:r>
      <w:r w:rsidR="002F66A4">
        <w:rPr>
          <w:rFonts w:ascii="Book Antiqua" w:eastAsia="Book Antiqua" w:hAnsi="Book Antiqua" w:cs="Book Antiqua"/>
          <w:color w:val="000000"/>
        </w:rPr>
        <w:t>at</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mo, 12 mo,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24 mo, the cut-off value was calculate by X-tile,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each C-index was calculated. Then Kaplan-Meier curve was compared by log-rank test. The calibration curves of each time were depicted. </w:t>
      </w:r>
    </w:p>
    <w:p w14:paraId="2FD54ABA" w14:textId="77777777" w:rsidR="00A77B3E" w:rsidRPr="00B11F4B" w:rsidRDefault="00A77B3E" w:rsidP="00664BFB">
      <w:pPr>
        <w:adjustRightInd w:val="0"/>
        <w:snapToGrid w:val="0"/>
        <w:spacing w:line="360" w:lineRule="auto"/>
        <w:jc w:val="both"/>
        <w:rPr>
          <w:rFonts w:ascii="Book Antiqua" w:hAnsi="Book Antiqua"/>
        </w:rPr>
      </w:pPr>
    </w:p>
    <w:p w14:paraId="24A096F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RESULTS</w:t>
      </w:r>
    </w:p>
    <w:p w14:paraId="3FCD4472" w14:textId="3501E24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 nomogram</w:t>
      </w:r>
      <w:r w:rsidR="002F66A4">
        <w:rPr>
          <w:rFonts w:ascii="Book Antiqua" w:eastAsia="Book Antiqua" w:hAnsi="Book Antiqua" w:cs="Book Antiqua"/>
          <w:color w:val="000000"/>
        </w:rPr>
        <w:t xml:space="preserve"> </w:t>
      </w:r>
      <w:r w:rsidR="002F66A4" w:rsidRPr="00B11F4B">
        <w:rPr>
          <w:rFonts w:ascii="Book Antiqua" w:eastAsia="Book Antiqua" w:hAnsi="Book Antiqua" w:cs="Book Antiqua"/>
          <w:color w:val="000000"/>
        </w:rPr>
        <w:t>predicting early recurrence (ER)</w:t>
      </w:r>
      <w:r w:rsidR="002F66A4">
        <w:rPr>
          <w:rFonts w:ascii="Book Antiqua" w:eastAsia="Book Antiqua" w:hAnsi="Book Antiqua" w:cs="Book Antiqua"/>
          <w:color w:val="000000"/>
        </w:rPr>
        <w:t>,</w:t>
      </w:r>
      <w:r w:rsidR="002F66A4" w:rsidRPr="00B11F4B">
        <w:rPr>
          <w:rFonts w:ascii="Book Antiqua" w:eastAsia="Book Antiqua" w:hAnsi="Book Antiqua" w:cs="Book Antiqua"/>
          <w:color w:val="000000"/>
        </w:rPr>
        <w:t xml:space="preserve"> named CEUS model</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was formulated based on the results of the multivariate Cox regression analysis. </w:t>
      </w:r>
      <w:r w:rsidR="002F66A4">
        <w:rPr>
          <w:rFonts w:ascii="Book Antiqua" w:eastAsia="Book Antiqua" w:hAnsi="Book Antiqua" w:cs="Book Antiqua"/>
          <w:color w:val="000000"/>
        </w:rPr>
        <w:t>This</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nomogram</w:t>
      </w:r>
      <w:r w:rsidR="002F66A4">
        <w:rPr>
          <w:rFonts w:ascii="Book Antiqua" w:eastAsia="Book Antiqua" w:hAnsi="Book Antiqua" w:cs="Book Antiqua"/>
          <w:color w:val="000000"/>
        </w:rPr>
        <w:t xml:space="preserve"> </w:t>
      </w:r>
      <w:r w:rsidR="002F66A4" w:rsidRPr="00B11F4B">
        <w:rPr>
          <w:rFonts w:ascii="Book Antiqua" w:eastAsia="Book Antiqua" w:hAnsi="Book Antiqua" w:cs="Book Antiqua"/>
          <w:color w:val="000000"/>
        </w:rPr>
        <w:t>incorporat</w:t>
      </w:r>
      <w:r w:rsidR="002F66A4">
        <w:rPr>
          <w:rFonts w:ascii="Book Antiqua" w:eastAsia="Book Antiqua" w:hAnsi="Book Antiqua" w:cs="Book Antiqua"/>
          <w:color w:val="000000"/>
        </w:rPr>
        <w:t>ed</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tumor diameter, preoperative AFP level, and LIRADS,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the </w:t>
      </w:r>
      <w:r w:rsidR="002F66A4">
        <w:rPr>
          <w:rFonts w:ascii="Book Antiqua" w:eastAsia="Book Antiqua" w:hAnsi="Book Antiqua" w:cs="Book Antiqua"/>
          <w:color w:val="000000"/>
        </w:rPr>
        <w:t xml:space="preserve">hazard ratio </w:t>
      </w:r>
      <w:r w:rsidRPr="00B11F4B">
        <w:rPr>
          <w:rFonts w:ascii="Book Antiqua" w:eastAsia="Book Antiqua" w:hAnsi="Book Antiqua" w:cs="Book Antiqua"/>
          <w:color w:val="000000"/>
        </w:rPr>
        <w:t>was 1.123 (95%</w:t>
      </w:r>
      <w:r w:rsidR="002F66A4">
        <w:rPr>
          <w:rFonts w:ascii="Book Antiqua" w:eastAsia="Book Antiqua" w:hAnsi="Book Antiqua" w:cs="Book Antiqua"/>
          <w:color w:val="000000"/>
        </w:rPr>
        <w:t xml:space="preserve"> confidence interval [</w:t>
      </w:r>
      <w:r w:rsidRPr="00B11F4B">
        <w:rPr>
          <w:rFonts w:ascii="Book Antiqua" w:eastAsia="Book Antiqua" w:hAnsi="Book Antiqua" w:cs="Book Antiqua"/>
          <w:color w:val="000000"/>
        </w:rPr>
        <w:t>CI</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1.041-1.211), 1.547 (95%CI: 1.245-1.922),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1.428 (95%CI: 1.059-1.925)</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2F66A4">
        <w:rPr>
          <w:rFonts w:ascii="Book Antiqua" w:eastAsia="Book Antiqua" w:hAnsi="Book Antiqua" w:cs="Book Antiqua"/>
          <w:color w:val="000000"/>
        </w:rPr>
        <w:t>respectively</w:t>
      </w:r>
      <w:r w:rsidRPr="00B11F4B">
        <w:rPr>
          <w:rFonts w:ascii="Book Antiqua" w:eastAsia="Book Antiqua" w:hAnsi="Book Antiqua" w:cs="Book Antiqua"/>
          <w:color w:val="000000"/>
        </w:rPr>
        <w:t xml:space="preserve">. The cut-off value </w:t>
      </w:r>
      <w:r w:rsidR="002F66A4">
        <w:rPr>
          <w:rFonts w:ascii="Book Antiqua" w:eastAsia="Book Antiqua" w:hAnsi="Book Antiqua" w:cs="Book Antiqua"/>
          <w:color w:val="000000"/>
        </w:rPr>
        <w:t>at</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6 mo, 12 mo</w:t>
      </w:r>
      <w:r w:rsidR="002F66A4">
        <w:rPr>
          <w:rFonts w:ascii="Book Antiqua" w:eastAsia="Book Antiqua" w:hAnsi="Book Antiqua" w:cs="Book Antiqua"/>
          <w:color w:val="000000"/>
        </w:rPr>
        <w:t>,</w:t>
      </w:r>
      <w:r w:rsidRPr="00B11F4B">
        <w:rPr>
          <w:rFonts w:ascii="Book Antiqua" w:eastAsia="Book Antiqua" w:hAnsi="Book Antiqua" w:cs="Book Antiqua"/>
          <w:color w:val="000000"/>
        </w:rPr>
        <w:t xml:space="preserve"> and 24 mo </w:t>
      </w:r>
      <w:r w:rsidR="002F66A4" w:rsidRPr="00B11F4B">
        <w:rPr>
          <w:rFonts w:ascii="Book Antiqua" w:eastAsia="Book Antiqua" w:hAnsi="Book Antiqua" w:cs="Book Antiqua"/>
          <w:color w:val="000000"/>
        </w:rPr>
        <w:t>w</w:t>
      </w:r>
      <w:r w:rsidR="002F66A4">
        <w:rPr>
          <w:rFonts w:ascii="Book Antiqua" w:eastAsia="Book Antiqua" w:hAnsi="Book Antiqua" w:cs="Book Antiqua"/>
          <w:color w:val="000000"/>
        </w:rPr>
        <w:t>as</w:t>
      </w:r>
      <w:r w:rsidR="002F66A4"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100,</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80,</w:t>
      </w:r>
      <w:r w:rsidR="002F66A4">
        <w:rPr>
          <w:rFonts w:ascii="Book Antiqua" w:eastAsia="Book Antiqua" w:hAnsi="Book Antiqua" w:cs="Book Antiqua"/>
          <w:color w:val="000000"/>
        </w:rPr>
        <w:t xml:space="preserve"> and </w:t>
      </w:r>
      <w:r w:rsidRPr="00B11F4B">
        <w:rPr>
          <w:rFonts w:ascii="Book Antiqua" w:eastAsia="Book Antiqua" w:hAnsi="Book Antiqua" w:cs="Book Antiqua"/>
          <w:color w:val="000000"/>
        </w:rPr>
        <w:t>50</w:t>
      </w:r>
      <w:r w:rsidR="002F66A4">
        <w:rPr>
          <w:rFonts w:ascii="Book Antiqua" w:eastAsia="Book Antiqua" w:hAnsi="Book Antiqua" w:cs="Book Antiqua"/>
          <w:color w:val="000000"/>
        </w:rPr>
        <w:t xml:space="preserve">, and </w:t>
      </w:r>
      <w:r w:rsidRPr="00B11F4B">
        <w:rPr>
          <w:rFonts w:ascii="Book Antiqua" w:eastAsia="Book Antiqua" w:hAnsi="Book Antiqua" w:cs="Book Antiqua"/>
          <w:color w:val="000000"/>
        </w:rPr>
        <w:t>the C-index was 0.748</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0.683-0.813), 0.762</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0.704-0.820),</w:t>
      </w:r>
      <w:r w:rsidR="002F66A4">
        <w:rPr>
          <w:rFonts w:ascii="Book Antiqua" w:eastAsia="Book Antiqua" w:hAnsi="Book Antiqua" w:cs="Book Antiqua"/>
          <w:color w:val="000000"/>
        </w:rPr>
        <w:t xml:space="preserve"> and</w:t>
      </w:r>
      <w:r w:rsidRPr="00B11F4B">
        <w:rPr>
          <w:rFonts w:ascii="Book Antiqua" w:eastAsia="Book Antiqua" w:hAnsi="Book Antiqua" w:cs="Book Antiqua"/>
          <w:color w:val="000000"/>
        </w:rPr>
        <w:t xml:space="preserve"> 0.762</w:t>
      </w:r>
      <w:r w:rsidR="00750928">
        <w:rPr>
          <w:rFonts w:ascii="Book Antiqua" w:eastAsia="Book Antiqua" w:hAnsi="Book Antiqua" w:cs="Book Antiqua"/>
          <w:color w:val="000000"/>
        </w:rPr>
        <w:t xml:space="preserve"> </w:t>
      </w:r>
      <w:r w:rsidRPr="00B11F4B">
        <w:rPr>
          <w:rFonts w:ascii="Book Antiqua" w:eastAsia="Book Antiqua" w:hAnsi="Book Antiqua" w:cs="Book Antiqua"/>
          <w:color w:val="000000"/>
        </w:rPr>
        <w:t>(95%CI: 0.706-0.819)</w:t>
      </w:r>
      <w:r w:rsidR="002F66A4">
        <w:rPr>
          <w:rFonts w:ascii="Book Antiqua" w:eastAsia="Book Antiqua" w:hAnsi="Book Antiqua" w:cs="Book Antiqua"/>
          <w:color w:val="000000"/>
        </w:rPr>
        <w:t>, respectively</w:t>
      </w:r>
      <w:r w:rsidRPr="00B11F4B">
        <w:rPr>
          <w:rFonts w:ascii="Book Antiqua" w:eastAsia="Book Antiqua" w:hAnsi="Book Antiqua" w:cs="Book Antiqua"/>
          <w:color w:val="000000"/>
        </w:rPr>
        <w:t xml:space="preserve">. The model showed satisfactory results,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the calibration at 6 mo was desirable; however, the calibration at 12 and 24 mo should be improved.</w:t>
      </w:r>
    </w:p>
    <w:p w14:paraId="40C7AFC4" w14:textId="77777777" w:rsidR="00A77B3E" w:rsidRPr="00B11F4B" w:rsidRDefault="00A77B3E" w:rsidP="00664BFB">
      <w:pPr>
        <w:adjustRightInd w:val="0"/>
        <w:snapToGrid w:val="0"/>
        <w:spacing w:line="360" w:lineRule="auto"/>
        <w:jc w:val="both"/>
        <w:rPr>
          <w:rFonts w:ascii="Book Antiqua" w:hAnsi="Book Antiqua"/>
        </w:rPr>
      </w:pPr>
    </w:p>
    <w:p w14:paraId="47AED0B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CONCLUSION</w:t>
      </w:r>
    </w:p>
    <w:p w14:paraId="1888CBA7"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The CEUS model enables the well-calibrated individualized prediction of ER before surgery and may represent a novel tool for biomarker research and individual counseling.</w:t>
      </w:r>
    </w:p>
    <w:p w14:paraId="52F985BB" w14:textId="77777777" w:rsidR="00A77B3E" w:rsidRPr="00B11F4B" w:rsidRDefault="00A77B3E" w:rsidP="00664BFB">
      <w:pPr>
        <w:adjustRightInd w:val="0"/>
        <w:snapToGrid w:val="0"/>
        <w:spacing w:line="360" w:lineRule="auto"/>
        <w:jc w:val="both"/>
        <w:rPr>
          <w:rFonts w:ascii="Book Antiqua" w:hAnsi="Book Antiqua"/>
        </w:rPr>
      </w:pPr>
    </w:p>
    <w:p w14:paraId="498C3C6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Key Words: </w:t>
      </w:r>
      <w:r w:rsidRPr="00B11F4B">
        <w:rPr>
          <w:rFonts w:ascii="Book Antiqua" w:eastAsia="Book Antiqua" w:hAnsi="Book Antiqua" w:cs="Book Antiqua"/>
          <w:color w:val="000000"/>
        </w:rPr>
        <w:t>Hepatocellular carcinoma; Recurrence; Prediction; Contrast-enhanced ultrasound; Liver imaging reporting and data system; Alpha-fetoprotein</w:t>
      </w:r>
    </w:p>
    <w:p w14:paraId="21FBFE53" w14:textId="77777777" w:rsidR="00A46B7A" w:rsidRDefault="00A46B7A" w:rsidP="00A46B7A">
      <w:pPr>
        <w:spacing w:line="360" w:lineRule="auto"/>
        <w:jc w:val="both"/>
        <w:rPr>
          <w:lang w:eastAsia="zh-CN"/>
        </w:rPr>
      </w:pPr>
    </w:p>
    <w:p w14:paraId="5B588127" w14:textId="77777777" w:rsidR="00A46B7A" w:rsidRPr="00026CB8" w:rsidRDefault="00A46B7A" w:rsidP="00A46B7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3F5798F" w14:textId="77777777" w:rsidR="00A77B3E" w:rsidRPr="00B11F4B" w:rsidRDefault="00A77B3E" w:rsidP="00664BFB">
      <w:pPr>
        <w:adjustRightInd w:val="0"/>
        <w:snapToGrid w:val="0"/>
        <w:spacing w:line="360" w:lineRule="auto"/>
        <w:jc w:val="both"/>
        <w:rPr>
          <w:rFonts w:ascii="Book Antiqua" w:hAnsi="Book Antiqua"/>
        </w:rPr>
      </w:pPr>
    </w:p>
    <w:p w14:paraId="6AEE86D5" w14:textId="27CB0FA8" w:rsidR="005732B5" w:rsidRDefault="005732B5" w:rsidP="00664BFB">
      <w:pPr>
        <w:adjustRightInd w:val="0"/>
        <w:snapToGrid w:val="0"/>
        <w:spacing w:line="360" w:lineRule="auto"/>
        <w:jc w:val="both"/>
        <w:rPr>
          <w:rFonts w:ascii="Book Antiqua" w:hAnsi="Book Antiqua" w:hint="eastAsia"/>
          <w:iCs/>
          <w:lang w:eastAsia="zh-CN"/>
        </w:rPr>
      </w:pPr>
      <w:r w:rsidRPr="005732B5">
        <w:rPr>
          <w:rFonts w:ascii="Book Antiqua" w:hAnsi="Book Antiqua" w:cs="Book Antiqua" w:hint="eastAsia"/>
          <w:b/>
          <w:color w:val="000000"/>
          <w:lang w:eastAsia="zh-CN"/>
        </w:rPr>
        <w:t xml:space="preserve">Citation: </w:t>
      </w:r>
      <w:r w:rsidR="000313D3" w:rsidRPr="00B11F4B">
        <w:rPr>
          <w:rFonts w:ascii="Book Antiqua" w:eastAsia="Book Antiqua" w:hAnsi="Book Antiqua" w:cs="Book Antiqua"/>
          <w:color w:val="000000"/>
        </w:rPr>
        <w:t xml:space="preserve">Tu HB, Chen LH, Huang YJ, Feng SY, Lin JL, Zeng YY. Novel model </w:t>
      </w:r>
      <w:r w:rsidR="002F66A4" w:rsidRPr="00B11F4B">
        <w:rPr>
          <w:rFonts w:ascii="Book Antiqua" w:eastAsia="Book Antiqua" w:hAnsi="Book Antiqua" w:cs="Book Antiqua"/>
          <w:color w:val="000000"/>
        </w:rPr>
        <w:t>combin</w:t>
      </w:r>
      <w:r w:rsidR="002F66A4">
        <w:rPr>
          <w:rFonts w:ascii="Book Antiqua" w:eastAsia="Book Antiqua" w:hAnsi="Book Antiqua" w:cs="Book Antiqua"/>
          <w:color w:val="000000"/>
        </w:rPr>
        <w:t>ing</w:t>
      </w:r>
      <w:r w:rsidR="002F66A4"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contrast-enhanced ultrasound with serology predicts hepatocellular carcino</w:t>
      </w:r>
      <w:r w:rsidR="00AD16BB">
        <w:rPr>
          <w:rFonts w:ascii="Book Antiqua" w:eastAsia="Book Antiqua" w:hAnsi="Book Antiqua" w:cs="Book Antiqua"/>
          <w:color w:val="000000"/>
        </w:rPr>
        <w:t>ma recurrence after hepatectomy</w:t>
      </w:r>
      <w:r w:rsidR="000313D3"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i/>
          <w:iCs/>
          <w:color w:val="000000"/>
        </w:rPr>
        <w:t>World J Clin Cases</w:t>
      </w:r>
      <w:r w:rsidR="000313D3" w:rsidRPr="00B11F4B">
        <w:rPr>
          <w:rFonts w:ascii="Book Antiqua" w:eastAsia="Book Antiqua" w:hAnsi="Book Antiqua" w:cs="Book Antiqua"/>
          <w:color w:val="000000"/>
        </w:rPr>
        <w:t xml:space="preserve"> </w:t>
      </w:r>
      <w:r w:rsidR="00B86D12" w:rsidRPr="00651643">
        <w:rPr>
          <w:rFonts w:ascii="Book Antiqua" w:hAnsi="Book Antiqua"/>
          <w:iCs/>
        </w:rPr>
        <w:t>202</w:t>
      </w:r>
      <w:r w:rsidR="00B86D12">
        <w:rPr>
          <w:rFonts w:ascii="Book Antiqua" w:hAnsi="Book Antiqua" w:hint="eastAsia"/>
          <w:iCs/>
          <w:lang w:eastAsia="zh-CN"/>
        </w:rPr>
        <w:t>1</w:t>
      </w:r>
      <w:r w:rsidR="00B86D12" w:rsidRPr="00651643">
        <w:rPr>
          <w:rFonts w:ascii="Book Antiqua" w:hAnsi="Book Antiqua"/>
          <w:iCs/>
        </w:rPr>
        <w:t>;</w:t>
      </w:r>
      <w:r w:rsidR="00B86D12">
        <w:rPr>
          <w:rFonts w:ascii="Book Antiqua" w:hAnsi="Book Antiqua"/>
          <w:iCs/>
        </w:rPr>
        <w:t xml:space="preserve"> </w:t>
      </w:r>
      <w:r w:rsidR="00B86D12">
        <w:rPr>
          <w:rFonts w:ascii="Book Antiqua" w:hAnsi="Book Antiqua" w:hint="eastAsia"/>
          <w:iCs/>
          <w:lang w:eastAsia="zh-CN"/>
        </w:rPr>
        <w:t>9</w:t>
      </w:r>
      <w:r w:rsidR="00B86D12" w:rsidRPr="00651643">
        <w:rPr>
          <w:rFonts w:ascii="Book Antiqua" w:hAnsi="Book Antiqua"/>
          <w:iCs/>
        </w:rPr>
        <w:t>(</w:t>
      </w:r>
      <w:r w:rsidR="00B86D12">
        <w:rPr>
          <w:rFonts w:ascii="Book Antiqua" w:hAnsi="Book Antiqua" w:hint="eastAsia"/>
          <w:iCs/>
          <w:lang w:eastAsia="zh-CN"/>
        </w:rPr>
        <w:t>24</w:t>
      </w:r>
      <w:r w:rsidR="00B86D12" w:rsidRPr="00651643">
        <w:rPr>
          <w:rFonts w:ascii="Book Antiqua" w:hAnsi="Book Antiqua"/>
          <w:iCs/>
        </w:rPr>
        <w:t>):</w:t>
      </w:r>
      <w:r w:rsidR="00B86D12">
        <w:rPr>
          <w:rFonts w:ascii="Book Antiqua" w:hAnsi="Book Antiqua"/>
          <w:iCs/>
        </w:rPr>
        <w:t xml:space="preserve"> </w:t>
      </w:r>
      <w:r w:rsidRPr="005732B5">
        <w:rPr>
          <w:rFonts w:ascii="Book Antiqua" w:hAnsi="Book Antiqua"/>
          <w:iCs/>
        </w:rPr>
        <w:t>7009-7021</w:t>
      </w:r>
      <w:r w:rsidR="00B86D12">
        <w:rPr>
          <w:rFonts w:ascii="Book Antiqua" w:hAnsi="Book Antiqua" w:hint="eastAsia"/>
          <w:iCs/>
        </w:rPr>
        <w:t xml:space="preserve"> </w:t>
      </w:r>
    </w:p>
    <w:p w14:paraId="2D243F88" w14:textId="77777777" w:rsidR="005732B5" w:rsidRDefault="00B86D12" w:rsidP="00664BFB">
      <w:pPr>
        <w:adjustRightInd w:val="0"/>
        <w:snapToGrid w:val="0"/>
        <w:spacing w:line="360" w:lineRule="auto"/>
        <w:jc w:val="both"/>
        <w:rPr>
          <w:rFonts w:ascii="Book Antiqua" w:hAnsi="Book Antiqua" w:hint="eastAsia"/>
          <w:iCs/>
          <w:lang w:eastAsia="zh-CN"/>
        </w:rPr>
      </w:pPr>
      <w:r w:rsidRPr="005732B5">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24</w:t>
      </w:r>
      <w:r w:rsidRPr="00651643">
        <w:rPr>
          <w:rFonts w:ascii="Book Antiqua" w:hAnsi="Book Antiqua"/>
          <w:iCs/>
        </w:rPr>
        <w:t>/</w:t>
      </w:r>
      <w:r w:rsidR="005732B5" w:rsidRPr="005732B5">
        <w:rPr>
          <w:rFonts w:ascii="Book Antiqua" w:hAnsi="Book Antiqua"/>
          <w:iCs/>
        </w:rPr>
        <w:t>7009</w:t>
      </w:r>
      <w:r>
        <w:rPr>
          <w:rFonts w:ascii="Book Antiqua" w:hAnsi="Book Antiqua"/>
          <w:iCs/>
        </w:rPr>
        <w:t>.htm</w:t>
      </w:r>
      <w:r>
        <w:rPr>
          <w:rFonts w:ascii="Book Antiqua" w:hAnsi="Book Antiqua" w:hint="eastAsia"/>
          <w:iCs/>
        </w:rPr>
        <w:t xml:space="preserve"> </w:t>
      </w:r>
    </w:p>
    <w:p w14:paraId="1B452364" w14:textId="62A61FAB" w:rsidR="00A77B3E" w:rsidRPr="00B11F4B" w:rsidRDefault="00B86D12" w:rsidP="00664BFB">
      <w:pPr>
        <w:adjustRightInd w:val="0"/>
        <w:snapToGrid w:val="0"/>
        <w:spacing w:line="360" w:lineRule="auto"/>
        <w:jc w:val="both"/>
        <w:rPr>
          <w:rFonts w:ascii="Book Antiqua" w:hAnsi="Book Antiqua"/>
        </w:rPr>
      </w:pPr>
      <w:r w:rsidRPr="005732B5">
        <w:rPr>
          <w:rFonts w:ascii="Book Antiqua" w:hAnsi="Book Antiqua"/>
          <w:b/>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24</w:t>
      </w:r>
      <w:r w:rsidRPr="00651643">
        <w:rPr>
          <w:rFonts w:ascii="Book Antiqua" w:hAnsi="Book Antiqua"/>
          <w:iCs/>
        </w:rPr>
        <w:t>.</w:t>
      </w:r>
      <w:r w:rsidR="005732B5" w:rsidRPr="005732B5">
        <w:rPr>
          <w:rFonts w:ascii="Book Antiqua" w:hAnsi="Book Antiqua"/>
          <w:iCs/>
        </w:rPr>
        <w:t>7009</w:t>
      </w:r>
    </w:p>
    <w:p w14:paraId="466B6EE5" w14:textId="77777777" w:rsidR="00A77B3E" w:rsidRPr="00B11F4B" w:rsidRDefault="00A77B3E" w:rsidP="00664BFB">
      <w:pPr>
        <w:adjustRightInd w:val="0"/>
        <w:snapToGrid w:val="0"/>
        <w:spacing w:line="360" w:lineRule="auto"/>
        <w:jc w:val="both"/>
        <w:rPr>
          <w:rFonts w:ascii="Book Antiqua" w:hAnsi="Book Antiqua"/>
        </w:rPr>
      </w:pPr>
    </w:p>
    <w:p w14:paraId="228A308B" w14:textId="0BF25D2B"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Core Tip: </w:t>
      </w:r>
      <w:bookmarkStart w:id="2" w:name="OLE_LINK551"/>
      <w:bookmarkStart w:id="3" w:name="OLE_LINK552"/>
      <w:r w:rsidRPr="00B11F4B">
        <w:rPr>
          <w:rFonts w:ascii="Book Antiqua" w:eastAsia="Book Antiqua" w:hAnsi="Book Antiqua" w:cs="Book Antiqua"/>
          <w:color w:val="000000"/>
        </w:rPr>
        <w:t>This study aimed to construct and verify a non-invasive prediction model combining contrast-enhanced ultrasound with serology biomarkers to predict the early recurrence of hepatocellular carcinoma.</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Records of 292 </w:t>
      </w:r>
      <w:r w:rsidR="002F66A4">
        <w:rPr>
          <w:rFonts w:ascii="Book Antiqua" w:eastAsia="Book Antiqua" w:hAnsi="Book Antiqua" w:cs="Book Antiqua"/>
          <w:color w:val="000000"/>
        </w:rPr>
        <w:t>l</w:t>
      </w:r>
      <w:r w:rsidR="002F66A4" w:rsidRPr="00B11F4B">
        <w:rPr>
          <w:rFonts w:ascii="Book Antiqua" w:eastAsia="Book Antiqua" w:hAnsi="Book Antiqua" w:cs="Book Antiqua"/>
          <w:color w:val="000000"/>
        </w:rPr>
        <w:t xml:space="preserve">ocal </w:t>
      </w:r>
      <w:r w:rsidRPr="00B11F4B">
        <w:rPr>
          <w:rFonts w:ascii="Book Antiqua" w:eastAsia="Book Antiqua" w:hAnsi="Book Antiqua" w:cs="Book Antiqua"/>
          <w:color w:val="000000"/>
        </w:rPr>
        <w:t xml:space="preserve">patients of hepatocellular carcinoma (HCC) were selected for analysis. A nomogram predicting early recurrence (ER) named contrasted-enhanced ultrasound (CEUS) model, incorporating tumor diameter, preoperative alpha-fetoprotein level, and LIRADS, was developed. The model showed satisfactory results, </w:t>
      </w:r>
      <w:r w:rsidR="002F66A4">
        <w:rPr>
          <w:rFonts w:ascii="Book Antiqua" w:eastAsia="Book Antiqua" w:hAnsi="Book Antiqua" w:cs="Book Antiqua"/>
          <w:color w:val="000000"/>
        </w:rPr>
        <w:t xml:space="preserve">and </w:t>
      </w:r>
      <w:r w:rsidRPr="00B11F4B">
        <w:rPr>
          <w:rFonts w:ascii="Book Antiqua" w:eastAsia="Book Antiqua" w:hAnsi="Book Antiqua" w:cs="Book Antiqua"/>
          <w:color w:val="000000"/>
        </w:rPr>
        <w:t>the C-index was 0.762 (95%CI: 0.706–0.819). The calibration at 6 mo was desirable.</w:t>
      </w:r>
      <w:r w:rsidR="002F66A4">
        <w:rPr>
          <w:rFonts w:ascii="Book Antiqua" w:eastAsia="Book Antiqua" w:hAnsi="Book Antiqua" w:cs="Book Antiqua"/>
          <w:color w:val="000000"/>
        </w:rPr>
        <w:t xml:space="preserve"> </w:t>
      </w:r>
      <w:r w:rsidRPr="00B11F4B">
        <w:rPr>
          <w:rFonts w:ascii="Book Antiqua" w:eastAsia="Book Antiqua" w:hAnsi="Book Antiqua" w:cs="Book Antiqua"/>
          <w:color w:val="000000"/>
        </w:rPr>
        <w:t>The CEUS model enables the well-calibrated individualized prediction of ER before surgery and may represent a novel tool for biomarker research and individual counseling.</w:t>
      </w:r>
    </w:p>
    <w:bookmarkEnd w:id="2"/>
    <w:bookmarkEnd w:id="3"/>
    <w:p w14:paraId="2A7506CF" w14:textId="77777777" w:rsidR="00A77B3E" w:rsidRPr="00B11F4B" w:rsidRDefault="00A77B3E" w:rsidP="00664BFB">
      <w:pPr>
        <w:adjustRightInd w:val="0"/>
        <w:snapToGrid w:val="0"/>
        <w:spacing w:line="360" w:lineRule="auto"/>
        <w:jc w:val="both"/>
        <w:rPr>
          <w:rFonts w:ascii="Book Antiqua" w:hAnsi="Book Antiqua"/>
        </w:rPr>
      </w:pPr>
    </w:p>
    <w:p w14:paraId="6693038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INTRODUCTION</w:t>
      </w:r>
    </w:p>
    <w:p w14:paraId="30FAFABB" w14:textId="6BED0446"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Hepatocellular carcinoma (HCC) is the sixth most common cancer and</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the third leading cause of cancer-related deaths worldwide</w:t>
      </w:r>
      <w:r w:rsidRPr="00B11F4B">
        <w:rPr>
          <w:rFonts w:ascii="Book Antiqua" w:eastAsia="Book Antiqua" w:hAnsi="Book Antiqua" w:cs="Book Antiqua"/>
          <w:color w:val="000000"/>
          <w:vertAlign w:val="superscript"/>
        </w:rPr>
        <w:t>[1]</w:t>
      </w:r>
      <w:r w:rsidRPr="00B11F4B">
        <w:rPr>
          <w:rFonts w:ascii="Book Antiqua" w:eastAsia="Book Antiqua" w:hAnsi="Book Antiqua" w:cs="Book Antiqua"/>
          <w:color w:val="000000"/>
        </w:rPr>
        <w:t>. Surgery is the primary curative option in patients with HCC. However, recurrence within 2 years occurs in 30%–50% of patients and is the major cause of mortality</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Identifying patients with a high recurrence risk after surgery is important so that clinicians can provide appropriate monitoring to detect the earliest stage of recurrent HCC in time and treatment may still be feasible.</w:t>
      </w:r>
    </w:p>
    <w:p w14:paraId="2771A39D" w14:textId="77777777"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The widely used tumor staging system, such as tumor node metastasis (TNM) and Barcelona clinic liver cancer (BCLC) staging, is useful for guiding surgery; however, their ability to predict recurrence has not been fully evaluated. Some models, such as the Singapore Liver Cancer Recurrence score</w:t>
      </w:r>
      <w:r w:rsidRPr="00B11F4B">
        <w:rPr>
          <w:rFonts w:ascii="Book Antiqua" w:eastAsia="Book Antiqua" w:hAnsi="Book Antiqua" w:cs="Book Antiqua"/>
          <w:color w:val="000000"/>
          <w:vertAlign w:val="superscript"/>
        </w:rPr>
        <w:t>[4]</w:t>
      </w:r>
      <w:r w:rsidRPr="00B11F4B">
        <w:rPr>
          <w:rFonts w:ascii="Book Antiqua" w:eastAsia="Book Antiqua" w:hAnsi="Book Antiqua" w:cs="Book Antiqua"/>
          <w:color w:val="000000"/>
        </w:rPr>
        <w:t>, the Korean model</w:t>
      </w:r>
      <w:r w:rsidRPr="00B11F4B">
        <w:rPr>
          <w:rFonts w:ascii="Book Antiqua" w:eastAsia="Book Antiqua" w:hAnsi="Book Antiqua" w:cs="Book Antiqua"/>
          <w:color w:val="000000"/>
          <w:vertAlign w:val="superscript"/>
        </w:rPr>
        <w:t>[5]</w:t>
      </w:r>
      <w:r w:rsidRPr="00B11F4B">
        <w:rPr>
          <w:rFonts w:ascii="Book Antiqua" w:eastAsia="Book Antiqua" w:hAnsi="Book Antiqua" w:cs="Book Antiqua"/>
          <w:color w:val="000000"/>
        </w:rPr>
        <w:t>, and the Surgery-Specific Cancer of the Liver Italian Program</w:t>
      </w:r>
      <w:r w:rsidRPr="00B11F4B">
        <w:rPr>
          <w:rFonts w:ascii="Book Antiqua" w:eastAsia="Book Antiqua" w:hAnsi="Book Antiqua" w:cs="Book Antiqua"/>
          <w:color w:val="000000"/>
          <w:vertAlign w:val="superscript"/>
        </w:rPr>
        <w:t>[6]</w:t>
      </w:r>
      <w:r w:rsidRPr="00B11F4B">
        <w:rPr>
          <w:rFonts w:ascii="Book Antiqua" w:eastAsia="Book Antiqua" w:hAnsi="Book Antiqua" w:cs="Book Antiqua"/>
          <w:color w:val="000000"/>
        </w:rPr>
        <w:t xml:space="preserve">, have been specially developed to detect tumor recurrence after surgical resection; however, the most important parameter, that is, microvascular invasion, can only be evaluated pathologically on the resected specimens. A prognostic model that only requires preoperative available parameters may assist surgeons in planning a reasonable treatment strategy. </w:t>
      </w:r>
    </w:p>
    <w:p w14:paraId="4D9E830B" w14:textId="77777777"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With the development of radiology technology and serology detection ability, predicting postoperative recurrence noninvasively is possible. Many scholars have used radiology technology or serological biomarkers to achieve this goal</w:t>
      </w:r>
      <w:r w:rsidRPr="00B11F4B">
        <w:rPr>
          <w:rFonts w:ascii="Book Antiqua" w:eastAsia="Book Antiqua" w:hAnsi="Book Antiqua" w:cs="Book Antiqua"/>
          <w:color w:val="000000"/>
          <w:vertAlign w:val="superscript"/>
        </w:rPr>
        <w:t>[7,8]</w:t>
      </w:r>
      <w:r w:rsidRPr="00B11F4B">
        <w:rPr>
          <w:rFonts w:ascii="Book Antiqua" w:eastAsia="Book Antiqua" w:hAnsi="Book Antiqua" w:cs="Book Antiqua"/>
          <w:color w:val="000000"/>
        </w:rPr>
        <w:t>, but only a few have combined the two technologies; the combination of ultrasound and serological biomarkers has not been used for preoperative prediction. Ultrasound examination is favored by clinicians and patients for its lack of radiation, repeatability, and real-time</w:t>
      </w:r>
      <w:r w:rsidR="00F75CB1">
        <w:rPr>
          <w:rFonts w:ascii="Book Antiqua" w:eastAsia="Book Antiqua" w:hAnsi="Book Antiqua" w:cs="Book Antiqua"/>
          <w:color w:val="000000"/>
        </w:rPr>
        <w:t xml:space="preserve"> monitoring</w:t>
      </w:r>
      <w:r w:rsidRPr="00B11F4B">
        <w:rPr>
          <w:rFonts w:ascii="Book Antiqua" w:eastAsia="Book Antiqua" w:hAnsi="Book Antiqua" w:cs="Book Antiqua"/>
          <w:color w:val="000000"/>
        </w:rPr>
        <w:t>. Contrast-enhanced ultrasound (CEUS) can observe tumor hemodynamics in real time, which plays an important role in evaluating the nature of a tumor. In this study, a nomogram model was constructed by fusing CEUS and a serological biomarker. The predictive ability of the model was evaluated and validated by internal resampling.</w:t>
      </w:r>
    </w:p>
    <w:p w14:paraId="55162200" w14:textId="77777777" w:rsidR="00A77B3E" w:rsidRPr="00B11F4B" w:rsidRDefault="00A77B3E" w:rsidP="00664BFB">
      <w:pPr>
        <w:adjustRightInd w:val="0"/>
        <w:snapToGrid w:val="0"/>
        <w:spacing w:line="360" w:lineRule="auto"/>
        <w:ind w:firstLine="240"/>
        <w:jc w:val="both"/>
        <w:rPr>
          <w:rFonts w:ascii="Book Antiqua" w:hAnsi="Book Antiqua"/>
        </w:rPr>
      </w:pPr>
    </w:p>
    <w:p w14:paraId="4D232E2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MATERIALS AND METHODS</w:t>
      </w:r>
    </w:p>
    <w:p w14:paraId="59AE1A9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Patient selection and study design</w:t>
      </w:r>
    </w:p>
    <w:p w14:paraId="073F8BFF" w14:textId="36F3C55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This study </w:t>
      </w:r>
      <w:r w:rsidR="00F75CB1">
        <w:rPr>
          <w:rFonts w:ascii="Book Antiqua" w:eastAsia="Book Antiqua" w:hAnsi="Book Antiqua" w:cs="Book Antiqua"/>
          <w:color w:val="000000"/>
        </w:rPr>
        <w:t>was</w:t>
      </w:r>
      <w:r w:rsidRPr="00B11F4B">
        <w:rPr>
          <w:rFonts w:ascii="Book Antiqua" w:eastAsia="Book Antiqua" w:hAnsi="Book Antiqua" w:cs="Book Antiqua"/>
          <w:color w:val="000000"/>
        </w:rPr>
        <w:t xml:space="preserve"> approved by the hospital’s ethics committee (No. 2020-010-01), and all participating patients provided written informed consent. Between January 2016 and January 2018, 744 consecutive patients </w:t>
      </w:r>
      <w:r w:rsidR="00F75CB1">
        <w:rPr>
          <w:rFonts w:ascii="Book Antiqua" w:eastAsia="Book Antiqua" w:hAnsi="Book Antiqua" w:cs="Book Antiqua"/>
          <w:color w:val="000000"/>
        </w:rPr>
        <w:t>meeting</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the study’s criteria</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who underwent curative resection at our institution were retrospectively recruited. The exclusion criteria were as follows: (</w:t>
      </w:r>
      <w:r w:rsidR="00AD16BB">
        <w:rPr>
          <w:rFonts w:ascii="Book Antiqua" w:eastAsia="Book Antiqua" w:hAnsi="Book Antiqua" w:cs="Book Antiqua"/>
          <w:color w:val="000000"/>
        </w:rPr>
        <w:t>1</w:t>
      </w:r>
      <w:r w:rsidRPr="00B11F4B">
        <w:rPr>
          <w:rFonts w:ascii="Book Antiqua" w:eastAsia="Book Antiqua" w:hAnsi="Book Antiqua" w:cs="Book Antiqua"/>
          <w:color w:val="000000"/>
        </w:rPr>
        <w:t>) CEUS of the liver was unavailable</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2</w:t>
      </w:r>
      <w:r w:rsidRPr="00B11F4B">
        <w:rPr>
          <w:rFonts w:ascii="Book Antiqua" w:eastAsia="Book Antiqua" w:hAnsi="Book Antiqua" w:cs="Book Antiqua"/>
          <w:color w:val="000000"/>
        </w:rPr>
        <w:t>) CEUS was performed more than 1 mo before surgery</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3</w:t>
      </w:r>
      <w:r w:rsidRPr="00B11F4B">
        <w:rPr>
          <w:rFonts w:ascii="Book Antiqua" w:eastAsia="Book Antiqua" w:hAnsi="Book Antiqua" w:cs="Book Antiqua"/>
          <w:color w:val="000000"/>
        </w:rPr>
        <w:t>) macrovascular invasion or extrahepatic metastasis was present</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4</w:t>
      </w:r>
      <w:r w:rsidRPr="00B11F4B">
        <w:rPr>
          <w:rFonts w:ascii="Book Antiqua" w:eastAsia="Book Antiqua" w:hAnsi="Book Antiqua" w:cs="Book Antiqua"/>
          <w:color w:val="000000"/>
        </w:rPr>
        <w:t xml:space="preserve">) </w:t>
      </w:r>
      <w:r w:rsidR="00F75CB1">
        <w:rPr>
          <w:rFonts w:ascii="Book Antiqua" w:eastAsia="Book Antiqua" w:hAnsi="Book Antiqua" w:cs="Book Antiqua"/>
          <w:color w:val="000000"/>
        </w:rPr>
        <w:t>previous</w:t>
      </w:r>
      <w:r w:rsidRPr="00B11F4B">
        <w:rPr>
          <w:rFonts w:ascii="Book Antiqua" w:eastAsia="Book Antiqua" w:hAnsi="Book Antiqua" w:cs="Book Antiqua"/>
          <w:color w:val="000000"/>
        </w:rPr>
        <w:t xml:space="preserve"> treatment (</w:t>
      </w:r>
      <w:r w:rsidRPr="00AD16BB">
        <w:rPr>
          <w:rFonts w:ascii="Book Antiqua" w:eastAsia="Book Antiqua" w:hAnsi="Book Antiqua" w:cs="Book Antiqua"/>
          <w:i/>
          <w:color w:val="000000"/>
        </w:rPr>
        <w:t>i.e</w:t>
      </w:r>
      <w:r w:rsidRPr="00B11F4B">
        <w:rPr>
          <w:rFonts w:ascii="Book Antiqua" w:eastAsia="Book Antiqua" w:hAnsi="Book Antiqua" w:cs="Book Antiqua"/>
          <w:color w:val="000000"/>
        </w:rPr>
        <w:t>., local ablation, repeated liver resection, transarterial chemoembolization, chemotherapy, and radiotherapy) before surgery</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w:t>
      </w:r>
      <w:r w:rsidR="00AD16BB">
        <w:rPr>
          <w:rFonts w:ascii="Book Antiqua" w:eastAsia="Book Antiqua" w:hAnsi="Book Antiqua" w:cs="Book Antiqua"/>
          <w:color w:val="000000"/>
        </w:rPr>
        <w:t>5</w:t>
      </w:r>
      <w:r w:rsidRPr="00B11F4B">
        <w:rPr>
          <w:rFonts w:ascii="Book Antiqua" w:eastAsia="Book Antiqua" w:hAnsi="Book Antiqua" w:cs="Book Antiqua"/>
          <w:color w:val="000000"/>
        </w:rPr>
        <w:t>) liver resection was performed for a ruptured tumor or non-R0 resection</w:t>
      </w:r>
      <w:r w:rsidR="00AD16BB">
        <w:rPr>
          <w:rFonts w:ascii="Book Antiqua" w:eastAsia="Book Antiqua" w:hAnsi="Book Antiqua" w:cs="Book Antiqua"/>
          <w:color w:val="000000"/>
        </w:rPr>
        <w:t>;</w:t>
      </w:r>
      <w:r w:rsidRPr="00B11F4B">
        <w:rPr>
          <w:rFonts w:ascii="Book Antiqua" w:eastAsia="Book Antiqua" w:hAnsi="Book Antiqua" w:cs="Book Antiqua"/>
          <w:color w:val="000000"/>
        </w:rPr>
        <w:t xml:space="preserve"> and (</w:t>
      </w:r>
      <w:r w:rsidR="00AD16BB">
        <w:rPr>
          <w:rFonts w:ascii="Book Antiqua" w:eastAsia="Book Antiqua" w:hAnsi="Book Antiqua" w:cs="Book Antiqua"/>
          <w:color w:val="000000"/>
        </w:rPr>
        <w:t>6</w:t>
      </w:r>
      <w:r w:rsidRPr="00B11F4B">
        <w:rPr>
          <w:rFonts w:ascii="Book Antiqua" w:eastAsia="Book Antiqua" w:hAnsi="Book Antiqua" w:cs="Book Antiqua"/>
          <w:color w:val="000000"/>
        </w:rPr>
        <w:t>) clinic</w:t>
      </w:r>
      <w:r w:rsidR="00F75CB1">
        <w:rPr>
          <w:rFonts w:ascii="Book Antiqua" w:eastAsia="Book Antiqua" w:hAnsi="Book Antiqua" w:cs="Book Antiqua"/>
          <w:color w:val="000000"/>
        </w:rPr>
        <w:t>o</w:t>
      </w:r>
      <w:r w:rsidRPr="00B11F4B">
        <w:rPr>
          <w:rFonts w:ascii="Book Antiqua" w:eastAsia="Book Antiqua" w:hAnsi="Book Antiqua" w:cs="Book Antiqua"/>
          <w:color w:val="000000"/>
        </w:rPr>
        <w:t xml:space="preserve">pathologic or follow-up data were not available. A total </w:t>
      </w:r>
      <w:r w:rsidR="00F75CB1">
        <w:rPr>
          <w:rFonts w:ascii="Book Antiqua" w:eastAsia="Book Antiqua" w:hAnsi="Book Antiqua" w:cs="Book Antiqua"/>
          <w:color w:val="000000"/>
        </w:rPr>
        <w:t xml:space="preserve">of </w:t>
      </w:r>
      <w:r w:rsidRPr="00B11F4B">
        <w:rPr>
          <w:rFonts w:ascii="Book Antiqua" w:eastAsia="Book Antiqua" w:hAnsi="Book Antiqua" w:cs="Book Antiqua"/>
          <w:color w:val="000000"/>
        </w:rPr>
        <w:t>292 patients were enrolled in this study (Figure 1).</w:t>
      </w:r>
    </w:p>
    <w:p w14:paraId="2BEA6764" w14:textId="77777777" w:rsidR="00A77B3E" w:rsidRPr="00B11F4B" w:rsidRDefault="00A77B3E" w:rsidP="00664BFB">
      <w:pPr>
        <w:adjustRightInd w:val="0"/>
        <w:snapToGrid w:val="0"/>
        <w:spacing w:line="360" w:lineRule="auto"/>
        <w:jc w:val="both"/>
        <w:rPr>
          <w:rFonts w:ascii="Book Antiqua" w:hAnsi="Book Antiqua"/>
        </w:rPr>
      </w:pPr>
    </w:p>
    <w:p w14:paraId="5A8D32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CEUS technique</w:t>
      </w:r>
    </w:p>
    <w:p w14:paraId="75CAFA28" w14:textId="6E9C118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Ultrasound scanning was performed by a radiologist (LJL</w:t>
      </w:r>
      <w:r w:rsidR="00F75CB1" w:rsidRPr="00B11F4B">
        <w:rPr>
          <w:rFonts w:ascii="Book Antiqua" w:eastAsia="Book Antiqua" w:hAnsi="Book Antiqua" w:cs="Book Antiqua"/>
          <w:color w:val="000000"/>
        </w:rPr>
        <w:t>)</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who had 30 years of conventional ultrasound experience and 15 years of CEUS experience. She used a multi-frequency (5–2 MHz) convex array probe (C5-2) (Esaote) on a Mylab 90 system, and digital storage was recorded at the same time. Before CEUS, the whole liver must be thoroughly examined using a gray-scale ultrasound. Baseline scan included evaluation of lesions </w:t>
      </w:r>
      <w:r w:rsidR="00F75CB1">
        <w:rPr>
          <w:rFonts w:ascii="Book Antiqua" w:eastAsia="Book Antiqua" w:hAnsi="Book Antiqua" w:cs="Book Antiqua"/>
          <w:color w:val="000000"/>
        </w:rPr>
        <w:t>o</w:t>
      </w:r>
      <w:r w:rsidR="00F75CB1" w:rsidRPr="00B11F4B">
        <w:rPr>
          <w:rFonts w:ascii="Book Antiqua" w:eastAsia="Book Antiqua" w:hAnsi="Book Antiqua" w:cs="Book Antiqua"/>
          <w:color w:val="000000"/>
        </w:rPr>
        <w:t xml:space="preserve">n </w:t>
      </w:r>
      <w:r w:rsidRPr="00B11F4B">
        <w:rPr>
          <w:rFonts w:ascii="Book Antiqua" w:eastAsia="Book Antiqua" w:hAnsi="Book Antiqua" w:cs="Book Antiqua"/>
          <w:color w:val="000000"/>
        </w:rPr>
        <w:t>B-mode imaging and color Doppler ultrasound in combination with tissue harmonic imaging.</w:t>
      </w:r>
    </w:p>
    <w:p w14:paraId="06EBBC82" w14:textId="1DBA83A2" w:rsidR="00A77B3E" w:rsidRPr="00B11F4B" w:rsidRDefault="000313D3" w:rsidP="00664BFB">
      <w:pPr>
        <w:adjustRightInd w:val="0"/>
        <w:snapToGrid w:val="0"/>
        <w:spacing w:line="360" w:lineRule="auto"/>
        <w:ind w:firstLine="240"/>
        <w:jc w:val="both"/>
        <w:rPr>
          <w:rFonts w:ascii="Book Antiqua" w:hAnsi="Book Antiqua"/>
        </w:rPr>
      </w:pPr>
      <w:r w:rsidRPr="00B11F4B">
        <w:rPr>
          <w:rFonts w:ascii="Book Antiqua" w:eastAsia="Book Antiqua" w:hAnsi="Book Antiqua" w:cs="Book Antiqua"/>
          <w:color w:val="000000"/>
        </w:rPr>
        <w:t xml:space="preserve">Before CEUS was performed, each patient rested for 10 min and received breathing training to obtain the best image. In CEUS, 2.4 mL of a microbubble contrast agent (Sonovue, Bracco, Milan, Italy) was rapidly injected </w:t>
      </w:r>
      <w:r w:rsidRPr="00B11F4B">
        <w:rPr>
          <w:rFonts w:ascii="Book Antiqua" w:eastAsia="Book Antiqua" w:hAnsi="Book Antiqua" w:cs="Book Antiqua"/>
          <w:i/>
          <w:iCs/>
          <w:color w:val="000000"/>
        </w:rPr>
        <w:t>via</w:t>
      </w:r>
      <w:r w:rsidRPr="00B11F4B">
        <w:rPr>
          <w:rFonts w:ascii="Book Antiqua" w:eastAsia="Book Antiqua" w:hAnsi="Book Antiqua" w:cs="Book Antiqua"/>
          <w:color w:val="000000"/>
        </w:rPr>
        <w:t xml:space="preserve"> an antecubital vein followed by a 10 mL saline flush. A sufficiently large needle (20-gauge minimum diameter) was used to avoid bubble rupture. A low mechanical index (&lt;</w:t>
      </w:r>
      <w:r w:rsidR="003C2C7F">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0.1) was used for CEUS examination. Different dynamic phases of contrast enhancement were identified in the liver study after a microbubble-based contrast agent was injected. The contrast side-by-side mode was used </w:t>
      </w:r>
      <w:r w:rsidRPr="00B11F4B">
        <w:rPr>
          <w:rFonts w:ascii="Book Antiqua" w:eastAsia="Book Antiqua" w:hAnsi="Book Antiqua" w:cs="Book Antiqua"/>
          <w:i/>
          <w:iCs/>
          <w:color w:val="000000"/>
        </w:rPr>
        <w:t>via</w:t>
      </w:r>
      <w:r w:rsidRPr="00B11F4B">
        <w:rPr>
          <w:rFonts w:ascii="Book Antiqua" w:eastAsia="Book Antiqua" w:hAnsi="Book Antiqua" w:cs="Book Antiqua"/>
          <w:color w:val="000000"/>
        </w:rPr>
        <w:t xml:space="preserve"> a live dual-image display. The CEUS terminology follows the ACR CEUS LI-RADS working group standard</w:t>
      </w:r>
      <w:r w:rsidRPr="00B11F4B">
        <w:rPr>
          <w:rFonts w:ascii="Book Antiqua" w:eastAsia="Book Antiqua" w:hAnsi="Book Antiqua" w:cs="Book Antiqua"/>
          <w:color w:val="000000"/>
          <w:vertAlign w:val="superscript"/>
        </w:rPr>
        <w:t>[9]</w:t>
      </w:r>
      <w:r w:rsidRPr="00B11F4B">
        <w:rPr>
          <w:rFonts w:ascii="Book Antiqua" w:eastAsia="Book Antiqua" w:hAnsi="Book Antiqua" w:cs="Book Antiqua"/>
          <w:color w:val="000000"/>
        </w:rPr>
        <w:t>. Continuous scanning was used to observe the tumor. The duration of the study included the arterial phase (0–30 s), portal phase (31–120 s), and late phase (121–300 s). Three radiologists with 5 years of working experience with CEUS classified the tumor according to the LI-RADS (Figure 2)</w:t>
      </w:r>
      <w:r w:rsidRPr="00B11F4B">
        <w:rPr>
          <w:rFonts w:ascii="Book Antiqua" w:eastAsia="Book Antiqua" w:hAnsi="Book Antiqua" w:cs="Book Antiqua"/>
          <w:color w:val="000000"/>
          <w:vertAlign w:val="superscript"/>
        </w:rPr>
        <w:t>[10]</w:t>
      </w:r>
      <w:r w:rsidRPr="00B11F4B">
        <w:rPr>
          <w:rFonts w:ascii="Book Antiqua" w:eastAsia="Book Antiqua" w:hAnsi="Book Antiqua" w:cs="Book Antiqua"/>
          <w:color w:val="000000"/>
        </w:rPr>
        <w:t xml:space="preserve">, and 5v was defined as 6. If more than one tumor was detected, the biggest one was reviewed. The following parameters were also collected: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 xml:space="preserve">he maximum diameter of the lesion; (2) </w:t>
      </w:r>
      <w:r w:rsidR="00F75CB1">
        <w:rPr>
          <w:rFonts w:ascii="Book Antiqua" w:eastAsia="Book Antiqua" w:hAnsi="Book Antiqua" w:cs="Book Antiqua"/>
          <w:caps/>
          <w:color w:val="000000"/>
        </w:rPr>
        <w:t>s</w:t>
      </w:r>
      <w:r w:rsidR="00F75CB1" w:rsidRPr="00B11F4B">
        <w:rPr>
          <w:rFonts w:ascii="Book Antiqua" w:eastAsia="Book Antiqua" w:hAnsi="Book Antiqua" w:cs="Book Antiqua"/>
          <w:color w:val="000000"/>
        </w:rPr>
        <w:t xml:space="preserve">tarting </w:t>
      </w:r>
      <w:r w:rsidRPr="00B11F4B">
        <w:rPr>
          <w:rFonts w:ascii="Book Antiqua" w:eastAsia="Book Antiqua" w:hAnsi="Book Antiqua" w:cs="Book Antiqua"/>
          <w:color w:val="000000"/>
        </w:rPr>
        <w:t xml:space="preserve">time (the time from injection to entering the tumor); (3) </w:t>
      </w:r>
      <w:r w:rsidR="00F75CB1">
        <w:rPr>
          <w:rFonts w:ascii="Book Antiqua" w:eastAsia="Book Antiqua" w:hAnsi="Book Antiqua" w:cs="Book Antiqua"/>
          <w:caps/>
          <w:color w:val="000000"/>
        </w:rPr>
        <w:t>P</w:t>
      </w:r>
      <w:r w:rsidRPr="00B11F4B">
        <w:rPr>
          <w:rFonts w:ascii="Book Antiqua" w:eastAsia="Book Antiqua" w:hAnsi="Book Antiqua" w:cs="Book Antiqua"/>
          <w:color w:val="000000"/>
        </w:rPr>
        <w:t xml:space="preserve">eak time (the time from the injection to the maximum intensity of the tumor); (4) </w:t>
      </w:r>
      <w:r w:rsidRPr="00B11F4B">
        <w:rPr>
          <w:rFonts w:ascii="Book Antiqua" w:eastAsia="Book Antiqua" w:hAnsi="Book Antiqua" w:cs="Book Antiqua"/>
          <w:caps/>
          <w:color w:val="000000"/>
        </w:rPr>
        <w:t>i</w:t>
      </w:r>
      <w:r w:rsidRPr="00B11F4B">
        <w:rPr>
          <w:rFonts w:ascii="Book Antiqua" w:eastAsia="Book Antiqua" w:hAnsi="Book Antiqua" w:cs="Book Antiqua"/>
          <w:color w:val="000000"/>
        </w:rPr>
        <w:t xml:space="preserve">so-time (the time from the injection to tumor enhancement was equal to peripheral); (5)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 xml:space="preserve">ashout time (the time from the injection to the tumor enhancement lower than peripheral); (6) </w:t>
      </w:r>
      <w:r w:rsidR="00F75CB1" w:rsidRPr="00B11F4B">
        <w:rPr>
          <w:rFonts w:ascii="Book Antiqua" w:eastAsia="Book Antiqua" w:hAnsi="Book Antiqua" w:cs="Book Antiqua"/>
          <w:color w:val="000000"/>
        </w:rPr>
        <w:t xml:space="preserve">enhancement </w:t>
      </w:r>
      <w:r w:rsidR="00F75CB1">
        <w:rPr>
          <w:rFonts w:ascii="Book Antiqua" w:eastAsia="Book Antiqua" w:hAnsi="Book Antiqua" w:cs="Book Antiqua"/>
          <w:color w:val="000000"/>
        </w:rPr>
        <w:t>type</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(fast-in fast-out and non-fast-in fast-out); (7)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 xml:space="preserve">ash-in </w:t>
      </w:r>
      <w:r w:rsidR="00F75CB1">
        <w:rPr>
          <w:rFonts w:ascii="Book Antiqua" w:eastAsia="Book Antiqua" w:hAnsi="Book Antiqua" w:cs="Book Antiqua"/>
          <w:color w:val="000000"/>
        </w:rPr>
        <w:t>type</w:t>
      </w:r>
      <w:r w:rsidRPr="00B11F4B">
        <w:rPr>
          <w:rFonts w:ascii="Book Antiqua" w:eastAsia="Book Antiqua" w:hAnsi="Book Antiqua" w:cs="Book Antiqua"/>
          <w:color w:val="000000"/>
        </w:rPr>
        <w:t xml:space="preserve"> (fast-in and non-fast-in); (8) </w:t>
      </w:r>
      <w:r w:rsidR="00F75CB1" w:rsidRPr="00B11F4B">
        <w:rPr>
          <w:rFonts w:ascii="Book Antiqua" w:eastAsia="Book Antiqua" w:hAnsi="Book Antiqua" w:cs="Book Antiqua"/>
          <w:color w:val="000000"/>
        </w:rPr>
        <w:t>w</w:t>
      </w:r>
      <w:r w:rsidRPr="00B11F4B">
        <w:rPr>
          <w:rFonts w:ascii="Book Antiqua" w:eastAsia="Book Antiqua" w:hAnsi="Book Antiqua" w:cs="Book Antiqua"/>
          <w:color w:val="000000"/>
        </w:rPr>
        <w:t>ashout</w:t>
      </w:r>
      <w:r w:rsidR="00F75CB1">
        <w:rPr>
          <w:rFonts w:ascii="Book Antiqua" w:eastAsia="Book Antiqua" w:hAnsi="Book Antiqua" w:cs="Book Antiqua"/>
          <w:color w:val="000000"/>
        </w:rPr>
        <w:t xml:space="preserve"> type</w:t>
      </w:r>
      <w:r w:rsidRPr="00B11F4B">
        <w:rPr>
          <w:rFonts w:ascii="Book Antiqua" w:eastAsia="Book Antiqua" w:hAnsi="Book Antiqua" w:cs="Book Antiqua"/>
          <w:color w:val="000000"/>
        </w:rPr>
        <w:t xml:space="preserve"> (fast-out, &lt; 30 s, and non-fast-out, ≥ 30 s); (9) </w:t>
      </w:r>
      <w:r w:rsidR="00F75CB1">
        <w:rPr>
          <w:rFonts w:ascii="Book Antiqua" w:eastAsia="Book Antiqua" w:hAnsi="Book Antiqua" w:cs="Book Antiqua"/>
          <w:color w:val="000000"/>
        </w:rPr>
        <w:t>e</w:t>
      </w:r>
      <w:r w:rsidRPr="00B11F4B">
        <w:rPr>
          <w:rFonts w:ascii="Book Antiqua" w:eastAsia="Book Antiqua" w:hAnsi="Book Antiqua" w:cs="Book Antiqua"/>
          <w:color w:val="000000"/>
        </w:rPr>
        <w:t xml:space="preserve">nhancement echogenicity (homogeneous and inhomogeneous); and (10) </w:t>
      </w:r>
      <w:r w:rsidR="00F75CB1" w:rsidRPr="00B11F4B">
        <w:rPr>
          <w:rFonts w:ascii="Book Antiqua" w:eastAsia="Book Antiqua" w:hAnsi="Book Antiqua" w:cs="Book Antiqua"/>
          <w:color w:val="000000"/>
        </w:rPr>
        <w:t>t</w:t>
      </w:r>
      <w:r w:rsidRPr="00B11F4B">
        <w:rPr>
          <w:rFonts w:ascii="Book Antiqua" w:eastAsia="Book Antiqua" w:hAnsi="Book Antiqua" w:cs="Book Antiqua"/>
          <w:color w:val="000000"/>
        </w:rPr>
        <w:t>umor location (half liver and non-half-liver, half-liver</w:t>
      </w:r>
      <w:r w:rsidR="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means that the tumor was located only in the left or right liver).</w:t>
      </w:r>
    </w:p>
    <w:p w14:paraId="1CAB70F7" w14:textId="77777777" w:rsidR="00A77B3E" w:rsidRPr="00B11F4B" w:rsidRDefault="00A77B3E" w:rsidP="00664BFB">
      <w:pPr>
        <w:adjustRightInd w:val="0"/>
        <w:snapToGrid w:val="0"/>
        <w:spacing w:line="360" w:lineRule="auto"/>
        <w:ind w:firstLine="240"/>
        <w:jc w:val="both"/>
        <w:rPr>
          <w:rFonts w:ascii="Book Antiqua" w:hAnsi="Book Antiqua"/>
        </w:rPr>
      </w:pPr>
    </w:p>
    <w:p w14:paraId="78196DD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Serology parameters</w:t>
      </w:r>
    </w:p>
    <w:p w14:paraId="0299026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Laboratory data within 3 d of morning fasting blood before curative</w:t>
      </w:r>
      <w:r w:rsidR="00F75CB1">
        <w:rPr>
          <w:rFonts w:ascii="Book Antiqua" w:eastAsia="Book Antiqua" w:hAnsi="Book Antiqua" w:cs="Book Antiqua"/>
          <w:color w:val="000000"/>
        </w:rPr>
        <w:t xml:space="preserve"> treatment</w:t>
      </w:r>
      <w:r w:rsidRPr="00B11F4B">
        <w:rPr>
          <w:rFonts w:ascii="Book Antiqua" w:eastAsia="Book Antiqua" w:hAnsi="Book Antiqua" w:cs="Book Antiqua"/>
          <w:color w:val="000000"/>
        </w:rPr>
        <w:t xml:space="preserve"> were obtained from medical records, which included alanine aminotransferase, aspartate aminotransferase, platelet, albumin, total bilirubin, serum creatinine, prothrombin time, prothrombin time activity, and international normalized ratio. Alpha-fetoprotein (AFP) was divided into 0–20 μg/L, 20–200 μg/L, and &gt; 200 μg/L.</w:t>
      </w:r>
    </w:p>
    <w:p w14:paraId="42FE86D5" w14:textId="77777777" w:rsidR="00A77B3E" w:rsidRPr="00B11F4B" w:rsidRDefault="00A77B3E" w:rsidP="00664BFB">
      <w:pPr>
        <w:adjustRightInd w:val="0"/>
        <w:snapToGrid w:val="0"/>
        <w:spacing w:line="360" w:lineRule="auto"/>
        <w:jc w:val="both"/>
        <w:rPr>
          <w:rFonts w:ascii="Book Antiqua" w:hAnsi="Book Antiqua"/>
        </w:rPr>
      </w:pPr>
    </w:p>
    <w:p w14:paraId="3987698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Follow-up surveillance</w:t>
      </w:r>
    </w:p>
    <w:p w14:paraId="1AE944B4" w14:textId="1758A53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After resection, follow-up examination was performed every 3 mo during the study period, and data on serum AFP, liver function tests, contrast-enhanced computed tomography (CT) or magnetic resonance imaging (MRI) of the chest and abdomen, and ultrasound </w:t>
      </w:r>
      <w:r w:rsidR="00F75CB1">
        <w:rPr>
          <w:rFonts w:ascii="Book Antiqua" w:eastAsia="Book Antiqua" w:hAnsi="Book Antiqua" w:cs="Book Antiqua"/>
          <w:color w:val="000000"/>
        </w:rPr>
        <w:t xml:space="preserve">of the </w:t>
      </w:r>
      <w:r w:rsidRPr="00B11F4B">
        <w:rPr>
          <w:rFonts w:ascii="Book Antiqua" w:eastAsia="Book Antiqua" w:hAnsi="Book Antiqua" w:cs="Book Antiqua"/>
          <w:color w:val="000000"/>
        </w:rPr>
        <w:t xml:space="preserve"> abdomen were obtained. The data were censored on January 3, 2020. Recurrence-free survival was defined as the time from the date of surgery to the date of first recurrence, metastasis, or last follow-up.</w:t>
      </w:r>
    </w:p>
    <w:p w14:paraId="01FD7840" w14:textId="77777777" w:rsidR="00A77B3E" w:rsidRPr="00B11F4B" w:rsidRDefault="00A77B3E" w:rsidP="00664BFB">
      <w:pPr>
        <w:adjustRightInd w:val="0"/>
        <w:snapToGrid w:val="0"/>
        <w:spacing w:line="360" w:lineRule="auto"/>
        <w:jc w:val="both"/>
        <w:rPr>
          <w:rFonts w:ascii="Book Antiqua" w:hAnsi="Book Antiqua"/>
        </w:rPr>
      </w:pPr>
    </w:p>
    <w:p w14:paraId="73FACDF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Statistical analysis</w:t>
      </w:r>
    </w:p>
    <w:p w14:paraId="77BC8F11" w14:textId="666C8CAD"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Continuous variables are expressed as </w:t>
      </w:r>
      <w:r w:rsidR="00F75CB1">
        <w:rPr>
          <w:rFonts w:ascii="Book Antiqua" w:eastAsia="Book Antiqua" w:hAnsi="Book Antiqua" w:cs="Book Antiqua"/>
          <w:color w:val="000000"/>
        </w:rPr>
        <w:t xml:space="preserve">the </w:t>
      </w:r>
      <w:r w:rsidRPr="00B11F4B">
        <w:rPr>
          <w:rFonts w:ascii="Book Antiqua" w:eastAsia="Book Antiqua" w:hAnsi="Book Antiqua" w:cs="Book Antiqua"/>
          <w:color w:val="000000"/>
        </w:rPr>
        <w:t xml:space="preserve">mean ± SD and </w:t>
      </w:r>
      <w:r w:rsidR="00F75CB1">
        <w:rPr>
          <w:rFonts w:ascii="Book Antiqua" w:eastAsia="Book Antiqua" w:hAnsi="Book Antiqua" w:cs="Book Antiqua"/>
          <w:color w:val="000000"/>
        </w:rPr>
        <w:t xml:space="preserve">were </w:t>
      </w:r>
      <w:r w:rsidRPr="00B11F4B">
        <w:rPr>
          <w:rFonts w:ascii="Book Antiqua" w:eastAsia="Book Antiqua" w:hAnsi="Book Antiqua" w:cs="Book Antiqua"/>
          <w:color w:val="000000"/>
        </w:rPr>
        <w:t xml:space="preserve">compared using an unpaired, 2-tailed </w:t>
      </w:r>
      <w:r w:rsidRPr="00B11F4B">
        <w:rPr>
          <w:rFonts w:ascii="Book Antiqua" w:eastAsia="Book Antiqua" w:hAnsi="Book Antiqua" w:cs="Book Antiqua"/>
          <w:i/>
          <w:iCs/>
          <w:color w:val="000000"/>
        </w:rPr>
        <w:t>t</w:t>
      </w:r>
      <w:r w:rsidRPr="00B11F4B">
        <w:rPr>
          <w:rFonts w:ascii="Book Antiqua" w:eastAsia="Book Antiqua" w:hAnsi="Book Antiqua" w:cs="Book Antiqua"/>
          <w:color w:val="000000"/>
        </w:rPr>
        <w:t xml:space="preserve">-test or Mann–Whitney test. Categorical variables were compared using the </w:t>
      </w:r>
      <w:r w:rsidRPr="00B11F4B">
        <w:rPr>
          <w:rFonts w:ascii="Book Antiqua" w:eastAsia="Book Antiqua" w:hAnsi="Book Antiqua" w:cs="Book Antiqua"/>
          <w:i/>
          <w:iCs/>
          <w:color w:val="000000"/>
        </w:rPr>
        <w:t>χ</w:t>
      </w:r>
      <w:r w:rsidRPr="00B11F4B">
        <w:rPr>
          <w:rFonts w:ascii="Book Antiqua" w:eastAsia="Book Antiqua" w:hAnsi="Book Antiqua" w:cs="Book Antiqua"/>
          <w:color w:val="000000"/>
          <w:vertAlign w:val="superscript"/>
        </w:rPr>
        <w:t>2</w:t>
      </w:r>
      <w:r w:rsidRPr="00B11F4B">
        <w:rPr>
          <w:rFonts w:ascii="Book Antiqua" w:eastAsia="Book Antiqua" w:hAnsi="Book Antiqua" w:cs="Book Antiqua"/>
          <w:color w:val="000000"/>
        </w:rPr>
        <w:t xml:space="preserve"> test or Fisher exact test. Survival curves were calculated using the Kaplan–Meier method and compared using the log-rank test. Multivariate Cox proportional hazards regression model was used to evaluate the independent prognostic factors </w:t>
      </w:r>
      <w:r w:rsidR="00F75CB1">
        <w:rPr>
          <w:rFonts w:ascii="Book Antiqua" w:eastAsia="Book Antiqua" w:hAnsi="Book Antiqua" w:cs="Book Antiqua"/>
          <w:color w:val="000000"/>
        </w:rPr>
        <w:t>for</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tumor recurrence. All variables associated with recurrence at a significant level were candidates for stepwise multivariate analysis. A nomogram was formulated based on the results of multivariate Cox regression analysis and by using the rms package of R, version 3.6.3 (http://www.r-project.org/). The nomogram is based on proportionally converting each regression coefficient in Cox regression to a 0-to-100-point scale. The effect of the variable with the highest β coefficient (absolute value) is assigned 100 points. The points are added across independent variables to derive the total points, which are converted to predict recurrence probabilities. The predictive performance of the nomogram was measured using C-index and calibration with 1000 bootstrap samples to decrease the over fit bias. For clinical use of the model, we tested the model’s prediction ability </w:t>
      </w:r>
      <w:r w:rsidR="00F75CB1">
        <w:rPr>
          <w:rFonts w:ascii="Book Antiqua" w:eastAsia="Book Antiqua" w:hAnsi="Book Antiqua" w:cs="Book Antiqua"/>
          <w:color w:val="000000"/>
        </w:rPr>
        <w:t>at</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12, and 24 mo and used X-tile, version 3.6.1 to calculate the optimal cut-off values. Then, </w:t>
      </w:r>
      <w:r w:rsidR="00F75CB1" w:rsidRPr="00B11F4B">
        <w:rPr>
          <w:rFonts w:ascii="Book Antiqua" w:eastAsia="Book Antiqua" w:hAnsi="Book Antiqua" w:cs="Book Antiqua"/>
          <w:color w:val="000000"/>
        </w:rPr>
        <w:t>Kaplan–Meier</w:t>
      </w:r>
      <w:r w:rsidR="00F75CB1" w:rsidRPr="00B11F4B" w:rsidDel="00F75CB1">
        <w:rPr>
          <w:rFonts w:ascii="Book Antiqua" w:eastAsia="Book Antiqua" w:hAnsi="Book Antiqua" w:cs="Book Antiqua"/>
          <w:color w:val="000000"/>
        </w:rPr>
        <w:t xml:space="preserve"> </w:t>
      </w:r>
      <w:r w:rsidRPr="00B11F4B">
        <w:rPr>
          <w:rFonts w:ascii="Book Antiqua" w:eastAsia="Book Antiqua" w:hAnsi="Book Antiqua" w:cs="Book Antiqua"/>
          <w:color w:val="000000"/>
        </w:rPr>
        <w:t>curve was analyzed</w:t>
      </w:r>
      <w:r w:rsidRPr="00B11F4B">
        <w:rPr>
          <w:rFonts w:ascii="Book Antiqua" w:eastAsia="Book Antiqua" w:hAnsi="Book Antiqua" w:cs="Book Antiqua"/>
          <w:color w:val="000000"/>
          <w:vertAlign w:val="superscript"/>
        </w:rPr>
        <w:t>[11]</w:t>
      </w:r>
      <w:r w:rsidRPr="00B11F4B">
        <w:rPr>
          <w:rFonts w:ascii="Book Antiqua" w:eastAsia="Book Antiqua" w:hAnsi="Book Antiqua" w:cs="Book Antiqua"/>
          <w:color w:val="000000"/>
        </w:rPr>
        <w:t>. The prediction error of the CEUS model and variable</w:t>
      </w:r>
      <w:r w:rsidR="00F75CB1">
        <w:rPr>
          <w:rFonts w:ascii="Book Antiqua" w:eastAsia="Book Antiqua" w:hAnsi="Book Antiqua" w:cs="Book Antiqua"/>
          <w:color w:val="000000"/>
        </w:rPr>
        <w:t>s</w:t>
      </w:r>
      <w:r w:rsidRPr="00B11F4B">
        <w:rPr>
          <w:rFonts w:ascii="Book Antiqua" w:eastAsia="Book Antiqua" w:hAnsi="Book Antiqua" w:cs="Book Antiqua"/>
          <w:color w:val="000000"/>
        </w:rPr>
        <w:t xml:space="preserve"> was assessed using the “Boot632plus” split method with 1000 iterations to calculate estimates of prediction error curves and </w:t>
      </w:r>
      <w:r w:rsidR="00F75CB1">
        <w:rPr>
          <w:rFonts w:ascii="Book Antiqua" w:eastAsia="Book Antiqua" w:hAnsi="Book Antiqua" w:cs="Book Antiqua"/>
          <w:color w:val="000000"/>
        </w:rPr>
        <w:t>is</w:t>
      </w:r>
      <w:r w:rsidR="00F75CB1"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summarized as the integrated Brier score, which reflects a weighted average of the squared distances between observed recurrence status and predicted recurrence probability of a model; the integrated Brier score represents a valid measure of overall model performance and can range from 0, for a perfect model, to 0.25, for a noninformative model with a 50% incidence of the outcome</w:t>
      </w:r>
      <w:r w:rsidRPr="00B11F4B">
        <w:rPr>
          <w:rFonts w:ascii="Book Antiqua" w:eastAsia="Book Antiqua" w:hAnsi="Book Antiqua" w:cs="Book Antiqua"/>
          <w:color w:val="000000"/>
          <w:vertAlign w:val="superscript"/>
        </w:rPr>
        <w:t>[12]</w:t>
      </w:r>
      <w:r w:rsidRPr="00B11F4B">
        <w:rPr>
          <w:rFonts w:ascii="Book Antiqua" w:eastAsia="Book Antiqua" w:hAnsi="Book Antiqua" w:cs="Book Antiqua"/>
          <w:color w:val="000000"/>
        </w:rPr>
        <w:t xml:space="preserve">. In all analyses, </w:t>
      </w:r>
      <w:r w:rsidRPr="00B11F4B">
        <w:rPr>
          <w:rFonts w:ascii="Book Antiqua" w:eastAsia="Book Antiqua" w:hAnsi="Book Antiqua" w:cs="Book Antiqua"/>
          <w:i/>
          <w:iCs/>
          <w:color w:val="000000"/>
        </w:rPr>
        <w:t>P</w:t>
      </w:r>
      <w:r w:rsidRPr="00B11F4B">
        <w:rPr>
          <w:rFonts w:ascii="Book Antiqua" w:eastAsia="Book Antiqua" w:hAnsi="Book Antiqua" w:cs="Book Antiqua"/>
          <w:color w:val="000000"/>
        </w:rPr>
        <w:t xml:space="preserve"> &lt; </w:t>
      </w:r>
      <w:r w:rsidR="00F75CB1">
        <w:rPr>
          <w:rFonts w:ascii="Book Antiqua" w:eastAsia="Book Antiqua" w:hAnsi="Book Antiqua" w:cs="Book Antiqua"/>
          <w:color w:val="000000"/>
        </w:rPr>
        <w:t>0</w:t>
      </w:r>
      <w:r w:rsidRPr="00B11F4B">
        <w:rPr>
          <w:rFonts w:ascii="Book Antiqua" w:eastAsia="Book Antiqua" w:hAnsi="Book Antiqua" w:cs="Book Antiqua"/>
          <w:color w:val="000000"/>
        </w:rPr>
        <w:t>.05 was considered statistically significant. All analyses were performed using R, version 3.6.3.</w:t>
      </w:r>
    </w:p>
    <w:p w14:paraId="17C96634" w14:textId="77777777" w:rsidR="00A77B3E" w:rsidRPr="00B11F4B" w:rsidRDefault="00A77B3E" w:rsidP="00664BFB">
      <w:pPr>
        <w:adjustRightInd w:val="0"/>
        <w:snapToGrid w:val="0"/>
        <w:spacing w:line="360" w:lineRule="auto"/>
        <w:jc w:val="both"/>
        <w:rPr>
          <w:rFonts w:ascii="Book Antiqua" w:hAnsi="Book Antiqua"/>
        </w:rPr>
      </w:pPr>
    </w:p>
    <w:p w14:paraId="2462A97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RESULTS</w:t>
      </w:r>
    </w:p>
    <w:p w14:paraId="780B11A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Basic characteristics</w:t>
      </w:r>
    </w:p>
    <w:p w14:paraId="5BB0A641" w14:textId="531F482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The basic characteristics are shown in Table 1. We collected 292 patients, </w:t>
      </w:r>
      <w:r w:rsidR="008702AA">
        <w:rPr>
          <w:rFonts w:ascii="Book Antiqua" w:eastAsia="Book Antiqua" w:hAnsi="Book Antiqua" w:cs="Book Antiqua"/>
          <w:color w:val="000000"/>
        </w:rPr>
        <w:t xml:space="preserve">including </w:t>
      </w:r>
      <w:r w:rsidRPr="00B11F4B">
        <w:rPr>
          <w:rFonts w:ascii="Book Antiqua" w:eastAsia="Book Antiqua" w:hAnsi="Book Antiqua" w:cs="Book Antiqua"/>
          <w:color w:val="000000"/>
        </w:rPr>
        <w:t>238 male</w:t>
      </w:r>
      <w:r w:rsidR="008702AA">
        <w:rPr>
          <w:rFonts w:ascii="Book Antiqua" w:eastAsia="Book Antiqua" w:hAnsi="Book Antiqua" w:cs="Book Antiqua"/>
          <w:color w:val="000000"/>
        </w:rPr>
        <w:t>s and</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54 female</w:t>
      </w:r>
      <w:r w:rsidR="008702AA">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8702AA">
        <w:rPr>
          <w:rFonts w:ascii="Book Antiqua" w:eastAsia="Book Antiqua" w:hAnsi="Book Antiqua" w:cs="Book Antiqua"/>
          <w:color w:val="000000"/>
        </w:rPr>
        <w:t>with a</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mean age </w:t>
      </w:r>
      <w:r w:rsidR="008702AA">
        <w:rPr>
          <w:rFonts w:ascii="Book Antiqua" w:eastAsia="Book Antiqua" w:hAnsi="Book Antiqua" w:cs="Book Antiqua"/>
          <w:color w:val="000000"/>
        </w:rPr>
        <w:t>of</w:t>
      </w:r>
      <w:r w:rsidR="008702AA"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55.7 ± 11.2</w:t>
      </w:r>
      <w:r w:rsidR="008702AA">
        <w:rPr>
          <w:rFonts w:ascii="Book Antiqua" w:eastAsia="Book Antiqua" w:hAnsi="Book Antiqua" w:cs="Book Antiqua"/>
          <w:color w:val="000000"/>
        </w:rPr>
        <w:t xml:space="preserve"> years</w:t>
      </w:r>
      <w:r w:rsidRPr="00B11F4B">
        <w:rPr>
          <w:rFonts w:ascii="Book Antiqua" w:eastAsia="Book Antiqua" w:hAnsi="Book Antiqua" w:cs="Book Antiqua"/>
          <w:color w:val="000000"/>
        </w:rPr>
        <w:t>.</w:t>
      </w:r>
    </w:p>
    <w:p w14:paraId="22E6F830" w14:textId="77777777" w:rsidR="00A77B3E" w:rsidRPr="00B11F4B" w:rsidRDefault="00A77B3E" w:rsidP="00664BFB">
      <w:pPr>
        <w:adjustRightInd w:val="0"/>
        <w:snapToGrid w:val="0"/>
        <w:spacing w:line="360" w:lineRule="auto"/>
        <w:jc w:val="both"/>
        <w:rPr>
          <w:rFonts w:ascii="Book Antiqua" w:hAnsi="Book Antiqua"/>
        </w:rPr>
      </w:pPr>
    </w:p>
    <w:p w14:paraId="11CC047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Cox regression result</w:t>
      </w:r>
      <w:r w:rsidR="008702AA">
        <w:rPr>
          <w:rFonts w:ascii="Book Antiqua" w:eastAsia="Book Antiqua" w:hAnsi="Book Antiqua" w:cs="Book Antiqua"/>
          <w:b/>
          <w:bCs/>
          <w:i/>
          <w:iCs/>
          <w:color w:val="000000"/>
        </w:rPr>
        <w:t>s</w:t>
      </w:r>
    </w:p>
    <w:p w14:paraId="5AD4C19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Cox regression results are shown in Table 2. LI-RADS, AFP level, and tumor diameter were entered into the final model. The </w:t>
      </w:r>
      <w:r w:rsidR="001F3469">
        <w:rPr>
          <w:rFonts w:ascii="Book Antiqua" w:eastAsia="Book Antiqua" w:hAnsi="Book Antiqua" w:cs="Book Antiqua"/>
          <w:color w:val="000000"/>
        </w:rPr>
        <w:t>hazard ratio (</w:t>
      </w:r>
      <w:r w:rsidRPr="00B11F4B">
        <w:rPr>
          <w:rFonts w:ascii="Book Antiqua" w:eastAsia="Book Antiqua" w:hAnsi="Book Antiqua" w:cs="Book Antiqua"/>
          <w:color w:val="000000"/>
        </w:rPr>
        <w:t>HR</w:t>
      </w:r>
      <w:r w:rsidR="001F3469">
        <w:rPr>
          <w:rFonts w:ascii="Book Antiqua" w:eastAsia="Book Antiqua" w:hAnsi="Book Antiqua" w:cs="Book Antiqua"/>
          <w:color w:val="000000"/>
        </w:rPr>
        <w:t>)</w:t>
      </w:r>
      <w:r w:rsidRPr="00B11F4B">
        <w:rPr>
          <w:rFonts w:ascii="Book Antiqua" w:eastAsia="Book Antiqua" w:hAnsi="Book Antiqua" w:cs="Book Antiqua"/>
          <w:color w:val="000000"/>
        </w:rPr>
        <w:t xml:space="preserve"> was 1.428, 1.547, and 1.123, respectively. A prediction model, named CEUS model, was constructed. The CEUS model’s integrated Brier score of prediction error was the lowest (Figure 3).</w:t>
      </w:r>
    </w:p>
    <w:p w14:paraId="2F14A98F" w14:textId="77777777" w:rsidR="00A77B3E" w:rsidRPr="00B11F4B" w:rsidRDefault="00A77B3E" w:rsidP="00664BFB">
      <w:pPr>
        <w:adjustRightInd w:val="0"/>
        <w:snapToGrid w:val="0"/>
        <w:spacing w:line="360" w:lineRule="auto"/>
        <w:jc w:val="both"/>
        <w:rPr>
          <w:rFonts w:ascii="Book Antiqua" w:hAnsi="Book Antiqua"/>
        </w:rPr>
      </w:pPr>
    </w:p>
    <w:p w14:paraId="46B9A0A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Nomogram structure</w:t>
      </w:r>
    </w:p>
    <w:p w14:paraId="5A54E8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The nomogram is shown in Figure 4. Every patient’s score was calculated and divided into three subgroups: 6, 12, and 24 mo.</w:t>
      </w:r>
    </w:p>
    <w:p w14:paraId="06555731" w14:textId="685E9828" w:rsidR="00A77B3E" w:rsidRPr="00B11F4B" w:rsidRDefault="00FC4028" w:rsidP="00664BFB">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For</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6-</w:t>
      </w:r>
      <w:r w:rsidRPr="00B11F4B">
        <w:rPr>
          <w:rFonts w:ascii="Book Antiqua" w:eastAsia="Book Antiqua" w:hAnsi="Book Antiqua" w:cs="Book Antiqua"/>
          <w:color w:val="000000"/>
        </w:rPr>
        <w:t>mo</w:t>
      </w:r>
      <w:r>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recurrence, 100 was the optimal cut-off. It can distinguish the high-risk group from the low-risk group (Figure 5</w:t>
      </w:r>
      <w:r w:rsidR="000313D3" w:rsidRPr="00B11F4B">
        <w:rPr>
          <w:rFonts w:ascii="Book Antiqua" w:eastAsia="Book Antiqua" w:hAnsi="Book Antiqua" w:cs="Book Antiqua"/>
          <w:caps/>
          <w:color w:val="000000"/>
        </w:rPr>
        <w:t>a</w:t>
      </w:r>
      <w:r w:rsidR="000313D3" w:rsidRPr="00B11F4B">
        <w:rPr>
          <w:rFonts w:ascii="Book Antiqua" w:eastAsia="Book Antiqua" w:hAnsi="Book Antiqua" w:cs="Book Antiqua"/>
          <w:color w:val="000000"/>
        </w:rPr>
        <w:t>). The C-index was 0.748 (95%CI: 0.683–0.813), and the calibration curve was satisfactory (Figure 6</w:t>
      </w:r>
      <w:r w:rsidR="000313D3" w:rsidRPr="00B11F4B">
        <w:rPr>
          <w:rFonts w:ascii="Book Antiqua" w:eastAsia="Book Antiqua" w:hAnsi="Book Antiqua" w:cs="Book Antiqua"/>
          <w:caps/>
          <w:color w:val="000000"/>
        </w:rPr>
        <w:t>a</w:t>
      </w:r>
      <w:r w:rsidR="000313D3" w:rsidRPr="00B11F4B">
        <w:rPr>
          <w:rFonts w:ascii="Book Antiqua" w:eastAsia="Book Antiqua" w:hAnsi="Book Antiqua" w:cs="Book Antiqua"/>
          <w:color w:val="000000"/>
        </w:rPr>
        <w:t>).</w:t>
      </w:r>
      <w:r w:rsidR="000313D3" w:rsidRPr="00B11F4B">
        <w:rPr>
          <w:rFonts w:ascii="Book Antiqua" w:eastAsia="Book Antiqua" w:hAnsi="Book Antiqua" w:cs="Book Antiqua"/>
          <w:b/>
          <w:bCs/>
          <w:color w:val="000000"/>
        </w:rPr>
        <w:t> </w:t>
      </w:r>
      <w:r>
        <w:rPr>
          <w:rFonts w:ascii="Book Antiqua" w:eastAsia="Book Antiqua" w:hAnsi="Book Antiqua" w:cs="Book Antiqua"/>
          <w:color w:val="000000"/>
        </w:rPr>
        <w:t>For</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12-mo recurrence, 80 was the optimal cut-off. It can distinguish the high-risk group from the low-risk group (Figure 5</w:t>
      </w:r>
      <w:r w:rsidR="000313D3" w:rsidRPr="00B11F4B">
        <w:rPr>
          <w:rFonts w:ascii="Book Antiqua" w:eastAsia="Book Antiqua" w:hAnsi="Book Antiqua" w:cs="Book Antiqua"/>
          <w:caps/>
          <w:color w:val="000000"/>
        </w:rPr>
        <w:t>b</w:t>
      </w:r>
      <w:r w:rsidR="000313D3" w:rsidRPr="00B11F4B">
        <w:rPr>
          <w:rFonts w:ascii="Book Antiqua" w:eastAsia="Book Antiqua" w:hAnsi="Book Antiqua" w:cs="Book Antiqua"/>
          <w:color w:val="000000"/>
        </w:rPr>
        <w:t>). The C-index was 0.762 (95%CI: 0.704–0.820), and the calibration curve was insufficient (Figure 6</w:t>
      </w:r>
      <w:r w:rsidR="000313D3" w:rsidRPr="00B11F4B">
        <w:rPr>
          <w:rFonts w:ascii="Book Antiqua" w:eastAsia="Book Antiqua" w:hAnsi="Book Antiqua" w:cs="Book Antiqua"/>
          <w:caps/>
          <w:color w:val="000000"/>
        </w:rPr>
        <w:t>b</w:t>
      </w:r>
      <w:r w:rsidR="000313D3" w:rsidRPr="00B11F4B">
        <w:rPr>
          <w:rFonts w:ascii="Book Antiqua" w:eastAsia="Book Antiqua" w:hAnsi="Book Antiqua" w:cs="Book Antiqua"/>
          <w:color w:val="000000"/>
        </w:rPr>
        <w:t>).</w:t>
      </w:r>
      <w:r w:rsidR="000313D3" w:rsidRPr="00B11F4B">
        <w:rPr>
          <w:rFonts w:ascii="Book Antiqua" w:eastAsia="Book Antiqua" w:hAnsi="Book Antiqua" w:cs="Book Antiqua"/>
          <w:b/>
          <w:bCs/>
          <w:color w:val="000000"/>
        </w:rPr>
        <w:t> </w:t>
      </w:r>
      <w:r w:rsidR="000313D3" w:rsidRPr="00B11F4B">
        <w:rPr>
          <w:rFonts w:ascii="Book Antiqua" w:eastAsia="Book Antiqua" w:hAnsi="Book Antiqua" w:cs="Book Antiqua"/>
          <w:color w:val="000000"/>
        </w:rPr>
        <w:t>For the 24-mo recurrence, 50 was the optimal cut-off. It can distinguish the high-risk group from the low-risk group (Figure 5</w:t>
      </w:r>
      <w:r w:rsidR="000313D3" w:rsidRPr="00B11F4B">
        <w:rPr>
          <w:rFonts w:ascii="Book Antiqua" w:eastAsia="Book Antiqua" w:hAnsi="Book Antiqua" w:cs="Book Antiqua"/>
          <w:caps/>
          <w:color w:val="000000"/>
        </w:rPr>
        <w:t>c</w:t>
      </w:r>
      <w:r w:rsidR="000313D3" w:rsidRPr="00B11F4B">
        <w:rPr>
          <w:rFonts w:ascii="Book Antiqua" w:eastAsia="Book Antiqua" w:hAnsi="Book Antiqua" w:cs="Book Antiqua"/>
          <w:color w:val="000000"/>
        </w:rPr>
        <w:t>). The C-index was 0.762 (95%CI: 0.706–0.819), and the calibration curve was insufficient (Figure 6</w:t>
      </w:r>
      <w:r w:rsidR="000313D3" w:rsidRPr="00B11F4B">
        <w:rPr>
          <w:rFonts w:ascii="Book Antiqua" w:eastAsia="Book Antiqua" w:hAnsi="Book Antiqua" w:cs="Book Antiqua"/>
          <w:caps/>
          <w:color w:val="000000"/>
        </w:rPr>
        <w:t>c</w:t>
      </w:r>
      <w:r w:rsidR="000313D3" w:rsidRPr="00B11F4B">
        <w:rPr>
          <w:rFonts w:ascii="Book Antiqua" w:eastAsia="Book Antiqua" w:hAnsi="Book Antiqua" w:cs="Book Antiqua"/>
          <w:color w:val="000000"/>
        </w:rPr>
        <w:t>).</w:t>
      </w:r>
    </w:p>
    <w:p w14:paraId="12FEAAB3" w14:textId="77777777" w:rsidR="00A77B3E" w:rsidRPr="00B11F4B" w:rsidRDefault="00A77B3E" w:rsidP="00664BFB">
      <w:pPr>
        <w:adjustRightInd w:val="0"/>
        <w:snapToGrid w:val="0"/>
        <w:spacing w:line="360" w:lineRule="auto"/>
        <w:ind w:firstLine="240"/>
        <w:jc w:val="both"/>
        <w:rPr>
          <w:rFonts w:ascii="Book Antiqua" w:hAnsi="Book Antiqua"/>
        </w:rPr>
      </w:pPr>
    </w:p>
    <w:p w14:paraId="4EE75BD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DISCUSSION</w:t>
      </w:r>
    </w:p>
    <w:p w14:paraId="1CBAED2C" w14:textId="689F1FE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This study aimed to construct and validate an early recurrence risk model before surgery, called the CEUS model, based on CEUS and serology for HCC. The CEUS model showed satisfactory results. The C-index </w:t>
      </w:r>
      <w:r w:rsidR="002F5ADD">
        <w:rPr>
          <w:rFonts w:ascii="Book Antiqua" w:eastAsia="Book Antiqua" w:hAnsi="Book Antiqua" w:cs="Book Antiqua"/>
          <w:color w:val="000000"/>
        </w:rPr>
        <w:t>at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12, and 24 mo was 0.683–0.820. The calibration </w:t>
      </w:r>
      <w:r w:rsidR="002F5ADD">
        <w:rPr>
          <w:rFonts w:ascii="Book Antiqua" w:eastAsia="Book Antiqua" w:hAnsi="Book Antiqua" w:cs="Book Antiqua"/>
          <w:color w:val="000000"/>
        </w:rPr>
        <w:t>at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6 mo is good, although a 12- and 24-mo improvement is </w:t>
      </w:r>
      <w:r w:rsidR="002F5ADD">
        <w:rPr>
          <w:rFonts w:ascii="Book Antiqua" w:eastAsia="Book Antiqua" w:hAnsi="Book Antiqua" w:cs="Book Antiqua"/>
          <w:color w:val="000000"/>
        </w:rPr>
        <w:t xml:space="preserve">still </w:t>
      </w:r>
      <w:r w:rsidRPr="00B11F4B">
        <w:rPr>
          <w:rFonts w:ascii="Book Antiqua" w:eastAsia="Book Antiqua" w:hAnsi="Book Antiqua" w:cs="Book Antiqua"/>
          <w:color w:val="000000"/>
        </w:rPr>
        <w:t>needed. The CEUS model showed lower prediction error than</w:t>
      </w:r>
      <w:r w:rsidR="00D472B5">
        <w:rPr>
          <w:rFonts w:ascii="Book Antiqua" w:eastAsia="Book Antiqua" w:hAnsi="Book Antiqua" w:cs="Book Antiqua"/>
          <w:color w:val="000000"/>
        </w:rPr>
        <w:t xml:space="preserve"> a single</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indicator, with an integrated Brier score of 0.197. In addition, </w:t>
      </w:r>
      <w:r w:rsidR="002F5ADD">
        <w:rPr>
          <w:rFonts w:ascii="Book Antiqua" w:eastAsia="Book Antiqua" w:hAnsi="Book Antiqua" w:cs="Book Antiqua"/>
          <w:color w:val="000000"/>
        </w:rPr>
        <w:t>at the</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three study </w:t>
      </w:r>
      <w:r w:rsidR="002F5ADD">
        <w:rPr>
          <w:rFonts w:ascii="Book Antiqua" w:eastAsia="Book Antiqua" w:hAnsi="Book Antiqua" w:cs="Book Antiqua"/>
          <w:color w:val="000000"/>
        </w:rPr>
        <w:t xml:space="preserve">time </w:t>
      </w:r>
      <w:r w:rsidRPr="00B11F4B">
        <w:rPr>
          <w:rFonts w:ascii="Book Antiqua" w:eastAsia="Book Antiqua" w:hAnsi="Book Antiqua" w:cs="Book Antiqua"/>
          <w:color w:val="000000"/>
        </w:rPr>
        <w:t xml:space="preserve">points, using appropriate cut-off value can well distinguish high-risk groups from low-risk groups. </w:t>
      </w:r>
    </w:p>
    <w:p w14:paraId="4A296EF3" w14:textId="3B9759E0"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Resection for patients with HCC is still plagued by high recurrence, especially early recurrence</w:t>
      </w:r>
      <w:r w:rsidRPr="00B11F4B">
        <w:rPr>
          <w:rFonts w:ascii="Book Antiqua" w:eastAsia="Book Antiqua" w:hAnsi="Book Antiqua" w:cs="Book Antiqua"/>
          <w:color w:val="000000"/>
          <w:vertAlign w:val="superscript"/>
        </w:rPr>
        <w:t>[2]</w:t>
      </w:r>
      <w:r w:rsidR="002F5ADD" w:rsidRPr="00B11F4B">
        <w:rPr>
          <w:rFonts w:ascii="Book Antiqua" w:eastAsia="Book Antiqua" w:hAnsi="Book Antiqua" w:cs="Book Antiqua"/>
          <w:color w:val="000000"/>
        </w:rPr>
        <w:t>.</w:t>
      </w:r>
      <w:r w:rsidRPr="00B11F4B">
        <w:rPr>
          <w:rFonts w:ascii="Book Antiqua" w:eastAsia="Book Antiqua" w:hAnsi="Book Antiqua" w:cs="Book Antiqua"/>
          <w:color w:val="000000"/>
        </w:rPr>
        <w:t> This rate is approximately 30%–50% in early reports</w:t>
      </w:r>
      <w:r w:rsidRPr="00B11F4B">
        <w:rPr>
          <w:rFonts w:ascii="Book Antiqua" w:eastAsia="Book Antiqua" w:hAnsi="Book Antiqua" w:cs="Book Antiqua"/>
          <w:color w:val="000000"/>
          <w:vertAlign w:val="superscript"/>
        </w:rPr>
        <w:t>[13,14]</w:t>
      </w:r>
      <w:r w:rsidRPr="00B11F4B">
        <w:rPr>
          <w:rFonts w:ascii="Book Antiqua" w:eastAsia="Book Antiqua" w:hAnsi="Book Antiqua" w:cs="Book Antiqua"/>
          <w:color w:val="000000"/>
        </w:rPr>
        <w:t>; similar to a previous report, tumor relapse occurred in approximately half of the patients in the present study. Gene signatures may promote prognosis scoring; however, they are not used in routine clinical process</w:t>
      </w:r>
      <w:r w:rsidRPr="00B11F4B">
        <w:rPr>
          <w:rFonts w:ascii="Book Antiqua" w:eastAsia="Book Antiqua" w:hAnsi="Book Antiqua" w:cs="Book Antiqua"/>
          <w:color w:val="000000"/>
          <w:vertAlign w:val="superscript"/>
        </w:rPr>
        <w:t>[15]</w:t>
      </w:r>
      <w:r w:rsidRPr="00B11F4B">
        <w:rPr>
          <w:rFonts w:ascii="Book Antiqua" w:eastAsia="Book Antiqua" w:hAnsi="Book Antiqua" w:cs="Book Antiqua"/>
          <w:color w:val="000000"/>
        </w:rPr>
        <w:t>. Conversely, the potential and power of radiological image data, which include CT, MRI, PET, and ultrasound, are increasingly recognized in the field of oncology</w:t>
      </w:r>
      <w:r w:rsidRPr="00B11F4B">
        <w:rPr>
          <w:rFonts w:ascii="Book Antiqua" w:eastAsia="Book Antiqua" w:hAnsi="Book Antiqua" w:cs="Book Antiqua"/>
          <w:color w:val="000000"/>
          <w:vertAlign w:val="superscript"/>
        </w:rPr>
        <w:t>[16-19]</w:t>
      </w:r>
      <w:r w:rsidRPr="00B11F4B">
        <w:rPr>
          <w:rFonts w:ascii="Book Antiqua" w:eastAsia="Book Antiqua" w:hAnsi="Book Antiqua" w:cs="Book Antiqua"/>
          <w:color w:val="000000"/>
        </w:rPr>
        <w:t>. Meanwhile, serology indicators, such as albumin-to-alkaline phosphatase ratio</w:t>
      </w:r>
      <w:r w:rsidRPr="00B11F4B">
        <w:rPr>
          <w:rFonts w:ascii="Book Antiqua" w:eastAsia="Book Antiqua" w:hAnsi="Book Antiqua" w:cs="Book Antiqua"/>
          <w:color w:val="000000"/>
          <w:vertAlign w:val="superscript"/>
        </w:rPr>
        <w:t>[7]</w:t>
      </w:r>
      <w:r w:rsidRPr="00B11F4B">
        <w:rPr>
          <w:rFonts w:ascii="Book Antiqua" w:eastAsia="Book Antiqua" w:hAnsi="Book Antiqua" w:cs="Book Antiqua"/>
          <w:color w:val="000000"/>
        </w:rPr>
        <w:t>, AFP</w:t>
      </w:r>
      <w:r w:rsidRPr="00B11F4B">
        <w:rPr>
          <w:rFonts w:ascii="Book Antiqua" w:eastAsia="Book Antiqua" w:hAnsi="Book Antiqua" w:cs="Book Antiqua"/>
          <w:color w:val="000000"/>
          <w:vertAlign w:val="superscript"/>
        </w:rPr>
        <w:t>[20]</w:t>
      </w:r>
      <w:r w:rsidRPr="00B11F4B">
        <w:rPr>
          <w:rFonts w:ascii="Book Antiqua" w:eastAsia="Book Antiqua" w:hAnsi="Book Antiqua" w:cs="Book Antiqua"/>
          <w:color w:val="000000"/>
        </w:rPr>
        <w:t>, and neutrophil–lymphocyte ratio</w:t>
      </w:r>
      <w:r w:rsidRPr="00B11F4B">
        <w:rPr>
          <w:rFonts w:ascii="Book Antiqua" w:eastAsia="Book Antiqua" w:hAnsi="Book Antiqua" w:cs="Book Antiqua"/>
          <w:color w:val="000000"/>
          <w:vertAlign w:val="superscript"/>
        </w:rPr>
        <w:t>[21]</w:t>
      </w:r>
      <w:r w:rsidRPr="00B11F4B">
        <w:rPr>
          <w:rFonts w:ascii="Book Antiqua" w:eastAsia="Book Antiqua" w:hAnsi="Book Antiqua" w:cs="Book Antiqua"/>
          <w:color w:val="000000"/>
        </w:rPr>
        <w:t>, are also widely used in this domain. In our study, parameters that may predict recurrence pre-operation were collected, rigorous statistical analysis was performed, and unimportant parameters were excluded. Finally, LIRADS, AFP level, and the maximum tumor diameter were confirmed as independent hazard factors. These factors were combined, and a novel model named the CEUS model was established.</w:t>
      </w:r>
    </w:p>
    <w:p w14:paraId="3292426F" w14:textId="3C5D5D7A" w:rsidR="00A77B3E" w:rsidRPr="00B11F4B" w:rsidRDefault="000313D3" w:rsidP="00664BFB">
      <w:pPr>
        <w:adjustRightInd w:val="0"/>
        <w:snapToGrid w:val="0"/>
        <w:spacing w:line="360" w:lineRule="auto"/>
        <w:ind w:firstLine="360"/>
        <w:jc w:val="both"/>
        <w:rPr>
          <w:rFonts w:ascii="Book Antiqua" w:hAnsi="Book Antiqua"/>
        </w:rPr>
      </w:pPr>
      <w:r w:rsidRPr="00B11F4B">
        <w:rPr>
          <w:rFonts w:ascii="Book Antiqua" w:eastAsia="Book Antiqua" w:hAnsi="Book Antiqua" w:cs="Book Antiqua"/>
          <w:color w:val="000000"/>
        </w:rPr>
        <w:t>In the past, many imaging techniques have been used for the noninvasive prediction of postoperative recurrence, and satisfactory results have been obtained. However, the use of ultrasound combined with serological biomarkers to build a prediction model is rare. The present study fully explored the advantages of CEUS and serological biomarkers and constructed the CEUS model through a series of rigorous test. We used LI-RADS because of its better accuracy compared with most previous noninvasive prediction models</w:t>
      </w:r>
      <w:r w:rsidRPr="00B11F4B">
        <w:rPr>
          <w:rFonts w:ascii="Book Antiqua" w:eastAsia="Book Antiqua" w:hAnsi="Book Antiqua" w:cs="Book Antiqua"/>
          <w:color w:val="000000"/>
          <w:vertAlign w:val="superscript"/>
        </w:rPr>
        <w:t>[8]</w:t>
      </w:r>
      <w:r w:rsidRPr="00B11F4B">
        <w:rPr>
          <w:rFonts w:ascii="Book Antiqua" w:eastAsia="Book Antiqua" w:hAnsi="Book Antiqua" w:cs="Book Antiqua"/>
          <w:color w:val="000000"/>
        </w:rPr>
        <w:t>. The overall prediction ability in the present study was as anticipated and was similar to that in previous studies</w:t>
      </w:r>
      <w:r w:rsidRPr="00B11F4B">
        <w:rPr>
          <w:rFonts w:ascii="Book Antiqua" w:eastAsia="Book Antiqua" w:hAnsi="Book Antiqua" w:cs="Book Antiqua"/>
          <w:color w:val="000000"/>
          <w:vertAlign w:val="superscript"/>
        </w:rPr>
        <w:t>[14,22]</w:t>
      </w:r>
      <w:r w:rsidRPr="00B11F4B">
        <w:rPr>
          <w:rFonts w:ascii="Book Antiqua" w:eastAsia="Book Antiqua" w:hAnsi="Book Antiqua" w:cs="Book Antiqua"/>
          <w:color w:val="000000"/>
        </w:rPr>
        <w:t xml:space="preserve">. However, the 1- and 2-year calibration degree was slightly insufficient. The main reasons are as follows: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he subjects included in the two studies are different</w:t>
      </w:r>
      <w:r w:rsidR="002F5ADD">
        <w:rPr>
          <w:rFonts w:ascii="Book Antiqua" w:eastAsia="Book Antiqua" w:hAnsi="Book Antiqua" w:cs="Book Antiqua"/>
          <w:color w:val="000000"/>
        </w:rPr>
        <w:t>.</w:t>
      </w:r>
      <w:r w:rsidR="002F5ADD"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Ji </w:t>
      </w:r>
      <w:r w:rsidR="002F5ADD" w:rsidRPr="006B16B5">
        <w:rPr>
          <w:rFonts w:ascii="Book Antiqua" w:eastAsia="Book Antiqua" w:hAnsi="Book Antiqua" w:cs="Book Antiqua"/>
          <w:i/>
          <w:color w:val="000000"/>
        </w:rPr>
        <w:t>et al</w:t>
      </w:r>
      <w:r w:rsidR="00567C86" w:rsidRPr="00B11F4B">
        <w:rPr>
          <w:rFonts w:ascii="Book Antiqua" w:eastAsia="Book Antiqua" w:hAnsi="Book Antiqua" w:cs="Book Antiqua"/>
          <w:color w:val="000000"/>
        </w:rPr>
        <w:t>‘s study</w:t>
      </w:r>
      <w:r w:rsidR="002F5ADD">
        <w:rPr>
          <w:rFonts w:ascii="Book Antiqua" w:eastAsia="Book Antiqua" w:hAnsi="Book Antiqua" w:cs="Book Antiqua"/>
          <w:color w:val="000000"/>
        </w:rPr>
        <w:t xml:space="preserve"> </w:t>
      </w:r>
      <w:r w:rsidRPr="00B11F4B">
        <w:rPr>
          <w:rFonts w:ascii="Book Antiqua" w:eastAsia="Book Antiqua" w:hAnsi="Book Antiqua" w:cs="Book Antiqua"/>
          <w:color w:val="000000"/>
        </w:rPr>
        <w:t>only included patients who met the Milan criteria, but our study included all patients with radical resection</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00567C86">
        <w:rPr>
          <w:rFonts w:ascii="Book Antiqua" w:eastAsia="Book Antiqua" w:hAnsi="Book Antiqua" w:cs="Book Antiqua"/>
          <w:color w:val="000000"/>
        </w:rPr>
        <w:t>T</w:t>
      </w:r>
      <w:r w:rsidR="00567C86" w:rsidRPr="00B11F4B">
        <w:rPr>
          <w:rFonts w:ascii="Book Antiqua" w:eastAsia="Book Antiqua" w:hAnsi="Book Antiqua" w:cs="Book Antiqua"/>
          <w:color w:val="000000"/>
        </w:rPr>
        <w:t>hus</w:t>
      </w:r>
      <w:r w:rsidRPr="00B11F4B">
        <w:rPr>
          <w:rFonts w:ascii="Book Antiqua" w:eastAsia="Book Antiqua" w:hAnsi="Book Antiqua" w:cs="Book Antiqua"/>
          <w:color w:val="000000"/>
        </w:rPr>
        <w:t>, our model may have a wider applicable population; and (2) Ji</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‘s study recruited external validation queue, while only internal resampling was performed in our study. Although the calibration was insufficient, we used LI-RADS as the operation specification, which was more objective and </w:t>
      </w:r>
      <w:r w:rsidR="00567C86">
        <w:rPr>
          <w:rFonts w:ascii="Book Antiqua" w:eastAsia="Book Antiqua" w:hAnsi="Book Antiqua" w:cs="Book Antiqua"/>
          <w:color w:val="000000"/>
        </w:rPr>
        <w:t>convenient</w:t>
      </w:r>
      <w:r w:rsidRPr="00B11F4B">
        <w:rPr>
          <w:rFonts w:ascii="Book Antiqua" w:eastAsia="Book Antiqua" w:hAnsi="Book Antiqua" w:cs="Book Antiqua"/>
          <w:color w:val="000000"/>
        </w:rPr>
        <w:t>.</w:t>
      </w:r>
    </w:p>
    <w:p w14:paraId="300B7437" w14:textId="75272E63"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CEUS can dynamically display microvascular and tissue perfusion in real time, and it has good resolution</w:t>
      </w:r>
      <w:r w:rsidR="00567C86">
        <w:rPr>
          <w:rFonts w:ascii="Book Antiqua" w:eastAsia="Book Antiqua" w:hAnsi="Book Antiqua" w:cs="Book Antiqua"/>
          <w:color w:val="000000"/>
        </w:rPr>
        <w:t xml:space="preserve"> and</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simple operation,</w:t>
      </w:r>
      <w:r w:rsidR="00567C86">
        <w:rPr>
          <w:rFonts w:ascii="Book Antiqua" w:eastAsia="Book Antiqua" w:hAnsi="Book Antiqua" w:cs="Book Antiqua"/>
          <w:color w:val="000000"/>
        </w:rPr>
        <w:t xml:space="preserve"> </w:t>
      </w:r>
      <w:r w:rsidRPr="00B11F4B">
        <w:rPr>
          <w:rFonts w:ascii="Book Antiqua" w:eastAsia="Book Antiqua" w:hAnsi="Book Antiqua" w:cs="Book Antiqua"/>
          <w:color w:val="000000"/>
        </w:rPr>
        <w:t>without risk of nephrotoxicity and radiation. It is widely used in the diagnosis of clinical liver diseases. Different contrast patterns reveal varying tumor differentiation</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found that the faster the washout, the higher the recurrence rate, and the C-index of this parameter was 0.756</w:t>
      </w:r>
      <w:r w:rsidRPr="00B11F4B">
        <w:rPr>
          <w:rFonts w:ascii="Book Antiqua" w:eastAsia="Book Antiqua" w:hAnsi="Book Antiqua" w:cs="Book Antiqua"/>
          <w:color w:val="000000"/>
          <w:vertAlign w:val="superscript"/>
        </w:rPr>
        <w:t>[24]</w:t>
      </w:r>
      <w:r w:rsidRPr="00B11F4B">
        <w:rPr>
          <w:rFonts w:ascii="Book Antiqua" w:eastAsia="Book Antiqua" w:hAnsi="Book Antiqua" w:cs="Book Antiqua"/>
          <w:color w:val="000000"/>
        </w:rPr>
        <w:t xml:space="preserve">. In our study, the difference in the washout time and type was not statistically significant. This result may be attributed to the following reasons: (1) </w:t>
      </w:r>
      <w:r w:rsidRPr="00B11F4B">
        <w:rPr>
          <w:rFonts w:ascii="Book Antiqua" w:eastAsia="Book Antiqua" w:hAnsi="Book Antiqua" w:cs="Book Antiqua"/>
          <w:caps/>
          <w:color w:val="000000"/>
        </w:rPr>
        <w:t>t</w:t>
      </w:r>
      <w:r w:rsidRPr="00B11F4B">
        <w:rPr>
          <w:rFonts w:ascii="Book Antiqua" w:eastAsia="Book Antiqua" w:hAnsi="Book Antiqua" w:cs="Book Antiqua"/>
          <w:color w:val="000000"/>
        </w:rPr>
        <w:t>he primary study end point was different</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defined early recurrence as 1 year, and in our study, the early recurrence was 2 years; (2) </w:t>
      </w:r>
      <w:r w:rsidR="006B16B5">
        <w:rPr>
          <w:rFonts w:ascii="Book Antiqua" w:eastAsia="Book Antiqua" w:hAnsi="Book Antiqua" w:cs="Book Antiqua"/>
          <w:color w:val="000000"/>
        </w:rPr>
        <w:t>t</w:t>
      </w:r>
      <w:r w:rsidR="00567C86" w:rsidRPr="00B11F4B">
        <w:rPr>
          <w:rFonts w:ascii="Book Antiqua" w:eastAsia="Book Antiqua" w:hAnsi="Book Antiqua" w:cs="Book Antiqua"/>
          <w:color w:val="000000"/>
        </w:rPr>
        <w:t xml:space="preserve">he </w:t>
      </w:r>
      <w:r w:rsidRPr="00B11F4B">
        <w:rPr>
          <w:rFonts w:ascii="Book Antiqua" w:eastAsia="Book Antiqua" w:hAnsi="Book Antiqua" w:cs="Book Antiqua"/>
          <w:color w:val="000000"/>
        </w:rPr>
        <w:t>definition of washout rate was different</w:t>
      </w:r>
      <w:r w:rsidR="00567C86">
        <w:rPr>
          <w:rFonts w:ascii="Book Antiqua" w:eastAsia="Book Antiqua" w:hAnsi="Book Antiqua" w:cs="Book Antiqua"/>
          <w:color w:val="000000"/>
        </w:rPr>
        <w:t>.</w:t>
      </w:r>
      <w:r w:rsidR="00567C86"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 divided the washout rate into four grades (120 s, 60–120 s, 30–60 s, and &lt; 30 s), but in our study, the washout time was less than 30 s and defined as fast-out in contrast to others that were non-fast-out; (3) </w:t>
      </w:r>
      <w:r w:rsidR="00567C86">
        <w:rPr>
          <w:rFonts w:ascii="Book Antiqua" w:eastAsia="Book Antiqua" w:hAnsi="Book Antiqua" w:cs="Book Antiqua"/>
          <w:color w:val="000000"/>
        </w:rPr>
        <w:t>t</w:t>
      </w:r>
      <w:r w:rsidR="00567C86" w:rsidRPr="00B11F4B">
        <w:rPr>
          <w:rFonts w:ascii="Book Antiqua" w:eastAsia="Book Antiqua" w:hAnsi="Book Antiqua" w:cs="Book Antiqua"/>
          <w:color w:val="000000"/>
        </w:rPr>
        <w:t xml:space="preserve">he </w:t>
      </w:r>
      <w:r w:rsidRPr="00B11F4B">
        <w:rPr>
          <w:rFonts w:ascii="Book Antiqua" w:eastAsia="Book Antiqua" w:hAnsi="Book Antiqua" w:cs="Book Antiqua"/>
          <w:color w:val="000000"/>
        </w:rPr>
        <w:t xml:space="preserve">research </w:t>
      </w:r>
      <w:r w:rsidR="00567C86">
        <w:rPr>
          <w:rFonts w:ascii="Book Antiqua" w:eastAsia="Book Antiqua" w:hAnsi="Book Antiqua" w:cs="Book Antiqua"/>
          <w:color w:val="000000"/>
        </w:rPr>
        <w:t>s</w:t>
      </w:r>
      <w:r w:rsidR="001F3469">
        <w:rPr>
          <w:rFonts w:ascii="Book Antiqua" w:eastAsia="Book Antiqua" w:hAnsi="Book Antiqua" w:cs="Book Antiqua"/>
          <w:color w:val="000000"/>
        </w:rPr>
        <w:t>u</w:t>
      </w:r>
      <w:r w:rsidR="00567C86" w:rsidRPr="00B11F4B">
        <w:rPr>
          <w:rFonts w:ascii="Book Antiqua" w:eastAsia="Book Antiqua" w:hAnsi="Book Antiqua" w:cs="Book Antiqua"/>
          <w:color w:val="000000"/>
        </w:rPr>
        <w:t xml:space="preserve">bjects </w:t>
      </w:r>
      <w:r w:rsidRPr="00B11F4B">
        <w:rPr>
          <w:rFonts w:ascii="Book Antiqua" w:eastAsia="Book Antiqua" w:hAnsi="Book Antiqua" w:cs="Book Antiqua"/>
          <w:color w:val="000000"/>
        </w:rPr>
        <w:t>were different;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’s study enrolled the patients who were first discovered and after radical resection, which was pathologically confirmed; and (4) Qin</w:t>
      </w:r>
      <w:r w:rsidR="00567C86" w:rsidRPr="00567C86">
        <w:rPr>
          <w:rFonts w:ascii="Book Antiqua" w:eastAsia="Book Antiqua" w:hAnsi="Book Antiqua" w:cs="Book Antiqua"/>
          <w:i/>
          <w:color w:val="000000"/>
        </w:rPr>
        <w:t xml:space="preserve"> </w:t>
      </w:r>
      <w:r w:rsidR="00567C86" w:rsidRPr="00FA2D45">
        <w:rPr>
          <w:rFonts w:ascii="Book Antiqua" w:eastAsia="Book Antiqua" w:hAnsi="Book Antiqua" w:cs="Book Antiqua"/>
          <w:i/>
          <w:color w:val="000000"/>
        </w:rPr>
        <w:t>et al</w:t>
      </w:r>
      <w:r w:rsidRPr="00B11F4B">
        <w:rPr>
          <w:rFonts w:ascii="Book Antiqua" w:eastAsia="Book Antiqua" w:hAnsi="Book Antiqua" w:cs="Book Antiqua"/>
          <w:color w:val="000000"/>
        </w:rPr>
        <w:t xml:space="preserve">’s study only enrolled patients with a single tumor, but our study enrolled patients with single and multiple tumors. </w:t>
      </w:r>
    </w:p>
    <w:p w14:paraId="42763E4B" w14:textId="506262BB"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 xml:space="preserve">In the past, CEUS evaluation was mainly based on the subjective evaluation of an operator, and it lacked objective criteria. Thus, the American College of Radiology (ACR) convened a working group of international experts to develop </w:t>
      </w:r>
      <w:r w:rsidR="001F3469">
        <w:rPr>
          <w:rFonts w:ascii="Book Antiqua" w:eastAsia="Book Antiqua" w:hAnsi="Book Antiqua" w:cs="Book Antiqua"/>
          <w:color w:val="000000"/>
        </w:rPr>
        <w:t xml:space="preserve">the </w:t>
      </w:r>
      <w:r w:rsidRPr="00B11F4B">
        <w:rPr>
          <w:rFonts w:ascii="Book Antiqua" w:eastAsia="Book Antiqua" w:hAnsi="Book Antiqua" w:cs="Book Antiqua"/>
          <w:color w:val="000000"/>
        </w:rPr>
        <w:t>ACR CEUS Liver Imaging Reporting and Data System (LI-RADS) in 2014</w:t>
      </w:r>
      <w:r w:rsidR="001F3469">
        <w:rPr>
          <w:rFonts w:ascii="Book Antiqua" w:eastAsia="Book Antiqua" w:hAnsi="Book Antiqua" w:cs="Book Antiqua"/>
          <w:color w:val="000000"/>
        </w:rPr>
        <w:t>, which</w:t>
      </w:r>
      <w:r w:rsidRPr="00B11F4B">
        <w:rPr>
          <w:rFonts w:ascii="Book Antiqua" w:eastAsia="Book Antiqua" w:hAnsi="Book Antiqua" w:cs="Book Antiqua"/>
          <w:color w:val="000000"/>
        </w:rPr>
        <w:t xml:space="preserve"> was implemented in 2016</w:t>
      </w:r>
      <w:r w:rsidRPr="00B11F4B">
        <w:rPr>
          <w:rFonts w:ascii="Book Antiqua" w:eastAsia="Book Antiqua" w:hAnsi="Book Antiqua" w:cs="Book Antiqua"/>
          <w:color w:val="000000"/>
          <w:vertAlign w:val="superscript"/>
        </w:rPr>
        <w:t>[10]</w:t>
      </w:r>
      <w:r w:rsidRPr="00B11F4B">
        <w:rPr>
          <w:rFonts w:ascii="Book Antiqua" w:eastAsia="Book Antiqua" w:hAnsi="Book Antiqua" w:cs="Book Antiqua"/>
          <w:color w:val="000000"/>
        </w:rPr>
        <w:t>. CEUS LI-RADS is highly specific for HCC, enabling its use for a confident non-invasive diagnosis</w:t>
      </w:r>
      <w:r w:rsidRPr="00B11F4B">
        <w:rPr>
          <w:rFonts w:ascii="Book Antiqua" w:eastAsia="Book Antiqua" w:hAnsi="Book Antiqua" w:cs="Book Antiqua"/>
          <w:color w:val="000000"/>
          <w:vertAlign w:val="superscript"/>
        </w:rPr>
        <w:t>[25]</w:t>
      </w:r>
      <w:r w:rsidRPr="00B11F4B">
        <w:rPr>
          <w:rFonts w:ascii="Book Antiqua" w:eastAsia="Book Antiqua" w:hAnsi="Book Antiqua" w:cs="Book Antiqua"/>
          <w:color w:val="000000"/>
        </w:rPr>
        <w:t xml:space="preserve">. In our study, we divided patients into different categories according to CEUS LI-RADS, which is objective and suitable for general applications. Our study also showed that LI-RADS can be used as an independent hazard factor </w:t>
      </w:r>
      <w:r w:rsidR="001F3469">
        <w:rPr>
          <w:rFonts w:ascii="Book Antiqua" w:eastAsia="Book Antiqua" w:hAnsi="Book Antiqua" w:cs="Book Antiqua"/>
          <w:color w:val="000000"/>
        </w:rPr>
        <w:t>for</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recurrence. The higher the LI-RADS grade, the higher the recurrence rate.</w:t>
      </w:r>
    </w:p>
    <w:p w14:paraId="4D4094B1" w14:textId="6972786C"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Tumor diameter can be used as an independent risk factor for postoperative recurrence and has been proven by many previous studies</w:t>
      </w:r>
      <w:r w:rsidRPr="00B11F4B">
        <w:rPr>
          <w:rFonts w:ascii="Book Antiqua" w:eastAsia="Book Antiqua" w:hAnsi="Book Antiqua" w:cs="Book Antiqua"/>
          <w:color w:val="000000"/>
          <w:vertAlign w:val="superscript"/>
        </w:rPr>
        <w:t>[26-28]</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xml:space="preserve"> </w:t>
      </w:r>
      <w:r w:rsidRPr="00B11F4B">
        <w:rPr>
          <w:rFonts w:ascii="Book Antiqua" w:eastAsia="Book Antiqua" w:hAnsi="Book Antiqua" w:cs="Book Antiqua"/>
          <w:color w:val="000000"/>
        </w:rPr>
        <w:t xml:space="preserve">tumor size was significantly related to the outcomes in our cohort with </w:t>
      </w:r>
      <w:r w:rsidR="001F3469">
        <w:rPr>
          <w:rFonts w:ascii="Book Antiqua" w:eastAsia="Book Antiqua" w:hAnsi="Book Antiqua" w:cs="Book Antiqua"/>
          <w:color w:val="000000"/>
        </w:rPr>
        <w:t xml:space="preserve">an </w:t>
      </w:r>
      <w:r w:rsidRPr="00B11F4B">
        <w:rPr>
          <w:rFonts w:ascii="Book Antiqua" w:eastAsia="Book Antiqua" w:hAnsi="Book Antiqua" w:cs="Book Antiqua"/>
          <w:color w:val="000000"/>
        </w:rPr>
        <w:t>HR per centimeter of 1.12 for recurrence. Our findings are similar to those of Agopian</w:t>
      </w:r>
      <w:r w:rsidR="001F3469">
        <w:rPr>
          <w:rFonts w:ascii="Book Antiqua" w:eastAsia="Book Antiqua" w:hAnsi="Book Antiqua" w:cs="Book Antiqua"/>
          <w:color w:val="000000"/>
        </w:rPr>
        <w:t xml:space="preserve"> </w:t>
      </w:r>
      <w:r w:rsidR="001F3469" w:rsidRPr="006B16B5">
        <w:rPr>
          <w:rFonts w:ascii="Book Antiqua" w:eastAsia="Book Antiqua" w:hAnsi="Book Antiqua" w:cs="Book Antiqua"/>
          <w:i/>
          <w:color w:val="000000"/>
        </w:rPr>
        <w:t>et al</w:t>
      </w:r>
      <w:r w:rsidRPr="00B11F4B">
        <w:rPr>
          <w:rFonts w:ascii="Book Antiqua" w:eastAsia="Book Antiqua" w:hAnsi="Book Antiqua" w:cs="Book Antiqua"/>
          <w:color w:val="000000"/>
          <w:shd w:val="clear" w:color="auto" w:fill="FFFFFF"/>
          <w:vertAlign w:val="superscript"/>
        </w:rPr>
        <w:t>[29]</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w:t>
      </w:r>
      <w:r w:rsidRPr="00B11F4B">
        <w:rPr>
          <w:rFonts w:ascii="Book Antiqua" w:eastAsia="Book Antiqua" w:hAnsi="Book Antiqua" w:cs="Book Antiqua"/>
          <w:color w:val="000000"/>
        </w:rPr>
        <w:t xml:space="preserve"> and this result supports the use of the Milan and UCSF criteria, which include the tumor size. The increase in tumor diameter suggests that the local proliferation of tumor is in an active state, resulting in the recurrence of liver cancer. The increase in tumor diameter prolongs the whole operation process, affecting the immune system of patients, heightening the response state of the body to tumor cells, and further accelerating recurrence.</w:t>
      </w:r>
    </w:p>
    <w:p w14:paraId="41953526" w14:textId="012764FF" w:rsidR="00A77B3E" w:rsidRPr="00B11F4B" w:rsidRDefault="000313D3" w:rsidP="00664BFB">
      <w:pPr>
        <w:adjustRightInd w:val="0"/>
        <w:snapToGrid w:val="0"/>
        <w:spacing w:line="360" w:lineRule="auto"/>
        <w:ind w:firstLine="480"/>
        <w:jc w:val="both"/>
        <w:rPr>
          <w:rFonts w:ascii="Book Antiqua" w:hAnsi="Book Antiqua"/>
        </w:rPr>
      </w:pPr>
      <w:r w:rsidRPr="00B11F4B">
        <w:rPr>
          <w:rFonts w:ascii="Book Antiqua" w:eastAsia="Book Antiqua" w:hAnsi="Book Antiqua" w:cs="Book Antiqua"/>
          <w:color w:val="000000"/>
        </w:rPr>
        <w:t xml:space="preserve">AFP is an established and routine tumor marker in patients with HCC and is readily available for patients who are AFP-positive before surgery. AFP values &gt; 1000 ng/mL before surgery have been associated with the risk of HCC recurrence after hepatectomy. High AFP serum levels may be a surrogate parameter for vascular invasion and is a well-characterized predictor </w:t>
      </w:r>
      <w:r w:rsidR="001F3469">
        <w:rPr>
          <w:rFonts w:ascii="Book Antiqua" w:eastAsia="Book Antiqua" w:hAnsi="Book Antiqua" w:cs="Book Antiqua"/>
          <w:color w:val="000000"/>
        </w:rPr>
        <w:t>of</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HCC recurrence after surgery</w:t>
      </w:r>
      <w:r w:rsidRPr="00B11F4B">
        <w:rPr>
          <w:rFonts w:ascii="Book Antiqua" w:eastAsia="Book Antiqua" w:hAnsi="Book Antiqua" w:cs="Book Antiqua"/>
          <w:color w:val="000000"/>
          <w:shd w:val="clear" w:color="auto" w:fill="FFFFFF"/>
          <w:vertAlign w:val="superscript"/>
        </w:rPr>
        <w:t>[20]</w:t>
      </w:r>
      <w:r w:rsidRPr="00B11F4B">
        <w:rPr>
          <w:rFonts w:ascii="Book Antiqua" w:eastAsia="Book Antiqua" w:hAnsi="Book Antiqua" w:cs="Book Antiqua"/>
          <w:color w:val="000000"/>
          <w:shd w:val="clear" w:color="auto" w:fill="FFFFFF"/>
        </w:rPr>
        <w:t>.</w:t>
      </w:r>
      <w:r w:rsidRPr="00B11F4B">
        <w:rPr>
          <w:rFonts w:ascii="Book Antiqua" w:eastAsia="Book Antiqua" w:hAnsi="Book Antiqua" w:cs="Book Antiqua"/>
          <w:color w:val="000000"/>
        </w:rPr>
        <w:t xml:space="preserve"> A high serum AFP level suggests that HCC is highly invasive. Elevated preoperative AFP levels indicate an increased risk of tumor cell metastasis </w:t>
      </w:r>
      <w:r w:rsidR="001F3469" w:rsidRPr="006B16B5">
        <w:rPr>
          <w:rFonts w:ascii="Book Antiqua" w:eastAsia="Book Antiqua" w:hAnsi="Book Antiqua" w:cs="Book Antiqua"/>
          <w:i/>
          <w:color w:val="000000"/>
        </w:rPr>
        <w:t>via</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blood </w:t>
      </w:r>
      <w:r w:rsidR="001F3469">
        <w:rPr>
          <w:rFonts w:ascii="Book Antiqua" w:eastAsia="Book Antiqua" w:hAnsi="Book Antiqua" w:cs="Book Antiqua"/>
          <w:color w:val="000000"/>
        </w:rPr>
        <w:t>route</w:t>
      </w:r>
      <w:r w:rsidRPr="00B11F4B">
        <w:rPr>
          <w:rFonts w:ascii="Book Antiqua" w:eastAsia="Book Antiqua" w:hAnsi="Book Antiqua" w:cs="Book Antiqua"/>
          <w:color w:val="000000"/>
        </w:rPr>
        <w:t>. Therefore, predicting the malignant characteristics and prognosis of HCC through the preoperative serum AFP level is important. Nowadays, the cut-off value of preoperative serum AFP level for predicting recurrence and survival of HCC has not been standardized. Our observation is consistent with that of another study</w:t>
      </w:r>
      <w:r w:rsidRPr="00B11F4B">
        <w:rPr>
          <w:rFonts w:ascii="Book Antiqua" w:eastAsia="Book Antiqua" w:hAnsi="Book Antiqua" w:cs="Book Antiqua"/>
          <w:color w:val="000000"/>
          <w:vertAlign w:val="superscript"/>
        </w:rPr>
        <w:t>[23]</w:t>
      </w:r>
      <w:r w:rsidRPr="00B11F4B">
        <w:rPr>
          <w:rFonts w:ascii="Book Antiqua" w:eastAsia="Book Antiqua" w:hAnsi="Book Antiqua" w:cs="Book Antiqua"/>
          <w:color w:val="000000"/>
        </w:rPr>
        <w:t xml:space="preserve">; we divided AFP into three levels and the HR per grade </w:t>
      </w:r>
      <w:r w:rsidR="001F3469">
        <w:rPr>
          <w:rFonts w:ascii="Book Antiqua" w:eastAsia="Book Antiqua" w:hAnsi="Book Antiqua" w:cs="Book Antiqua"/>
          <w:color w:val="000000"/>
        </w:rPr>
        <w:t>was</w:t>
      </w:r>
      <w:r w:rsidR="001F3469"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1.547 for recurrence. In general, serum AFP levels may be associated with HCC tumors, but not all patients with HCC have AFP levels higher than 250–400 ng/mL. In addition, mild</w:t>
      </w:r>
      <w:r w:rsidR="001F3469">
        <w:rPr>
          <w:rFonts w:ascii="Book Antiqua" w:eastAsia="Book Antiqua" w:hAnsi="Book Antiqua" w:cs="Book Antiqua"/>
          <w:color w:val="000000"/>
        </w:rPr>
        <w:t>ly</w:t>
      </w:r>
      <w:r w:rsidRPr="00B11F4B">
        <w:rPr>
          <w:rFonts w:ascii="Book Antiqua" w:eastAsia="Book Antiqua" w:hAnsi="Book Antiqua" w:cs="Book Antiqua"/>
          <w:color w:val="000000"/>
        </w:rPr>
        <w:t xml:space="preserve"> to moderate</w:t>
      </w:r>
      <w:r w:rsidR="001F3469">
        <w:rPr>
          <w:rFonts w:ascii="Book Antiqua" w:eastAsia="Book Antiqua" w:hAnsi="Book Antiqua" w:cs="Book Antiqua"/>
          <w:color w:val="000000"/>
        </w:rPr>
        <w:t>ly</w:t>
      </w:r>
      <w:r w:rsidRPr="00B11F4B">
        <w:rPr>
          <w:rFonts w:ascii="Book Antiqua" w:eastAsia="Book Antiqua" w:hAnsi="Book Antiqua" w:cs="Book Antiqua"/>
          <w:color w:val="000000"/>
        </w:rPr>
        <w:t xml:space="preserve"> elevated AFP may be associated with necrotizing inflammation of the liver but not with malignant tumors</w:t>
      </w:r>
      <w:r w:rsidRPr="00B11F4B">
        <w:rPr>
          <w:rFonts w:ascii="Book Antiqua" w:eastAsia="Book Antiqua" w:hAnsi="Book Antiqua" w:cs="Book Antiqua"/>
          <w:color w:val="000000"/>
          <w:shd w:val="clear" w:color="auto" w:fill="FFFFFF"/>
          <w:vertAlign w:val="superscript"/>
        </w:rPr>
        <w:t>[30]</w:t>
      </w:r>
      <w:r w:rsidRPr="00B11F4B">
        <w:rPr>
          <w:rFonts w:ascii="Book Antiqua" w:eastAsia="Book Antiqua" w:hAnsi="Book Antiqua" w:cs="Book Antiqua"/>
          <w:color w:val="000000"/>
        </w:rPr>
        <w:t>,</w:t>
      </w:r>
      <w:r w:rsidRPr="00B11F4B">
        <w:rPr>
          <w:rFonts w:ascii="Book Antiqua" w:eastAsia="Book Antiqua" w:hAnsi="Book Antiqua" w:cs="Book Antiqua"/>
          <w:color w:val="000000"/>
          <w:shd w:val="clear" w:color="auto" w:fill="FFFFFF"/>
        </w:rPr>
        <w:t> </w:t>
      </w:r>
      <w:r w:rsidRPr="00B11F4B">
        <w:rPr>
          <w:rFonts w:ascii="Book Antiqua" w:eastAsia="Book Antiqua" w:hAnsi="Book Antiqua" w:cs="Book Antiqua"/>
          <w:color w:val="000000"/>
        </w:rPr>
        <w:t xml:space="preserve">which should be given attention. </w:t>
      </w:r>
    </w:p>
    <w:p w14:paraId="1424CD65" w14:textId="77777777" w:rsidR="00A77B3E" w:rsidRPr="00B11F4B" w:rsidRDefault="00A77B3E" w:rsidP="00664BFB">
      <w:pPr>
        <w:adjustRightInd w:val="0"/>
        <w:snapToGrid w:val="0"/>
        <w:spacing w:line="360" w:lineRule="auto"/>
        <w:ind w:firstLine="480"/>
        <w:jc w:val="both"/>
        <w:rPr>
          <w:rFonts w:ascii="Book Antiqua" w:hAnsi="Book Antiqua"/>
        </w:rPr>
      </w:pPr>
    </w:p>
    <w:p w14:paraId="62E8665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i/>
          <w:iCs/>
          <w:color w:val="000000"/>
        </w:rPr>
        <w:t>Limitations</w:t>
      </w:r>
    </w:p>
    <w:p w14:paraId="08AA2E5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As this work was a single-center and retrospective cohort study, some limitations should be noted due to the inherent defects of the study design. First, selection and management bias is unavoidable. In general, if liver ultrasound examination is not enough, CEUS examination is also insufficient. In addition, the quality of an examination still depends on the skills of the operators. However, the ability of CEUS to observe some parts of the liver is limited, especially for patients with obesity. Further limitations are related to the width of the acoustic window and motion artifacts. The model has not been validated by external cohorts, thereby limiting its wide application. We hope that in the future, we can conduct a multi-center study, with an expanded sample size and prospective verification.</w:t>
      </w:r>
    </w:p>
    <w:p w14:paraId="03C044DB" w14:textId="77777777" w:rsidR="00A77B3E" w:rsidRPr="00B11F4B" w:rsidRDefault="00A77B3E" w:rsidP="00664BFB">
      <w:pPr>
        <w:adjustRightInd w:val="0"/>
        <w:snapToGrid w:val="0"/>
        <w:spacing w:line="360" w:lineRule="auto"/>
        <w:jc w:val="both"/>
        <w:rPr>
          <w:rFonts w:ascii="Book Antiqua" w:hAnsi="Book Antiqua"/>
        </w:rPr>
      </w:pPr>
    </w:p>
    <w:p w14:paraId="021E2E1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CONCLUSION</w:t>
      </w:r>
    </w:p>
    <w:p w14:paraId="5ADB32D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In summary, early recurrence of liver cancer after operation seriously affects the health of patients. Our non-invasive prediction model based on CEUS and serological biomarkers can achieve a high prediction efficiency with few indicators and is helpful in planning an appropriate treatment schedule. </w:t>
      </w:r>
    </w:p>
    <w:p w14:paraId="263995E8" w14:textId="77777777" w:rsidR="00A77B3E" w:rsidRPr="00B11F4B" w:rsidRDefault="00A77B3E" w:rsidP="00664BFB">
      <w:pPr>
        <w:adjustRightInd w:val="0"/>
        <w:snapToGrid w:val="0"/>
        <w:spacing w:line="360" w:lineRule="auto"/>
        <w:jc w:val="both"/>
        <w:rPr>
          <w:rFonts w:ascii="Book Antiqua" w:hAnsi="Book Antiqua"/>
        </w:rPr>
      </w:pPr>
    </w:p>
    <w:p w14:paraId="0A38BA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aps/>
          <w:color w:val="000000"/>
          <w:u w:val="single"/>
        </w:rPr>
        <w:t>ARTICLE HIGHLIGHTS</w:t>
      </w:r>
    </w:p>
    <w:p w14:paraId="3D4B227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background</w:t>
      </w:r>
    </w:p>
    <w:p w14:paraId="0676326F" w14:textId="25CE1C0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Surgery is the main treatment for hepatocellular carcinoma (HCC). However, 30%-50% of patients </w:t>
      </w:r>
      <w:r w:rsidR="00D472B5">
        <w:rPr>
          <w:rFonts w:ascii="Book Antiqua" w:eastAsia="Book Antiqua" w:hAnsi="Book Antiqua" w:cs="Book Antiqua"/>
          <w:color w:val="000000"/>
        </w:rPr>
        <w:t xml:space="preserve">develop </w:t>
      </w:r>
      <w:r w:rsidRPr="00B11F4B">
        <w:rPr>
          <w:rFonts w:ascii="Book Antiqua" w:eastAsia="Book Antiqua" w:hAnsi="Book Antiqua" w:cs="Book Antiqua"/>
          <w:color w:val="000000"/>
        </w:rPr>
        <w:t>recurrence within 2 years, which is the main cause of death.</w:t>
      </w:r>
    </w:p>
    <w:p w14:paraId="7F7981D2" w14:textId="77777777" w:rsidR="00A77B3E" w:rsidRPr="00B11F4B" w:rsidRDefault="00A77B3E" w:rsidP="00664BFB">
      <w:pPr>
        <w:adjustRightInd w:val="0"/>
        <w:snapToGrid w:val="0"/>
        <w:spacing w:line="360" w:lineRule="auto"/>
        <w:jc w:val="both"/>
        <w:rPr>
          <w:rFonts w:ascii="Book Antiqua" w:hAnsi="Book Antiqua"/>
        </w:rPr>
      </w:pPr>
    </w:p>
    <w:p w14:paraId="737649A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motivation</w:t>
      </w:r>
    </w:p>
    <w:p w14:paraId="1BF468F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Screening patients with high recurrence risk plays an important role in making reasonable clinical decisions.</w:t>
      </w:r>
    </w:p>
    <w:p w14:paraId="0A6B3807" w14:textId="77777777" w:rsidR="00A77B3E" w:rsidRPr="00B11F4B" w:rsidRDefault="00A77B3E" w:rsidP="00664BFB">
      <w:pPr>
        <w:adjustRightInd w:val="0"/>
        <w:snapToGrid w:val="0"/>
        <w:spacing w:line="360" w:lineRule="auto"/>
        <w:jc w:val="both"/>
        <w:rPr>
          <w:rFonts w:ascii="Book Antiqua" w:hAnsi="Book Antiqua"/>
        </w:rPr>
      </w:pPr>
    </w:p>
    <w:p w14:paraId="4E5120C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objectives</w:t>
      </w:r>
    </w:p>
    <w:p w14:paraId="19639A5C" w14:textId="1437E286" w:rsidR="00A77B3E" w:rsidRPr="00B11F4B" w:rsidRDefault="00D472B5" w:rsidP="00664BFB">
      <w:pPr>
        <w:adjustRightInd w:val="0"/>
        <w:snapToGrid w:val="0"/>
        <w:spacing w:line="360" w:lineRule="auto"/>
        <w:jc w:val="both"/>
        <w:rPr>
          <w:rFonts w:ascii="Book Antiqua" w:hAnsi="Book Antiqua"/>
        </w:rPr>
      </w:pPr>
      <w:r>
        <w:rPr>
          <w:rFonts w:ascii="Book Antiqua" w:eastAsia="Book Antiqua" w:hAnsi="Book Antiqua" w:cs="Book Antiqua"/>
          <w:color w:val="000000"/>
        </w:rPr>
        <w:t>To combine</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 xml:space="preserve">contrast-enhanced ultrasound (CEUS) liver imaging reporting and data system (LIRADS) </w:t>
      </w:r>
      <w:r>
        <w:rPr>
          <w:rFonts w:ascii="Book Antiqua" w:eastAsia="Book Antiqua" w:hAnsi="Book Antiqua" w:cs="Book Antiqua"/>
          <w:color w:val="000000"/>
        </w:rPr>
        <w:t>with</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serology biomarkers</w:t>
      </w:r>
      <w:r>
        <w:rPr>
          <w:rFonts w:ascii="Book Antiqua" w:eastAsia="Book Antiqua" w:hAnsi="Book Antiqua" w:cs="Book Antiqua"/>
          <w:color w:val="000000"/>
        </w:rPr>
        <w:t xml:space="preserve"> to</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construct a non-invasive model predict</w:t>
      </w:r>
      <w:r>
        <w:rPr>
          <w:rFonts w:ascii="Book Antiqua" w:eastAsia="Book Antiqua" w:hAnsi="Book Antiqua" w:cs="Book Antiqua"/>
          <w:color w:val="000000"/>
        </w:rPr>
        <w:t>ing</w:t>
      </w:r>
      <w:r w:rsidR="000313D3" w:rsidRPr="00B11F4B">
        <w:rPr>
          <w:rFonts w:ascii="Book Antiqua" w:eastAsia="Book Antiqua" w:hAnsi="Book Antiqua" w:cs="Book Antiqua"/>
          <w:color w:val="000000"/>
        </w:rPr>
        <w:t xml:space="preserve"> the early recurrence of HCC, and </w:t>
      </w:r>
      <w:r w:rsidRPr="00B11F4B">
        <w:rPr>
          <w:rFonts w:ascii="Book Antiqua" w:eastAsia="Book Antiqua" w:hAnsi="Book Antiqua" w:cs="Book Antiqua"/>
          <w:color w:val="000000"/>
        </w:rPr>
        <w:t>verif</w:t>
      </w:r>
      <w:r>
        <w:rPr>
          <w:rFonts w:ascii="Book Antiqua" w:eastAsia="Book Antiqua" w:hAnsi="Book Antiqua" w:cs="Book Antiqua"/>
          <w:color w:val="000000"/>
        </w:rPr>
        <w:t>y</w:t>
      </w:r>
      <w:r w:rsidRPr="00B11F4B">
        <w:rPr>
          <w:rFonts w:ascii="Book Antiqua" w:eastAsia="Book Antiqua" w:hAnsi="Book Antiqua" w:cs="Book Antiqua"/>
          <w:color w:val="000000"/>
        </w:rPr>
        <w:t xml:space="preserve"> </w:t>
      </w:r>
      <w:r w:rsidR="000313D3" w:rsidRPr="00B11F4B">
        <w:rPr>
          <w:rFonts w:ascii="Book Antiqua" w:eastAsia="Book Antiqua" w:hAnsi="Book Antiqua" w:cs="Book Antiqua"/>
          <w:color w:val="000000"/>
        </w:rPr>
        <w:t>the model.</w:t>
      </w:r>
    </w:p>
    <w:p w14:paraId="1D257F02" w14:textId="77777777" w:rsidR="00A77B3E" w:rsidRPr="00B11F4B" w:rsidRDefault="00A77B3E" w:rsidP="00664BFB">
      <w:pPr>
        <w:adjustRightInd w:val="0"/>
        <w:snapToGrid w:val="0"/>
        <w:spacing w:line="360" w:lineRule="auto"/>
        <w:jc w:val="both"/>
        <w:rPr>
          <w:rFonts w:ascii="Book Antiqua" w:hAnsi="Book Antiqua"/>
        </w:rPr>
      </w:pPr>
    </w:p>
    <w:p w14:paraId="4286436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methods</w:t>
      </w:r>
    </w:p>
    <w:p w14:paraId="33D55BF4" w14:textId="0E7F63C4" w:rsidR="00A77B3E" w:rsidRPr="00B11F4B" w:rsidRDefault="006B16B5"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Records of 744 consecutive patients undergoing first-line curative surgery for HCC in one institution from 2016–2018 were reviewed, and 292 </w:t>
      </w:r>
      <w:r>
        <w:rPr>
          <w:rFonts w:ascii="Book Antiqua" w:eastAsia="Book Antiqua" w:hAnsi="Book Antiqua" w:cs="Book Antiqua"/>
          <w:color w:val="000000"/>
        </w:rPr>
        <w:t>l</w:t>
      </w:r>
      <w:r w:rsidRPr="00B11F4B">
        <w:rPr>
          <w:rFonts w:ascii="Book Antiqua" w:eastAsia="Book Antiqua" w:hAnsi="Book Antiqua" w:cs="Book Antiqua"/>
          <w:color w:val="000000"/>
        </w:rPr>
        <w:t>ocal patients were selected for analysis. General characteristics</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CEUS liver imaging reporting and data system (LIRADS) </w:t>
      </w:r>
      <w:r>
        <w:rPr>
          <w:rFonts w:ascii="Book Antiqua" w:eastAsia="Book Antiqua" w:hAnsi="Book Antiqua" w:cs="Book Antiqua"/>
          <w:color w:val="000000"/>
        </w:rPr>
        <w:t>parameters, and</w:t>
      </w:r>
      <w:r w:rsidRPr="00B11F4B">
        <w:rPr>
          <w:rFonts w:ascii="Book Antiqua" w:eastAsia="Book Antiqua" w:hAnsi="Book Antiqua" w:cs="Book Antiqua"/>
          <w:color w:val="000000"/>
        </w:rPr>
        <w:t xml:space="preserve"> </w:t>
      </w:r>
      <w:r>
        <w:rPr>
          <w:rFonts w:ascii="Book Antiqua" w:eastAsia="Book Antiqua" w:hAnsi="Book Antiqua" w:cs="Book Antiqua"/>
          <w:color w:val="000000"/>
        </w:rPr>
        <w:t>s</w:t>
      </w:r>
      <w:r w:rsidRPr="00B11F4B">
        <w:rPr>
          <w:rFonts w:ascii="Book Antiqua" w:eastAsia="Book Antiqua" w:hAnsi="Book Antiqua" w:cs="Book Antiqua"/>
          <w:color w:val="000000"/>
        </w:rPr>
        <w:t>erology biomarkers</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were collected. Univariate analysis and multivariate </w:t>
      </w:r>
      <w:r>
        <w:rPr>
          <w:rFonts w:ascii="Book Antiqua" w:eastAsia="Book Antiqua" w:hAnsi="Book Antiqua" w:cs="Book Antiqua"/>
          <w:color w:val="000000"/>
        </w:rPr>
        <w:t>analyses</w:t>
      </w:r>
      <w:r w:rsidRPr="00B11F4B">
        <w:rPr>
          <w:rFonts w:ascii="Book Antiqua" w:eastAsia="Book Antiqua" w:hAnsi="Book Antiqua" w:cs="Book Antiqua"/>
          <w:color w:val="000000"/>
        </w:rPr>
        <w:t xml:space="preserve"> w</w:t>
      </w:r>
      <w:r>
        <w:rPr>
          <w:rFonts w:ascii="Book Antiqua" w:eastAsia="Book Antiqua" w:hAnsi="Book Antiqua" w:cs="Book Antiqua"/>
          <w:color w:val="000000"/>
        </w:rPr>
        <w:t>ere</w:t>
      </w:r>
      <w:r w:rsidRPr="00B11F4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Pr="00B11F4B">
        <w:rPr>
          <w:rFonts w:ascii="Book Antiqua" w:eastAsia="Book Antiqua" w:hAnsi="Book Antiqua" w:cs="Book Antiqua"/>
          <w:color w:val="000000"/>
        </w:rPr>
        <w:t xml:space="preserve"> to evaluate the independent prognostic factors</w:t>
      </w:r>
      <w:r>
        <w:rPr>
          <w:rFonts w:ascii="Book Antiqua" w:eastAsia="Book Antiqua" w:hAnsi="Book Antiqua" w:cs="Book Antiqua"/>
          <w:color w:val="000000"/>
        </w:rPr>
        <w:t xml:space="preserve"> for</w:t>
      </w:r>
      <w:r w:rsidRPr="00B11F4B">
        <w:rPr>
          <w:rFonts w:ascii="Book Antiqua" w:eastAsia="Book Antiqua" w:hAnsi="Book Antiqua" w:cs="Book Antiqua"/>
          <w:color w:val="000000"/>
        </w:rPr>
        <w:t xml:space="preserve"> tumor recurrence. Then</w:t>
      </w:r>
      <w:r>
        <w:rPr>
          <w:rFonts w:ascii="Book Antiqua" w:eastAsia="Book Antiqua" w:hAnsi="Book Antiqua" w:cs="Book Antiqua"/>
          <w:color w:val="000000"/>
        </w:rPr>
        <w:t>,</w:t>
      </w:r>
      <w:r w:rsidRPr="00B11F4B">
        <w:rPr>
          <w:rFonts w:ascii="Book Antiqua" w:eastAsia="Book Antiqua" w:hAnsi="Book Antiqua" w:cs="Book Antiqua"/>
          <w:color w:val="000000"/>
        </w:rPr>
        <w:t xml:space="preserve"> a nomogram called CEUS model was constructed. The CEUS model was </w:t>
      </w:r>
      <w:r>
        <w:rPr>
          <w:rFonts w:ascii="Book Antiqua" w:eastAsia="Book Antiqua" w:hAnsi="Book Antiqua" w:cs="Book Antiqua"/>
          <w:color w:val="000000"/>
        </w:rPr>
        <w:t xml:space="preserve">then </w:t>
      </w:r>
      <w:r w:rsidRPr="00B11F4B">
        <w:rPr>
          <w:rFonts w:ascii="Book Antiqua" w:eastAsia="Book Antiqua" w:hAnsi="Book Antiqua" w:cs="Book Antiqua"/>
          <w:color w:val="000000"/>
        </w:rPr>
        <w:t xml:space="preserve">used </w:t>
      </w:r>
      <w:r>
        <w:rPr>
          <w:rFonts w:ascii="Book Antiqua" w:eastAsia="Book Antiqua" w:hAnsi="Book Antiqua" w:cs="Book Antiqua"/>
          <w:color w:val="000000"/>
        </w:rPr>
        <w:t>to</w:t>
      </w:r>
      <w:r w:rsidRPr="00B11F4B">
        <w:rPr>
          <w:rFonts w:ascii="Book Antiqua" w:eastAsia="Book Antiqua" w:hAnsi="Book Antiqua" w:cs="Book Antiqua"/>
          <w:color w:val="000000"/>
        </w:rPr>
        <w:t xml:space="preserve"> predict</w:t>
      </w:r>
      <w:r>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recurrence </w:t>
      </w:r>
      <w:r>
        <w:rPr>
          <w:rFonts w:ascii="Book Antiqua" w:eastAsia="Book Antiqua" w:hAnsi="Book Antiqua" w:cs="Book Antiqua"/>
          <w:color w:val="000000"/>
        </w:rPr>
        <w:t>at</w:t>
      </w:r>
      <w:r w:rsidRPr="00B11F4B">
        <w:rPr>
          <w:rFonts w:ascii="Book Antiqua" w:eastAsia="Book Antiqua" w:hAnsi="Book Antiqua" w:cs="Book Antiqua"/>
          <w:color w:val="000000"/>
        </w:rPr>
        <w:t xml:space="preserve"> 6 mo, 12 mo, </w:t>
      </w:r>
      <w:r>
        <w:rPr>
          <w:rFonts w:ascii="Book Antiqua" w:eastAsia="Book Antiqua" w:hAnsi="Book Antiqua" w:cs="Book Antiqua"/>
          <w:color w:val="000000"/>
        </w:rPr>
        <w:t xml:space="preserve">and </w:t>
      </w:r>
      <w:r w:rsidRPr="00B11F4B">
        <w:rPr>
          <w:rFonts w:ascii="Book Antiqua" w:eastAsia="Book Antiqua" w:hAnsi="Book Antiqua" w:cs="Book Antiqua"/>
          <w:color w:val="000000"/>
        </w:rPr>
        <w:t>24 mo</w:t>
      </w:r>
      <w:r w:rsidR="000313D3" w:rsidRPr="00B11F4B">
        <w:rPr>
          <w:rFonts w:ascii="Book Antiqua" w:eastAsia="Book Antiqua" w:hAnsi="Book Antiqua" w:cs="Book Antiqua"/>
          <w:color w:val="000000"/>
        </w:rPr>
        <w:t xml:space="preserve">. </w:t>
      </w:r>
    </w:p>
    <w:p w14:paraId="1B3571B1" w14:textId="77777777" w:rsidR="00A77B3E" w:rsidRPr="00B11F4B" w:rsidRDefault="00A77B3E" w:rsidP="00664BFB">
      <w:pPr>
        <w:adjustRightInd w:val="0"/>
        <w:snapToGrid w:val="0"/>
        <w:spacing w:line="360" w:lineRule="auto"/>
        <w:jc w:val="both"/>
        <w:rPr>
          <w:rFonts w:ascii="Book Antiqua" w:hAnsi="Book Antiqua"/>
        </w:rPr>
      </w:pPr>
    </w:p>
    <w:p w14:paraId="6C5742C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results</w:t>
      </w:r>
    </w:p>
    <w:p w14:paraId="6AAAB8D1" w14:textId="5191E569"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Tumor diameter, preoperative alpha-fetoprotein (AFP) level, and LIRADS </w:t>
      </w:r>
      <w:r w:rsidR="00D472B5">
        <w:rPr>
          <w:rFonts w:ascii="Book Antiqua" w:eastAsia="Book Antiqua" w:hAnsi="Book Antiqua" w:cs="Book Antiqua"/>
          <w:color w:val="000000"/>
        </w:rPr>
        <w:t>were identified to be</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independent hazard factor</w:t>
      </w:r>
      <w:r w:rsidR="00D472B5">
        <w:rPr>
          <w:rFonts w:ascii="Book Antiqua" w:eastAsia="Book Antiqua" w:hAnsi="Book Antiqua" w:cs="Book Antiqua"/>
          <w:color w:val="000000"/>
        </w:rPr>
        <w:t>s</w:t>
      </w:r>
      <w:r w:rsidRPr="00B11F4B">
        <w:rPr>
          <w:rFonts w:ascii="Book Antiqua" w:eastAsia="Book Antiqua" w:hAnsi="Book Antiqua" w:cs="Book Antiqua"/>
          <w:color w:val="000000"/>
        </w:rPr>
        <w:t xml:space="preserve">, </w:t>
      </w:r>
      <w:r w:rsidR="00D472B5">
        <w:rPr>
          <w:rFonts w:ascii="Book Antiqua" w:eastAsia="Book Antiqua" w:hAnsi="Book Antiqua" w:cs="Book Antiqua"/>
          <w:color w:val="000000"/>
        </w:rPr>
        <w:t>with a hazard ratio</w:t>
      </w:r>
      <w:r w:rsidRPr="00B11F4B">
        <w:rPr>
          <w:rFonts w:ascii="Book Antiqua" w:eastAsia="Book Antiqua" w:hAnsi="Book Antiqua" w:cs="Book Antiqua"/>
          <w:color w:val="000000"/>
        </w:rPr>
        <w:t xml:space="preserve"> </w:t>
      </w:r>
      <w:r w:rsidR="00D472B5">
        <w:rPr>
          <w:rFonts w:ascii="Book Antiqua" w:eastAsia="Book Antiqua" w:hAnsi="Book Antiqua" w:cs="Book Antiqua"/>
          <w:color w:val="000000"/>
        </w:rPr>
        <w:t>of</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1.123 (95%</w:t>
      </w:r>
      <w:r w:rsidR="00D472B5">
        <w:rPr>
          <w:rFonts w:ascii="Book Antiqua" w:eastAsia="Book Antiqua" w:hAnsi="Book Antiqua" w:cs="Book Antiqua"/>
          <w:color w:val="000000"/>
        </w:rPr>
        <w:t xml:space="preserve"> confidence interval [</w:t>
      </w:r>
      <w:r w:rsidRPr="00B11F4B">
        <w:rPr>
          <w:rFonts w:ascii="Book Antiqua" w:eastAsia="Book Antiqua" w:hAnsi="Book Antiqua" w:cs="Book Antiqua"/>
          <w:color w:val="000000"/>
        </w:rPr>
        <w:t>CI</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1.041-1.211), 1.547 (95%CI: 1.245-1.922),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1.428 (95%CI: 1.059-1.925)</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separately. A nomogram based on them was constructed</w:t>
      </w:r>
      <w:r w:rsidR="00D472B5">
        <w:rPr>
          <w:rFonts w:ascii="Book Antiqua" w:eastAsia="Book Antiqua" w:hAnsi="Book Antiqua" w:cs="Book Antiqua"/>
          <w:color w:val="000000"/>
        </w:rPr>
        <w:t>;</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 xml:space="preserve">the cut-off value </w:t>
      </w:r>
      <w:r w:rsidR="00D472B5">
        <w:rPr>
          <w:rFonts w:ascii="Book Antiqua" w:eastAsia="Book Antiqua" w:hAnsi="Book Antiqua" w:cs="Book Antiqua"/>
          <w:color w:val="000000"/>
        </w:rPr>
        <w:t>at</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6 mo, 12 mo</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and 24 mo was 100,</w:t>
      </w:r>
      <w:r w:rsidR="005B34D4">
        <w:rPr>
          <w:rFonts w:ascii="Book Antiqua" w:eastAsia="Book Antiqua" w:hAnsi="Book Antiqua" w:cs="Book Antiqua"/>
          <w:color w:val="000000"/>
        </w:rPr>
        <w:t xml:space="preserve"> </w:t>
      </w:r>
      <w:r w:rsidRPr="00B11F4B">
        <w:rPr>
          <w:rFonts w:ascii="Book Antiqua" w:eastAsia="Book Antiqua" w:hAnsi="Book Antiqua" w:cs="Book Antiqua"/>
          <w:color w:val="000000"/>
        </w:rPr>
        <w:t>80,</w:t>
      </w:r>
      <w:r w:rsidR="005B34D4">
        <w:rPr>
          <w:rFonts w:ascii="Book Antiqua" w:eastAsia="Book Antiqua" w:hAnsi="Book Antiqua" w:cs="Book Antiqua"/>
          <w:color w:val="000000"/>
        </w:rPr>
        <w:t xml:space="preserve">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50,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 xml:space="preserve">the C-index was 0.748 (95%CI: 0.683-0.813), 0.762 (95%CI: 0.704-0.820), </w:t>
      </w:r>
      <w:r w:rsidR="00D472B5">
        <w:rPr>
          <w:rFonts w:ascii="Book Antiqua" w:eastAsia="Book Antiqua" w:hAnsi="Book Antiqua" w:cs="Book Antiqua"/>
          <w:color w:val="000000"/>
        </w:rPr>
        <w:t xml:space="preserve">and </w:t>
      </w:r>
      <w:r w:rsidRPr="00B11F4B">
        <w:rPr>
          <w:rFonts w:ascii="Book Antiqua" w:eastAsia="Book Antiqua" w:hAnsi="Book Antiqua" w:cs="Book Antiqua"/>
          <w:color w:val="000000"/>
        </w:rPr>
        <w:t>0.762 (95%CI: 0.706-0.819)</w:t>
      </w:r>
      <w:r w:rsidR="00D472B5">
        <w:rPr>
          <w:rFonts w:ascii="Book Antiqua" w:eastAsia="Book Antiqua" w:hAnsi="Book Antiqua" w:cs="Book Antiqua"/>
          <w:color w:val="000000"/>
        </w:rPr>
        <w:t>,</w:t>
      </w:r>
      <w:r w:rsidRPr="00B11F4B">
        <w:rPr>
          <w:rFonts w:ascii="Book Antiqua" w:eastAsia="Book Antiqua" w:hAnsi="Book Antiqua" w:cs="Book Antiqua"/>
          <w:color w:val="000000"/>
        </w:rPr>
        <w:t xml:space="preserve"> separately. </w:t>
      </w:r>
      <w:r w:rsidRPr="00271350">
        <w:rPr>
          <w:rFonts w:ascii="Book Antiqua" w:eastAsia="Book Antiqua" w:hAnsi="Book Antiqua" w:cs="Book Antiqua"/>
          <w:caps/>
          <w:color w:val="000000"/>
        </w:rPr>
        <w:t>t</w:t>
      </w:r>
      <w:r w:rsidRPr="00B11F4B">
        <w:rPr>
          <w:rFonts w:ascii="Book Antiqua" w:eastAsia="Book Antiqua" w:hAnsi="Book Antiqua" w:cs="Book Antiqua"/>
          <w:color w:val="000000"/>
        </w:rPr>
        <w:t>he calibration at 6 mo was desirable; however, the calibration at 12 and 24 mo should be improved.</w:t>
      </w:r>
    </w:p>
    <w:p w14:paraId="32811DFE" w14:textId="77777777" w:rsidR="00A77B3E" w:rsidRPr="00B11F4B" w:rsidRDefault="00A77B3E" w:rsidP="00664BFB">
      <w:pPr>
        <w:adjustRightInd w:val="0"/>
        <w:snapToGrid w:val="0"/>
        <w:spacing w:line="360" w:lineRule="auto"/>
        <w:jc w:val="both"/>
        <w:rPr>
          <w:rFonts w:ascii="Book Antiqua" w:hAnsi="Book Antiqua"/>
        </w:rPr>
      </w:pPr>
    </w:p>
    <w:p w14:paraId="1E685A9D"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conclusions</w:t>
      </w:r>
    </w:p>
    <w:p w14:paraId="2468FB80" w14:textId="50F9F014"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The CEUS model can screen out patients who </w:t>
      </w:r>
      <w:r w:rsidR="00D472B5" w:rsidRPr="00B11F4B">
        <w:rPr>
          <w:rFonts w:ascii="Book Antiqua" w:eastAsia="Book Antiqua" w:hAnsi="Book Antiqua" w:cs="Book Antiqua"/>
          <w:color w:val="000000"/>
        </w:rPr>
        <w:t>ha</w:t>
      </w:r>
      <w:r w:rsidR="00D472B5">
        <w:rPr>
          <w:rFonts w:ascii="Book Antiqua" w:eastAsia="Book Antiqua" w:hAnsi="Book Antiqua" w:cs="Book Antiqua"/>
          <w:color w:val="000000"/>
        </w:rPr>
        <w:t>ve a</w:t>
      </w:r>
      <w:r w:rsidR="00D472B5" w:rsidRPr="00B11F4B">
        <w:rPr>
          <w:rFonts w:ascii="Book Antiqua" w:eastAsia="Book Antiqua" w:hAnsi="Book Antiqua" w:cs="Book Antiqua"/>
          <w:color w:val="000000"/>
        </w:rPr>
        <w:t xml:space="preserve"> </w:t>
      </w:r>
      <w:r w:rsidRPr="00B11F4B">
        <w:rPr>
          <w:rFonts w:ascii="Book Antiqua" w:eastAsia="Book Antiqua" w:hAnsi="Book Antiqua" w:cs="Book Antiqua"/>
          <w:color w:val="000000"/>
        </w:rPr>
        <w:t>high recurrence risk, it</w:t>
      </w:r>
      <w:r w:rsidR="00D472B5">
        <w:rPr>
          <w:rFonts w:ascii="Book Antiqua" w:eastAsia="Book Antiqua" w:hAnsi="Book Antiqua" w:cs="Book Antiqua"/>
          <w:color w:val="000000"/>
        </w:rPr>
        <w:t xml:space="preserve"> is</w:t>
      </w:r>
      <w:r w:rsidRPr="00B11F4B">
        <w:rPr>
          <w:rFonts w:ascii="Book Antiqua" w:eastAsia="Book Antiqua" w:hAnsi="Book Antiqua" w:cs="Book Antiqua"/>
          <w:color w:val="000000"/>
        </w:rPr>
        <w:t xml:space="preserve"> helpful for making reasonable treatment strategy.</w:t>
      </w:r>
    </w:p>
    <w:p w14:paraId="6A851565" w14:textId="77777777" w:rsidR="00A77B3E" w:rsidRPr="00B11F4B" w:rsidRDefault="00A77B3E" w:rsidP="00664BFB">
      <w:pPr>
        <w:adjustRightInd w:val="0"/>
        <w:snapToGrid w:val="0"/>
        <w:spacing w:line="360" w:lineRule="auto"/>
        <w:jc w:val="both"/>
        <w:rPr>
          <w:rFonts w:ascii="Book Antiqua" w:hAnsi="Book Antiqua"/>
        </w:rPr>
      </w:pPr>
    </w:p>
    <w:p w14:paraId="0E92B0D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i/>
          <w:color w:val="000000"/>
        </w:rPr>
        <w:t>Research perspectives</w:t>
      </w:r>
    </w:p>
    <w:p w14:paraId="2C97DAB7" w14:textId="1F7C0C8E" w:rsidR="00A77B3E" w:rsidRPr="00B11F4B" w:rsidRDefault="00D472B5" w:rsidP="00664BFB">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0313D3" w:rsidRPr="00B11F4B">
        <w:rPr>
          <w:rFonts w:ascii="Book Antiqua" w:eastAsia="Book Antiqua" w:hAnsi="Book Antiqua" w:cs="Book Antiqua"/>
          <w:color w:val="000000"/>
        </w:rPr>
        <w:t xml:space="preserve"> multi-center study, with an expanded sample size and prospective verification</w:t>
      </w:r>
      <w:r>
        <w:rPr>
          <w:rFonts w:ascii="Book Antiqua" w:eastAsia="Book Antiqua" w:hAnsi="Book Antiqua" w:cs="Book Antiqua"/>
          <w:color w:val="000000"/>
        </w:rPr>
        <w:t>, is required</w:t>
      </w:r>
      <w:r w:rsidR="000313D3" w:rsidRPr="00B11F4B">
        <w:rPr>
          <w:rFonts w:ascii="Book Antiqua" w:eastAsia="Book Antiqua" w:hAnsi="Book Antiqua" w:cs="Book Antiqua"/>
          <w:color w:val="000000"/>
        </w:rPr>
        <w:t>.</w:t>
      </w:r>
    </w:p>
    <w:p w14:paraId="58AE5C72" w14:textId="77777777" w:rsidR="00A77B3E" w:rsidRPr="00B11F4B" w:rsidRDefault="00A77B3E" w:rsidP="00664BFB">
      <w:pPr>
        <w:adjustRightInd w:val="0"/>
        <w:snapToGrid w:val="0"/>
        <w:spacing w:line="360" w:lineRule="auto"/>
        <w:jc w:val="both"/>
        <w:rPr>
          <w:rFonts w:ascii="Book Antiqua" w:hAnsi="Book Antiqua"/>
        </w:rPr>
      </w:pPr>
    </w:p>
    <w:p w14:paraId="341D639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REFERENCES</w:t>
      </w:r>
    </w:p>
    <w:p w14:paraId="6681AFE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 </w:t>
      </w:r>
      <w:r w:rsidRPr="00B11F4B">
        <w:rPr>
          <w:rFonts w:ascii="Book Antiqua" w:eastAsia="Book Antiqua" w:hAnsi="Book Antiqua" w:cs="Book Antiqua"/>
          <w:b/>
          <w:bCs/>
          <w:color w:val="000000"/>
        </w:rPr>
        <w:t>Sung H</w:t>
      </w:r>
      <w:r w:rsidRPr="00B11F4B">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B11F4B">
        <w:rPr>
          <w:rFonts w:ascii="Book Antiqua" w:eastAsia="Book Antiqua" w:hAnsi="Book Antiqua" w:cs="Book Antiqua"/>
          <w:i/>
          <w:iCs/>
          <w:color w:val="000000"/>
        </w:rPr>
        <w:t>CA Cancer J Clin</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71</w:t>
      </w:r>
      <w:r w:rsidRPr="00B11F4B">
        <w:rPr>
          <w:rFonts w:ascii="Book Antiqua" w:eastAsia="Book Antiqua" w:hAnsi="Book Antiqua" w:cs="Book Antiqua"/>
          <w:color w:val="000000"/>
        </w:rPr>
        <w:t>: 209-249 [PMID: 33538338 DOI: 10.3322/caac.21660]</w:t>
      </w:r>
    </w:p>
    <w:p w14:paraId="184719C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 </w:t>
      </w:r>
      <w:r w:rsidRPr="00B11F4B">
        <w:rPr>
          <w:rFonts w:ascii="Book Antiqua" w:eastAsia="Book Antiqua" w:hAnsi="Book Antiqua" w:cs="Book Antiqua"/>
          <w:b/>
          <w:bCs/>
          <w:color w:val="000000"/>
        </w:rPr>
        <w:t>Chan AW</w:t>
      </w:r>
      <w:r w:rsidRPr="00B11F4B">
        <w:rPr>
          <w:rFonts w:ascii="Book Antiqua" w:eastAsia="Book Antiqua" w:hAnsi="Book Antiqua" w:cs="Book Antiqua"/>
          <w:color w:val="000000"/>
        </w:rPr>
        <w:t xml:space="preserve">, Chan SL, Wong GL, Wong VW, Chong CC, Lai PB, Chan HL, To KF. Prognostic Nutritional Index (PNI) Predicts Tumor Recurrence of Very Early/Early Stage Hepatocellular Carcinoma After Surgical Resection. </w:t>
      </w:r>
      <w:r w:rsidRPr="00B11F4B">
        <w:rPr>
          <w:rFonts w:ascii="Book Antiqua" w:eastAsia="Book Antiqua" w:hAnsi="Book Antiqua" w:cs="Book Antiqua"/>
          <w:i/>
          <w:iCs/>
          <w:color w:val="000000"/>
        </w:rPr>
        <w:t>Ann Surg Oncol</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22</w:t>
      </w:r>
      <w:r w:rsidRPr="00B11F4B">
        <w:rPr>
          <w:rFonts w:ascii="Book Antiqua" w:eastAsia="Book Antiqua" w:hAnsi="Book Antiqua" w:cs="Book Antiqua"/>
          <w:color w:val="000000"/>
        </w:rPr>
        <w:t>: 4138-4148 [PMID: 25801356 DOI: 10.1245/s10434-015-4516-1]</w:t>
      </w:r>
    </w:p>
    <w:p w14:paraId="7AB4926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3 </w:t>
      </w:r>
      <w:r w:rsidRPr="00B11F4B">
        <w:rPr>
          <w:rFonts w:ascii="Book Antiqua" w:eastAsia="Book Antiqua" w:hAnsi="Book Antiqua" w:cs="Book Antiqua"/>
          <w:b/>
          <w:bCs/>
          <w:color w:val="000000"/>
        </w:rPr>
        <w:t>Lv J</w:t>
      </w:r>
      <w:r w:rsidRPr="00B11F4B">
        <w:rPr>
          <w:rFonts w:ascii="Book Antiqua" w:eastAsia="Book Antiqua" w:hAnsi="Book Antiqua" w:cs="Book Antiqua"/>
          <w:color w:val="000000"/>
        </w:rPr>
        <w:t xml:space="preserve">, Yin H, Mao W, Shi H. Investigating the value of pre-treatment </w:t>
      </w:r>
      <w:r w:rsidRPr="00B11F4B">
        <w:rPr>
          <w:rFonts w:ascii="Book Antiqua" w:eastAsia="Book Antiqua" w:hAnsi="Book Antiqua" w:cs="Book Antiqua"/>
          <w:color w:val="000000"/>
          <w:vertAlign w:val="superscript"/>
        </w:rPr>
        <w:t>18</w:t>
      </w:r>
      <w:r w:rsidRPr="00B11F4B">
        <w:rPr>
          <w:rFonts w:ascii="Book Antiqua" w:eastAsia="Book Antiqua" w:hAnsi="Book Antiqua" w:cs="Book Antiqua"/>
          <w:color w:val="000000"/>
        </w:rPr>
        <w:t xml:space="preserve">F-FDG PET/CT in predicting the pathological characteristic of hepatocellular carcinoma and recurrence after liver transplantation.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46</w:t>
      </w:r>
      <w:r w:rsidRPr="00B11F4B">
        <w:rPr>
          <w:rFonts w:ascii="Book Antiqua" w:eastAsia="Book Antiqua" w:hAnsi="Book Antiqua" w:cs="Book Antiqua"/>
          <w:color w:val="000000"/>
        </w:rPr>
        <w:t>: 2490-2497 [PMID: 33386905 DOI: 10.1007/s00261-020-02872-1]</w:t>
      </w:r>
    </w:p>
    <w:p w14:paraId="7C6057B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4 </w:t>
      </w:r>
      <w:r w:rsidRPr="00B11F4B">
        <w:rPr>
          <w:rFonts w:ascii="Book Antiqua" w:eastAsia="Book Antiqua" w:hAnsi="Book Antiqua" w:cs="Book Antiqua"/>
          <w:b/>
          <w:bCs/>
          <w:color w:val="000000"/>
        </w:rPr>
        <w:t>Ang SF</w:t>
      </w:r>
      <w:r w:rsidRPr="00B11F4B">
        <w:rPr>
          <w:rFonts w:ascii="Book Antiqua" w:eastAsia="Book Antiqua" w:hAnsi="Book Antiqua" w:cs="Book Antiqua"/>
          <w:color w:val="000000"/>
        </w:rPr>
        <w:t xml:space="preserve">, Ng ES, Li H, Ong YH, Choo SP, Ngeow J, Toh HC, Lim KH, Yap HY, Tan CK, Ooi LL, Cheow PC, Chung AY, Chow PK, Foo KF, Tan MH. The Singapore Liver Cancer Recurrence (SLICER) Score for relapse prediction in patients with surgically resected hepatocellular carcinoma.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10</w:t>
      </w:r>
      <w:r w:rsidRPr="00B11F4B">
        <w:rPr>
          <w:rFonts w:ascii="Book Antiqua" w:eastAsia="Book Antiqua" w:hAnsi="Book Antiqua" w:cs="Book Antiqua"/>
          <w:color w:val="000000"/>
        </w:rPr>
        <w:t>: e0118658 [PMID: 25830231 DOI: 10.1371/journal.pone.0118658]</w:t>
      </w:r>
    </w:p>
    <w:p w14:paraId="17122EF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5 </w:t>
      </w:r>
      <w:r w:rsidRPr="00B11F4B">
        <w:rPr>
          <w:rFonts w:ascii="Book Antiqua" w:eastAsia="Book Antiqua" w:hAnsi="Book Antiqua" w:cs="Book Antiqua"/>
          <w:b/>
          <w:bCs/>
          <w:color w:val="000000"/>
        </w:rPr>
        <w:t>Shim JH</w:t>
      </w:r>
      <w:r w:rsidRPr="00B11F4B">
        <w:rPr>
          <w:rFonts w:ascii="Book Antiqua" w:eastAsia="Book Antiqua" w:hAnsi="Book Antiqua" w:cs="Book Antiqua"/>
          <w:color w:val="000000"/>
        </w:rPr>
        <w:t xml:space="preserve">, Jun MJ, Han S, Lee YJ, Lee SG, Kim KM, Lim YS, Lee HC. Prognostic nomograms for prediction of recurrence and survival after curative liver resection for hepatocellular carcinoma. </w:t>
      </w:r>
      <w:r w:rsidRPr="00B11F4B">
        <w:rPr>
          <w:rFonts w:ascii="Book Antiqua" w:eastAsia="Book Antiqua" w:hAnsi="Book Antiqua" w:cs="Book Antiqua"/>
          <w:i/>
          <w:iCs/>
          <w:color w:val="000000"/>
        </w:rPr>
        <w:t>Ann Surg</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261</w:t>
      </w:r>
      <w:r w:rsidRPr="00B11F4B">
        <w:rPr>
          <w:rFonts w:ascii="Book Antiqua" w:eastAsia="Book Antiqua" w:hAnsi="Book Antiqua" w:cs="Book Antiqua"/>
          <w:color w:val="000000"/>
        </w:rPr>
        <w:t>: 939-946 [PMID: 24950276 DOI: 10.1097/SLA.0000000000000747]</w:t>
      </w:r>
    </w:p>
    <w:p w14:paraId="2F9FD28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6 </w:t>
      </w:r>
      <w:r w:rsidRPr="00B11F4B">
        <w:rPr>
          <w:rFonts w:ascii="Book Antiqua" w:eastAsia="Book Antiqua" w:hAnsi="Book Antiqua" w:cs="Book Antiqua"/>
          <w:b/>
          <w:bCs/>
          <w:color w:val="000000"/>
        </w:rPr>
        <w:t>Huang S</w:t>
      </w:r>
      <w:r w:rsidRPr="00B11F4B">
        <w:rPr>
          <w:rFonts w:ascii="Book Antiqua" w:eastAsia="Book Antiqua" w:hAnsi="Book Antiqua" w:cs="Book Antiqua"/>
          <w:color w:val="000000"/>
        </w:rPr>
        <w:t xml:space="preserve">, Huang GQ, Zhu GQ, Liu WY, You J, Shi KQ, Wang XB, Che HY, Chen GL, Fang JF, Zhou Y, Zhou MT, Chen YP, Braddock M, Zheng MH. Establishment and Validation of SSCLIP Scoring System to Estimate Survival in Hepatocellular Carcinoma Patients Who Received Curative Liver Resection.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10</w:t>
      </w:r>
      <w:r w:rsidRPr="00B11F4B">
        <w:rPr>
          <w:rFonts w:ascii="Book Antiqua" w:eastAsia="Book Antiqua" w:hAnsi="Book Antiqua" w:cs="Book Antiqua"/>
          <w:color w:val="000000"/>
        </w:rPr>
        <w:t>: e0129000 [PMID: 26057656 DOI: 10.1371/journal.pone.0129000]</w:t>
      </w:r>
    </w:p>
    <w:p w14:paraId="215D66D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7 </w:t>
      </w:r>
      <w:r w:rsidRPr="00B11F4B">
        <w:rPr>
          <w:rFonts w:ascii="Book Antiqua" w:eastAsia="Book Antiqua" w:hAnsi="Book Antiqua" w:cs="Book Antiqua"/>
          <w:b/>
          <w:bCs/>
          <w:color w:val="000000"/>
        </w:rPr>
        <w:t>Zhang F</w:t>
      </w:r>
      <w:r w:rsidRPr="00B11F4B">
        <w:rPr>
          <w:rFonts w:ascii="Book Antiqua" w:eastAsia="Book Antiqua" w:hAnsi="Book Antiqua" w:cs="Book Antiqua"/>
          <w:color w:val="000000"/>
        </w:rPr>
        <w:t xml:space="preserve">, Lu SX, Hu KS, Gan YH, Chen Y, Ge NL, Yang BW, Zhang L, Chen RX, Ren ZG, Yin X. Albumin-to-alkaline phosphatase ratio as a predictor of tumor recurrence and prognosis in patients with early-stage hepatocellular carcinoma undergoing radiofrequency ablation as initial therapy. </w:t>
      </w:r>
      <w:r w:rsidRPr="00B11F4B">
        <w:rPr>
          <w:rFonts w:ascii="Book Antiqua" w:eastAsia="Book Antiqua" w:hAnsi="Book Antiqua" w:cs="Book Antiqua"/>
          <w:i/>
          <w:iCs/>
          <w:color w:val="000000"/>
        </w:rPr>
        <w:t>Int J Hyperthermia</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38</w:t>
      </w:r>
      <w:r w:rsidRPr="00B11F4B">
        <w:rPr>
          <w:rFonts w:ascii="Book Antiqua" w:eastAsia="Book Antiqua" w:hAnsi="Book Antiqua" w:cs="Book Antiqua"/>
          <w:color w:val="000000"/>
        </w:rPr>
        <w:t>: 1-10 [PMID: 33400889 DOI: 10.1080/02656736.2020.1850885]</w:t>
      </w:r>
    </w:p>
    <w:p w14:paraId="173FAE2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8 </w:t>
      </w:r>
      <w:r w:rsidRPr="00B11F4B">
        <w:rPr>
          <w:rFonts w:ascii="Book Antiqua" w:eastAsia="Book Antiqua" w:hAnsi="Book Antiqua" w:cs="Book Antiqua"/>
          <w:b/>
          <w:bCs/>
          <w:color w:val="000000"/>
        </w:rPr>
        <w:t>Ji GW</w:t>
      </w:r>
      <w:r w:rsidRPr="00B11F4B">
        <w:rPr>
          <w:rFonts w:ascii="Book Antiqua" w:eastAsia="Book Antiqua" w:hAnsi="Book Antiqua" w:cs="Book Antiqua"/>
          <w:color w:val="000000"/>
        </w:rPr>
        <w:t xml:space="preserve">, Zhu FP, Xu Q, Wang K, Wu MY, Tang WW, Li XC, Wang XH. Radiomic Features at Contrast-enhanced CT Predict Recurrence in Early Stage Hepatocellular Carcinoma: A Multi-Institutional Study. </w:t>
      </w:r>
      <w:r w:rsidRPr="00B11F4B">
        <w:rPr>
          <w:rFonts w:ascii="Book Antiqua" w:eastAsia="Book Antiqua" w:hAnsi="Book Antiqua" w:cs="Book Antiqua"/>
          <w:i/>
          <w:iCs/>
          <w:color w:val="000000"/>
        </w:rPr>
        <w:t>Radiology</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294</w:t>
      </w:r>
      <w:r w:rsidRPr="00B11F4B">
        <w:rPr>
          <w:rFonts w:ascii="Book Antiqua" w:eastAsia="Book Antiqua" w:hAnsi="Book Antiqua" w:cs="Book Antiqua"/>
          <w:color w:val="000000"/>
        </w:rPr>
        <w:t>: 568-579 [PMID: 31934830 DOI: 10.1148/radiol.2020191470]</w:t>
      </w:r>
    </w:p>
    <w:p w14:paraId="0109232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9 </w:t>
      </w:r>
      <w:r w:rsidRPr="00B11F4B">
        <w:rPr>
          <w:rFonts w:ascii="Book Antiqua" w:eastAsia="Book Antiqua" w:hAnsi="Book Antiqua" w:cs="Book Antiqua"/>
          <w:b/>
          <w:bCs/>
          <w:color w:val="000000"/>
        </w:rPr>
        <w:t>Lyshchik A</w:t>
      </w:r>
      <w:r w:rsidRPr="00B11F4B">
        <w:rPr>
          <w:rFonts w:ascii="Book Antiqua" w:eastAsia="Book Antiqua" w:hAnsi="Book Antiqua" w:cs="Book Antiqua"/>
          <w:color w:val="000000"/>
        </w:rPr>
        <w:t xml:space="preserve">, Kono Y, Dietrich CF, Jang HJ, Kim TK, Piscaglia F, Vezeridis A, Willmann JK, Wilson SR. Contrast-enhanced ultrasound of the liver: technical and lexicon recommendations from the ACR CEUS LI-RADS working group.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43</w:t>
      </w:r>
      <w:r w:rsidRPr="00B11F4B">
        <w:rPr>
          <w:rFonts w:ascii="Book Antiqua" w:eastAsia="Book Antiqua" w:hAnsi="Book Antiqua" w:cs="Book Antiqua"/>
          <w:color w:val="000000"/>
        </w:rPr>
        <w:t>: 861-879 [PMID: 29151131 DOI: 10.1007/s00261-017-1392-0]</w:t>
      </w:r>
    </w:p>
    <w:p w14:paraId="5695605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10 </w:t>
      </w:r>
      <w:r w:rsidRPr="00B11F4B">
        <w:rPr>
          <w:rFonts w:ascii="Book Antiqua" w:eastAsia="Book Antiqua" w:hAnsi="Book Antiqua" w:cs="Book Antiqua"/>
          <w:b/>
          <w:bCs/>
          <w:color w:val="000000"/>
        </w:rPr>
        <w:t>Kono Y</w:t>
      </w:r>
      <w:r w:rsidRPr="00B11F4B">
        <w:rPr>
          <w:rFonts w:ascii="Book Antiqua" w:eastAsia="Book Antiqua" w:hAnsi="Book Antiqua" w:cs="Book Antiqua"/>
          <w:color w:val="000000"/>
        </w:rPr>
        <w:t xml:space="preserve">, Lyshchik A, Cosgrove D, Dietrich CF, Jang HJ, Kim TK, Piscaglia F, Willmann JK, Wilson SR, Santillan C, Kambadakone A, Mitchell D, Vezeridis A, Sirlin CB. Contrast Enhanced Ultrasound (CEUS) Liver Imaging Reporting and Data System (LI-RADS®): the official version by the American College of Radiology (ACR). </w:t>
      </w:r>
      <w:r w:rsidRPr="00B11F4B">
        <w:rPr>
          <w:rFonts w:ascii="Book Antiqua" w:eastAsia="Book Antiqua" w:hAnsi="Book Antiqua" w:cs="Book Antiqua"/>
          <w:i/>
          <w:iCs/>
          <w:color w:val="000000"/>
        </w:rPr>
        <w:t>Ultraschall Med</w:t>
      </w:r>
      <w:r w:rsidRPr="00B11F4B">
        <w:rPr>
          <w:rFonts w:ascii="Book Antiqua" w:eastAsia="Book Antiqua" w:hAnsi="Book Antiqua" w:cs="Book Antiqua"/>
          <w:color w:val="000000"/>
        </w:rPr>
        <w:t xml:space="preserve"> 2017; </w:t>
      </w:r>
      <w:r w:rsidRPr="00B11F4B">
        <w:rPr>
          <w:rFonts w:ascii="Book Antiqua" w:eastAsia="Book Antiqua" w:hAnsi="Book Antiqua" w:cs="Book Antiqua"/>
          <w:b/>
          <w:bCs/>
          <w:color w:val="000000"/>
        </w:rPr>
        <w:t>38</w:t>
      </w:r>
      <w:r w:rsidRPr="00B11F4B">
        <w:rPr>
          <w:rFonts w:ascii="Book Antiqua" w:eastAsia="Book Antiqua" w:hAnsi="Book Antiqua" w:cs="Book Antiqua"/>
          <w:color w:val="000000"/>
        </w:rPr>
        <w:t>: 85-86 [PMID: 28249328 DOI: 10.1055/s-0042-124369]</w:t>
      </w:r>
    </w:p>
    <w:p w14:paraId="3B9E8C2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11 </w:t>
      </w:r>
      <w:r w:rsidRPr="00B11F4B">
        <w:rPr>
          <w:rFonts w:ascii="Book Antiqua" w:eastAsia="Book Antiqua" w:hAnsi="Book Antiqua" w:cs="Book Antiqua"/>
          <w:b/>
          <w:bCs/>
          <w:color w:val="000000"/>
        </w:rPr>
        <w:t>Lei Z</w:t>
      </w:r>
      <w:r w:rsidRPr="00B11F4B">
        <w:rPr>
          <w:rFonts w:ascii="Book Antiqua" w:eastAsia="Book Antiqua" w:hAnsi="Book Antiqua" w:cs="Book Antiqua"/>
          <w:color w:val="000000"/>
        </w:rPr>
        <w:t xml:space="preserve">, Li J, Wu D, Xia Y, Wang Q, Si A, Wang K, Wan X, Lau WY, Wu M, Shen F. Nomogram for Preoperative Estimation of Microvascular Invasion Risk in Hepatitis B Virus-Related Hepatocellular Carcinoma Within the Milan Criteria. </w:t>
      </w:r>
      <w:r w:rsidRPr="00B11F4B">
        <w:rPr>
          <w:rFonts w:ascii="Book Antiqua" w:eastAsia="Book Antiqua" w:hAnsi="Book Antiqua" w:cs="Book Antiqua"/>
          <w:i/>
          <w:iCs/>
          <w:color w:val="000000"/>
        </w:rPr>
        <w:t>JAMA Surg</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151</w:t>
      </w:r>
      <w:r w:rsidRPr="00B11F4B">
        <w:rPr>
          <w:rFonts w:ascii="Book Antiqua" w:eastAsia="Book Antiqua" w:hAnsi="Book Antiqua" w:cs="Book Antiqua"/>
          <w:color w:val="000000"/>
        </w:rPr>
        <w:t>: 356-363 [PMID: 26579636 DOI: 10.1001/jamasurg.2015.4257]</w:t>
      </w:r>
    </w:p>
    <w:p w14:paraId="4C748F1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12 </w:t>
      </w:r>
      <w:r w:rsidRPr="00B11F4B">
        <w:rPr>
          <w:rFonts w:ascii="Book Antiqua" w:eastAsia="Book Antiqua" w:hAnsi="Book Antiqua" w:cs="Book Antiqua"/>
          <w:b/>
          <w:bCs/>
          <w:color w:val="000000"/>
        </w:rPr>
        <w:t>Cohen ME</w:t>
      </w:r>
      <w:r w:rsidRPr="00B11F4B">
        <w:rPr>
          <w:rFonts w:ascii="Book Antiqua" w:eastAsia="Book Antiqua" w:hAnsi="Book Antiqua" w:cs="Book Antiqua"/>
          <w:color w:val="000000"/>
        </w:rPr>
        <w:t xml:space="preserve">, Ko CY, Bilimoria KY, Zhou L, Huffman K, Wang X, Liu Y, Kraemer K, Meng X, Merkow R, Chow W, Matel B, Richards K, Hart AJ, Dimick JB, Hall BL. Optimizing ACS NSQIP modeling for evaluation of surgical quality and risk: patient risk adjustment, procedure mix adjustment, shrinkage adjustment, and surgical focus. </w:t>
      </w:r>
      <w:r w:rsidRPr="00B11F4B">
        <w:rPr>
          <w:rFonts w:ascii="Book Antiqua" w:eastAsia="Book Antiqua" w:hAnsi="Book Antiqua" w:cs="Book Antiqua"/>
          <w:i/>
          <w:iCs/>
          <w:color w:val="000000"/>
        </w:rPr>
        <w:t>J Am Coll Surg</w:t>
      </w:r>
      <w:r w:rsidRPr="00B11F4B">
        <w:rPr>
          <w:rFonts w:ascii="Book Antiqua" w:eastAsia="Book Antiqua" w:hAnsi="Book Antiqua" w:cs="Book Antiqua"/>
          <w:color w:val="000000"/>
        </w:rPr>
        <w:t xml:space="preserve"> 2013; </w:t>
      </w:r>
      <w:r w:rsidRPr="00B11F4B">
        <w:rPr>
          <w:rFonts w:ascii="Book Antiqua" w:eastAsia="Book Antiqua" w:hAnsi="Book Antiqua" w:cs="Book Antiqua"/>
          <w:b/>
          <w:bCs/>
          <w:color w:val="000000"/>
        </w:rPr>
        <w:t>217</w:t>
      </w:r>
      <w:r w:rsidRPr="00B11F4B">
        <w:rPr>
          <w:rFonts w:ascii="Book Antiqua" w:eastAsia="Book Antiqua" w:hAnsi="Book Antiqua" w:cs="Book Antiqua"/>
          <w:color w:val="000000"/>
        </w:rPr>
        <w:t>: 336-46.e1 [PMID: 23628227 DOI: 10.1016/j.jamcollsurg.2013.02.027]</w:t>
      </w:r>
    </w:p>
    <w:p w14:paraId="2EA218A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13 </w:t>
      </w:r>
      <w:r w:rsidRPr="00B11F4B">
        <w:rPr>
          <w:rFonts w:ascii="Book Antiqua" w:eastAsia="Book Antiqua" w:hAnsi="Book Antiqua" w:cs="Book Antiqua"/>
          <w:b/>
          <w:bCs/>
          <w:color w:val="000000"/>
        </w:rPr>
        <w:t>Chan AWH</w:t>
      </w:r>
      <w:r w:rsidRPr="00B11F4B">
        <w:rPr>
          <w:rFonts w:ascii="Book Antiqua" w:eastAsia="Book Antiqua" w:hAnsi="Book Antiqua" w:cs="Book Antiqua"/>
          <w:color w:val="000000"/>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sidRPr="00B11F4B">
        <w:rPr>
          <w:rFonts w:ascii="Book Antiqua" w:eastAsia="Book Antiqua" w:hAnsi="Book Antiqua" w:cs="Book Antiqua"/>
          <w:i/>
          <w:iCs/>
          <w:color w:val="000000"/>
        </w:rPr>
        <w:t>J Hepatol</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69</w:t>
      </w:r>
      <w:r w:rsidRPr="00B11F4B">
        <w:rPr>
          <w:rFonts w:ascii="Book Antiqua" w:eastAsia="Book Antiqua" w:hAnsi="Book Antiqua" w:cs="Book Antiqua"/>
          <w:color w:val="000000"/>
        </w:rPr>
        <w:t>: 1284-1293 [PMID: 30236834 DOI: 10.1016/j.jhep.2018.08.027]</w:t>
      </w:r>
    </w:p>
    <w:p w14:paraId="1B99B55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14 </w:t>
      </w:r>
      <w:r w:rsidRPr="00B11F4B">
        <w:rPr>
          <w:rFonts w:ascii="Book Antiqua" w:eastAsia="Book Antiqua" w:hAnsi="Book Antiqua" w:cs="Book Antiqua"/>
          <w:b/>
          <w:bCs/>
          <w:color w:val="000000"/>
        </w:rPr>
        <w:t>Ning P</w:t>
      </w:r>
      <w:r w:rsidRPr="00B11F4B">
        <w:rPr>
          <w:rFonts w:ascii="Book Antiqua" w:eastAsia="Book Antiqua" w:hAnsi="Book Antiqua" w:cs="Book Antiqua"/>
          <w:color w:val="000000"/>
        </w:rPr>
        <w:t xml:space="preserve">, Gao F, Hai J, Wu M, Chen J, Zhu S, Wang M, Shi D. Application of CT radiomics in prediction of early recurrence in hepatocellular carcinoma. </w:t>
      </w:r>
      <w:r w:rsidRPr="00B11F4B">
        <w:rPr>
          <w:rFonts w:ascii="Book Antiqua" w:eastAsia="Book Antiqua" w:hAnsi="Book Antiqua" w:cs="Book Antiqua"/>
          <w:i/>
          <w:iCs/>
          <w:color w:val="000000"/>
        </w:rPr>
        <w:t>Abdom Radiol (NY)</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45</w:t>
      </w:r>
      <w:r w:rsidRPr="00B11F4B">
        <w:rPr>
          <w:rFonts w:ascii="Book Antiqua" w:eastAsia="Book Antiqua" w:hAnsi="Book Antiqua" w:cs="Book Antiqua"/>
          <w:color w:val="000000"/>
        </w:rPr>
        <w:t>: 64-72 [PMID: 31486869 DOI: 10.1007/s00261-019-02198-7]</w:t>
      </w:r>
    </w:p>
    <w:p w14:paraId="72CD795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15 </w:t>
      </w:r>
      <w:r w:rsidRPr="00B11F4B">
        <w:rPr>
          <w:rFonts w:ascii="Book Antiqua" w:eastAsia="Book Antiqua" w:hAnsi="Book Antiqua" w:cs="Book Antiqua"/>
          <w:b/>
          <w:bCs/>
          <w:color w:val="000000"/>
        </w:rPr>
        <w:t>Villanueva A</w:t>
      </w:r>
      <w:r w:rsidRPr="00B11F4B">
        <w:rPr>
          <w:rFonts w:ascii="Book Antiqua" w:eastAsia="Book Antiqua" w:hAnsi="Book Antiqua" w:cs="Book Antiqua"/>
          <w:color w:val="000000"/>
        </w:rPr>
        <w:t xml:space="preserve">. Hepatocellular Carcinoma. </w:t>
      </w:r>
      <w:r w:rsidRPr="00B11F4B">
        <w:rPr>
          <w:rFonts w:ascii="Book Antiqua" w:eastAsia="Book Antiqua" w:hAnsi="Book Antiqua" w:cs="Book Antiqua"/>
          <w:i/>
          <w:iCs/>
          <w:color w:val="000000"/>
        </w:rPr>
        <w:t>N Engl J Med</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380</w:t>
      </w:r>
      <w:r w:rsidRPr="00B11F4B">
        <w:rPr>
          <w:rFonts w:ascii="Book Antiqua" w:eastAsia="Book Antiqua" w:hAnsi="Book Antiqua" w:cs="Book Antiqua"/>
          <w:color w:val="000000"/>
        </w:rPr>
        <w:t>: 1450-1462 [PMID: 30970190 DOI: 10.1056/NEJMra1713263]</w:t>
      </w:r>
    </w:p>
    <w:p w14:paraId="4FB47F5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16 </w:t>
      </w:r>
      <w:r w:rsidRPr="00B11F4B">
        <w:rPr>
          <w:rFonts w:ascii="Book Antiqua" w:eastAsia="Book Antiqua" w:hAnsi="Book Antiqua" w:cs="Book Antiqua"/>
          <w:b/>
          <w:bCs/>
          <w:color w:val="000000"/>
        </w:rPr>
        <w:t>Bell M</w:t>
      </w:r>
      <w:r w:rsidRPr="00B11F4B">
        <w:rPr>
          <w:rFonts w:ascii="Book Antiqua" w:eastAsia="Book Antiqua" w:hAnsi="Book Antiqua" w:cs="Book Antiqua"/>
          <w:color w:val="000000"/>
        </w:rPr>
        <w:t xml:space="preserve">, Turkbey EB, Escorcia FE. Radiomics, Radiogenomics, and Next-Generation Molecular Imaging to Augment Diagnosis of Hepatocellular Carcinoma. </w:t>
      </w:r>
      <w:r w:rsidRPr="00B11F4B">
        <w:rPr>
          <w:rFonts w:ascii="Book Antiqua" w:eastAsia="Book Antiqua" w:hAnsi="Book Antiqua" w:cs="Book Antiqua"/>
          <w:i/>
          <w:iCs/>
          <w:color w:val="000000"/>
        </w:rPr>
        <w:t>Cancer J</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26</w:t>
      </w:r>
      <w:r w:rsidRPr="00B11F4B">
        <w:rPr>
          <w:rFonts w:ascii="Book Antiqua" w:eastAsia="Book Antiqua" w:hAnsi="Book Antiqua" w:cs="Book Antiqua"/>
          <w:color w:val="000000"/>
        </w:rPr>
        <w:t>: 108-115 [PMID: 32205534 DOI: 10.1097/PPO.0000000000000435]</w:t>
      </w:r>
    </w:p>
    <w:p w14:paraId="5A86990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17 </w:t>
      </w:r>
      <w:r w:rsidRPr="00B11F4B">
        <w:rPr>
          <w:rFonts w:ascii="Book Antiqua" w:eastAsia="Book Antiqua" w:hAnsi="Book Antiqua" w:cs="Book Antiqua"/>
          <w:b/>
          <w:bCs/>
          <w:color w:val="000000"/>
        </w:rPr>
        <w:t>Hu Z</w:t>
      </w:r>
      <w:r w:rsidRPr="00B11F4B">
        <w:rPr>
          <w:rFonts w:ascii="Book Antiqua" w:eastAsia="Book Antiqua" w:hAnsi="Book Antiqua" w:cs="Book Antiqua"/>
          <w:color w:val="000000"/>
        </w:rPr>
        <w:t xml:space="preserve">, Yu N, Wang H, Li S, Yan J, Zhang G. Pre-radiofrequency ablation MRI imaging features predict the local tumor progression in hepatocellular carcinoma. </w:t>
      </w:r>
      <w:r w:rsidRPr="00B11F4B">
        <w:rPr>
          <w:rFonts w:ascii="Book Antiqua" w:eastAsia="Book Antiqua" w:hAnsi="Book Antiqua" w:cs="Book Antiqua"/>
          <w:i/>
          <w:iCs/>
          <w:color w:val="000000"/>
        </w:rPr>
        <w:t>Medicine (Baltimore)</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99</w:t>
      </w:r>
      <w:r w:rsidRPr="00B11F4B">
        <w:rPr>
          <w:rFonts w:ascii="Book Antiqua" w:eastAsia="Book Antiqua" w:hAnsi="Book Antiqua" w:cs="Book Antiqua"/>
          <w:color w:val="000000"/>
        </w:rPr>
        <w:t>: e23924 [PMID: 33350797 DOI: 10.1097/MD.0000000000023924]</w:t>
      </w:r>
    </w:p>
    <w:p w14:paraId="78A8981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18 </w:t>
      </w:r>
      <w:r w:rsidRPr="00B11F4B">
        <w:rPr>
          <w:rFonts w:ascii="Book Antiqua" w:eastAsia="Book Antiqua" w:hAnsi="Book Antiqua" w:cs="Book Antiqua"/>
          <w:b/>
          <w:bCs/>
          <w:color w:val="000000"/>
        </w:rPr>
        <w:t>Morio K</w:t>
      </w:r>
      <w:r w:rsidRPr="00B11F4B">
        <w:rPr>
          <w:rFonts w:ascii="Book Antiqua" w:eastAsia="Book Antiqua" w:hAnsi="Book Antiqua" w:cs="Book Antiqua"/>
          <w:color w:val="000000"/>
        </w:rPr>
        <w:t xml:space="preserve">, Kawaoka T, Aikata H, Namba M, Uchikawa S, Kodama K, Ohya K, Fujino H, Nakahara T, Murakami E, Yamauchi M, Tsuge M, Hiramatsu A, Imamura M, Nakamura Y, Akagi M, Awai K, Kobayashi T, Ohdan H, Chayama K. Preoperative PET-CT is useful for predicting recurrent extrahepatic metastasis of hepatocellular carcinoma after resection. </w:t>
      </w:r>
      <w:r w:rsidRPr="00B11F4B">
        <w:rPr>
          <w:rFonts w:ascii="Book Antiqua" w:eastAsia="Book Antiqua" w:hAnsi="Book Antiqua" w:cs="Book Antiqua"/>
          <w:i/>
          <w:iCs/>
          <w:color w:val="000000"/>
        </w:rPr>
        <w:t>Eur J Radiol</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124</w:t>
      </w:r>
      <w:r w:rsidRPr="00B11F4B">
        <w:rPr>
          <w:rFonts w:ascii="Book Antiqua" w:eastAsia="Book Antiqua" w:hAnsi="Book Antiqua" w:cs="Book Antiqua"/>
          <w:color w:val="000000"/>
        </w:rPr>
        <w:t>: 108828 [PMID: 31955034 DOI: 10.1016/j.ejrad.2020.108828]</w:t>
      </w:r>
    </w:p>
    <w:p w14:paraId="76E0D88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19 </w:t>
      </w:r>
      <w:r w:rsidRPr="00B11F4B">
        <w:rPr>
          <w:rFonts w:ascii="Book Antiqua" w:eastAsia="Book Antiqua" w:hAnsi="Book Antiqua" w:cs="Book Antiqua"/>
          <w:b/>
          <w:bCs/>
          <w:color w:val="000000"/>
        </w:rPr>
        <w:t>Nakamura I</w:t>
      </w:r>
      <w:r w:rsidRPr="00B11F4B">
        <w:rPr>
          <w:rFonts w:ascii="Book Antiqua" w:eastAsia="Book Antiqua" w:hAnsi="Book Antiqua" w:cs="Book Antiqua"/>
          <w:color w:val="000000"/>
        </w:rPr>
        <w:t xml:space="preserve">, Hatano E, Tada M, Kawabata Y, Tamagawa S, Kurimoto A, Iwama H, Toriguchi K, Sueoka H, Iida K, Yoshida M, Nishimura T, Iijima H. Enhanced patterns on intraoperative contrast-enhanced ultrasonography predict outcomes after curative liver resection in patients with hepatocellular carcinoma. </w:t>
      </w:r>
      <w:r w:rsidRPr="00B11F4B">
        <w:rPr>
          <w:rFonts w:ascii="Book Antiqua" w:eastAsia="Book Antiqua" w:hAnsi="Book Antiqua" w:cs="Book Antiqua"/>
          <w:i/>
          <w:iCs/>
          <w:color w:val="000000"/>
        </w:rPr>
        <w:t>Surg Today</w:t>
      </w:r>
      <w:r w:rsidRPr="00B11F4B">
        <w:rPr>
          <w:rFonts w:ascii="Book Antiqua" w:eastAsia="Book Antiqua" w:hAnsi="Book Antiqua" w:cs="Book Antiqua"/>
          <w:color w:val="000000"/>
        </w:rPr>
        <w:t xml:space="preserve"> 2021; </w:t>
      </w:r>
      <w:r w:rsidRPr="00B11F4B">
        <w:rPr>
          <w:rFonts w:ascii="Book Antiqua" w:eastAsia="Book Antiqua" w:hAnsi="Book Antiqua" w:cs="Book Antiqua"/>
          <w:b/>
          <w:bCs/>
          <w:color w:val="000000"/>
        </w:rPr>
        <w:t>51</w:t>
      </w:r>
      <w:r w:rsidRPr="00B11F4B">
        <w:rPr>
          <w:rFonts w:ascii="Book Antiqua" w:eastAsia="Book Antiqua" w:hAnsi="Book Antiqua" w:cs="Book Antiqua"/>
          <w:color w:val="000000"/>
        </w:rPr>
        <w:t>: 764-776 [PMID: 32964250 DOI: 10.1007/s00595-020-02145-w]</w:t>
      </w:r>
    </w:p>
    <w:p w14:paraId="2ADF388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20 </w:t>
      </w:r>
      <w:r w:rsidRPr="00B11F4B">
        <w:rPr>
          <w:rFonts w:ascii="Book Antiqua" w:eastAsia="Book Antiqua" w:hAnsi="Book Antiqua" w:cs="Book Antiqua"/>
          <w:b/>
          <w:bCs/>
          <w:color w:val="000000"/>
        </w:rPr>
        <w:t>Koch C</w:t>
      </w:r>
      <w:r w:rsidRPr="00B11F4B">
        <w:rPr>
          <w:rFonts w:ascii="Book Antiqua" w:eastAsia="Book Antiqua" w:hAnsi="Book Antiqua" w:cs="Book Antiqua"/>
          <w:color w:val="000000"/>
        </w:rPr>
        <w:t xml:space="preserve">, Bette T, Waidmann O, Filmann N, Schrecker C, Trojan J, Weiler N, Vermehren J, Schnitzbauer AA, Bechstein WO, Zeuzem S, Herrmann E, Welker MW. AFP ratio predicts HCC recurrence after liver transplantation.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2020; </w:t>
      </w:r>
      <w:r w:rsidRPr="00B11F4B">
        <w:rPr>
          <w:rFonts w:ascii="Book Antiqua" w:eastAsia="Book Antiqua" w:hAnsi="Book Antiqua" w:cs="Book Antiqua"/>
          <w:b/>
          <w:bCs/>
          <w:color w:val="000000"/>
        </w:rPr>
        <w:t>15</w:t>
      </w:r>
      <w:r w:rsidRPr="00B11F4B">
        <w:rPr>
          <w:rFonts w:ascii="Book Antiqua" w:eastAsia="Book Antiqua" w:hAnsi="Book Antiqua" w:cs="Book Antiqua"/>
          <w:color w:val="000000"/>
        </w:rPr>
        <w:t>: e0235576 [PMID: 32614912 DOI: 10.1371/journal.pone.0235576]</w:t>
      </w:r>
    </w:p>
    <w:p w14:paraId="5087DD7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21 </w:t>
      </w:r>
      <w:r w:rsidRPr="00B11F4B">
        <w:rPr>
          <w:rFonts w:ascii="Book Antiqua" w:eastAsia="Book Antiqua" w:hAnsi="Book Antiqua" w:cs="Book Antiqua"/>
          <w:b/>
          <w:bCs/>
          <w:color w:val="000000"/>
        </w:rPr>
        <w:t>Wong L</w:t>
      </w:r>
      <w:r w:rsidRPr="00B11F4B">
        <w:rPr>
          <w:rFonts w:ascii="Book Antiqua" w:eastAsia="Book Antiqua" w:hAnsi="Book Antiqua" w:cs="Book Antiqua"/>
          <w:color w:val="000000"/>
        </w:rPr>
        <w:t xml:space="preserve">, Bozhilov K, Hernandez B, Kwee S, Chan O, Ellis L, LeMarchand L. Underlying liver disease and advanced stage liver cancer are associated with elevated neutrophil-lymphocyte ratio. </w:t>
      </w:r>
      <w:r w:rsidRPr="00B11F4B">
        <w:rPr>
          <w:rFonts w:ascii="Book Antiqua" w:eastAsia="Book Antiqua" w:hAnsi="Book Antiqua" w:cs="Book Antiqua"/>
          <w:i/>
          <w:iCs/>
          <w:color w:val="000000"/>
        </w:rPr>
        <w:t>Clin Mol Hepatol</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25</w:t>
      </w:r>
      <w:r w:rsidRPr="00B11F4B">
        <w:rPr>
          <w:rFonts w:ascii="Book Antiqua" w:eastAsia="Book Antiqua" w:hAnsi="Book Antiqua" w:cs="Book Antiqua"/>
          <w:color w:val="000000"/>
        </w:rPr>
        <w:t>: 305-316 [PMID: 31001964 DOI: 10.3350/cmh.2019.0004]</w:t>
      </w:r>
    </w:p>
    <w:p w14:paraId="0748234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22 </w:t>
      </w:r>
      <w:r w:rsidRPr="00B11F4B">
        <w:rPr>
          <w:rFonts w:ascii="Book Antiqua" w:eastAsia="Book Antiqua" w:hAnsi="Book Antiqua" w:cs="Book Antiqua"/>
          <w:b/>
          <w:bCs/>
          <w:color w:val="000000"/>
        </w:rPr>
        <w:t>Zhang Z</w:t>
      </w:r>
      <w:r w:rsidRPr="00B11F4B">
        <w:rPr>
          <w:rFonts w:ascii="Book Antiqua" w:eastAsia="Book Antiqua" w:hAnsi="Book Antiqua" w:cs="Book Antiqua"/>
          <w:color w:val="000000"/>
        </w:rPr>
        <w:t xml:space="preserve">, Jiang H, Chen J, Wei Y, Cao L, Ye Z, Li X, Ma L, Song B. Hepatocellular carcinoma: radiomics nomogram on gadoxetic acid-enhanced MR imaging for early postoperative recurrence prediction. </w:t>
      </w:r>
      <w:r w:rsidRPr="00B11F4B">
        <w:rPr>
          <w:rFonts w:ascii="Book Antiqua" w:eastAsia="Book Antiqua" w:hAnsi="Book Antiqua" w:cs="Book Antiqua"/>
          <w:i/>
          <w:iCs/>
          <w:color w:val="000000"/>
        </w:rPr>
        <w:t>Cancer Imaging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19</w:t>
      </w:r>
      <w:r w:rsidRPr="00B11F4B">
        <w:rPr>
          <w:rFonts w:ascii="Book Antiqua" w:eastAsia="Book Antiqua" w:hAnsi="Book Antiqua" w:cs="Book Antiqua"/>
          <w:color w:val="000000"/>
        </w:rPr>
        <w:t>: 22 [PMID: 31088553 DOI: 10.1186/s40644-019-0209-5]</w:t>
      </w:r>
    </w:p>
    <w:p w14:paraId="757F3196"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23 </w:t>
      </w:r>
      <w:r w:rsidRPr="00B11F4B">
        <w:rPr>
          <w:rFonts w:ascii="Book Antiqua" w:eastAsia="Book Antiqua" w:hAnsi="Book Antiqua" w:cs="Book Antiqua"/>
          <w:b/>
          <w:bCs/>
          <w:color w:val="000000"/>
        </w:rPr>
        <w:t>Wang Y</w:t>
      </w:r>
      <w:r w:rsidRPr="00B11F4B">
        <w:rPr>
          <w:rFonts w:ascii="Book Antiqua" w:eastAsia="Book Antiqua" w:hAnsi="Book Antiqua" w:cs="Book Antiqua"/>
          <w:color w:val="000000"/>
        </w:rPr>
        <w:t xml:space="preserve">, Liao J, Qi W, Xie L, Li Y. Predictive Value of Conventional Ultrasound and Contrast-Enhanced Ultrasound in Early Recurrence of Hepatocellular Carcinoma after Surgical Resection. </w:t>
      </w:r>
      <w:r w:rsidRPr="00B11F4B">
        <w:rPr>
          <w:rFonts w:ascii="Book Antiqua" w:eastAsia="Book Antiqua" w:hAnsi="Book Antiqua" w:cs="Book Antiqua"/>
          <w:i/>
          <w:iCs/>
          <w:color w:val="000000"/>
        </w:rPr>
        <w:t>Ultrasound Med Biol</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42</w:t>
      </w:r>
      <w:r w:rsidRPr="00B11F4B">
        <w:rPr>
          <w:rFonts w:ascii="Book Antiqua" w:eastAsia="Book Antiqua" w:hAnsi="Book Antiqua" w:cs="Book Antiqua"/>
          <w:color w:val="000000"/>
        </w:rPr>
        <w:t>: 1042-1048 [PMID: 26803390 DOI: 10.1016/j.ultrasmedbio.2015.12.010]</w:t>
      </w:r>
    </w:p>
    <w:p w14:paraId="2B9E47E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24 </w:t>
      </w:r>
      <w:r w:rsidRPr="00B11F4B">
        <w:rPr>
          <w:rFonts w:ascii="Book Antiqua" w:eastAsia="Book Antiqua" w:hAnsi="Book Antiqua" w:cs="Book Antiqua"/>
          <w:b/>
          <w:bCs/>
          <w:color w:val="000000"/>
        </w:rPr>
        <w:t>Xiachuan Q</w:t>
      </w:r>
      <w:r w:rsidRPr="00B11F4B">
        <w:rPr>
          <w:rFonts w:ascii="Book Antiqua" w:eastAsia="Book Antiqua" w:hAnsi="Book Antiqua" w:cs="Book Antiqua"/>
          <w:color w:val="000000"/>
        </w:rPr>
        <w:t xml:space="preserve">, Xiang Z, Xuebing L, Yan L. Predictive Value of Contrast-enhanced Ultrasound for Early Recurrence of Single Lesion Hepatocellular Carcinoma After Curative Resection. </w:t>
      </w:r>
      <w:r w:rsidRPr="00B11F4B">
        <w:rPr>
          <w:rFonts w:ascii="Book Antiqua" w:eastAsia="Book Antiqua" w:hAnsi="Book Antiqua" w:cs="Book Antiqua"/>
          <w:i/>
          <w:iCs/>
          <w:color w:val="000000"/>
        </w:rPr>
        <w:t>Ultrason Imaging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41</w:t>
      </w:r>
      <w:r w:rsidRPr="00B11F4B">
        <w:rPr>
          <w:rFonts w:ascii="Book Antiqua" w:eastAsia="Book Antiqua" w:hAnsi="Book Antiqua" w:cs="Book Antiqua"/>
          <w:color w:val="000000"/>
        </w:rPr>
        <w:t>: 49-58 [PMID: 30803409 DOI: 10.1177/0161734618815231]</w:t>
      </w:r>
    </w:p>
    <w:p w14:paraId="7239E91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25 </w:t>
      </w:r>
      <w:r w:rsidRPr="00B11F4B">
        <w:rPr>
          <w:rFonts w:ascii="Book Antiqua" w:eastAsia="Book Antiqua" w:hAnsi="Book Antiqua" w:cs="Book Antiqua"/>
          <w:b/>
          <w:bCs/>
          <w:color w:val="000000"/>
        </w:rPr>
        <w:t>Terzi E</w:t>
      </w:r>
      <w:r w:rsidRPr="00B11F4B">
        <w:rPr>
          <w:rFonts w:ascii="Book Antiqua" w:eastAsia="Book Antiqua" w:hAnsi="Book Antiqua" w:cs="Book Antiqua"/>
          <w:color w:val="000000"/>
        </w:rPr>
        <w:t xml:space="preserve">, Iavarone M, Pompili M, Veronese L, Cabibbo G, Fraquelli M, Riccardi L, De Bonis L, Sangiovanni A, Leoni S, Zocco MA, Rossi S, Alessi N, Wilson SR, Piscaglia F; CEUS LI-RADS Italy study group collaborators:. Contrast ultrasound LI-RADS LR-5 identifies hepatocellular carcinoma in cirrhosis in a multicenter restropective study of 1,006 nodules. </w:t>
      </w:r>
      <w:r w:rsidRPr="00B11F4B">
        <w:rPr>
          <w:rFonts w:ascii="Book Antiqua" w:eastAsia="Book Antiqua" w:hAnsi="Book Antiqua" w:cs="Book Antiqua"/>
          <w:i/>
          <w:iCs/>
          <w:color w:val="000000"/>
        </w:rPr>
        <w:t>J Hepatol</w:t>
      </w:r>
      <w:r w:rsidRPr="00B11F4B">
        <w:rPr>
          <w:rFonts w:ascii="Book Antiqua" w:eastAsia="Book Antiqua" w:hAnsi="Book Antiqua" w:cs="Book Antiqua"/>
          <w:color w:val="000000"/>
        </w:rPr>
        <w:t xml:space="preserve"> 2018; </w:t>
      </w:r>
      <w:r w:rsidRPr="00B11F4B">
        <w:rPr>
          <w:rFonts w:ascii="Book Antiqua" w:eastAsia="Book Antiqua" w:hAnsi="Book Antiqua" w:cs="Book Antiqua"/>
          <w:b/>
          <w:bCs/>
          <w:color w:val="000000"/>
        </w:rPr>
        <w:t>68</w:t>
      </w:r>
      <w:r w:rsidRPr="00B11F4B">
        <w:rPr>
          <w:rFonts w:ascii="Book Antiqua" w:eastAsia="Book Antiqua" w:hAnsi="Book Antiqua" w:cs="Book Antiqua"/>
          <w:color w:val="000000"/>
        </w:rPr>
        <w:t>: 485-492 [PMID: 29133247 DOI: 10.1016/j.jhep.2017.11.007]</w:t>
      </w:r>
    </w:p>
    <w:p w14:paraId="32B03F0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26 </w:t>
      </w:r>
      <w:r w:rsidRPr="00B11F4B">
        <w:rPr>
          <w:rFonts w:ascii="Book Antiqua" w:eastAsia="Book Antiqua" w:hAnsi="Book Antiqua" w:cs="Book Antiqua"/>
          <w:b/>
          <w:bCs/>
          <w:color w:val="000000"/>
        </w:rPr>
        <w:t>Liu S</w:t>
      </w:r>
      <w:r w:rsidRPr="00B11F4B">
        <w:rPr>
          <w:rFonts w:ascii="Book Antiqua" w:eastAsia="Book Antiqua" w:hAnsi="Book Antiqua" w:cs="Book Antiqua"/>
          <w:color w:val="000000"/>
        </w:rPr>
        <w:t xml:space="preserve">, Li H, Guo L, Zhang B, Zhou B, Zhang W, Zhou J, Fan J, Ye Q. Tumor Size Affects Efficacy of Adjuvant Transarterial Chemoembolization in Patients with Hepatocellular Carcinoma and Microvascular Invasion. </w:t>
      </w:r>
      <w:r w:rsidRPr="00B11F4B">
        <w:rPr>
          <w:rFonts w:ascii="Book Antiqua" w:eastAsia="Book Antiqua" w:hAnsi="Book Antiqua" w:cs="Book Antiqua"/>
          <w:i/>
          <w:iCs/>
          <w:color w:val="000000"/>
        </w:rPr>
        <w:t>Oncologist</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24</w:t>
      </w:r>
      <w:r w:rsidRPr="00B11F4B">
        <w:rPr>
          <w:rFonts w:ascii="Book Antiqua" w:eastAsia="Book Antiqua" w:hAnsi="Book Antiqua" w:cs="Book Antiqua"/>
          <w:color w:val="000000"/>
        </w:rPr>
        <w:t>: 513-520 [PMID: 30552155 DOI: 10.1634/theoncologist.2018-0305]</w:t>
      </w:r>
    </w:p>
    <w:p w14:paraId="2E6F769E"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27 </w:t>
      </w:r>
      <w:r w:rsidRPr="00B11F4B">
        <w:rPr>
          <w:rFonts w:ascii="Book Antiqua" w:eastAsia="Book Antiqua" w:hAnsi="Book Antiqua" w:cs="Book Antiqua"/>
          <w:b/>
          <w:bCs/>
          <w:color w:val="000000"/>
        </w:rPr>
        <w:t>Goh BK</w:t>
      </w:r>
      <w:r w:rsidRPr="00B11F4B">
        <w:rPr>
          <w:rFonts w:ascii="Book Antiqua" w:eastAsia="Book Antiqua" w:hAnsi="Book Antiqua" w:cs="Book Antiqua"/>
          <w:color w:val="000000"/>
        </w:rPr>
        <w:t xml:space="preserve">, Teo JY, Chan CY, Lee SY, Jeyaraj P, Cheow PC, Chow PK, Ooi LL, Chung AY. Importance of tumor size as a prognostic factor after partial liver resection for solitary hepatocellular carcinoma: Implications on the current AJCC staging system. </w:t>
      </w:r>
      <w:r w:rsidRPr="00B11F4B">
        <w:rPr>
          <w:rFonts w:ascii="Book Antiqua" w:eastAsia="Book Antiqua" w:hAnsi="Book Antiqua" w:cs="Book Antiqua"/>
          <w:i/>
          <w:iCs/>
          <w:color w:val="000000"/>
        </w:rPr>
        <w:t>J Surg Oncol</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113</w:t>
      </w:r>
      <w:r w:rsidRPr="00B11F4B">
        <w:rPr>
          <w:rFonts w:ascii="Book Antiqua" w:eastAsia="Book Antiqua" w:hAnsi="Book Antiqua" w:cs="Book Antiqua"/>
          <w:color w:val="000000"/>
        </w:rPr>
        <w:t>: 89-93 [PMID: 26611492 DOI: 10.1002/jso.24099]</w:t>
      </w:r>
    </w:p>
    <w:p w14:paraId="05265B47"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28 </w:t>
      </w:r>
      <w:r w:rsidRPr="00B11F4B">
        <w:rPr>
          <w:rFonts w:ascii="Book Antiqua" w:eastAsia="Book Antiqua" w:hAnsi="Book Antiqua" w:cs="Book Antiqua"/>
          <w:b/>
          <w:bCs/>
          <w:color w:val="000000"/>
        </w:rPr>
        <w:t>Xu XF</w:t>
      </w:r>
      <w:r w:rsidRPr="00B11F4B">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B11F4B">
        <w:rPr>
          <w:rFonts w:ascii="Book Antiqua" w:eastAsia="Book Antiqua" w:hAnsi="Book Antiqua" w:cs="Book Antiqua"/>
          <w:i/>
          <w:iCs/>
          <w:color w:val="000000"/>
        </w:rPr>
        <w:t>JAMA Surg</w:t>
      </w:r>
      <w:r w:rsidRPr="00B11F4B">
        <w:rPr>
          <w:rFonts w:ascii="Book Antiqua" w:eastAsia="Book Antiqua" w:hAnsi="Book Antiqua" w:cs="Book Antiqua"/>
          <w:color w:val="000000"/>
        </w:rPr>
        <w:t xml:space="preserve"> 2019; </w:t>
      </w:r>
      <w:r w:rsidRPr="00B11F4B">
        <w:rPr>
          <w:rFonts w:ascii="Book Antiqua" w:eastAsia="Book Antiqua" w:hAnsi="Book Antiqua" w:cs="Book Antiqua"/>
          <w:b/>
          <w:bCs/>
          <w:color w:val="000000"/>
        </w:rPr>
        <w:t>154</w:t>
      </w:r>
      <w:r w:rsidRPr="00B11F4B">
        <w:rPr>
          <w:rFonts w:ascii="Book Antiqua" w:eastAsia="Book Antiqua" w:hAnsi="Book Antiqua" w:cs="Book Antiqua"/>
          <w:color w:val="000000"/>
        </w:rPr>
        <w:t>: 209-217 [PMID: 30422241 DOI: 10.1001/jamasurg.2018.4334]</w:t>
      </w:r>
    </w:p>
    <w:p w14:paraId="2B885809"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29 </w:t>
      </w:r>
      <w:r w:rsidRPr="00B11F4B">
        <w:rPr>
          <w:rFonts w:ascii="Book Antiqua" w:eastAsia="Book Antiqua" w:hAnsi="Book Antiqua" w:cs="Book Antiqua"/>
          <w:b/>
          <w:bCs/>
          <w:color w:val="000000"/>
        </w:rPr>
        <w:t>Agopian VG</w:t>
      </w:r>
      <w:r w:rsidRPr="00B11F4B">
        <w:rPr>
          <w:rFonts w:ascii="Book Antiqua" w:eastAsia="Book Antiqua" w:hAnsi="Book Antiqua" w:cs="Book Antiqua"/>
          <w:color w:val="000000"/>
        </w:rPr>
        <w:t xml:space="preserve">, Harlander-Locke M, Zarrinpar A, Kaldas FM, Farmer DG, Yersiz H, Finn RS, Tong M, Hiatt JR, Busuttil RW. A novel prognostic nomogram accurately predicts hepatocellular carcinoma recurrence after liver transplantation: analysis of 865 consecutive liver transplant recipients. </w:t>
      </w:r>
      <w:r w:rsidRPr="00B11F4B">
        <w:rPr>
          <w:rFonts w:ascii="Book Antiqua" w:eastAsia="Book Antiqua" w:hAnsi="Book Antiqua" w:cs="Book Antiqua"/>
          <w:i/>
          <w:iCs/>
          <w:color w:val="000000"/>
        </w:rPr>
        <w:t>J Am Coll Surg</w:t>
      </w:r>
      <w:r w:rsidRPr="00B11F4B">
        <w:rPr>
          <w:rFonts w:ascii="Book Antiqua" w:eastAsia="Book Antiqua" w:hAnsi="Book Antiqua" w:cs="Book Antiqua"/>
          <w:color w:val="000000"/>
        </w:rPr>
        <w:t xml:space="preserve"> 2015; </w:t>
      </w:r>
      <w:r w:rsidRPr="00B11F4B">
        <w:rPr>
          <w:rFonts w:ascii="Book Antiqua" w:eastAsia="Book Antiqua" w:hAnsi="Book Antiqua" w:cs="Book Antiqua"/>
          <w:b/>
          <w:bCs/>
          <w:color w:val="000000"/>
        </w:rPr>
        <w:t>220</w:t>
      </w:r>
      <w:r w:rsidRPr="00B11F4B">
        <w:rPr>
          <w:rFonts w:ascii="Book Antiqua" w:eastAsia="Book Antiqua" w:hAnsi="Book Antiqua" w:cs="Book Antiqua"/>
          <w:color w:val="000000"/>
        </w:rPr>
        <w:t>: 416-427 [PMID: 25690672 DOI: 10.1016/j.jamcollsurg.2014.12.025]</w:t>
      </w:r>
    </w:p>
    <w:p w14:paraId="28A60F50"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 xml:space="preserve">30 </w:t>
      </w:r>
      <w:r w:rsidRPr="00B11F4B">
        <w:rPr>
          <w:rFonts w:ascii="Book Antiqua" w:eastAsia="Book Antiqua" w:hAnsi="Book Antiqua" w:cs="Book Antiqua"/>
          <w:b/>
          <w:bCs/>
          <w:color w:val="000000"/>
        </w:rPr>
        <w:t>Kim YI</w:t>
      </w:r>
      <w:r w:rsidRPr="00B11F4B">
        <w:rPr>
          <w:rFonts w:ascii="Book Antiqua" w:eastAsia="Book Antiqua" w:hAnsi="Book Antiqua" w:cs="Book Antiqua"/>
          <w:color w:val="000000"/>
        </w:rPr>
        <w:t xml:space="preserve">, Kim HS, Park JW. Higher Ratio of Serum Alpha-Fetoprotein Could Predict Outcomes in Patients with Hepatitis B Virus-Associated Hepatocellular Carcinoma and Normal Alanine Aminotransferase. </w:t>
      </w:r>
      <w:r w:rsidRPr="00B11F4B">
        <w:rPr>
          <w:rFonts w:ascii="Book Antiqua" w:eastAsia="Book Antiqua" w:hAnsi="Book Antiqua" w:cs="Book Antiqua"/>
          <w:i/>
          <w:iCs/>
          <w:color w:val="000000"/>
        </w:rPr>
        <w:t>PLoS One</w:t>
      </w:r>
      <w:r w:rsidRPr="00B11F4B">
        <w:rPr>
          <w:rFonts w:ascii="Book Antiqua" w:eastAsia="Book Antiqua" w:hAnsi="Book Antiqua" w:cs="Book Antiqua"/>
          <w:color w:val="000000"/>
        </w:rPr>
        <w:t xml:space="preserve"> 2016; </w:t>
      </w:r>
      <w:r w:rsidRPr="00B11F4B">
        <w:rPr>
          <w:rFonts w:ascii="Book Antiqua" w:eastAsia="Book Antiqua" w:hAnsi="Book Antiqua" w:cs="Book Antiqua"/>
          <w:b/>
          <w:bCs/>
          <w:color w:val="000000"/>
        </w:rPr>
        <w:t>11</w:t>
      </w:r>
      <w:r w:rsidRPr="00B11F4B">
        <w:rPr>
          <w:rFonts w:ascii="Book Antiqua" w:eastAsia="Book Antiqua" w:hAnsi="Book Antiqua" w:cs="Book Antiqua"/>
          <w:color w:val="000000"/>
        </w:rPr>
        <w:t>: e0157299 [PMID: 27304617 DOI: 10.1371/journal.pone.0157299]</w:t>
      </w:r>
    </w:p>
    <w:p w14:paraId="05A632D4" w14:textId="77777777" w:rsidR="00A77B3E" w:rsidRPr="00B11F4B" w:rsidRDefault="00A77B3E" w:rsidP="00664BFB">
      <w:pPr>
        <w:adjustRightInd w:val="0"/>
        <w:snapToGrid w:val="0"/>
        <w:spacing w:line="360" w:lineRule="auto"/>
        <w:jc w:val="both"/>
        <w:rPr>
          <w:rFonts w:ascii="Book Antiqua" w:hAnsi="Book Antiqua"/>
        </w:rPr>
        <w:sectPr w:rsidR="00A77B3E" w:rsidRPr="00B11F4B">
          <w:pgSz w:w="12240" w:h="15840"/>
          <w:pgMar w:top="1440" w:right="1440" w:bottom="1440" w:left="1440" w:header="720" w:footer="720" w:gutter="0"/>
          <w:cols w:space="720"/>
          <w:docGrid w:linePitch="360"/>
        </w:sectPr>
      </w:pPr>
    </w:p>
    <w:p w14:paraId="53F89C6C"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Footnotes</w:t>
      </w:r>
    </w:p>
    <w:p w14:paraId="0395B7ED" w14:textId="48230A0E"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Institutional review board statement: </w:t>
      </w:r>
      <w:r w:rsidRPr="00B11F4B">
        <w:rPr>
          <w:rFonts w:ascii="Book Antiqua" w:eastAsia="Book Antiqua" w:hAnsi="Book Antiqua" w:cs="Book Antiqua"/>
          <w:color w:val="000000"/>
          <w:shd w:val="clear" w:color="auto" w:fill="FFFFFF"/>
        </w:rPr>
        <w:t xml:space="preserve">The study was reviewed and approved by the </w:t>
      </w:r>
      <w:r w:rsidRPr="00B11F4B">
        <w:rPr>
          <w:rFonts w:ascii="Book Antiqua" w:eastAsia="Book Antiqua" w:hAnsi="Book Antiqua" w:cs="Book Antiqua"/>
          <w:color w:val="000000"/>
        </w:rPr>
        <w:t xml:space="preserve">Mengchao Hepatobiliary Hospital of Fujian Medical University </w:t>
      </w:r>
      <w:r w:rsidRPr="00B11F4B">
        <w:rPr>
          <w:rFonts w:ascii="Book Antiqua" w:eastAsia="Book Antiqua" w:hAnsi="Book Antiqua" w:cs="Book Antiqua"/>
          <w:color w:val="000000"/>
          <w:shd w:val="clear" w:color="auto" w:fill="FFFFFF"/>
        </w:rPr>
        <w:t>Institutional Review Board (No. 2010_010_01).</w:t>
      </w:r>
    </w:p>
    <w:p w14:paraId="21BDA6A9" w14:textId="77777777" w:rsidR="00A77B3E" w:rsidRPr="00B11F4B" w:rsidRDefault="00A77B3E" w:rsidP="00664BFB">
      <w:pPr>
        <w:adjustRightInd w:val="0"/>
        <w:snapToGrid w:val="0"/>
        <w:spacing w:line="360" w:lineRule="auto"/>
        <w:jc w:val="both"/>
        <w:rPr>
          <w:rFonts w:ascii="Book Antiqua" w:hAnsi="Book Antiqua"/>
        </w:rPr>
      </w:pPr>
    </w:p>
    <w:p w14:paraId="03AF77A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Conflict-of-interest statement: </w:t>
      </w:r>
      <w:r w:rsidRPr="00B11F4B">
        <w:rPr>
          <w:rFonts w:ascii="Book Antiqua" w:eastAsia="Book Antiqua" w:hAnsi="Book Antiqua" w:cs="Book Antiqua"/>
          <w:color w:val="000000"/>
        </w:rPr>
        <w:t>All authors have no conflicts of interest</w:t>
      </w:r>
      <w:r w:rsidR="00D472B5">
        <w:rPr>
          <w:rFonts w:ascii="Book Antiqua" w:eastAsia="Book Antiqua" w:hAnsi="Book Antiqua" w:cs="Book Antiqua"/>
          <w:color w:val="000000"/>
        </w:rPr>
        <w:t xml:space="preserve"> to disclose</w:t>
      </w:r>
      <w:r w:rsidRPr="00B11F4B">
        <w:rPr>
          <w:rFonts w:ascii="Book Antiqua" w:eastAsia="Book Antiqua" w:hAnsi="Book Antiqua" w:cs="Book Antiqua"/>
          <w:color w:val="000000"/>
        </w:rPr>
        <w:t>.</w:t>
      </w:r>
    </w:p>
    <w:p w14:paraId="7D8D84AC" w14:textId="77777777" w:rsidR="00A77B3E" w:rsidRPr="00B11F4B" w:rsidRDefault="00A77B3E" w:rsidP="00664BFB">
      <w:pPr>
        <w:adjustRightInd w:val="0"/>
        <w:snapToGrid w:val="0"/>
        <w:spacing w:line="360" w:lineRule="auto"/>
        <w:jc w:val="both"/>
        <w:rPr>
          <w:rFonts w:ascii="Book Antiqua" w:hAnsi="Book Antiqua"/>
        </w:rPr>
      </w:pPr>
    </w:p>
    <w:p w14:paraId="3927C03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Data sharing statement: </w:t>
      </w:r>
      <w:r w:rsidRPr="00B11F4B">
        <w:rPr>
          <w:rFonts w:ascii="Book Antiqua" w:eastAsia="Book Antiqua" w:hAnsi="Book Antiqua" w:cs="Book Antiqua"/>
          <w:color w:val="000000"/>
          <w:shd w:val="clear" w:color="auto" w:fill="FFFFFF"/>
        </w:rPr>
        <w:t>No additional data are available.</w:t>
      </w:r>
    </w:p>
    <w:p w14:paraId="45067A1D" w14:textId="77777777" w:rsidR="00A77B3E" w:rsidRPr="00B11F4B" w:rsidRDefault="00A77B3E" w:rsidP="00664BFB">
      <w:pPr>
        <w:adjustRightInd w:val="0"/>
        <w:snapToGrid w:val="0"/>
        <w:spacing w:line="360" w:lineRule="auto"/>
        <w:jc w:val="both"/>
        <w:rPr>
          <w:rFonts w:ascii="Book Antiqua" w:hAnsi="Book Antiqua"/>
        </w:rPr>
      </w:pPr>
    </w:p>
    <w:p w14:paraId="24878CD8"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bCs/>
          <w:color w:val="000000"/>
        </w:rPr>
        <w:t xml:space="preserve">Open-Access: </w:t>
      </w:r>
      <w:r w:rsidRPr="00B11F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32F9EE" w14:textId="77777777" w:rsidR="00A77B3E" w:rsidRPr="00B11F4B" w:rsidRDefault="00A77B3E" w:rsidP="00664BFB">
      <w:pPr>
        <w:adjustRightInd w:val="0"/>
        <w:snapToGrid w:val="0"/>
        <w:spacing w:line="360" w:lineRule="auto"/>
        <w:jc w:val="both"/>
        <w:rPr>
          <w:rFonts w:ascii="Book Antiqua" w:hAnsi="Book Antiqua"/>
        </w:rPr>
      </w:pPr>
    </w:p>
    <w:p w14:paraId="61AB19E4"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Manuscript source: </w:t>
      </w:r>
      <w:r w:rsidRPr="00B11F4B">
        <w:rPr>
          <w:rFonts w:ascii="Book Antiqua" w:eastAsia="Book Antiqua" w:hAnsi="Book Antiqua" w:cs="Book Antiqua"/>
          <w:color w:val="000000"/>
        </w:rPr>
        <w:t xml:space="preserve">Unsolicited </w:t>
      </w:r>
      <w:r w:rsidR="0073587D" w:rsidRPr="00B11F4B">
        <w:rPr>
          <w:rFonts w:ascii="Book Antiqua" w:eastAsia="Book Antiqua" w:hAnsi="Book Antiqua" w:cs="Book Antiqua"/>
          <w:color w:val="000000"/>
        </w:rPr>
        <w:t>m</w:t>
      </w:r>
      <w:r w:rsidRPr="00B11F4B">
        <w:rPr>
          <w:rFonts w:ascii="Book Antiqua" w:eastAsia="Book Antiqua" w:hAnsi="Book Antiqua" w:cs="Book Antiqua"/>
          <w:color w:val="000000"/>
        </w:rPr>
        <w:t>anuscript</w:t>
      </w:r>
    </w:p>
    <w:p w14:paraId="7C0D3889" w14:textId="77777777" w:rsidR="00A77B3E" w:rsidRPr="00B11F4B" w:rsidRDefault="00A77B3E" w:rsidP="00664BFB">
      <w:pPr>
        <w:adjustRightInd w:val="0"/>
        <w:snapToGrid w:val="0"/>
        <w:spacing w:line="360" w:lineRule="auto"/>
        <w:jc w:val="both"/>
        <w:rPr>
          <w:rFonts w:ascii="Book Antiqua" w:hAnsi="Book Antiqua"/>
        </w:rPr>
      </w:pPr>
    </w:p>
    <w:p w14:paraId="223ED18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Peer-review started: </w:t>
      </w:r>
      <w:r w:rsidRPr="00B11F4B">
        <w:rPr>
          <w:rFonts w:ascii="Book Antiqua" w:eastAsia="Book Antiqua" w:hAnsi="Book Antiqua" w:cs="Book Antiqua"/>
          <w:color w:val="000000"/>
        </w:rPr>
        <w:t>March 13, 2021</w:t>
      </w:r>
    </w:p>
    <w:p w14:paraId="5EF85E3D"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First decision: </w:t>
      </w:r>
      <w:r w:rsidRPr="00B11F4B">
        <w:rPr>
          <w:rFonts w:ascii="Book Antiqua" w:eastAsia="Book Antiqua" w:hAnsi="Book Antiqua" w:cs="Book Antiqua"/>
          <w:color w:val="000000"/>
        </w:rPr>
        <w:t>June 3, 2021</w:t>
      </w:r>
    </w:p>
    <w:p w14:paraId="79442738" w14:textId="4CAABC80"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Article in press:</w:t>
      </w:r>
      <w:r w:rsidR="00B86D12">
        <w:rPr>
          <w:rFonts w:ascii="Book Antiqua" w:hAnsi="Book Antiqua" w:cs="Book Antiqua" w:hint="eastAsia"/>
          <w:b/>
          <w:color w:val="000000"/>
          <w:lang w:eastAsia="zh-CN"/>
        </w:rPr>
        <w:t xml:space="preserve"> </w:t>
      </w:r>
      <w:r w:rsidR="00B86D12" w:rsidRPr="00516DAA">
        <w:rPr>
          <w:rFonts w:ascii="Book Antiqua" w:eastAsia="Book Antiqua" w:hAnsi="Book Antiqua" w:cs="Book Antiqua"/>
          <w:bCs/>
          <w:color w:val="000000"/>
        </w:rPr>
        <w:t>July 5, 2021</w:t>
      </w:r>
      <w:r w:rsidRPr="00B11F4B">
        <w:rPr>
          <w:rFonts w:ascii="Book Antiqua" w:eastAsia="Book Antiqua" w:hAnsi="Book Antiqua" w:cs="Book Antiqua"/>
          <w:b/>
          <w:color w:val="000000"/>
        </w:rPr>
        <w:t xml:space="preserve"> </w:t>
      </w:r>
    </w:p>
    <w:p w14:paraId="46A1801C" w14:textId="77777777" w:rsidR="00A77B3E" w:rsidRPr="00B11F4B" w:rsidRDefault="00A77B3E" w:rsidP="00664BFB">
      <w:pPr>
        <w:adjustRightInd w:val="0"/>
        <w:snapToGrid w:val="0"/>
        <w:spacing w:line="360" w:lineRule="auto"/>
        <w:jc w:val="both"/>
        <w:rPr>
          <w:rFonts w:ascii="Book Antiqua" w:hAnsi="Book Antiqua"/>
        </w:rPr>
      </w:pPr>
    </w:p>
    <w:p w14:paraId="3CBC9A3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Specialty type: </w:t>
      </w:r>
      <w:r w:rsidRPr="00B11F4B">
        <w:rPr>
          <w:rFonts w:ascii="Book Antiqua" w:eastAsia="Book Antiqua" w:hAnsi="Book Antiqua" w:cs="Book Antiqua"/>
          <w:color w:val="000000"/>
        </w:rPr>
        <w:t xml:space="preserve">Gastroenterology and </w:t>
      </w:r>
      <w:r w:rsidR="0073587D" w:rsidRPr="00B11F4B">
        <w:rPr>
          <w:rFonts w:ascii="Book Antiqua" w:eastAsia="Book Antiqua" w:hAnsi="Book Antiqua" w:cs="Book Antiqua"/>
          <w:color w:val="000000"/>
        </w:rPr>
        <w:t>h</w:t>
      </w:r>
      <w:r w:rsidRPr="00B11F4B">
        <w:rPr>
          <w:rFonts w:ascii="Book Antiqua" w:eastAsia="Book Antiqua" w:hAnsi="Book Antiqua" w:cs="Book Antiqua"/>
          <w:color w:val="000000"/>
        </w:rPr>
        <w:t>epatology</w:t>
      </w:r>
    </w:p>
    <w:p w14:paraId="2A764831"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 xml:space="preserve">Country/Territory of origin: </w:t>
      </w:r>
      <w:r w:rsidRPr="00B11F4B">
        <w:rPr>
          <w:rFonts w:ascii="Book Antiqua" w:eastAsia="Book Antiqua" w:hAnsi="Book Antiqua" w:cs="Book Antiqua"/>
          <w:color w:val="000000"/>
        </w:rPr>
        <w:t>China</w:t>
      </w:r>
    </w:p>
    <w:p w14:paraId="16BC4975"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b/>
          <w:color w:val="000000"/>
        </w:rPr>
        <w:t>Peer-review report’s scientific quality classification</w:t>
      </w:r>
    </w:p>
    <w:p w14:paraId="505AD62F"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A (Excellent): 0</w:t>
      </w:r>
    </w:p>
    <w:p w14:paraId="47D7AA4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B (Very good): 0</w:t>
      </w:r>
    </w:p>
    <w:p w14:paraId="37AB7002"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C (Good): 0</w:t>
      </w:r>
    </w:p>
    <w:p w14:paraId="46F4C1E3"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D (Fair): D, D</w:t>
      </w:r>
    </w:p>
    <w:p w14:paraId="36BEEE0B" w14:textId="77777777" w:rsidR="00A77B3E" w:rsidRPr="00B11F4B" w:rsidRDefault="000313D3" w:rsidP="00664BFB">
      <w:pPr>
        <w:adjustRightInd w:val="0"/>
        <w:snapToGrid w:val="0"/>
        <w:spacing w:line="360" w:lineRule="auto"/>
        <w:jc w:val="both"/>
        <w:rPr>
          <w:rFonts w:ascii="Book Antiqua" w:hAnsi="Book Antiqua"/>
        </w:rPr>
      </w:pPr>
      <w:r w:rsidRPr="00B11F4B">
        <w:rPr>
          <w:rFonts w:ascii="Book Antiqua" w:eastAsia="Book Antiqua" w:hAnsi="Book Antiqua" w:cs="Book Antiqua"/>
          <w:color w:val="000000"/>
        </w:rPr>
        <w:t>Grade E (Poor): 0</w:t>
      </w:r>
    </w:p>
    <w:p w14:paraId="55BEE7E6" w14:textId="77777777" w:rsidR="00A77B3E" w:rsidRPr="00B11F4B" w:rsidRDefault="00A77B3E" w:rsidP="00575287">
      <w:pPr>
        <w:adjustRightInd w:val="0"/>
        <w:snapToGrid w:val="0"/>
        <w:spacing w:line="360" w:lineRule="auto"/>
        <w:ind w:leftChars="100" w:left="240"/>
        <w:jc w:val="both"/>
        <w:rPr>
          <w:rFonts w:ascii="Book Antiqua" w:hAnsi="Book Antiqua"/>
        </w:rPr>
      </w:pPr>
    </w:p>
    <w:p w14:paraId="17D33C79" w14:textId="0FC4D7B8" w:rsidR="00A77B3E" w:rsidRDefault="000313D3" w:rsidP="00664BFB">
      <w:pPr>
        <w:adjustRightInd w:val="0"/>
        <w:snapToGrid w:val="0"/>
        <w:spacing w:line="360" w:lineRule="auto"/>
        <w:jc w:val="both"/>
        <w:rPr>
          <w:rFonts w:ascii="Book Antiqua" w:hAnsi="Book Antiqua"/>
          <w:bCs/>
          <w:lang w:eastAsia="zh-CN"/>
        </w:rPr>
      </w:pPr>
      <w:r w:rsidRPr="00B11F4B">
        <w:rPr>
          <w:rFonts w:ascii="Book Antiqua" w:eastAsia="Book Antiqua" w:hAnsi="Book Antiqua" w:cs="Book Antiqua"/>
          <w:b/>
          <w:color w:val="000000"/>
        </w:rPr>
        <w:t xml:space="preserve">P-Reviewer: </w:t>
      </w:r>
      <w:r w:rsidRPr="00B11F4B">
        <w:rPr>
          <w:rFonts w:ascii="Book Antiqua" w:eastAsia="Book Antiqua" w:hAnsi="Book Antiqua" w:cs="Book Antiqua"/>
          <w:color w:val="000000"/>
        </w:rPr>
        <w:t>Chen Y, Hashimoto N</w:t>
      </w:r>
      <w:r w:rsidRPr="00B11F4B">
        <w:rPr>
          <w:rFonts w:ascii="Book Antiqua" w:eastAsia="Book Antiqua" w:hAnsi="Book Antiqua" w:cs="Book Antiqua"/>
          <w:b/>
          <w:color w:val="000000"/>
        </w:rPr>
        <w:t xml:space="preserve"> S-Editor: </w:t>
      </w:r>
      <w:r w:rsidRPr="00B11F4B">
        <w:rPr>
          <w:rFonts w:ascii="Book Antiqua" w:eastAsia="Book Antiqua" w:hAnsi="Book Antiqua" w:cs="Book Antiqua"/>
          <w:color w:val="000000"/>
        </w:rPr>
        <w:t>Ma YJ</w:t>
      </w:r>
      <w:r w:rsidRPr="00B11F4B">
        <w:rPr>
          <w:rFonts w:ascii="Book Antiqua" w:eastAsia="Book Antiqua" w:hAnsi="Book Antiqua" w:cs="Book Antiqua"/>
          <w:b/>
          <w:color w:val="000000"/>
        </w:rPr>
        <w:t xml:space="preserve"> L-Editor: </w:t>
      </w:r>
      <w:r w:rsidR="00D472B5" w:rsidRPr="006B16B5">
        <w:rPr>
          <w:rFonts w:ascii="Book Antiqua" w:eastAsia="Book Antiqua" w:hAnsi="Book Antiqua" w:cs="Book Antiqua"/>
          <w:color w:val="000000"/>
        </w:rPr>
        <w:t>Wang TQ</w:t>
      </w:r>
      <w:r w:rsidRPr="00B11F4B">
        <w:rPr>
          <w:rFonts w:ascii="Book Antiqua" w:eastAsia="Book Antiqua" w:hAnsi="Book Antiqua" w:cs="Book Antiqua"/>
          <w:b/>
          <w:color w:val="000000"/>
        </w:rPr>
        <w:t xml:space="preserve"> P-Editor: </w:t>
      </w:r>
      <w:r w:rsidR="00B86D12" w:rsidRPr="00E60F36">
        <w:rPr>
          <w:rFonts w:ascii="Book Antiqua" w:hAnsi="Book Antiqua"/>
          <w:bCs/>
        </w:rPr>
        <w:t>Zhang</w:t>
      </w:r>
      <w:r w:rsidR="00B86D12">
        <w:rPr>
          <w:rFonts w:ascii="Book Antiqua" w:hAnsi="Book Antiqua"/>
          <w:bCs/>
        </w:rPr>
        <w:t xml:space="preserve"> </w:t>
      </w:r>
      <w:r w:rsidR="00B86D12" w:rsidRPr="00E60F36">
        <w:rPr>
          <w:rFonts w:ascii="Book Antiqua" w:hAnsi="Book Antiqua"/>
          <w:bCs/>
        </w:rPr>
        <w:t>YL</w:t>
      </w:r>
    </w:p>
    <w:p w14:paraId="0D945C14" w14:textId="77777777" w:rsidR="00B86D12" w:rsidRPr="00B11F4B" w:rsidRDefault="00B86D12" w:rsidP="00664BFB">
      <w:pPr>
        <w:adjustRightInd w:val="0"/>
        <w:snapToGrid w:val="0"/>
        <w:spacing w:line="360" w:lineRule="auto"/>
        <w:jc w:val="both"/>
        <w:rPr>
          <w:rFonts w:ascii="Book Antiqua" w:hAnsi="Book Antiqua"/>
          <w:lang w:eastAsia="zh-CN"/>
        </w:rPr>
        <w:sectPr w:rsidR="00B86D12" w:rsidRPr="00B11F4B">
          <w:pgSz w:w="12240" w:h="15840"/>
          <w:pgMar w:top="1440" w:right="1440" w:bottom="1440" w:left="1440" w:header="720" w:footer="720" w:gutter="0"/>
          <w:cols w:space="720"/>
          <w:docGrid w:linePitch="360"/>
        </w:sectPr>
      </w:pPr>
    </w:p>
    <w:p w14:paraId="1DC3A03D" w14:textId="77777777" w:rsidR="00A77B3E" w:rsidRPr="00B11F4B" w:rsidRDefault="000313D3" w:rsidP="00664BFB">
      <w:pPr>
        <w:adjustRightInd w:val="0"/>
        <w:snapToGrid w:val="0"/>
        <w:spacing w:line="360" w:lineRule="auto"/>
        <w:jc w:val="both"/>
        <w:rPr>
          <w:rFonts w:ascii="Book Antiqua" w:hAnsi="Book Antiqua" w:cs="Book Antiqua"/>
          <w:b/>
          <w:color w:val="000000"/>
          <w:lang w:eastAsia="zh-CN"/>
        </w:rPr>
      </w:pPr>
      <w:r w:rsidRPr="00B11F4B">
        <w:rPr>
          <w:rFonts w:ascii="Book Antiqua" w:eastAsia="Book Antiqua" w:hAnsi="Book Antiqua" w:cs="Book Antiqua"/>
          <w:b/>
          <w:color w:val="000000"/>
        </w:rPr>
        <w:t>Figure Legends</w:t>
      </w:r>
    </w:p>
    <w:p w14:paraId="74E6F310" w14:textId="77777777" w:rsidR="00C90DA7" w:rsidRDefault="00C90DA7" w:rsidP="00664BFB">
      <w:pPr>
        <w:adjustRightInd w:val="0"/>
        <w:snapToGrid w:val="0"/>
        <w:spacing w:line="360" w:lineRule="auto"/>
        <w:ind w:firstLineChars="200" w:firstLine="480"/>
        <w:jc w:val="both"/>
        <w:rPr>
          <w:rFonts w:ascii="Book Antiqua" w:hAnsi="Book Antiqua"/>
          <w:lang w:eastAsia="zh-CN"/>
        </w:rPr>
      </w:pPr>
      <w:r>
        <w:rPr>
          <w:noProof/>
          <w:lang w:eastAsia="zh-CN"/>
        </w:rPr>
        <w:drawing>
          <wp:inline distT="0" distB="0" distL="0" distR="0" wp14:anchorId="5A2C2C4C" wp14:editId="6BAC51DF">
            <wp:extent cx="3791145" cy="42928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91145" cy="4292821"/>
                    </a:xfrm>
                    <a:prstGeom prst="rect">
                      <a:avLst/>
                    </a:prstGeom>
                  </pic:spPr>
                </pic:pic>
              </a:graphicData>
            </a:graphic>
          </wp:inline>
        </w:drawing>
      </w:r>
    </w:p>
    <w:p w14:paraId="5B07A1C6" w14:textId="1DAEADF2" w:rsidR="00A77B3E" w:rsidRPr="00C90DA7" w:rsidRDefault="000313D3" w:rsidP="00664BFB">
      <w:pPr>
        <w:tabs>
          <w:tab w:val="left" w:pos="7080"/>
        </w:tabs>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 xml:space="preserve">Figure 1 </w:t>
      </w:r>
      <w:r w:rsidR="00D472B5">
        <w:rPr>
          <w:rFonts w:ascii="Book Antiqua" w:eastAsia="Book Antiqua" w:hAnsi="Book Antiqua" w:cs="Book Antiqua"/>
          <w:b/>
          <w:bCs/>
          <w:color w:val="000000"/>
        </w:rPr>
        <w:t>F</w:t>
      </w:r>
      <w:r w:rsidRPr="00B11F4B">
        <w:rPr>
          <w:rFonts w:ascii="Book Antiqua" w:eastAsia="Book Antiqua" w:hAnsi="Book Antiqua" w:cs="Book Antiqua"/>
          <w:b/>
          <w:bCs/>
          <w:color w:val="000000"/>
        </w:rPr>
        <w:t xml:space="preserve">low program for </w:t>
      </w:r>
      <w:r w:rsidR="00D472B5" w:rsidRPr="00B11F4B">
        <w:rPr>
          <w:rFonts w:ascii="Book Antiqua" w:eastAsia="Book Antiqua" w:hAnsi="Book Antiqua" w:cs="Book Antiqua"/>
          <w:b/>
          <w:bCs/>
          <w:color w:val="000000"/>
        </w:rPr>
        <w:t>patient</w:t>
      </w:r>
      <w:r w:rsidR="00D472B5">
        <w:rPr>
          <w:rFonts w:ascii="Book Antiqua" w:eastAsia="Book Antiqua" w:hAnsi="Book Antiqua" w:cs="Book Antiqua"/>
          <w:b/>
          <w:bCs/>
          <w:color w:val="000000"/>
        </w:rPr>
        <w:t xml:space="preserve"> inclusion</w:t>
      </w:r>
      <w:r w:rsidRPr="00B11F4B">
        <w:rPr>
          <w:rFonts w:ascii="Book Antiqua" w:eastAsia="Book Antiqua" w:hAnsi="Book Antiqua" w:cs="Book Antiqua"/>
          <w:b/>
          <w:bCs/>
          <w:color w:val="000000"/>
        </w:rPr>
        <w:t>.</w:t>
      </w:r>
      <w:r w:rsidR="00C90DA7">
        <w:rPr>
          <w:rFonts w:ascii="Book Antiqua" w:hAnsi="Book Antiqua" w:cs="Book Antiqua" w:hint="eastAsia"/>
          <w:b/>
          <w:bCs/>
          <w:color w:val="000000"/>
          <w:lang w:eastAsia="zh-CN"/>
        </w:rPr>
        <w:t xml:space="preserve"> </w:t>
      </w:r>
      <w:r w:rsidR="00C90DA7" w:rsidRPr="00C90DA7">
        <w:rPr>
          <w:rFonts w:ascii="Book Antiqua" w:hAnsi="Book Antiqua" w:cs="Book Antiqua" w:hint="eastAsia"/>
          <w:bCs/>
          <w:color w:val="000000"/>
          <w:lang w:eastAsia="zh-CN"/>
        </w:rPr>
        <w:t xml:space="preserve">CEUS: </w:t>
      </w:r>
      <w:r w:rsidR="00C90DA7" w:rsidRPr="00C90DA7">
        <w:rPr>
          <w:rFonts w:ascii="Book Antiqua" w:hAnsi="Book Antiqua" w:cs="Book Antiqua"/>
          <w:bCs/>
          <w:caps/>
          <w:color w:val="000000"/>
          <w:lang w:eastAsia="zh-CN"/>
        </w:rPr>
        <w:t>c</w:t>
      </w:r>
      <w:r w:rsidR="00C90DA7" w:rsidRPr="00C90DA7">
        <w:rPr>
          <w:rFonts w:ascii="Book Antiqua" w:hAnsi="Book Antiqua" w:cs="Book Antiqua"/>
          <w:bCs/>
          <w:color w:val="000000"/>
          <w:lang w:eastAsia="zh-CN"/>
        </w:rPr>
        <w:t>ontrasted-enhanced ultrasound</w:t>
      </w:r>
      <w:r w:rsidR="00C90DA7">
        <w:rPr>
          <w:rFonts w:ascii="Book Antiqua" w:hAnsi="Book Antiqua" w:cs="Book Antiqua" w:hint="eastAsia"/>
          <w:bCs/>
          <w:color w:val="000000"/>
          <w:lang w:eastAsia="zh-CN"/>
        </w:rPr>
        <w:t>.</w:t>
      </w:r>
    </w:p>
    <w:p w14:paraId="4ED61799"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F3454E">
        <w:rPr>
          <w:noProof/>
          <w:lang w:eastAsia="zh-CN"/>
        </w:rPr>
        <w:drawing>
          <wp:inline distT="0" distB="0" distL="0" distR="0" wp14:anchorId="4CCDD84A" wp14:editId="0FEF6787">
            <wp:extent cx="5916752" cy="33315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1104" cy="3334047"/>
                    </a:xfrm>
                    <a:prstGeom prst="rect">
                      <a:avLst/>
                    </a:prstGeom>
                  </pic:spPr>
                </pic:pic>
              </a:graphicData>
            </a:graphic>
          </wp:inline>
        </w:drawing>
      </w:r>
    </w:p>
    <w:p w14:paraId="06542D4A" w14:textId="045B1773" w:rsidR="00F3454E" w:rsidRPr="006553CD" w:rsidRDefault="000313D3" w:rsidP="00664BFB">
      <w:pPr>
        <w:tabs>
          <w:tab w:val="left" w:pos="7080"/>
        </w:tabs>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2 Official ACR algorithmic display for contrasted-enhanced ultrasound model and liver imaging reporting and data system.</w:t>
      </w:r>
      <w:r w:rsidR="00F3454E">
        <w:rPr>
          <w:rFonts w:ascii="Book Antiqua" w:hAnsi="Book Antiqua" w:cs="Book Antiqua" w:hint="eastAsia"/>
          <w:b/>
          <w:bCs/>
          <w:color w:val="000000"/>
          <w:lang w:eastAsia="zh-CN"/>
        </w:rPr>
        <w:t xml:space="preserve"> </w:t>
      </w:r>
      <w:r w:rsidR="00F3454E" w:rsidRPr="00F3454E">
        <w:rPr>
          <w:rFonts w:ascii="Book Antiqua" w:hAnsi="Book Antiqua" w:cs="Book Antiqua"/>
          <w:bCs/>
          <w:color w:val="000000"/>
          <w:vertAlign w:val="superscript"/>
        </w:rPr>
        <w:t>1</w:t>
      </w:r>
      <w:r w:rsidR="00F3454E" w:rsidRPr="00F3454E">
        <w:rPr>
          <w:rFonts w:ascii="Book Antiqua" w:hAnsi="Book Antiqua" w:cs="Book Antiqua"/>
          <w:bCs/>
          <w:color w:val="000000"/>
        </w:rPr>
        <w:t>Arterial phase hyperenhancement:</w:t>
      </w:r>
      <w:r w:rsidR="00D472B5">
        <w:rPr>
          <w:rFonts w:ascii="Book Antiqua" w:hAnsi="Book Antiqua" w:cs="Book Antiqua"/>
          <w:bCs/>
          <w:color w:val="000000"/>
        </w:rPr>
        <w:t xml:space="preserve"> W</w:t>
      </w:r>
      <w:r w:rsidR="00D472B5" w:rsidRPr="00F3454E">
        <w:rPr>
          <w:rFonts w:ascii="Book Antiqua" w:hAnsi="Book Antiqua" w:cs="Book Antiqua"/>
          <w:bCs/>
          <w:color w:val="000000"/>
        </w:rPr>
        <w:t xml:space="preserve">hole </w:t>
      </w:r>
      <w:r w:rsidR="00F3454E" w:rsidRPr="00F3454E">
        <w:rPr>
          <w:rFonts w:ascii="Book Antiqua" w:hAnsi="Book Antiqua" w:cs="Book Antiqua"/>
          <w:bCs/>
          <w:color w:val="000000"/>
        </w:rPr>
        <w:t>or in part,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rPr>
        <w:t>no rim or peripheral discontinuous globular enhancement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vertAlign w:val="superscript"/>
          <w:lang w:eastAsia="zh-CN"/>
        </w:rPr>
        <w:t>2</w:t>
      </w:r>
      <w:r w:rsidR="00F3454E" w:rsidRPr="00F3454E">
        <w:rPr>
          <w:rFonts w:ascii="Book Antiqua" w:hAnsi="Book Antiqua" w:cs="Book Antiqua"/>
          <w:bCs/>
          <w:color w:val="000000"/>
          <w:lang w:eastAsia="zh-CN"/>
        </w:rPr>
        <w:t>Late in onset (≥</w:t>
      </w:r>
      <w:r w:rsidR="00F3454E" w:rsidRPr="00F3454E">
        <w:rPr>
          <w:rFonts w:ascii="Book Antiqua" w:hAnsi="Book Antiqua" w:cs="Book Antiqua" w:hint="eastAsia"/>
          <w:bCs/>
          <w:color w:val="000000"/>
          <w:lang w:eastAsia="zh-CN"/>
        </w:rPr>
        <w:t xml:space="preserve"> 60</w:t>
      </w:r>
      <w:r w:rsidR="00F3454E" w:rsidRPr="00F3454E">
        <w:rPr>
          <w:rFonts w:ascii="Book Antiqua" w:hAnsi="Book Antiqua" w:cs="Book Antiqua"/>
          <w:bCs/>
          <w:color w:val="000000"/>
          <w:lang w:eastAsia="zh-CN"/>
        </w:rPr>
        <w:t xml:space="preserve"> s) and mild in degree:</w:t>
      </w:r>
      <w:r w:rsidR="006553CD">
        <w:rPr>
          <w:rFonts w:ascii="Book Antiqua" w:hAnsi="Book Antiqua" w:cs="Book Antiqua" w:hint="eastAsia"/>
          <w:bCs/>
          <w:color w:val="000000"/>
          <w:lang w:eastAsia="zh-CN"/>
        </w:rPr>
        <w:t xml:space="preserve"> </w:t>
      </w:r>
      <w:r w:rsidR="00D472B5">
        <w:rPr>
          <w:rFonts w:ascii="Book Antiqua" w:hAnsi="Book Antiqua" w:cs="Book Antiqua"/>
          <w:bCs/>
          <w:caps/>
          <w:color w:val="000000"/>
          <w:lang w:eastAsia="zh-CN"/>
        </w:rPr>
        <w:t>W</w:t>
      </w:r>
      <w:r w:rsidR="00F3454E" w:rsidRPr="00F3454E">
        <w:rPr>
          <w:rFonts w:ascii="Book Antiqua" w:hAnsi="Book Antiqua" w:cs="Book Antiqua"/>
          <w:bCs/>
          <w:color w:val="000000"/>
          <w:lang w:eastAsia="zh-CN"/>
        </w:rPr>
        <w:t>hole or in part,</w:t>
      </w:r>
      <w:r w:rsidR="006553CD">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lang w:eastAsia="zh-CN"/>
        </w:rPr>
        <w:t>with no part showing early or marked washout</w:t>
      </w:r>
      <w:r w:rsidR="00F3454E" w:rsidRP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vertAlign w:val="superscript"/>
          <w:lang w:eastAsia="zh-CN"/>
        </w:rPr>
        <w:t>3</w:t>
      </w:r>
      <w:r w:rsidR="00F3454E" w:rsidRPr="00F3454E">
        <w:rPr>
          <w:rFonts w:ascii="Book Antiqua" w:hAnsi="Book Antiqua" w:cs="Book Antiqua"/>
          <w:bCs/>
          <w:color w:val="000000"/>
          <w:lang w:eastAsia="zh-CN"/>
        </w:rPr>
        <w:t>Early onset washout (&lt;</w:t>
      </w:r>
      <w:r w:rsidR="00F3454E">
        <w:rPr>
          <w:rFonts w:ascii="Book Antiqua" w:hAnsi="Book Antiqua" w:cs="Book Antiqua" w:hint="eastAsia"/>
          <w:bCs/>
          <w:color w:val="000000"/>
          <w:lang w:eastAsia="zh-CN"/>
        </w:rPr>
        <w:t xml:space="preserve"> </w:t>
      </w:r>
      <w:r w:rsidR="00F3454E" w:rsidRPr="00F3454E">
        <w:rPr>
          <w:rFonts w:ascii="Book Antiqua" w:hAnsi="Book Antiqua" w:cs="Book Antiqua"/>
          <w:bCs/>
          <w:color w:val="000000"/>
          <w:lang w:eastAsia="zh-CN"/>
        </w:rPr>
        <w:t>60 s) and/or marked (punched out) appearance and/or arterial phase rim enhancement</w:t>
      </w:r>
      <w:r w:rsidR="00F3454E" w:rsidRPr="00F3454E">
        <w:rPr>
          <w:rFonts w:ascii="Book Antiqua" w:hAnsi="Book Antiqua" w:cs="Book Antiqua" w:hint="eastAsia"/>
          <w:bCs/>
          <w:color w:val="000000"/>
          <w:lang w:eastAsia="zh-CN"/>
        </w:rPr>
        <w:t>.</w:t>
      </w:r>
      <w:r w:rsidR="00F3454E">
        <w:rPr>
          <w:rFonts w:ascii="Book Antiqua" w:hAnsi="Book Antiqua" w:cs="Book Antiqua" w:hint="eastAsia"/>
          <w:bCs/>
          <w:color w:val="000000"/>
          <w:lang w:eastAsia="zh-CN"/>
        </w:rPr>
        <w:t xml:space="preserve"> </w:t>
      </w:r>
      <w:r w:rsidR="006553CD" w:rsidRPr="00C90DA7">
        <w:rPr>
          <w:rFonts w:ascii="Book Antiqua" w:hAnsi="Book Antiqua" w:cs="Book Antiqua" w:hint="eastAsia"/>
          <w:bCs/>
          <w:color w:val="000000"/>
          <w:lang w:eastAsia="zh-CN"/>
        </w:rPr>
        <w:t xml:space="preserve">CEUS: </w:t>
      </w:r>
      <w:r w:rsidR="006553CD" w:rsidRPr="00C90DA7">
        <w:rPr>
          <w:rFonts w:ascii="Book Antiqua" w:hAnsi="Book Antiqua" w:cs="Book Antiqua"/>
          <w:bCs/>
          <w:caps/>
          <w:color w:val="000000"/>
          <w:lang w:eastAsia="zh-CN"/>
        </w:rPr>
        <w:t>c</w:t>
      </w:r>
      <w:r w:rsidR="006553CD" w:rsidRPr="00C90DA7">
        <w:rPr>
          <w:rFonts w:ascii="Book Antiqua" w:hAnsi="Book Antiqua" w:cs="Book Antiqua"/>
          <w:bCs/>
          <w:color w:val="000000"/>
          <w:lang w:eastAsia="zh-CN"/>
        </w:rPr>
        <w:t>ontrasted-enhanced ultrasound</w:t>
      </w:r>
      <w:r w:rsidR="006553CD">
        <w:rPr>
          <w:rFonts w:ascii="Book Antiqua" w:hAnsi="Book Antiqua" w:cs="Book Antiqua" w:hint="eastAsia"/>
          <w:bCs/>
          <w:color w:val="000000"/>
          <w:lang w:eastAsia="zh-CN"/>
        </w:rPr>
        <w:t xml:space="preserve">; </w:t>
      </w:r>
      <w:r w:rsidR="006E6535" w:rsidRPr="006E6535">
        <w:rPr>
          <w:rFonts w:ascii="Book Antiqua" w:hAnsi="Book Antiqua" w:cs="Book Antiqua"/>
          <w:bCs/>
          <w:color w:val="000000"/>
          <w:lang w:eastAsia="zh-CN"/>
        </w:rPr>
        <w:t>LI</w:t>
      </w:r>
      <w:r w:rsid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r w:rsidR="006E6535">
        <w:rPr>
          <w:rFonts w:ascii="Book Antiqua" w:hAnsi="Book Antiqua" w:cs="Book Antiqua" w:hint="eastAsia"/>
          <w:bCs/>
          <w:color w:val="000000"/>
          <w:lang w:eastAsia="zh-CN"/>
        </w:rPr>
        <w:t xml:space="preserve">; </w:t>
      </w:r>
      <w:r w:rsidR="006553CD">
        <w:rPr>
          <w:rFonts w:ascii="Book Antiqua" w:hAnsi="Book Antiqua" w:cs="Book Antiqua" w:hint="eastAsia"/>
          <w:bCs/>
          <w:color w:val="000000"/>
          <w:lang w:eastAsia="zh-CN"/>
        </w:rPr>
        <w:t xml:space="preserve">US: </w:t>
      </w:r>
      <w:r w:rsidR="006553CD" w:rsidRPr="006553CD">
        <w:rPr>
          <w:rFonts w:ascii="Book Antiqua" w:hAnsi="Book Antiqua" w:cs="Book Antiqua"/>
          <w:bCs/>
          <w:caps/>
          <w:color w:val="000000"/>
          <w:lang w:eastAsia="zh-CN"/>
        </w:rPr>
        <w:t>u</w:t>
      </w:r>
      <w:r w:rsidR="006553CD" w:rsidRPr="00C90DA7">
        <w:rPr>
          <w:rFonts w:ascii="Book Antiqua" w:hAnsi="Book Antiqua" w:cs="Book Antiqua"/>
          <w:bCs/>
          <w:color w:val="000000"/>
          <w:lang w:eastAsia="zh-CN"/>
        </w:rPr>
        <w:t>ltrasound</w:t>
      </w:r>
      <w:r w:rsidR="006553CD">
        <w:rPr>
          <w:rFonts w:ascii="Book Antiqua" w:hAnsi="Book Antiqua" w:cs="Book Antiqua" w:hint="eastAsia"/>
          <w:bCs/>
          <w:color w:val="000000"/>
          <w:lang w:eastAsia="zh-CN"/>
        </w:rPr>
        <w:t xml:space="preserve">; HCC: </w:t>
      </w:r>
      <w:r w:rsidR="006553CD" w:rsidRPr="006553CD">
        <w:rPr>
          <w:rFonts w:ascii="Book Antiqua" w:hAnsi="Book Antiqua" w:cs="Book Antiqua"/>
          <w:bCs/>
          <w:caps/>
          <w:color w:val="000000"/>
          <w:lang w:eastAsia="zh-CN"/>
        </w:rPr>
        <w:t>h</w:t>
      </w:r>
      <w:r w:rsidR="006553CD" w:rsidRPr="006553CD">
        <w:rPr>
          <w:rFonts w:ascii="Book Antiqua" w:hAnsi="Book Antiqua" w:cs="Book Antiqua"/>
          <w:bCs/>
          <w:color w:val="000000"/>
          <w:lang w:eastAsia="zh-CN"/>
        </w:rPr>
        <w:t>epatocellular carcinoma</w:t>
      </w:r>
      <w:r w:rsidR="006553CD">
        <w:rPr>
          <w:rFonts w:ascii="Book Antiqua" w:hAnsi="Book Antiqua" w:cs="Book Antiqua" w:hint="eastAsia"/>
          <w:bCs/>
          <w:color w:val="000000"/>
          <w:lang w:eastAsia="zh-CN"/>
        </w:rPr>
        <w:t>.</w:t>
      </w:r>
    </w:p>
    <w:p w14:paraId="665A2827" w14:textId="77777777" w:rsidR="00A77B3E" w:rsidRPr="00F3454E" w:rsidRDefault="00A77B3E" w:rsidP="00664BFB">
      <w:pPr>
        <w:adjustRightInd w:val="0"/>
        <w:snapToGrid w:val="0"/>
        <w:spacing w:line="360" w:lineRule="auto"/>
        <w:jc w:val="both"/>
        <w:rPr>
          <w:rFonts w:ascii="Book Antiqua" w:hAnsi="Book Antiqua" w:cs="Book Antiqua"/>
          <w:b/>
          <w:bCs/>
          <w:color w:val="000000"/>
          <w:lang w:eastAsia="zh-CN"/>
        </w:rPr>
      </w:pPr>
    </w:p>
    <w:p w14:paraId="2BC349D2"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6E6535">
        <w:rPr>
          <w:noProof/>
          <w:lang w:eastAsia="zh-CN"/>
        </w:rPr>
        <w:drawing>
          <wp:inline distT="0" distB="0" distL="0" distR="0" wp14:anchorId="6E6354F2" wp14:editId="73BEBCE0">
            <wp:extent cx="5370510" cy="40949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74758" cy="4098161"/>
                    </a:xfrm>
                    <a:prstGeom prst="rect">
                      <a:avLst/>
                    </a:prstGeom>
                  </pic:spPr>
                </pic:pic>
              </a:graphicData>
            </a:graphic>
          </wp:inline>
        </w:drawing>
      </w:r>
    </w:p>
    <w:p w14:paraId="7DF3B51B" w14:textId="77777777" w:rsidR="00A77B3E" w:rsidRPr="006E6535" w:rsidRDefault="000313D3" w:rsidP="00664BFB">
      <w:pPr>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3 Prediction error of contrasted-enhanced ultrasound model and liver imaging reporting and data system, alpha-fetoprotein, and diameter.</w:t>
      </w:r>
      <w:r w:rsidR="006E6535">
        <w:rPr>
          <w:rFonts w:ascii="Book Antiqua" w:hAnsi="Book Antiqua" w:cs="Book Antiqua" w:hint="eastAsia"/>
          <w:b/>
          <w:bCs/>
          <w:color w:val="000000"/>
          <w:lang w:eastAsia="zh-CN"/>
        </w:rPr>
        <w:t xml:space="preserve"> </w:t>
      </w:r>
      <w:r w:rsidR="006E6535" w:rsidRPr="006E6535">
        <w:rPr>
          <w:rFonts w:ascii="Book Antiqua" w:hAnsi="Book Antiqua" w:cs="Book Antiqua" w:hint="eastAsia"/>
          <w:bCs/>
          <w:color w:val="000000"/>
          <w:lang w:eastAsia="zh-CN"/>
        </w:rPr>
        <w:t xml:space="preserve">AFP: </w:t>
      </w:r>
      <w:r w:rsidR="006E6535" w:rsidRPr="006E6535">
        <w:rPr>
          <w:rFonts w:ascii="Book Antiqua" w:hAnsi="Book Antiqua" w:cs="Book Antiqua"/>
          <w:bCs/>
          <w:caps/>
          <w:color w:val="000000"/>
          <w:lang w:eastAsia="zh-CN"/>
        </w:rPr>
        <w:t>a</w:t>
      </w:r>
      <w:r w:rsidR="006E6535" w:rsidRPr="006E6535">
        <w:rPr>
          <w:rFonts w:ascii="Book Antiqua" w:hAnsi="Book Antiqua" w:cs="Book Antiqua"/>
          <w:bCs/>
          <w:color w:val="000000"/>
          <w:lang w:eastAsia="zh-CN"/>
        </w:rPr>
        <w:t>lpha-fetoprotein</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bookmarkStart w:id="4" w:name="OLE_LINK545"/>
      <w:bookmarkStart w:id="5" w:name="OLE_LINK546"/>
      <w:bookmarkStart w:id="6" w:name="OLE_LINK547"/>
      <w:bookmarkStart w:id="7" w:name="OLE_LINK548"/>
      <w:r w:rsidR="006E6535" w:rsidRPr="006E6535">
        <w:rPr>
          <w:rFonts w:ascii="Book Antiqua" w:hAnsi="Book Antiqua" w:cs="Book Antiqua"/>
          <w:bCs/>
          <w:color w:val="000000"/>
          <w:lang w:eastAsia="zh-CN"/>
        </w:rPr>
        <w:t>LIRADS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bookmarkEnd w:id="4"/>
      <w:bookmarkEnd w:id="5"/>
      <w:r w:rsidR="006E6535" w:rsidRPr="006E6535">
        <w:rPr>
          <w:rFonts w:ascii="Book Antiqua" w:hAnsi="Book Antiqua" w:cs="Book Antiqua" w:hint="eastAsia"/>
          <w:bCs/>
          <w:color w:val="000000"/>
          <w:lang w:eastAsia="zh-CN"/>
        </w:rPr>
        <w:t xml:space="preserve">; </w:t>
      </w:r>
      <w:bookmarkEnd w:id="6"/>
      <w:bookmarkEnd w:id="7"/>
      <w:r w:rsidR="006E6535" w:rsidRPr="006E6535">
        <w:rPr>
          <w:rFonts w:ascii="Book Antiqua" w:hAnsi="Book Antiqua" w:cs="Book Antiqua"/>
          <w:bCs/>
          <w:color w:val="000000"/>
          <w:lang w:eastAsia="zh-CN"/>
        </w:rPr>
        <w:t>CEUS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c</w:t>
      </w:r>
      <w:r w:rsidR="006E6535" w:rsidRPr="006E6535">
        <w:rPr>
          <w:rFonts w:ascii="Book Antiqua" w:hAnsi="Book Antiqua" w:cs="Book Antiqua"/>
          <w:bCs/>
          <w:color w:val="000000"/>
          <w:lang w:eastAsia="zh-CN"/>
        </w:rPr>
        <w:t>ontrasted-enhanced ultrasound</w:t>
      </w:r>
      <w:r w:rsidR="006E6535" w:rsidRPr="006E6535">
        <w:rPr>
          <w:rFonts w:ascii="Book Antiqua" w:hAnsi="Book Antiqua" w:cs="Book Antiqua" w:hint="eastAsia"/>
          <w:bCs/>
          <w:color w:val="000000"/>
          <w:lang w:eastAsia="zh-CN"/>
        </w:rPr>
        <w:t>.</w:t>
      </w:r>
    </w:p>
    <w:p w14:paraId="0977D961"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6E6535">
        <w:rPr>
          <w:noProof/>
          <w:lang w:eastAsia="zh-CN"/>
        </w:rPr>
        <w:drawing>
          <wp:inline distT="0" distB="0" distL="0" distR="0" wp14:anchorId="7760CC0B" wp14:editId="5780A6C6">
            <wp:extent cx="5848792" cy="40710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9777" cy="4078714"/>
                    </a:xfrm>
                    <a:prstGeom prst="rect">
                      <a:avLst/>
                    </a:prstGeom>
                  </pic:spPr>
                </pic:pic>
              </a:graphicData>
            </a:graphic>
          </wp:inline>
        </w:drawing>
      </w:r>
    </w:p>
    <w:p w14:paraId="55DB086C" w14:textId="77777777" w:rsidR="00A77B3E" w:rsidRPr="006E6535"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eastAsia="Book Antiqua" w:hAnsi="Book Antiqua" w:cs="Book Antiqua"/>
          <w:b/>
          <w:bCs/>
          <w:color w:val="000000"/>
        </w:rPr>
        <w:t>Figure 4 Nomogram structure based on liver imaging reporting and data system, alpha-fetoprotein, and tumor diameter.</w:t>
      </w:r>
      <w:r w:rsidR="006E6535">
        <w:rPr>
          <w:rFonts w:ascii="Book Antiqua" w:hAnsi="Book Antiqua" w:cs="Book Antiqua" w:hint="eastAsia"/>
          <w:b/>
          <w:bCs/>
          <w:color w:val="000000"/>
          <w:lang w:eastAsia="zh-CN"/>
        </w:rPr>
        <w:t xml:space="preserve"> </w:t>
      </w:r>
      <w:r w:rsidR="006E6535" w:rsidRPr="006E6535">
        <w:rPr>
          <w:rFonts w:ascii="Book Antiqua" w:hAnsi="Book Antiqua" w:cs="Book Antiqua"/>
          <w:bCs/>
          <w:color w:val="000000"/>
          <w:lang w:eastAsia="zh-CN"/>
        </w:rPr>
        <w:t>LIRADS</w:t>
      </w:r>
      <w:r w:rsidR="006E6535" w:rsidRPr="006E6535">
        <w:rPr>
          <w:rFonts w:ascii="Book Antiqua" w:hAnsi="Book Antiqua" w:cs="Book Antiqua" w:hint="eastAsia"/>
          <w:bCs/>
          <w:color w:val="000000"/>
          <w:lang w:eastAsia="zh-CN"/>
        </w:rPr>
        <w:t>:</w:t>
      </w:r>
      <w:r w:rsidR="006E6535" w:rsidRPr="006E6535">
        <w:rPr>
          <w:rFonts w:ascii="Book Antiqua" w:hAnsi="Book Antiqua" w:cs="Book Antiqua"/>
          <w:bCs/>
          <w:color w:val="000000"/>
          <w:lang w:eastAsia="zh-CN"/>
        </w:rPr>
        <w:t xml:space="preserve"> </w:t>
      </w:r>
      <w:r w:rsidR="006E6535" w:rsidRPr="006E6535">
        <w:rPr>
          <w:rFonts w:ascii="Book Antiqua" w:hAnsi="Book Antiqua" w:cs="Book Antiqua"/>
          <w:bCs/>
          <w:caps/>
          <w:color w:val="000000"/>
          <w:lang w:eastAsia="zh-CN"/>
        </w:rPr>
        <w:t>l</w:t>
      </w:r>
      <w:r w:rsidR="006E6535" w:rsidRPr="006E6535">
        <w:rPr>
          <w:rFonts w:ascii="Book Antiqua" w:hAnsi="Book Antiqua" w:cs="Book Antiqua"/>
          <w:bCs/>
          <w:color w:val="000000"/>
          <w:lang w:eastAsia="zh-CN"/>
        </w:rPr>
        <w:t>iver imaging reporting and data system</w:t>
      </w:r>
      <w:r w:rsidR="006E6535" w:rsidRPr="006E6535">
        <w:rPr>
          <w:rFonts w:ascii="Book Antiqua" w:hAnsi="Book Antiqua" w:cs="Book Antiqua" w:hint="eastAsia"/>
          <w:bCs/>
          <w:color w:val="000000"/>
          <w:lang w:eastAsia="zh-CN"/>
        </w:rPr>
        <w:t xml:space="preserve">; AFP: </w:t>
      </w:r>
      <w:r w:rsidR="006E6535" w:rsidRPr="006E6535">
        <w:rPr>
          <w:rFonts w:ascii="Book Antiqua" w:hAnsi="Book Antiqua" w:cs="Book Antiqua"/>
          <w:bCs/>
          <w:caps/>
          <w:color w:val="000000"/>
          <w:lang w:eastAsia="zh-CN"/>
        </w:rPr>
        <w:t>a</w:t>
      </w:r>
      <w:r w:rsidR="006E6535" w:rsidRPr="006E6535">
        <w:rPr>
          <w:rFonts w:ascii="Book Antiqua" w:hAnsi="Book Antiqua" w:cs="Book Antiqua"/>
          <w:bCs/>
          <w:color w:val="000000"/>
          <w:lang w:eastAsia="zh-CN"/>
        </w:rPr>
        <w:t>lpha-fetoprotein</w:t>
      </w:r>
      <w:r w:rsidR="006E6535" w:rsidRPr="006E6535">
        <w:rPr>
          <w:rFonts w:ascii="Book Antiqua" w:hAnsi="Book Antiqua" w:cs="Book Antiqua" w:hint="eastAsia"/>
          <w:bCs/>
          <w:color w:val="000000"/>
          <w:lang w:eastAsia="zh-CN"/>
        </w:rPr>
        <w:t>;</w:t>
      </w:r>
      <w:r w:rsidR="006E6535">
        <w:rPr>
          <w:rFonts w:ascii="Book Antiqua" w:hAnsi="Book Antiqua" w:cs="Book Antiqua" w:hint="eastAsia"/>
          <w:bCs/>
          <w:color w:val="000000"/>
          <w:lang w:eastAsia="zh-CN"/>
        </w:rPr>
        <w:t xml:space="preserve"> RFS: </w:t>
      </w:r>
      <w:r w:rsidR="006E6535" w:rsidRPr="006E6535">
        <w:rPr>
          <w:rFonts w:ascii="Book Antiqua" w:hAnsi="Book Antiqua" w:cs="Book Antiqua"/>
          <w:bCs/>
          <w:color w:val="000000"/>
          <w:lang w:eastAsia="zh-CN"/>
        </w:rPr>
        <w:t>Relapse free survival</w:t>
      </w:r>
      <w:r w:rsidR="006E6535">
        <w:rPr>
          <w:rFonts w:ascii="Book Antiqua" w:hAnsi="Book Antiqua" w:cs="Book Antiqua" w:hint="eastAsia"/>
          <w:bCs/>
          <w:color w:val="000000"/>
          <w:lang w:eastAsia="zh-CN"/>
        </w:rPr>
        <w:t>.</w:t>
      </w:r>
    </w:p>
    <w:p w14:paraId="4EDEFB30"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r>
      <w:r w:rsidR="00CF54EC">
        <w:rPr>
          <w:rFonts w:ascii="Book Antiqua" w:hAnsi="Book Antiqua" w:cs="Book Antiqua"/>
          <w:noProof/>
          <w:lang w:eastAsia="zh-CN"/>
        </w:rPr>
        <mc:AlternateContent>
          <mc:Choice Requires="wps">
            <w:drawing>
              <wp:anchor distT="0" distB="0" distL="114300" distR="114300" simplePos="0" relativeHeight="251660288" behindDoc="0" locked="0" layoutInCell="1" allowOverlap="1" wp14:anchorId="7D8ADF9B" wp14:editId="53B129CE">
                <wp:simplePos x="0" y="0"/>
                <wp:positionH relativeFrom="column">
                  <wp:posOffset>-69850</wp:posOffset>
                </wp:positionH>
                <wp:positionV relativeFrom="paragraph">
                  <wp:posOffset>5683250</wp:posOffset>
                </wp:positionV>
                <wp:extent cx="317500" cy="285750"/>
                <wp:effectExtent l="6350" t="6350" r="9525"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C54B4FD" w14:textId="77777777" w:rsidR="00816210" w:rsidRDefault="00816210" w:rsidP="002B77C6">
                            <w:pPr>
                              <w:rPr>
                                <w:lang w:eastAsia="zh-CN"/>
                              </w:rPr>
                            </w:pPr>
                            <w:r>
                              <w:rPr>
                                <w:rFonts w:hint="eastAsia"/>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8ADF9B" id="_x0000_t202" coordsize="21600,21600" o:spt="202" path="m,l,21600r21600,l21600,xe">
                <v:stroke joinstyle="miter"/>
                <v:path gradientshapeok="t" o:connecttype="rect"/>
              </v:shapetype>
              <v:shape id="Text Box 5" o:spid="_x0000_s1026" type="#_x0000_t202" style="position:absolute;left:0;text-align:left;margin-left:-5.5pt;margin-top:447.5pt;width: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" fillcolor="white [3212]" strokecolor="white [3212]">
                <v:textbox>
                  <w:txbxContent>
                    <w:p w14:paraId="7C54B4FD" w14:textId="77777777" w:rsidR="00816210" w:rsidRDefault="00816210" w:rsidP="002B77C6">
                      <w:pPr>
                        <w:rPr>
                          <w:lang w:eastAsia="zh-CN"/>
                        </w:rPr>
                      </w:pPr>
                      <w:r>
                        <w:rPr>
                          <w:rFonts w:hint="eastAsia"/>
                          <w:lang w:eastAsia="zh-CN"/>
                        </w:rPr>
                        <w:t>C</w:t>
                      </w:r>
                    </w:p>
                  </w:txbxContent>
                </v:textbox>
              </v:shape>
            </w:pict>
          </mc:Fallback>
        </mc:AlternateContent>
      </w:r>
      <w:r w:rsidR="00CF54EC">
        <w:rPr>
          <w:rFonts w:ascii="Book Antiqua" w:hAnsi="Book Antiqua" w:cs="Book Antiqua"/>
          <w:noProof/>
          <w:lang w:eastAsia="zh-CN"/>
        </w:rPr>
        <mc:AlternateContent>
          <mc:Choice Requires="wps">
            <w:drawing>
              <wp:anchor distT="0" distB="0" distL="114300" distR="114300" simplePos="0" relativeHeight="251659264" behindDoc="0" locked="0" layoutInCell="1" allowOverlap="1" wp14:anchorId="4E9D9E46" wp14:editId="0FCDC67D">
                <wp:simplePos x="0" y="0"/>
                <wp:positionH relativeFrom="column">
                  <wp:posOffset>-69850</wp:posOffset>
                </wp:positionH>
                <wp:positionV relativeFrom="paragraph">
                  <wp:posOffset>2990850</wp:posOffset>
                </wp:positionV>
                <wp:extent cx="317500" cy="285750"/>
                <wp:effectExtent l="6350" t="9525"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F0D7C24" w14:textId="77777777" w:rsidR="00816210" w:rsidRDefault="00816210" w:rsidP="002B77C6">
                            <w:pPr>
                              <w:rPr>
                                <w:lang w:eastAsia="zh-CN"/>
                              </w:rPr>
                            </w:pPr>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9D9E46" id="Text Box 3" o:spid="_x0000_s1027" type="#_x0000_t202" style="position:absolute;left:0;text-align:left;margin-left:-5.5pt;margin-top:235.5pt;width: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" fillcolor="white [3212]" strokecolor="white [3212]">
                <v:textbox>
                  <w:txbxContent>
                    <w:p w14:paraId="7F0D7C24" w14:textId="77777777" w:rsidR="00816210" w:rsidRDefault="00816210" w:rsidP="002B77C6">
                      <w:pPr>
                        <w:rPr>
                          <w:lang w:eastAsia="zh-CN"/>
                        </w:rPr>
                      </w:pPr>
                      <w:r>
                        <w:rPr>
                          <w:rFonts w:hint="eastAsia"/>
                          <w:lang w:eastAsia="zh-CN"/>
                        </w:rPr>
                        <w:t>B</w:t>
                      </w:r>
                    </w:p>
                  </w:txbxContent>
                </v:textbox>
              </v:shape>
            </w:pict>
          </mc:Fallback>
        </mc:AlternateContent>
      </w:r>
      <w:r w:rsidR="00CF54EC">
        <w:rPr>
          <w:rFonts w:ascii="Book Antiqua" w:hAnsi="Book Antiqua" w:cs="Book Antiqua"/>
          <w:noProof/>
          <w:lang w:eastAsia="zh-CN"/>
        </w:rPr>
        <mc:AlternateContent>
          <mc:Choice Requires="wps">
            <w:drawing>
              <wp:anchor distT="0" distB="0" distL="114300" distR="114300" simplePos="0" relativeHeight="251658240" behindDoc="0" locked="0" layoutInCell="1" allowOverlap="1" wp14:anchorId="644461D4" wp14:editId="2E69F99A">
                <wp:simplePos x="0" y="0"/>
                <wp:positionH relativeFrom="column">
                  <wp:posOffset>-133350</wp:posOffset>
                </wp:positionH>
                <wp:positionV relativeFrom="paragraph">
                  <wp:posOffset>114300</wp:posOffset>
                </wp:positionV>
                <wp:extent cx="317500" cy="285750"/>
                <wp:effectExtent l="9525" t="9525" r="635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45CDAB2" w14:textId="77777777" w:rsidR="00816210" w:rsidRDefault="00816210">
                            <w:pPr>
                              <w:rPr>
                                <w:lang w:eastAsia="zh-CN"/>
                              </w:rPr>
                            </w:pPr>
                            <w:r>
                              <w:rPr>
                                <w:rFonts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461D4" id="Text Box 2" o:spid="_x0000_s1028" type="#_x0000_t202" style="position:absolute;left:0;text-align:left;margin-left:-10.5pt;margin-top:9pt;width: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" fillcolor="white [3212]" strokecolor="white [3212]">
                <v:textbox>
                  <w:txbxContent>
                    <w:p w14:paraId="645CDAB2" w14:textId="77777777" w:rsidR="00816210" w:rsidRDefault="00816210">
                      <w:pPr>
                        <w:rPr>
                          <w:lang w:eastAsia="zh-CN"/>
                        </w:rPr>
                      </w:pPr>
                      <w:r>
                        <w:rPr>
                          <w:rFonts w:hint="eastAsia"/>
                          <w:lang w:eastAsia="zh-CN"/>
                        </w:rPr>
                        <w:t>A</w:t>
                      </w:r>
                    </w:p>
                  </w:txbxContent>
                </v:textbox>
              </v:shape>
            </w:pict>
          </mc:Fallback>
        </mc:AlternateContent>
      </w:r>
      <w:r w:rsidRPr="00B11F4B">
        <w:rPr>
          <w:rFonts w:ascii="Book Antiqua" w:hAnsi="Book Antiqua" w:cs="Book Antiqua"/>
          <w:noProof/>
          <w:lang w:eastAsia="zh-CN"/>
        </w:rPr>
        <w:drawing>
          <wp:inline distT="0" distB="0" distL="114300" distR="114300" wp14:anchorId="32995EE4" wp14:editId="40DA116B">
            <wp:extent cx="4587727" cy="7226300"/>
            <wp:effectExtent l="0" t="0" r="0" b="0"/>
            <wp:docPr id="12" name="图片 12" descr="F5 2-11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5 2-11 km"/>
                    <pic:cNvPicPr>
                      <a:picLocks noChangeAspect="1"/>
                    </pic:cNvPicPr>
                  </pic:nvPicPr>
                  <pic:blipFill>
                    <a:blip r:embed="rId12"/>
                    <a:stretch>
                      <a:fillRect/>
                    </a:stretch>
                  </pic:blipFill>
                  <pic:spPr>
                    <a:xfrm>
                      <a:off x="0" y="0"/>
                      <a:ext cx="4589145" cy="7228534"/>
                    </a:xfrm>
                    <a:prstGeom prst="rect">
                      <a:avLst/>
                    </a:prstGeom>
                  </pic:spPr>
                </pic:pic>
              </a:graphicData>
            </a:graphic>
          </wp:inline>
        </w:drawing>
      </w:r>
    </w:p>
    <w:p w14:paraId="5B57461D" w14:textId="25E0994B" w:rsidR="00A77B3E" w:rsidRPr="002B77C6"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eastAsia="Book Antiqua" w:hAnsi="Book Antiqua" w:cs="Book Antiqua"/>
          <w:b/>
          <w:bCs/>
          <w:color w:val="000000"/>
        </w:rPr>
        <w:t>Figure 5 Kaplan–Meier curve</w:t>
      </w:r>
      <w:r w:rsidR="00D472B5">
        <w:rPr>
          <w:rFonts w:ascii="Book Antiqua" w:eastAsia="Book Antiqua" w:hAnsi="Book Antiqua" w:cs="Book Antiqua"/>
          <w:b/>
          <w:bCs/>
          <w:color w:val="000000"/>
        </w:rPr>
        <w:t>s</w:t>
      </w:r>
      <w:r w:rsidRPr="00B11F4B">
        <w:rPr>
          <w:rFonts w:ascii="Book Antiqua" w:eastAsia="Book Antiqua" w:hAnsi="Book Antiqua" w:cs="Book Antiqua"/>
          <w:b/>
          <w:bCs/>
          <w:color w:val="000000"/>
        </w:rPr>
        <w:t xml:space="preserve"> </w:t>
      </w:r>
      <w:r w:rsidR="006B16B5">
        <w:rPr>
          <w:rFonts w:ascii="Book Antiqua" w:eastAsia="Book Antiqua" w:hAnsi="Book Antiqua" w:cs="Book Antiqua"/>
          <w:b/>
          <w:bCs/>
          <w:color w:val="000000"/>
        </w:rPr>
        <w:t xml:space="preserve">for survival </w:t>
      </w:r>
      <w:r w:rsidR="00D472B5">
        <w:rPr>
          <w:rFonts w:ascii="Book Antiqua" w:eastAsia="Book Antiqua" w:hAnsi="Book Antiqua" w:cs="Book Antiqua"/>
          <w:b/>
          <w:bCs/>
          <w:color w:val="000000"/>
        </w:rPr>
        <w:t>at</w:t>
      </w:r>
      <w:r w:rsidR="00D472B5"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6 mo (A), 12 mo (B), and 24 mo (C).</w:t>
      </w:r>
      <w:r w:rsidR="002B77C6">
        <w:rPr>
          <w:rFonts w:ascii="Book Antiqua" w:hAnsi="Book Antiqua" w:cs="Book Antiqua" w:hint="eastAsia"/>
          <w:b/>
          <w:bCs/>
          <w:color w:val="000000"/>
          <w:lang w:eastAsia="zh-CN"/>
        </w:rPr>
        <w:t xml:space="preserve"> </w:t>
      </w:r>
      <w:r w:rsidR="002B77C6">
        <w:rPr>
          <w:rFonts w:ascii="Book Antiqua" w:hAnsi="Book Antiqua" w:cs="Book Antiqua" w:hint="eastAsia"/>
          <w:bCs/>
          <w:color w:val="000000"/>
          <w:lang w:eastAsia="zh-CN"/>
        </w:rPr>
        <w:t xml:space="preserve">RFS: </w:t>
      </w:r>
      <w:r w:rsidR="002B77C6" w:rsidRPr="006E6535">
        <w:rPr>
          <w:rFonts w:ascii="Book Antiqua" w:hAnsi="Book Antiqua" w:cs="Book Antiqua"/>
          <w:bCs/>
          <w:color w:val="000000"/>
          <w:lang w:eastAsia="zh-CN"/>
        </w:rPr>
        <w:t>Relapse free survival</w:t>
      </w:r>
      <w:r w:rsidR="002B77C6">
        <w:rPr>
          <w:rFonts w:ascii="Book Antiqua" w:hAnsi="Book Antiqua" w:cs="Book Antiqua" w:hint="eastAsia"/>
          <w:bCs/>
          <w:color w:val="000000"/>
          <w:lang w:eastAsia="zh-CN"/>
        </w:rPr>
        <w:t>.</w:t>
      </w:r>
    </w:p>
    <w:p w14:paraId="3E29B308" w14:textId="77777777" w:rsidR="000313D3" w:rsidRDefault="000313D3" w:rsidP="00664BFB">
      <w:pPr>
        <w:adjustRightInd w:val="0"/>
        <w:snapToGrid w:val="0"/>
        <w:spacing w:line="360" w:lineRule="auto"/>
        <w:jc w:val="both"/>
        <w:rPr>
          <w:rFonts w:ascii="Book Antiqua" w:hAnsi="Book Antiqua" w:cs="Book Antiqua"/>
          <w:b/>
          <w:bCs/>
          <w:color w:val="000000"/>
          <w:lang w:eastAsia="zh-CN"/>
        </w:rPr>
      </w:pPr>
      <w:r w:rsidRPr="00B11F4B">
        <w:rPr>
          <w:rFonts w:ascii="Book Antiqua" w:hAnsi="Book Antiqua" w:cs="Book Antiqua"/>
          <w:b/>
          <w:bCs/>
          <w:color w:val="000000"/>
          <w:lang w:eastAsia="zh-CN"/>
        </w:rPr>
        <w:br w:type="page"/>
      </w:r>
      <w:r w:rsidR="00231B2A">
        <w:rPr>
          <w:noProof/>
          <w:lang w:eastAsia="zh-CN"/>
        </w:rPr>
        <w:drawing>
          <wp:inline distT="0" distB="0" distL="0" distR="0" wp14:anchorId="08DAFF61" wp14:editId="5483E6FB">
            <wp:extent cx="4514850" cy="23304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15082" cy="2330570"/>
                    </a:xfrm>
                    <a:prstGeom prst="rect">
                      <a:avLst/>
                    </a:prstGeom>
                  </pic:spPr>
                </pic:pic>
              </a:graphicData>
            </a:graphic>
          </wp:inline>
        </w:drawing>
      </w:r>
    </w:p>
    <w:p w14:paraId="60C61458" w14:textId="77777777" w:rsidR="00231B2A" w:rsidRDefault="00231B2A" w:rsidP="00664BFB">
      <w:pPr>
        <w:adjustRightInd w:val="0"/>
        <w:snapToGrid w:val="0"/>
        <w:spacing w:line="360" w:lineRule="auto"/>
        <w:jc w:val="both"/>
        <w:rPr>
          <w:rFonts w:ascii="Book Antiqua" w:hAnsi="Book Antiqua"/>
          <w:lang w:eastAsia="zh-CN"/>
        </w:rPr>
      </w:pPr>
      <w:r>
        <w:rPr>
          <w:noProof/>
          <w:lang w:eastAsia="zh-CN"/>
        </w:rPr>
        <w:drawing>
          <wp:inline distT="0" distB="0" distL="0" distR="0" wp14:anchorId="6341149B" wp14:editId="52C06DF3">
            <wp:extent cx="4464050" cy="2451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64279" cy="2451226"/>
                    </a:xfrm>
                    <a:prstGeom prst="rect">
                      <a:avLst/>
                    </a:prstGeom>
                  </pic:spPr>
                </pic:pic>
              </a:graphicData>
            </a:graphic>
          </wp:inline>
        </w:drawing>
      </w:r>
    </w:p>
    <w:p w14:paraId="2A075707" w14:textId="77777777" w:rsidR="00231B2A" w:rsidRPr="00B11F4B" w:rsidRDefault="00231B2A" w:rsidP="00664BFB">
      <w:pPr>
        <w:adjustRightInd w:val="0"/>
        <w:snapToGrid w:val="0"/>
        <w:spacing w:line="360" w:lineRule="auto"/>
        <w:jc w:val="both"/>
        <w:rPr>
          <w:rFonts w:ascii="Book Antiqua" w:hAnsi="Book Antiqua"/>
          <w:lang w:eastAsia="zh-CN"/>
        </w:rPr>
      </w:pPr>
      <w:r>
        <w:rPr>
          <w:noProof/>
          <w:lang w:eastAsia="zh-CN"/>
        </w:rPr>
        <w:drawing>
          <wp:inline distT="0" distB="0" distL="0" distR="0" wp14:anchorId="3B46F5D8" wp14:editId="2C522EE5">
            <wp:extent cx="4387850" cy="2565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9858" cy="2566574"/>
                    </a:xfrm>
                    <a:prstGeom prst="rect">
                      <a:avLst/>
                    </a:prstGeom>
                  </pic:spPr>
                </pic:pic>
              </a:graphicData>
            </a:graphic>
          </wp:inline>
        </w:drawing>
      </w:r>
    </w:p>
    <w:p w14:paraId="76A25FF6" w14:textId="048C2277" w:rsidR="00A77B3E" w:rsidRPr="00231B2A" w:rsidRDefault="000313D3" w:rsidP="00664BFB">
      <w:pPr>
        <w:adjustRightInd w:val="0"/>
        <w:snapToGrid w:val="0"/>
        <w:spacing w:line="360" w:lineRule="auto"/>
        <w:jc w:val="both"/>
        <w:rPr>
          <w:rFonts w:ascii="Book Antiqua" w:hAnsi="Book Antiqua" w:cs="Book Antiqua"/>
          <w:bCs/>
          <w:color w:val="000000"/>
          <w:lang w:eastAsia="zh-CN"/>
        </w:rPr>
      </w:pPr>
      <w:r w:rsidRPr="00B11F4B">
        <w:rPr>
          <w:rFonts w:ascii="Book Antiqua" w:eastAsia="Book Antiqua" w:hAnsi="Book Antiqua" w:cs="Book Antiqua"/>
          <w:b/>
          <w:bCs/>
          <w:color w:val="000000"/>
        </w:rPr>
        <w:t>Figure 6 Calibrated curve</w:t>
      </w:r>
      <w:r w:rsidR="00D472B5">
        <w:rPr>
          <w:rFonts w:ascii="Book Antiqua" w:eastAsia="Book Antiqua" w:hAnsi="Book Antiqua" w:cs="Book Antiqua"/>
          <w:b/>
          <w:bCs/>
          <w:color w:val="000000"/>
        </w:rPr>
        <w:t>s</w:t>
      </w:r>
      <w:r w:rsidRPr="00B11F4B">
        <w:rPr>
          <w:rFonts w:ascii="Book Antiqua" w:eastAsia="Book Antiqua" w:hAnsi="Book Antiqua" w:cs="Book Antiqua"/>
          <w:b/>
          <w:bCs/>
          <w:color w:val="000000"/>
        </w:rPr>
        <w:t xml:space="preserve"> </w:t>
      </w:r>
      <w:r w:rsidR="006B16B5">
        <w:rPr>
          <w:rFonts w:ascii="Book Antiqua" w:eastAsia="Book Antiqua" w:hAnsi="Book Antiqua" w:cs="Book Antiqua"/>
          <w:b/>
          <w:bCs/>
          <w:color w:val="000000"/>
        </w:rPr>
        <w:t>for recurrence at</w:t>
      </w:r>
      <w:r w:rsidR="00D472B5" w:rsidRPr="00B11F4B">
        <w:rPr>
          <w:rFonts w:ascii="Book Antiqua" w:eastAsia="Book Antiqua" w:hAnsi="Book Antiqua" w:cs="Book Antiqua"/>
          <w:b/>
          <w:bCs/>
          <w:color w:val="000000"/>
        </w:rPr>
        <w:t xml:space="preserve"> </w:t>
      </w:r>
      <w:r w:rsidRPr="00B11F4B">
        <w:rPr>
          <w:rFonts w:ascii="Book Antiqua" w:eastAsia="Book Antiqua" w:hAnsi="Book Antiqua" w:cs="Book Antiqua"/>
          <w:b/>
          <w:bCs/>
          <w:color w:val="000000"/>
        </w:rPr>
        <w:t>6 mo (A), 12 mo (B), and 24 mo (C).</w:t>
      </w:r>
      <w:r w:rsidR="00231B2A">
        <w:rPr>
          <w:rFonts w:ascii="Book Antiqua" w:hAnsi="Book Antiqua" w:cs="Book Antiqua" w:hint="eastAsia"/>
          <w:b/>
          <w:bCs/>
          <w:color w:val="000000"/>
          <w:lang w:eastAsia="zh-CN"/>
        </w:rPr>
        <w:t xml:space="preserve"> </w:t>
      </w:r>
      <w:r w:rsidR="00231B2A" w:rsidRPr="006E6535">
        <w:rPr>
          <w:rFonts w:ascii="Book Antiqua" w:hAnsi="Book Antiqua" w:cs="Book Antiqua"/>
          <w:bCs/>
          <w:color w:val="000000"/>
          <w:lang w:eastAsia="zh-CN"/>
        </w:rPr>
        <w:t>CEUS</w:t>
      </w:r>
      <w:r w:rsidR="00231B2A" w:rsidRPr="006E6535">
        <w:rPr>
          <w:rFonts w:ascii="Book Antiqua" w:hAnsi="Book Antiqua" w:cs="Book Antiqua" w:hint="eastAsia"/>
          <w:bCs/>
          <w:color w:val="000000"/>
          <w:lang w:eastAsia="zh-CN"/>
        </w:rPr>
        <w:t>:</w:t>
      </w:r>
      <w:r w:rsidR="00231B2A" w:rsidRPr="006E6535">
        <w:rPr>
          <w:rFonts w:ascii="Book Antiqua" w:hAnsi="Book Antiqua" w:cs="Book Antiqua"/>
          <w:bCs/>
          <w:color w:val="000000"/>
          <w:lang w:eastAsia="zh-CN"/>
        </w:rPr>
        <w:t xml:space="preserve"> </w:t>
      </w:r>
      <w:r w:rsidR="00231B2A" w:rsidRPr="006E6535">
        <w:rPr>
          <w:rFonts w:ascii="Book Antiqua" w:hAnsi="Book Antiqua" w:cs="Book Antiqua"/>
          <w:bCs/>
          <w:caps/>
          <w:color w:val="000000"/>
          <w:lang w:eastAsia="zh-CN"/>
        </w:rPr>
        <w:t>c</w:t>
      </w:r>
      <w:r w:rsidR="00231B2A" w:rsidRPr="006E6535">
        <w:rPr>
          <w:rFonts w:ascii="Book Antiqua" w:hAnsi="Book Antiqua" w:cs="Book Antiqua"/>
          <w:bCs/>
          <w:color w:val="000000"/>
          <w:lang w:eastAsia="zh-CN"/>
        </w:rPr>
        <w:t>ontrasted-enhanced ultrasound</w:t>
      </w:r>
      <w:r w:rsidR="00231B2A" w:rsidRPr="006E6535">
        <w:rPr>
          <w:rFonts w:ascii="Book Antiqua" w:hAnsi="Book Antiqua" w:cs="Book Antiqua" w:hint="eastAsia"/>
          <w:bCs/>
          <w:color w:val="000000"/>
          <w:lang w:eastAsia="zh-CN"/>
        </w:rPr>
        <w:t>.</w:t>
      </w:r>
    </w:p>
    <w:p w14:paraId="4E4857F4"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hAnsi="Book Antiqua" w:cs="Book Antiqua"/>
          <w:b/>
          <w:bCs/>
          <w:color w:val="000000"/>
          <w:lang w:eastAsia="zh-CN"/>
        </w:rPr>
        <w:br w:type="page"/>
        <w:t>Table 1 Basic characteristics</w:t>
      </w:r>
    </w:p>
    <w:tbl>
      <w:tblPr>
        <w:tblW w:w="9240" w:type="dxa"/>
        <w:tblLook w:val="04A0" w:firstRow="1" w:lastRow="0" w:firstColumn="1" w:lastColumn="0" w:noHBand="0" w:noVBand="1"/>
      </w:tblPr>
      <w:tblGrid>
        <w:gridCol w:w="2030"/>
        <w:gridCol w:w="1759"/>
        <w:gridCol w:w="1923"/>
        <w:gridCol w:w="2000"/>
        <w:gridCol w:w="1528"/>
      </w:tblGrid>
      <w:tr w:rsidR="000313D3" w:rsidRPr="00B11F4B" w14:paraId="58E2C4BD" w14:textId="77777777" w:rsidTr="000313D3">
        <w:trPr>
          <w:trHeight w:val="615"/>
        </w:trPr>
        <w:tc>
          <w:tcPr>
            <w:tcW w:w="2030" w:type="dxa"/>
            <w:tcBorders>
              <w:top w:val="single" w:sz="4" w:space="0" w:color="auto"/>
              <w:left w:val="nil"/>
              <w:bottom w:val="single" w:sz="8" w:space="0" w:color="auto"/>
              <w:right w:val="nil"/>
            </w:tcBorders>
            <w:vAlign w:val="center"/>
          </w:tcPr>
          <w:p w14:paraId="48630195"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p>
        </w:tc>
        <w:tc>
          <w:tcPr>
            <w:tcW w:w="1759" w:type="dxa"/>
            <w:tcBorders>
              <w:top w:val="single" w:sz="4" w:space="0" w:color="auto"/>
              <w:left w:val="nil"/>
              <w:bottom w:val="single" w:sz="8" w:space="0" w:color="auto"/>
              <w:right w:val="nil"/>
            </w:tcBorders>
            <w:vAlign w:val="center"/>
          </w:tcPr>
          <w:p w14:paraId="19409815"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olor w:val="000000"/>
              </w:rPr>
              <w:t>Total</w:t>
            </w:r>
          </w:p>
        </w:tc>
        <w:tc>
          <w:tcPr>
            <w:tcW w:w="1923" w:type="dxa"/>
            <w:tcBorders>
              <w:top w:val="single" w:sz="4" w:space="0" w:color="auto"/>
              <w:left w:val="nil"/>
              <w:bottom w:val="single" w:sz="8" w:space="0" w:color="auto"/>
              <w:right w:val="nil"/>
            </w:tcBorders>
            <w:vAlign w:val="center"/>
          </w:tcPr>
          <w:p w14:paraId="5E172722"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aps/>
                <w:color w:val="000000"/>
              </w:rPr>
              <w:t>n</w:t>
            </w:r>
            <w:r w:rsidRPr="00B11F4B">
              <w:rPr>
                <w:rFonts w:ascii="Book Antiqua" w:eastAsia="微软雅黑" w:hAnsi="Book Antiqua" w:cs="Book Antiqua"/>
                <w:b/>
                <w:bCs/>
                <w:color w:val="000000"/>
              </w:rPr>
              <w:t>on-recurrence</w:t>
            </w:r>
          </w:p>
        </w:tc>
        <w:tc>
          <w:tcPr>
            <w:tcW w:w="2000" w:type="dxa"/>
            <w:tcBorders>
              <w:top w:val="single" w:sz="4" w:space="0" w:color="auto"/>
              <w:left w:val="nil"/>
              <w:bottom w:val="single" w:sz="8" w:space="0" w:color="auto"/>
              <w:right w:val="nil"/>
            </w:tcBorders>
            <w:vAlign w:val="center"/>
          </w:tcPr>
          <w:p w14:paraId="39452476" w14:textId="77777777" w:rsidR="000313D3" w:rsidRPr="00B11F4B" w:rsidRDefault="000313D3" w:rsidP="00664BFB">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caps/>
                <w:color w:val="000000"/>
              </w:rPr>
              <w:t>r</w:t>
            </w:r>
            <w:r w:rsidRPr="00B11F4B">
              <w:rPr>
                <w:rFonts w:ascii="Book Antiqua" w:eastAsia="微软雅黑" w:hAnsi="Book Antiqua" w:cs="Book Antiqua"/>
                <w:b/>
                <w:bCs/>
                <w:color w:val="000000"/>
              </w:rPr>
              <w:t>ecurrence</w:t>
            </w:r>
          </w:p>
        </w:tc>
        <w:tc>
          <w:tcPr>
            <w:tcW w:w="1528" w:type="dxa"/>
            <w:tcBorders>
              <w:top w:val="single" w:sz="4" w:space="0" w:color="auto"/>
              <w:left w:val="nil"/>
              <w:bottom w:val="single" w:sz="8" w:space="0" w:color="auto"/>
              <w:right w:val="nil"/>
            </w:tcBorders>
            <w:vAlign w:val="center"/>
          </w:tcPr>
          <w:p w14:paraId="2C9485EE" w14:textId="77777777" w:rsidR="000313D3" w:rsidRPr="00B11F4B" w:rsidRDefault="000313D3" w:rsidP="001E6671">
            <w:pPr>
              <w:adjustRightInd w:val="0"/>
              <w:snapToGrid w:val="0"/>
              <w:spacing w:line="360" w:lineRule="auto"/>
              <w:jc w:val="center"/>
              <w:rPr>
                <w:rFonts w:ascii="Book Antiqua" w:eastAsia="微软雅黑" w:hAnsi="Book Antiqua" w:cs="Book Antiqua"/>
                <w:b/>
                <w:bCs/>
                <w:color w:val="000000"/>
              </w:rPr>
            </w:pPr>
            <w:r w:rsidRPr="00B11F4B">
              <w:rPr>
                <w:rFonts w:ascii="Book Antiqua" w:eastAsia="微软雅黑" w:hAnsi="Book Antiqua" w:cs="Book Antiqua"/>
                <w:b/>
                <w:bCs/>
                <w:i/>
                <w:color w:val="000000"/>
              </w:rPr>
              <w:t>P</w:t>
            </w:r>
            <w:r w:rsidR="001E6671">
              <w:rPr>
                <w:rFonts w:ascii="Book Antiqua" w:eastAsia="微软雅黑" w:hAnsi="Book Antiqua" w:cs="Book Antiqua"/>
                <w:b/>
                <w:bCs/>
                <w:color w:val="000000"/>
              </w:rPr>
              <w:t xml:space="preserve"> </w:t>
            </w:r>
            <w:r w:rsidRPr="00B11F4B">
              <w:rPr>
                <w:rFonts w:ascii="Book Antiqua" w:eastAsia="微软雅黑" w:hAnsi="Book Antiqua" w:cs="Book Antiqua"/>
                <w:b/>
                <w:bCs/>
                <w:color w:val="000000"/>
              </w:rPr>
              <w:t>value</w:t>
            </w:r>
          </w:p>
        </w:tc>
      </w:tr>
      <w:tr w:rsidR="000313D3" w:rsidRPr="00B11F4B" w14:paraId="135F8AA2" w14:textId="77777777" w:rsidTr="000313D3">
        <w:trPr>
          <w:trHeight w:val="330"/>
        </w:trPr>
        <w:tc>
          <w:tcPr>
            <w:tcW w:w="2030" w:type="dxa"/>
            <w:tcBorders>
              <w:top w:val="nil"/>
              <w:left w:val="nil"/>
              <w:bottom w:val="nil"/>
              <w:right w:val="nil"/>
            </w:tcBorders>
            <w:vAlign w:val="center"/>
          </w:tcPr>
          <w:p w14:paraId="0EA2793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Diameter</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cm)</w:t>
            </w:r>
          </w:p>
        </w:tc>
        <w:tc>
          <w:tcPr>
            <w:tcW w:w="1759" w:type="dxa"/>
            <w:tcBorders>
              <w:top w:val="nil"/>
              <w:left w:val="nil"/>
              <w:bottom w:val="nil"/>
              <w:right w:val="nil"/>
            </w:tcBorders>
            <w:vAlign w:val="center"/>
          </w:tcPr>
          <w:p w14:paraId="0A11757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3.9 ± 2.3</w:t>
            </w:r>
          </w:p>
        </w:tc>
        <w:tc>
          <w:tcPr>
            <w:tcW w:w="1923" w:type="dxa"/>
            <w:tcBorders>
              <w:top w:val="nil"/>
              <w:left w:val="nil"/>
              <w:bottom w:val="nil"/>
              <w:right w:val="nil"/>
            </w:tcBorders>
            <w:vAlign w:val="center"/>
          </w:tcPr>
          <w:p w14:paraId="5AD5514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3.2 ± 1.5</w:t>
            </w:r>
          </w:p>
        </w:tc>
        <w:tc>
          <w:tcPr>
            <w:tcW w:w="2000" w:type="dxa"/>
            <w:tcBorders>
              <w:top w:val="nil"/>
              <w:left w:val="nil"/>
              <w:bottom w:val="nil"/>
              <w:right w:val="nil"/>
            </w:tcBorders>
            <w:vAlign w:val="center"/>
          </w:tcPr>
          <w:p w14:paraId="449C810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4.8 ± 2.8</w:t>
            </w:r>
          </w:p>
        </w:tc>
        <w:tc>
          <w:tcPr>
            <w:tcW w:w="1528" w:type="dxa"/>
            <w:tcBorders>
              <w:top w:val="nil"/>
              <w:left w:val="nil"/>
              <w:bottom w:val="nil"/>
              <w:right w:val="nil"/>
            </w:tcBorders>
            <w:vAlign w:val="center"/>
          </w:tcPr>
          <w:p w14:paraId="430E36F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52B198A0" w14:textId="77777777" w:rsidTr="000313D3">
        <w:trPr>
          <w:trHeight w:val="330"/>
        </w:trPr>
        <w:tc>
          <w:tcPr>
            <w:tcW w:w="2030" w:type="dxa"/>
            <w:tcBorders>
              <w:top w:val="nil"/>
              <w:left w:val="nil"/>
              <w:bottom w:val="nil"/>
              <w:right w:val="nil"/>
            </w:tcBorders>
            <w:vAlign w:val="center"/>
          </w:tcPr>
          <w:p w14:paraId="535627B7"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Age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yr)</w:t>
            </w:r>
          </w:p>
        </w:tc>
        <w:tc>
          <w:tcPr>
            <w:tcW w:w="1759" w:type="dxa"/>
            <w:tcBorders>
              <w:top w:val="nil"/>
              <w:left w:val="nil"/>
              <w:bottom w:val="nil"/>
              <w:right w:val="nil"/>
            </w:tcBorders>
            <w:vAlign w:val="center"/>
          </w:tcPr>
          <w:p w14:paraId="2B3E808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55.7 ± 11.2</w:t>
            </w:r>
          </w:p>
        </w:tc>
        <w:tc>
          <w:tcPr>
            <w:tcW w:w="1923" w:type="dxa"/>
            <w:tcBorders>
              <w:top w:val="nil"/>
              <w:left w:val="nil"/>
              <w:bottom w:val="nil"/>
              <w:right w:val="nil"/>
            </w:tcBorders>
            <w:vAlign w:val="center"/>
          </w:tcPr>
          <w:p w14:paraId="17D5AE3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54.9 ± 11.3</w:t>
            </w:r>
          </w:p>
        </w:tc>
        <w:tc>
          <w:tcPr>
            <w:tcW w:w="2000" w:type="dxa"/>
            <w:tcBorders>
              <w:top w:val="nil"/>
              <w:left w:val="nil"/>
              <w:bottom w:val="nil"/>
              <w:right w:val="nil"/>
            </w:tcBorders>
            <w:vAlign w:val="center"/>
          </w:tcPr>
          <w:p w14:paraId="7B8908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56.7 ± 11.1</w:t>
            </w:r>
          </w:p>
        </w:tc>
        <w:tc>
          <w:tcPr>
            <w:tcW w:w="1528" w:type="dxa"/>
            <w:tcBorders>
              <w:top w:val="nil"/>
              <w:left w:val="nil"/>
              <w:bottom w:val="nil"/>
              <w:right w:val="nil"/>
            </w:tcBorders>
            <w:vAlign w:val="center"/>
          </w:tcPr>
          <w:p w14:paraId="53071B5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0.17</w:t>
            </w:r>
          </w:p>
        </w:tc>
      </w:tr>
      <w:tr w:rsidR="000313D3" w:rsidRPr="00B11F4B" w14:paraId="14C3AC20" w14:textId="77777777" w:rsidTr="000313D3">
        <w:trPr>
          <w:trHeight w:val="330"/>
        </w:trPr>
        <w:tc>
          <w:tcPr>
            <w:tcW w:w="2030" w:type="dxa"/>
            <w:tcBorders>
              <w:top w:val="nil"/>
              <w:left w:val="nil"/>
              <w:bottom w:val="nil"/>
              <w:right w:val="nil"/>
            </w:tcBorders>
            <w:vAlign w:val="center"/>
          </w:tcPr>
          <w:p w14:paraId="023903C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ALT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U/L)</w:t>
            </w:r>
          </w:p>
        </w:tc>
        <w:tc>
          <w:tcPr>
            <w:tcW w:w="1759" w:type="dxa"/>
            <w:tcBorders>
              <w:top w:val="nil"/>
              <w:left w:val="nil"/>
              <w:bottom w:val="nil"/>
              <w:right w:val="nil"/>
            </w:tcBorders>
            <w:vAlign w:val="center"/>
          </w:tcPr>
          <w:p w14:paraId="6053827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35.5 ± 30.1</w:t>
            </w:r>
          </w:p>
        </w:tc>
        <w:tc>
          <w:tcPr>
            <w:tcW w:w="1923" w:type="dxa"/>
            <w:tcBorders>
              <w:top w:val="nil"/>
              <w:left w:val="nil"/>
              <w:bottom w:val="nil"/>
              <w:right w:val="nil"/>
            </w:tcBorders>
            <w:vAlign w:val="center"/>
          </w:tcPr>
          <w:p w14:paraId="7EC236B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31.5 ± 21.4</w:t>
            </w:r>
          </w:p>
        </w:tc>
        <w:tc>
          <w:tcPr>
            <w:tcW w:w="2000" w:type="dxa"/>
            <w:tcBorders>
              <w:top w:val="nil"/>
              <w:left w:val="nil"/>
              <w:bottom w:val="nil"/>
              <w:right w:val="nil"/>
            </w:tcBorders>
            <w:vAlign w:val="center"/>
          </w:tcPr>
          <w:p w14:paraId="7BBA605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40.7 ± 38.1</w:t>
            </w:r>
          </w:p>
        </w:tc>
        <w:tc>
          <w:tcPr>
            <w:tcW w:w="1528" w:type="dxa"/>
            <w:tcBorders>
              <w:top w:val="nil"/>
              <w:left w:val="nil"/>
              <w:bottom w:val="nil"/>
              <w:right w:val="nil"/>
            </w:tcBorders>
            <w:vAlign w:val="center"/>
          </w:tcPr>
          <w:p w14:paraId="380E399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0.016</w:t>
            </w:r>
          </w:p>
        </w:tc>
      </w:tr>
      <w:tr w:rsidR="000313D3" w:rsidRPr="00B11F4B" w14:paraId="76E04166" w14:textId="77777777" w:rsidTr="000313D3">
        <w:trPr>
          <w:trHeight w:val="330"/>
        </w:trPr>
        <w:tc>
          <w:tcPr>
            <w:tcW w:w="2030" w:type="dxa"/>
            <w:tcBorders>
              <w:top w:val="nil"/>
              <w:left w:val="nil"/>
              <w:bottom w:val="nil"/>
              <w:right w:val="nil"/>
            </w:tcBorders>
            <w:vAlign w:val="center"/>
          </w:tcPr>
          <w:p w14:paraId="31AEF46F"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AST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U/L)</w:t>
            </w:r>
          </w:p>
        </w:tc>
        <w:tc>
          <w:tcPr>
            <w:tcW w:w="1759" w:type="dxa"/>
            <w:tcBorders>
              <w:top w:val="nil"/>
              <w:left w:val="nil"/>
              <w:bottom w:val="nil"/>
              <w:right w:val="nil"/>
            </w:tcBorders>
            <w:vAlign w:val="center"/>
          </w:tcPr>
          <w:p w14:paraId="1FE411A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36.1 ± 34.6</w:t>
            </w:r>
          </w:p>
        </w:tc>
        <w:tc>
          <w:tcPr>
            <w:tcW w:w="1923" w:type="dxa"/>
            <w:tcBorders>
              <w:top w:val="nil"/>
              <w:left w:val="nil"/>
              <w:bottom w:val="nil"/>
              <w:right w:val="nil"/>
            </w:tcBorders>
            <w:vAlign w:val="center"/>
          </w:tcPr>
          <w:p w14:paraId="0B85160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30.4 ± 15.3</w:t>
            </w:r>
          </w:p>
        </w:tc>
        <w:tc>
          <w:tcPr>
            <w:tcW w:w="2000" w:type="dxa"/>
            <w:tcBorders>
              <w:top w:val="nil"/>
              <w:left w:val="nil"/>
              <w:bottom w:val="nil"/>
              <w:right w:val="nil"/>
            </w:tcBorders>
            <w:vAlign w:val="center"/>
          </w:tcPr>
          <w:p w14:paraId="0BAA911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43.5 ± 48.9</w:t>
            </w:r>
          </w:p>
        </w:tc>
        <w:tc>
          <w:tcPr>
            <w:tcW w:w="1528" w:type="dxa"/>
            <w:tcBorders>
              <w:top w:val="nil"/>
              <w:left w:val="nil"/>
              <w:bottom w:val="nil"/>
              <w:right w:val="nil"/>
            </w:tcBorders>
            <w:vAlign w:val="center"/>
          </w:tcPr>
          <w:p w14:paraId="298BE51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0.11</w:t>
            </w:r>
          </w:p>
        </w:tc>
      </w:tr>
      <w:tr w:rsidR="000313D3" w:rsidRPr="00B11F4B" w14:paraId="65C2E6DF" w14:textId="77777777" w:rsidTr="000313D3">
        <w:trPr>
          <w:trHeight w:val="330"/>
        </w:trPr>
        <w:tc>
          <w:tcPr>
            <w:tcW w:w="2030" w:type="dxa"/>
            <w:tcBorders>
              <w:top w:val="nil"/>
              <w:left w:val="nil"/>
              <w:bottom w:val="nil"/>
              <w:right w:val="nil"/>
            </w:tcBorders>
            <w:vAlign w:val="center"/>
          </w:tcPr>
          <w:p w14:paraId="1439E00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PLT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/L)</w:t>
            </w:r>
          </w:p>
        </w:tc>
        <w:tc>
          <w:tcPr>
            <w:tcW w:w="1759" w:type="dxa"/>
            <w:tcBorders>
              <w:top w:val="nil"/>
              <w:left w:val="nil"/>
              <w:bottom w:val="nil"/>
              <w:right w:val="nil"/>
            </w:tcBorders>
            <w:vAlign w:val="center"/>
          </w:tcPr>
          <w:p w14:paraId="0B54AE6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150.2 ± 66.4</w:t>
            </w:r>
          </w:p>
        </w:tc>
        <w:tc>
          <w:tcPr>
            <w:tcW w:w="1923" w:type="dxa"/>
            <w:tcBorders>
              <w:top w:val="nil"/>
              <w:left w:val="nil"/>
              <w:bottom w:val="nil"/>
              <w:right w:val="nil"/>
            </w:tcBorders>
            <w:vAlign w:val="center"/>
          </w:tcPr>
          <w:p w14:paraId="4AB2BBC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145.0 ± 62.9</w:t>
            </w:r>
          </w:p>
        </w:tc>
        <w:tc>
          <w:tcPr>
            <w:tcW w:w="2000" w:type="dxa"/>
            <w:tcBorders>
              <w:top w:val="nil"/>
              <w:left w:val="nil"/>
              <w:bottom w:val="nil"/>
              <w:right w:val="nil"/>
            </w:tcBorders>
            <w:vAlign w:val="center"/>
          </w:tcPr>
          <w:p w14:paraId="45DA4A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157.2 ± 70.4</w:t>
            </w:r>
          </w:p>
        </w:tc>
        <w:tc>
          <w:tcPr>
            <w:tcW w:w="1528" w:type="dxa"/>
            <w:tcBorders>
              <w:top w:val="nil"/>
              <w:left w:val="nil"/>
              <w:bottom w:val="nil"/>
              <w:right w:val="nil"/>
            </w:tcBorders>
            <w:vAlign w:val="center"/>
          </w:tcPr>
          <w:p w14:paraId="625804F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0.16</w:t>
            </w:r>
          </w:p>
        </w:tc>
      </w:tr>
      <w:tr w:rsidR="000313D3" w:rsidRPr="00B11F4B" w14:paraId="4BAF0CD4" w14:textId="77777777" w:rsidTr="000313D3">
        <w:trPr>
          <w:trHeight w:val="330"/>
        </w:trPr>
        <w:tc>
          <w:tcPr>
            <w:tcW w:w="2030" w:type="dxa"/>
            <w:tcBorders>
              <w:top w:val="nil"/>
              <w:left w:val="nil"/>
              <w:bottom w:val="nil"/>
              <w:right w:val="nil"/>
            </w:tcBorders>
            <w:vAlign w:val="center"/>
          </w:tcPr>
          <w:p w14:paraId="011FD7E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ALB</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g/L)</w:t>
            </w:r>
          </w:p>
        </w:tc>
        <w:tc>
          <w:tcPr>
            <w:tcW w:w="1759" w:type="dxa"/>
            <w:tcBorders>
              <w:top w:val="nil"/>
              <w:left w:val="nil"/>
              <w:bottom w:val="nil"/>
              <w:right w:val="nil"/>
            </w:tcBorders>
            <w:vAlign w:val="center"/>
          </w:tcPr>
          <w:p w14:paraId="3DA95E3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38.8 ± 4.6</w:t>
            </w:r>
          </w:p>
        </w:tc>
        <w:tc>
          <w:tcPr>
            <w:tcW w:w="1923" w:type="dxa"/>
            <w:tcBorders>
              <w:top w:val="nil"/>
              <w:left w:val="nil"/>
              <w:bottom w:val="nil"/>
              <w:right w:val="nil"/>
            </w:tcBorders>
            <w:vAlign w:val="center"/>
          </w:tcPr>
          <w:p w14:paraId="258FC2B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38.7 ± 4.8</w:t>
            </w:r>
          </w:p>
        </w:tc>
        <w:tc>
          <w:tcPr>
            <w:tcW w:w="2000" w:type="dxa"/>
            <w:tcBorders>
              <w:top w:val="nil"/>
              <w:left w:val="nil"/>
              <w:bottom w:val="nil"/>
              <w:right w:val="nil"/>
            </w:tcBorders>
            <w:vAlign w:val="center"/>
          </w:tcPr>
          <w:p w14:paraId="172DB2E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38.9 ± 4.3</w:t>
            </w:r>
          </w:p>
        </w:tc>
        <w:tc>
          <w:tcPr>
            <w:tcW w:w="1528" w:type="dxa"/>
            <w:tcBorders>
              <w:top w:val="nil"/>
              <w:left w:val="nil"/>
              <w:bottom w:val="nil"/>
              <w:right w:val="nil"/>
            </w:tcBorders>
            <w:vAlign w:val="center"/>
          </w:tcPr>
          <w:p w14:paraId="4F35529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0.94</w:t>
            </w:r>
          </w:p>
        </w:tc>
      </w:tr>
      <w:tr w:rsidR="000313D3" w:rsidRPr="00B11F4B" w14:paraId="5DA33A2F" w14:textId="77777777" w:rsidTr="000313D3">
        <w:trPr>
          <w:trHeight w:val="330"/>
        </w:trPr>
        <w:tc>
          <w:tcPr>
            <w:tcW w:w="2030" w:type="dxa"/>
            <w:tcBorders>
              <w:top w:val="nil"/>
              <w:left w:val="nil"/>
              <w:bottom w:val="nil"/>
              <w:right w:val="nil"/>
            </w:tcBorders>
            <w:vAlign w:val="center"/>
          </w:tcPr>
          <w:p w14:paraId="158BF8E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TBIL</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μmol/L)</w:t>
            </w:r>
          </w:p>
        </w:tc>
        <w:tc>
          <w:tcPr>
            <w:tcW w:w="1759" w:type="dxa"/>
            <w:tcBorders>
              <w:top w:val="nil"/>
              <w:left w:val="nil"/>
              <w:bottom w:val="nil"/>
              <w:right w:val="nil"/>
            </w:tcBorders>
            <w:vAlign w:val="center"/>
          </w:tcPr>
          <w:p w14:paraId="35D8B89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17.6 ± 8.9</w:t>
            </w:r>
          </w:p>
        </w:tc>
        <w:tc>
          <w:tcPr>
            <w:tcW w:w="1923" w:type="dxa"/>
            <w:tcBorders>
              <w:top w:val="nil"/>
              <w:left w:val="nil"/>
              <w:bottom w:val="nil"/>
              <w:right w:val="nil"/>
            </w:tcBorders>
            <w:vAlign w:val="center"/>
          </w:tcPr>
          <w:p w14:paraId="562E70A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16.9 ± 8.3</w:t>
            </w:r>
          </w:p>
        </w:tc>
        <w:tc>
          <w:tcPr>
            <w:tcW w:w="2000" w:type="dxa"/>
            <w:tcBorders>
              <w:top w:val="nil"/>
              <w:left w:val="nil"/>
              <w:bottom w:val="nil"/>
              <w:right w:val="nil"/>
            </w:tcBorders>
            <w:vAlign w:val="center"/>
          </w:tcPr>
          <w:p w14:paraId="4EA514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18.6 ± 9.6</w:t>
            </w:r>
          </w:p>
        </w:tc>
        <w:tc>
          <w:tcPr>
            <w:tcW w:w="1528" w:type="dxa"/>
            <w:tcBorders>
              <w:top w:val="nil"/>
              <w:left w:val="nil"/>
              <w:bottom w:val="nil"/>
              <w:right w:val="nil"/>
            </w:tcBorders>
            <w:vAlign w:val="center"/>
          </w:tcPr>
          <w:p w14:paraId="2E1458E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0.16</w:t>
            </w:r>
          </w:p>
        </w:tc>
      </w:tr>
      <w:tr w:rsidR="000313D3" w:rsidRPr="00B11F4B" w14:paraId="006BE3C2" w14:textId="77777777" w:rsidTr="000313D3">
        <w:trPr>
          <w:trHeight w:val="330"/>
        </w:trPr>
        <w:tc>
          <w:tcPr>
            <w:tcW w:w="2030" w:type="dxa"/>
            <w:tcBorders>
              <w:top w:val="nil"/>
              <w:left w:val="nil"/>
              <w:bottom w:val="nil"/>
              <w:right w:val="nil"/>
            </w:tcBorders>
            <w:vAlign w:val="center"/>
          </w:tcPr>
          <w:p w14:paraId="59FBF39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Cr</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μmol/L)</w:t>
            </w:r>
          </w:p>
        </w:tc>
        <w:tc>
          <w:tcPr>
            <w:tcW w:w="1759" w:type="dxa"/>
            <w:tcBorders>
              <w:top w:val="nil"/>
              <w:left w:val="nil"/>
              <w:bottom w:val="nil"/>
              <w:right w:val="nil"/>
            </w:tcBorders>
            <w:vAlign w:val="center"/>
          </w:tcPr>
          <w:p w14:paraId="31BDC65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74.0 ± 17.5</w:t>
            </w:r>
          </w:p>
        </w:tc>
        <w:tc>
          <w:tcPr>
            <w:tcW w:w="1923" w:type="dxa"/>
            <w:tcBorders>
              <w:top w:val="nil"/>
              <w:left w:val="nil"/>
              <w:bottom w:val="nil"/>
              <w:right w:val="nil"/>
            </w:tcBorders>
            <w:vAlign w:val="center"/>
          </w:tcPr>
          <w:p w14:paraId="586FF96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74.3 ± 19.8</w:t>
            </w:r>
          </w:p>
        </w:tc>
        <w:tc>
          <w:tcPr>
            <w:tcW w:w="2000" w:type="dxa"/>
            <w:tcBorders>
              <w:top w:val="nil"/>
              <w:left w:val="nil"/>
              <w:bottom w:val="nil"/>
              <w:right w:val="nil"/>
            </w:tcBorders>
            <w:vAlign w:val="center"/>
          </w:tcPr>
          <w:p w14:paraId="5AC0153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73.6 ± 14.0</w:t>
            </w:r>
          </w:p>
        </w:tc>
        <w:tc>
          <w:tcPr>
            <w:tcW w:w="1528" w:type="dxa"/>
            <w:tcBorders>
              <w:top w:val="nil"/>
              <w:left w:val="nil"/>
              <w:bottom w:val="nil"/>
              <w:right w:val="nil"/>
            </w:tcBorders>
            <w:vAlign w:val="center"/>
          </w:tcPr>
          <w:p w14:paraId="15FC058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0.42</w:t>
            </w:r>
          </w:p>
        </w:tc>
      </w:tr>
      <w:tr w:rsidR="000313D3" w:rsidRPr="00B11F4B" w14:paraId="62053662" w14:textId="77777777" w:rsidTr="000313D3">
        <w:trPr>
          <w:trHeight w:val="330"/>
        </w:trPr>
        <w:tc>
          <w:tcPr>
            <w:tcW w:w="2030" w:type="dxa"/>
            <w:tcBorders>
              <w:top w:val="nil"/>
              <w:left w:val="nil"/>
              <w:bottom w:val="nil"/>
              <w:right w:val="nil"/>
            </w:tcBorders>
            <w:vAlign w:val="center"/>
          </w:tcPr>
          <w:p w14:paraId="460D3E4D"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PT</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051BEBF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13.8 ± 1.2</w:t>
            </w:r>
          </w:p>
        </w:tc>
        <w:tc>
          <w:tcPr>
            <w:tcW w:w="1923" w:type="dxa"/>
            <w:tcBorders>
              <w:top w:val="nil"/>
              <w:left w:val="nil"/>
              <w:bottom w:val="nil"/>
              <w:right w:val="nil"/>
            </w:tcBorders>
            <w:vAlign w:val="center"/>
          </w:tcPr>
          <w:p w14:paraId="1B3909F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13.9 ± 1.2</w:t>
            </w:r>
          </w:p>
        </w:tc>
        <w:tc>
          <w:tcPr>
            <w:tcW w:w="2000" w:type="dxa"/>
            <w:tcBorders>
              <w:top w:val="nil"/>
              <w:left w:val="nil"/>
              <w:bottom w:val="nil"/>
              <w:right w:val="nil"/>
            </w:tcBorders>
            <w:vAlign w:val="center"/>
          </w:tcPr>
          <w:p w14:paraId="763F7C3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13.8 ± 1.3</w:t>
            </w:r>
          </w:p>
        </w:tc>
        <w:tc>
          <w:tcPr>
            <w:tcW w:w="1528" w:type="dxa"/>
            <w:tcBorders>
              <w:top w:val="nil"/>
              <w:left w:val="nil"/>
              <w:bottom w:val="nil"/>
              <w:right w:val="nil"/>
            </w:tcBorders>
            <w:vAlign w:val="center"/>
          </w:tcPr>
          <w:p w14:paraId="7C8DABD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0.49</w:t>
            </w:r>
          </w:p>
        </w:tc>
      </w:tr>
      <w:tr w:rsidR="000313D3" w:rsidRPr="00B11F4B" w14:paraId="1BDD4EB0" w14:textId="77777777" w:rsidTr="000313D3">
        <w:trPr>
          <w:trHeight w:val="330"/>
        </w:trPr>
        <w:tc>
          <w:tcPr>
            <w:tcW w:w="2030" w:type="dxa"/>
            <w:tcBorders>
              <w:top w:val="nil"/>
              <w:left w:val="nil"/>
              <w:bottom w:val="nil"/>
              <w:right w:val="nil"/>
            </w:tcBorders>
            <w:vAlign w:val="center"/>
          </w:tcPr>
          <w:p w14:paraId="7D04362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PTA(</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w:t>
            </w:r>
          </w:p>
        </w:tc>
        <w:tc>
          <w:tcPr>
            <w:tcW w:w="1759" w:type="dxa"/>
            <w:tcBorders>
              <w:top w:val="nil"/>
              <w:left w:val="nil"/>
              <w:bottom w:val="nil"/>
              <w:right w:val="nil"/>
            </w:tcBorders>
            <w:vAlign w:val="center"/>
          </w:tcPr>
          <w:p w14:paraId="259D526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92.6 ± 14.9</w:t>
            </w:r>
          </w:p>
        </w:tc>
        <w:tc>
          <w:tcPr>
            <w:tcW w:w="1923" w:type="dxa"/>
            <w:tcBorders>
              <w:top w:val="nil"/>
              <w:left w:val="nil"/>
              <w:bottom w:val="nil"/>
              <w:right w:val="nil"/>
            </w:tcBorders>
            <w:vAlign w:val="center"/>
          </w:tcPr>
          <w:p w14:paraId="1F6E045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92.3 ± 13.7</w:t>
            </w:r>
          </w:p>
        </w:tc>
        <w:tc>
          <w:tcPr>
            <w:tcW w:w="2000" w:type="dxa"/>
            <w:tcBorders>
              <w:top w:val="nil"/>
              <w:left w:val="nil"/>
              <w:bottom w:val="nil"/>
              <w:right w:val="nil"/>
            </w:tcBorders>
            <w:vAlign w:val="center"/>
          </w:tcPr>
          <w:p w14:paraId="5AA8704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92.9 ± 16.3</w:t>
            </w:r>
          </w:p>
        </w:tc>
        <w:tc>
          <w:tcPr>
            <w:tcW w:w="1528" w:type="dxa"/>
            <w:tcBorders>
              <w:top w:val="nil"/>
              <w:left w:val="nil"/>
              <w:bottom w:val="nil"/>
              <w:right w:val="nil"/>
            </w:tcBorders>
            <w:vAlign w:val="center"/>
          </w:tcPr>
          <w:p w14:paraId="0AE8B10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0.91</w:t>
            </w:r>
          </w:p>
        </w:tc>
      </w:tr>
      <w:tr w:rsidR="000313D3" w:rsidRPr="00B11F4B" w14:paraId="7177B4D1" w14:textId="77777777" w:rsidTr="000313D3">
        <w:trPr>
          <w:trHeight w:val="330"/>
        </w:trPr>
        <w:tc>
          <w:tcPr>
            <w:tcW w:w="2030" w:type="dxa"/>
            <w:tcBorders>
              <w:top w:val="nil"/>
              <w:left w:val="nil"/>
              <w:bottom w:val="nil"/>
              <w:right w:val="nil"/>
            </w:tcBorders>
            <w:vAlign w:val="center"/>
          </w:tcPr>
          <w:p w14:paraId="14207F4C" w14:textId="77777777" w:rsidR="000313D3" w:rsidRPr="001E6671" w:rsidRDefault="000313D3" w:rsidP="00664BFB">
            <w:pPr>
              <w:adjustRightInd w:val="0"/>
              <w:snapToGrid w:val="0"/>
              <w:spacing w:line="360" w:lineRule="auto"/>
              <w:rPr>
                <w:rFonts w:ascii="Book Antiqua" w:eastAsia="微软雅黑" w:hAnsi="Book Antiqua" w:cs="Book Antiqua"/>
                <w:color w:val="000000"/>
                <w:lang w:eastAsia="zh-CN"/>
              </w:rPr>
            </w:pPr>
            <w:r w:rsidRPr="001E6671">
              <w:rPr>
                <w:rFonts w:ascii="Book Antiqua" w:eastAsia="微软雅黑" w:hAnsi="Book Antiqua" w:cs="Book Antiqua"/>
                <w:bCs/>
                <w:color w:val="000000"/>
              </w:rPr>
              <w:t>INR</w:t>
            </w:r>
            <w:r w:rsidRPr="001E6671">
              <w:rPr>
                <w:rFonts w:ascii="Book Antiqua" w:eastAsia="微软雅黑" w:hAnsi="Book Antiqua" w:cs="Book Antiqua"/>
                <w:bCs/>
                <w:color w:val="000000"/>
                <w:lang w:eastAsia="zh-CN"/>
              </w:rPr>
              <w:t xml:space="preserve"> (mean ± SD)</w:t>
            </w:r>
          </w:p>
        </w:tc>
        <w:tc>
          <w:tcPr>
            <w:tcW w:w="1759" w:type="dxa"/>
            <w:tcBorders>
              <w:top w:val="nil"/>
              <w:left w:val="nil"/>
              <w:bottom w:val="nil"/>
              <w:right w:val="nil"/>
            </w:tcBorders>
            <w:vAlign w:val="center"/>
          </w:tcPr>
          <w:p w14:paraId="3DC0336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1923" w:type="dxa"/>
            <w:tcBorders>
              <w:top w:val="nil"/>
              <w:left w:val="nil"/>
              <w:bottom w:val="nil"/>
              <w:right w:val="nil"/>
            </w:tcBorders>
            <w:vAlign w:val="center"/>
          </w:tcPr>
          <w:p w14:paraId="11815B2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2000" w:type="dxa"/>
            <w:tcBorders>
              <w:top w:val="nil"/>
              <w:left w:val="nil"/>
              <w:bottom w:val="nil"/>
              <w:right w:val="nil"/>
            </w:tcBorders>
            <w:vAlign w:val="center"/>
          </w:tcPr>
          <w:p w14:paraId="2A9395E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1.1 ± 0.1</w:t>
            </w:r>
          </w:p>
        </w:tc>
        <w:tc>
          <w:tcPr>
            <w:tcW w:w="1528" w:type="dxa"/>
            <w:tcBorders>
              <w:top w:val="nil"/>
              <w:left w:val="nil"/>
              <w:bottom w:val="nil"/>
              <w:right w:val="nil"/>
            </w:tcBorders>
            <w:vAlign w:val="center"/>
          </w:tcPr>
          <w:p w14:paraId="7AE9ABF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0.97</w:t>
            </w:r>
          </w:p>
        </w:tc>
      </w:tr>
      <w:tr w:rsidR="000313D3" w:rsidRPr="00B11F4B" w14:paraId="55416B7F" w14:textId="77777777" w:rsidTr="000313D3">
        <w:trPr>
          <w:trHeight w:val="330"/>
        </w:trPr>
        <w:tc>
          <w:tcPr>
            <w:tcW w:w="2030" w:type="dxa"/>
            <w:tcBorders>
              <w:top w:val="nil"/>
              <w:left w:val="nil"/>
              <w:bottom w:val="nil"/>
              <w:right w:val="nil"/>
            </w:tcBorders>
            <w:vAlign w:val="center"/>
          </w:tcPr>
          <w:p w14:paraId="1860A0D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Start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4E07867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16.8 ± 3.7</w:t>
            </w:r>
          </w:p>
        </w:tc>
        <w:tc>
          <w:tcPr>
            <w:tcW w:w="1923" w:type="dxa"/>
            <w:tcBorders>
              <w:top w:val="nil"/>
              <w:left w:val="nil"/>
              <w:bottom w:val="nil"/>
              <w:right w:val="nil"/>
            </w:tcBorders>
            <w:vAlign w:val="center"/>
          </w:tcPr>
          <w:p w14:paraId="11BE50B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17.1 ± 3.9</w:t>
            </w:r>
          </w:p>
        </w:tc>
        <w:tc>
          <w:tcPr>
            <w:tcW w:w="2000" w:type="dxa"/>
            <w:tcBorders>
              <w:top w:val="nil"/>
              <w:left w:val="nil"/>
              <w:bottom w:val="nil"/>
              <w:right w:val="nil"/>
            </w:tcBorders>
            <w:vAlign w:val="center"/>
          </w:tcPr>
          <w:p w14:paraId="4D2B028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16.5 ± 3.5</w:t>
            </w:r>
          </w:p>
        </w:tc>
        <w:tc>
          <w:tcPr>
            <w:tcW w:w="1528" w:type="dxa"/>
            <w:tcBorders>
              <w:top w:val="nil"/>
              <w:left w:val="nil"/>
              <w:bottom w:val="nil"/>
              <w:right w:val="nil"/>
            </w:tcBorders>
            <w:vAlign w:val="center"/>
          </w:tcPr>
          <w:p w14:paraId="060DAA0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0.17</w:t>
            </w:r>
          </w:p>
        </w:tc>
      </w:tr>
      <w:tr w:rsidR="000313D3" w:rsidRPr="00B11F4B" w14:paraId="11F28BE5" w14:textId="77777777" w:rsidTr="000313D3">
        <w:trPr>
          <w:trHeight w:val="330"/>
        </w:trPr>
        <w:tc>
          <w:tcPr>
            <w:tcW w:w="2030" w:type="dxa"/>
            <w:tcBorders>
              <w:top w:val="nil"/>
              <w:left w:val="nil"/>
              <w:bottom w:val="nil"/>
              <w:right w:val="nil"/>
            </w:tcBorders>
            <w:vAlign w:val="center"/>
          </w:tcPr>
          <w:p w14:paraId="49C5B882"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Peak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4144371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24.1 ± 5.6</w:t>
            </w:r>
          </w:p>
        </w:tc>
        <w:tc>
          <w:tcPr>
            <w:tcW w:w="1923" w:type="dxa"/>
            <w:tcBorders>
              <w:top w:val="nil"/>
              <w:left w:val="nil"/>
              <w:bottom w:val="nil"/>
              <w:right w:val="nil"/>
            </w:tcBorders>
            <w:vAlign w:val="center"/>
          </w:tcPr>
          <w:p w14:paraId="7102E584"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24.1 ± 5.3</w:t>
            </w:r>
          </w:p>
        </w:tc>
        <w:tc>
          <w:tcPr>
            <w:tcW w:w="2000" w:type="dxa"/>
            <w:tcBorders>
              <w:top w:val="nil"/>
              <w:left w:val="nil"/>
              <w:bottom w:val="nil"/>
              <w:right w:val="nil"/>
            </w:tcBorders>
            <w:vAlign w:val="center"/>
          </w:tcPr>
          <w:p w14:paraId="172BE99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24.0 ± 6.0</w:t>
            </w:r>
          </w:p>
        </w:tc>
        <w:tc>
          <w:tcPr>
            <w:tcW w:w="1528" w:type="dxa"/>
            <w:tcBorders>
              <w:top w:val="nil"/>
              <w:left w:val="nil"/>
              <w:bottom w:val="nil"/>
              <w:right w:val="nil"/>
            </w:tcBorders>
            <w:vAlign w:val="center"/>
          </w:tcPr>
          <w:p w14:paraId="0AAC602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0.45</w:t>
            </w:r>
          </w:p>
        </w:tc>
      </w:tr>
      <w:tr w:rsidR="000313D3" w:rsidRPr="00B11F4B" w14:paraId="11692D8F" w14:textId="77777777" w:rsidTr="000313D3">
        <w:trPr>
          <w:trHeight w:val="330"/>
        </w:trPr>
        <w:tc>
          <w:tcPr>
            <w:tcW w:w="2030" w:type="dxa"/>
            <w:tcBorders>
              <w:top w:val="nil"/>
              <w:left w:val="nil"/>
              <w:bottom w:val="nil"/>
              <w:right w:val="nil"/>
            </w:tcBorders>
            <w:vAlign w:val="center"/>
          </w:tcPr>
          <w:p w14:paraId="20ED991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Iso</w:t>
            </w:r>
            <w:r w:rsidR="005043E2">
              <w:rPr>
                <w:rFonts w:ascii="Book Antiqua" w:eastAsia="微软雅黑" w:hAnsi="Book Antiqua" w:cs="Book Antiqua"/>
                <w:bCs/>
                <w:color w:val="000000"/>
              </w:rPr>
              <w:t>-</w:t>
            </w:r>
            <w:r w:rsidRPr="001E6671">
              <w:rPr>
                <w:rFonts w:ascii="Book Antiqua" w:eastAsia="微软雅黑" w:hAnsi="Book Antiqua" w:cs="Book Antiqua"/>
                <w:bCs/>
                <w:color w:val="000000"/>
              </w:rPr>
              <w:t>time</w:t>
            </w:r>
            <w:r w:rsidRPr="001E6671">
              <w:rPr>
                <w:rFonts w:ascii="Book Antiqua" w:eastAsia="微软雅黑" w:hAnsi="Book Antiqua" w:cs="Book Antiqua"/>
                <w:bCs/>
                <w:color w:val="000000"/>
                <w:lang w:eastAsia="zh-CN"/>
              </w:rPr>
              <w:t xml:space="preserve"> (mean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561723C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39.1 ± 16.9</w:t>
            </w:r>
          </w:p>
        </w:tc>
        <w:tc>
          <w:tcPr>
            <w:tcW w:w="1923" w:type="dxa"/>
            <w:tcBorders>
              <w:top w:val="nil"/>
              <w:left w:val="nil"/>
              <w:bottom w:val="nil"/>
              <w:right w:val="nil"/>
            </w:tcBorders>
            <w:vAlign w:val="center"/>
          </w:tcPr>
          <w:p w14:paraId="50C579D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40.9 ± 19.8</w:t>
            </w:r>
          </w:p>
        </w:tc>
        <w:tc>
          <w:tcPr>
            <w:tcW w:w="2000" w:type="dxa"/>
            <w:tcBorders>
              <w:top w:val="nil"/>
              <w:left w:val="nil"/>
              <w:bottom w:val="nil"/>
              <w:right w:val="nil"/>
            </w:tcBorders>
            <w:vAlign w:val="center"/>
          </w:tcPr>
          <w:p w14:paraId="42E0FFE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36.8 ± 11.7</w:t>
            </w:r>
          </w:p>
        </w:tc>
        <w:tc>
          <w:tcPr>
            <w:tcW w:w="1528" w:type="dxa"/>
            <w:tcBorders>
              <w:top w:val="nil"/>
              <w:left w:val="nil"/>
              <w:bottom w:val="nil"/>
              <w:right w:val="nil"/>
            </w:tcBorders>
            <w:vAlign w:val="center"/>
          </w:tcPr>
          <w:p w14:paraId="4CC735D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0.079</w:t>
            </w:r>
          </w:p>
        </w:tc>
      </w:tr>
      <w:tr w:rsidR="000313D3" w:rsidRPr="00B11F4B" w14:paraId="670E9EB1" w14:textId="77777777" w:rsidTr="000313D3">
        <w:trPr>
          <w:trHeight w:val="330"/>
        </w:trPr>
        <w:tc>
          <w:tcPr>
            <w:tcW w:w="2030" w:type="dxa"/>
            <w:tcBorders>
              <w:top w:val="nil"/>
              <w:left w:val="nil"/>
              <w:bottom w:val="nil"/>
              <w:right w:val="nil"/>
            </w:tcBorders>
            <w:vAlign w:val="center"/>
          </w:tcPr>
          <w:p w14:paraId="0B05802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bCs/>
                <w:color w:val="000000"/>
              </w:rPr>
              <w:t>Washout time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color w:val="000000"/>
              </w:rPr>
              <w:t>(</w:t>
            </w:r>
            <w:r w:rsidRPr="001E6671">
              <w:rPr>
                <w:rFonts w:ascii="Book Antiqua" w:eastAsia="微软雅黑" w:hAnsi="Book Antiqua" w:cs="Book Antiqua"/>
                <w:bCs/>
                <w:color w:val="000000"/>
                <w:lang w:eastAsia="zh-CN"/>
              </w:rPr>
              <w:t xml:space="preserve">mean ± SD, </w:t>
            </w:r>
            <w:r w:rsidRPr="001E6671">
              <w:rPr>
                <w:rFonts w:ascii="Book Antiqua" w:eastAsia="微软雅黑" w:hAnsi="Book Antiqua" w:cs="Book Antiqua"/>
                <w:bCs/>
                <w:color w:val="000000"/>
              </w:rPr>
              <w:t>s)</w:t>
            </w:r>
          </w:p>
        </w:tc>
        <w:tc>
          <w:tcPr>
            <w:tcW w:w="1759" w:type="dxa"/>
            <w:tcBorders>
              <w:top w:val="nil"/>
              <w:left w:val="nil"/>
              <w:bottom w:val="nil"/>
              <w:right w:val="nil"/>
            </w:tcBorders>
            <w:vAlign w:val="center"/>
          </w:tcPr>
          <w:p w14:paraId="6D10EF7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94.8 ± 63.3</w:t>
            </w:r>
          </w:p>
        </w:tc>
        <w:tc>
          <w:tcPr>
            <w:tcW w:w="1923" w:type="dxa"/>
            <w:tcBorders>
              <w:top w:val="nil"/>
              <w:left w:val="nil"/>
              <w:bottom w:val="nil"/>
              <w:right w:val="nil"/>
            </w:tcBorders>
            <w:vAlign w:val="center"/>
          </w:tcPr>
          <w:p w14:paraId="3DBE952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98.5 ± 63.3</w:t>
            </w:r>
          </w:p>
        </w:tc>
        <w:tc>
          <w:tcPr>
            <w:tcW w:w="2000" w:type="dxa"/>
            <w:tcBorders>
              <w:top w:val="nil"/>
              <w:left w:val="nil"/>
              <w:bottom w:val="nil"/>
              <w:right w:val="nil"/>
            </w:tcBorders>
            <w:vAlign w:val="center"/>
          </w:tcPr>
          <w:p w14:paraId="536C973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89.8 ± 63.3</w:t>
            </w:r>
          </w:p>
        </w:tc>
        <w:tc>
          <w:tcPr>
            <w:tcW w:w="1528" w:type="dxa"/>
            <w:tcBorders>
              <w:top w:val="nil"/>
              <w:left w:val="nil"/>
              <w:bottom w:val="nil"/>
              <w:right w:val="nil"/>
            </w:tcBorders>
            <w:vAlign w:val="center"/>
          </w:tcPr>
          <w:p w14:paraId="07F1EC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0.11</w:t>
            </w:r>
          </w:p>
        </w:tc>
      </w:tr>
      <w:tr w:rsidR="000313D3" w:rsidRPr="00B11F4B" w14:paraId="6CF308DF" w14:textId="77777777" w:rsidTr="000313D3">
        <w:trPr>
          <w:trHeight w:val="300"/>
        </w:trPr>
        <w:tc>
          <w:tcPr>
            <w:tcW w:w="9240" w:type="dxa"/>
            <w:gridSpan w:val="5"/>
            <w:tcBorders>
              <w:top w:val="nil"/>
              <w:left w:val="nil"/>
              <w:bottom w:val="nil"/>
              <w:right w:val="nil"/>
            </w:tcBorders>
            <w:vAlign w:val="center"/>
          </w:tcPr>
          <w:p w14:paraId="36EAE8D5" w14:textId="77777777" w:rsidR="000313D3" w:rsidRPr="001E6671" w:rsidRDefault="000313D3" w:rsidP="00664BFB">
            <w:pPr>
              <w:adjustRightInd w:val="0"/>
              <w:snapToGrid w:val="0"/>
              <w:spacing w:line="360" w:lineRule="auto"/>
              <w:rPr>
                <w:rFonts w:ascii="Book Antiqua" w:eastAsia="微软雅黑" w:hAnsi="Book Antiqua" w:cs="Book Antiqua"/>
                <w:bCs/>
                <w:color w:val="000000"/>
                <w:lang w:eastAsia="zh-CN"/>
              </w:rPr>
            </w:pPr>
            <w:r w:rsidRPr="001E6671">
              <w:rPr>
                <w:rFonts w:ascii="Book Antiqua" w:eastAsia="微软雅黑" w:hAnsi="Book Antiqua" w:cs="Book Antiqua"/>
                <w:bCs/>
                <w:color w:val="000000"/>
              </w:rPr>
              <w:t>Sex</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65B149C1" w14:textId="77777777" w:rsidTr="000313D3">
        <w:trPr>
          <w:trHeight w:val="330"/>
        </w:trPr>
        <w:tc>
          <w:tcPr>
            <w:tcW w:w="2030" w:type="dxa"/>
            <w:tcBorders>
              <w:top w:val="nil"/>
              <w:left w:val="nil"/>
              <w:bottom w:val="nil"/>
              <w:right w:val="nil"/>
            </w:tcBorders>
            <w:vAlign w:val="center"/>
          </w:tcPr>
          <w:p w14:paraId="42A83684"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Male</w:t>
            </w:r>
          </w:p>
        </w:tc>
        <w:tc>
          <w:tcPr>
            <w:tcW w:w="1759" w:type="dxa"/>
            <w:tcBorders>
              <w:top w:val="nil"/>
              <w:left w:val="nil"/>
              <w:bottom w:val="nil"/>
              <w:right w:val="nil"/>
            </w:tcBorders>
            <w:vAlign w:val="center"/>
          </w:tcPr>
          <w:p w14:paraId="4A40482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238 (81.5)</w:t>
            </w:r>
          </w:p>
        </w:tc>
        <w:tc>
          <w:tcPr>
            <w:tcW w:w="1923" w:type="dxa"/>
            <w:tcBorders>
              <w:top w:val="nil"/>
              <w:left w:val="nil"/>
              <w:bottom w:val="nil"/>
              <w:right w:val="nil"/>
            </w:tcBorders>
            <w:vAlign w:val="center"/>
          </w:tcPr>
          <w:p w14:paraId="1F1E11F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129 (77.7)</w:t>
            </w:r>
          </w:p>
        </w:tc>
        <w:tc>
          <w:tcPr>
            <w:tcW w:w="2000" w:type="dxa"/>
            <w:tcBorders>
              <w:top w:val="nil"/>
              <w:left w:val="nil"/>
              <w:bottom w:val="nil"/>
              <w:right w:val="nil"/>
            </w:tcBorders>
            <w:vAlign w:val="center"/>
          </w:tcPr>
          <w:p w14:paraId="5FA2D60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lang w:eastAsia="zh-CN"/>
              </w:rPr>
            </w:pPr>
            <w:r w:rsidRPr="00B11F4B">
              <w:rPr>
                <w:rFonts w:ascii="Book Antiqua" w:eastAsia="微软雅黑" w:hAnsi="Book Antiqua" w:cs="Book Antiqua"/>
                <w:color w:val="000000"/>
              </w:rPr>
              <w:t>109 (86.5)</w:t>
            </w:r>
          </w:p>
        </w:tc>
        <w:tc>
          <w:tcPr>
            <w:tcW w:w="1528" w:type="dxa"/>
            <w:tcBorders>
              <w:top w:val="nil"/>
              <w:left w:val="nil"/>
              <w:bottom w:val="nil"/>
              <w:right w:val="nil"/>
            </w:tcBorders>
            <w:vAlign w:val="center"/>
          </w:tcPr>
          <w:p w14:paraId="04F929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0.068</w:t>
            </w:r>
          </w:p>
        </w:tc>
      </w:tr>
      <w:tr w:rsidR="000313D3" w:rsidRPr="00B11F4B" w14:paraId="718A16C9" w14:textId="77777777" w:rsidTr="000313D3">
        <w:trPr>
          <w:trHeight w:val="330"/>
        </w:trPr>
        <w:tc>
          <w:tcPr>
            <w:tcW w:w="2030" w:type="dxa"/>
            <w:tcBorders>
              <w:top w:val="nil"/>
              <w:left w:val="nil"/>
              <w:bottom w:val="nil"/>
              <w:right w:val="nil"/>
            </w:tcBorders>
            <w:vAlign w:val="center"/>
          </w:tcPr>
          <w:p w14:paraId="5D675D7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Female</w:t>
            </w:r>
          </w:p>
        </w:tc>
        <w:tc>
          <w:tcPr>
            <w:tcW w:w="1759" w:type="dxa"/>
            <w:tcBorders>
              <w:top w:val="nil"/>
              <w:left w:val="nil"/>
              <w:bottom w:val="nil"/>
              <w:right w:val="nil"/>
            </w:tcBorders>
            <w:vAlign w:val="center"/>
          </w:tcPr>
          <w:p w14:paraId="6179445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54 (18.5)</w:t>
            </w:r>
          </w:p>
        </w:tc>
        <w:tc>
          <w:tcPr>
            <w:tcW w:w="1923" w:type="dxa"/>
            <w:tcBorders>
              <w:top w:val="nil"/>
              <w:left w:val="nil"/>
              <w:bottom w:val="nil"/>
              <w:right w:val="nil"/>
            </w:tcBorders>
            <w:vAlign w:val="center"/>
          </w:tcPr>
          <w:p w14:paraId="0440B57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37 (22.3)</w:t>
            </w:r>
          </w:p>
        </w:tc>
        <w:tc>
          <w:tcPr>
            <w:tcW w:w="2000" w:type="dxa"/>
            <w:tcBorders>
              <w:top w:val="nil"/>
              <w:left w:val="nil"/>
              <w:bottom w:val="nil"/>
              <w:right w:val="nil"/>
            </w:tcBorders>
            <w:vAlign w:val="center"/>
          </w:tcPr>
          <w:p w14:paraId="417DB47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17 (13.5)</w:t>
            </w:r>
          </w:p>
        </w:tc>
        <w:tc>
          <w:tcPr>
            <w:tcW w:w="1528" w:type="dxa"/>
            <w:tcBorders>
              <w:top w:val="nil"/>
              <w:left w:val="nil"/>
              <w:bottom w:val="nil"/>
              <w:right w:val="nil"/>
            </w:tcBorders>
            <w:vAlign w:val="center"/>
          </w:tcPr>
          <w:p w14:paraId="0E80780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DAA776D" w14:textId="77777777" w:rsidTr="000313D3">
        <w:trPr>
          <w:trHeight w:val="300"/>
        </w:trPr>
        <w:tc>
          <w:tcPr>
            <w:tcW w:w="9240" w:type="dxa"/>
            <w:gridSpan w:val="5"/>
            <w:tcBorders>
              <w:top w:val="nil"/>
              <w:left w:val="nil"/>
              <w:bottom w:val="nil"/>
              <w:right w:val="nil"/>
            </w:tcBorders>
            <w:vAlign w:val="center"/>
          </w:tcPr>
          <w:p w14:paraId="59990039" w14:textId="77777777" w:rsidR="000313D3" w:rsidRPr="001E6671" w:rsidRDefault="000313D3" w:rsidP="00664BFB">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LIRADS</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29E75ACE" w14:textId="77777777" w:rsidTr="000313D3">
        <w:trPr>
          <w:trHeight w:val="330"/>
        </w:trPr>
        <w:tc>
          <w:tcPr>
            <w:tcW w:w="2030" w:type="dxa"/>
            <w:tcBorders>
              <w:top w:val="nil"/>
              <w:left w:val="nil"/>
              <w:bottom w:val="nil"/>
              <w:right w:val="nil"/>
            </w:tcBorders>
            <w:vAlign w:val="center"/>
          </w:tcPr>
          <w:p w14:paraId="6FB47FF0"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3</w:t>
            </w:r>
          </w:p>
        </w:tc>
        <w:tc>
          <w:tcPr>
            <w:tcW w:w="1759" w:type="dxa"/>
            <w:tcBorders>
              <w:top w:val="nil"/>
              <w:left w:val="nil"/>
              <w:bottom w:val="nil"/>
              <w:right w:val="nil"/>
            </w:tcBorders>
            <w:vAlign w:val="center"/>
          </w:tcPr>
          <w:p w14:paraId="7A9D173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10 (3.4)</w:t>
            </w:r>
          </w:p>
        </w:tc>
        <w:tc>
          <w:tcPr>
            <w:tcW w:w="1923" w:type="dxa"/>
            <w:tcBorders>
              <w:top w:val="nil"/>
              <w:left w:val="nil"/>
              <w:bottom w:val="nil"/>
              <w:right w:val="nil"/>
            </w:tcBorders>
            <w:vAlign w:val="center"/>
          </w:tcPr>
          <w:p w14:paraId="7791858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 (4.8)</w:t>
            </w:r>
          </w:p>
        </w:tc>
        <w:tc>
          <w:tcPr>
            <w:tcW w:w="2000" w:type="dxa"/>
            <w:tcBorders>
              <w:top w:val="nil"/>
              <w:left w:val="nil"/>
              <w:bottom w:val="nil"/>
              <w:right w:val="nil"/>
            </w:tcBorders>
            <w:vAlign w:val="center"/>
          </w:tcPr>
          <w:p w14:paraId="24BB99E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(1.6)</w:t>
            </w:r>
          </w:p>
        </w:tc>
        <w:tc>
          <w:tcPr>
            <w:tcW w:w="1528" w:type="dxa"/>
            <w:tcBorders>
              <w:top w:val="nil"/>
              <w:left w:val="nil"/>
              <w:bottom w:val="nil"/>
              <w:right w:val="nil"/>
            </w:tcBorders>
            <w:vAlign w:val="center"/>
          </w:tcPr>
          <w:p w14:paraId="4C0D00D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075BCEDF" w14:textId="77777777" w:rsidTr="000313D3">
        <w:trPr>
          <w:trHeight w:val="330"/>
        </w:trPr>
        <w:tc>
          <w:tcPr>
            <w:tcW w:w="2030" w:type="dxa"/>
            <w:tcBorders>
              <w:top w:val="nil"/>
              <w:left w:val="nil"/>
              <w:bottom w:val="nil"/>
              <w:right w:val="nil"/>
            </w:tcBorders>
            <w:vAlign w:val="center"/>
          </w:tcPr>
          <w:p w14:paraId="2B936AFA"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4</w:t>
            </w:r>
          </w:p>
        </w:tc>
        <w:tc>
          <w:tcPr>
            <w:tcW w:w="1759" w:type="dxa"/>
            <w:tcBorders>
              <w:top w:val="nil"/>
              <w:left w:val="nil"/>
              <w:bottom w:val="nil"/>
              <w:right w:val="nil"/>
            </w:tcBorders>
            <w:vAlign w:val="center"/>
          </w:tcPr>
          <w:p w14:paraId="517BC00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176 (60.3)</w:t>
            </w:r>
          </w:p>
        </w:tc>
        <w:tc>
          <w:tcPr>
            <w:tcW w:w="1923" w:type="dxa"/>
            <w:tcBorders>
              <w:top w:val="nil"/>
              <w:left w:val="nil"/>
              <w:bottom w:val="nil"/>
              <w:right w:val="nil"/>
            </w:tcBorders>
            <w:vAlign w:val="center"/>
          </w:tcPr>
          <w:p w14:paraId="1381AF4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118 (71.1)</w:t>
            </w:r>
          </w:p>
        </w:tc>
        <w:tc>
          <w:tcPr>
            <w:tcW w:w="2000" w:type="dxa"/>
            <w:tcBorders>
              <w:top w:val="nil"/>
              <w:left w:val="nil"/>
              <w:bottom w:val="nil"/>
              <w:right w:val="nil"/>
            </w:tcBorders>
            <w:vAlign w:val="center"/>
          </w:tcPr>
          <w:p w14:paraId="712DB9C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58 (46.0)</w:t>
            </w:r>
          </w:p>
        </w:tc>
        <w:tc>
          <w:tcPr>
            <w:tcW w:w="1528" w:type="dxa"/>
            <w:tcBorders>
              <w:top w:val="nil"/>
              <w:left w:val="nil"/>
              <w:bottom w:val="nil"/>
              <w:right w:val="nil"/>
            </w:tcBorders>
            <w:vAlign w:val="center"/>
          </w:tcPr>
          <w:p w14:paraId="023D5E6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2FAFD810" w14:textId="77777777" w:rsidTr="000313D3">
        <w:trPr>
          <w:trHeight w:val="330"/>
        </w:trPr>
        <w:tc>
          <w:tcPr>
            <w:tcW w:w="2030" w:type="dxa"/>
            <w:tcBorders>
              <w:top w:val="nil"/>
              <w:left w:val="nil"/>
              <w:bottom w:val="nil"/>
              <w:right w:val="nil"/>
            </w:tcBorders>
            <w:vAlign w:val="center"/>
          </w:tcPr>
          <w:p w14:paraId="681BE3A1"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5</w:t>
            </w:r>
          </w:p>
        </w:tc>
        <w:tc>
          <w:tcPr>
            <w:tcW w:w="1759" w:type="dxa"/>
            <w:tcBorders>
              <w:top w:val="nil"/>
              <w:left w:val="nil"/>
              <w:bottom w:val="nil"/>
              <w:right w:val="nil"/>
            </w:tcBorders>
            <w:vAlign w:val="center"/>
          </w:tcPr>
          <w:p w14:paraId="10F8852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95 (32.5)</w:t>
            </w:r>
          </w:p>
        </w:tc>
        <w:tc>
          <w:tcPr>
            <w:tcW w:w="1923" w:type="dxa"/>
            <w:tcBorders>
              <w:top w:val="nil"/>
              <w:left w:val="nil"/>
              <w:bottom w:val="nil"/>
              <w:right w:val="nil"/>
            </w:tcBorders>
            <w:vAlign w:val="center"/>
          </w:tcPr>
          <w:p w14:paraId="2919D6E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37 (22.3)</w:t>
            </w:r>
          </w:p>
        </w:tc>
        <w:tc>
          <w:tcPr>
            <w:tcW w:w="2000" w:type="dxa"/>
            <w:tcBorders>
              <w:top w:val="nil"/>
              <w:left w:val="nil"/>
              <w:bottom w:val="nil"/>
              <w:right w:val="nil"/>
            </w:tcBorders>
            <w:vAlign w:val="center"/>
          </w:tcPr>
          <w:p w14:paraId="5F5647A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58 (46.0)</w:t>
            </w:r>
          </w:p>
        </w:tc>
        <w:tc>
          <w:tcPr>
            <w:tcW w:w="1528" w:type="dxa"/>
            <w:tcBorders>
              <w:top w:val="nil"/>
              <w:left w:val="nil"/>
              <w:bottom w:val="nil"/>
              <w:right w:val="nil"/>
            </w:tcBorders>
            <w:vAlign w:val="center"/>
          </w:tcPr>
          <w:p w14:paraId="0C08263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0DCACD31" w14:textId="77777777" w:rsidTr="000313D3">
        <w:trPr>
          <w:trHeight w:val="330"/>
        </w:trPr>
        <w:tc>
          <w:tcPr>
            <w:tcW w:w="2030" w:type="dxa"/>
            <w:tcBorders>
              <w:top w:val="nil"/>
              <w:left w:val="nil"/>
              <w:bottom w:val="nil"/>
              <w:right w:val="nil"/>
            </w:tcBorders>
            <w:vAlign w:val="center"/>
          </w:tcPr>
          <w:p w14:paraId="0800B8D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6</w:t>
            </w:r>
          </w:p>
        </w:tc>
        <w:tc>
          <w:tcPr>
            <w:tcW w:w="1759" w:type="dxa"/>
            <w:tcBorders>
              <w:top w:val="nil"/>
              <w:left w:val="nil"/>
              <w:bottom w:val="nil"/>
              <w:right w:val="nil"/>
            </w:tcBorders>
            <w:vAlign w:val="center"/>
          </w:tcPr>
          <w:p w14:paraId="1EC0514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 (3.8)</w:t>
            </w:r>
          </w:p>
        </w:tc>
        <w:tc>
          <w:tcPr>
            <w:tcW w:w="1923" w:type="dxa"/>
            <w:tcBorders>
              <w:top w:val="nil"/>
              <w:left w:val="nil"/>
              <w:bottom w:val="nil"/>
              <w:right w:val="nil"/>
            </w:tcBorders>
            <w:vAlign w:val="center"/>
          </w:tcPr>
          <w:p w14:paraId="52FAA83F"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 (1.8)</w:t>
            </w:r>
          </w:p>
        </w:tc>
        <w:tc>
          <w:tcPr>
            <w:tcW w:w="2000" w:type="dxa"/>
            <w:tcBorders>
              <w:top w:val="nil"/>
              <w:left w:val="nil"/>
              <w:bottom w:val="nil"/>
              <w:right w:val="nil"/>
            </w:tcBorders>
            <w:vAlign w:val="center"/>
          </w:tcPr>
          <w:p w14:paraId="75154D1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 (6.3)</w:t>
            </w:r>
          </w:p>
        </w:tc>
        <w:tc>
          <w:tcPr>
            <w:tcW w:w="1528" w:type="dxa"/>
            <w:tcBorders>
              <w:top w:val="nil"/>
              <w:left w:val="nil"/>
              <w:bottom w:val="nil"/>
              <w:right w:val="nil"/>
            </w:tcBorders>
            <w:vAlign w:val="center"/>
          </w:tcPr>
          <w:p w14:paraId="4D3BE4F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6C6CFFC3" w14:textId="77777777" w:rsidTr="000313D3">
        <w:trPr>
          <w:trHeight w:val="300"/>
        </w:trPr>
        <w:tc>
          <w:tcPr>
            <w:tcW w:w="9240" w:type="dxa"/>
            <w:gridSpan w:val="5"/>
            <w:tcBorders>
              <w:top w:val="nil"/>
              <w:left w:val="nil"/>
              <w:bottom w:val="nil"/>
              <w:right w:val="nil"/>
            </w:tcBorders>
            <w:vAlign w:val="center"/>
          </w:tcPr>
          <w:p w14:paraId="382E89E6" w14:textId="77777777" w:rsidR="000313D3" w:rsidRPr="001E6671" w:rsidRDefault="000313D3" w:rsidP="00664BFB">
            <w:pPr>
              <w:adjustRightInd w:val="0"/>
              <w:snapToGrid w:val="0"/>
              <w:spacing w:line="360" w:lineRule="auto"/>
              <w:rPr>
                <w:rFonts w:ascii="Book Antiqua" w:eastAsia="微软雅黑" w:hAnsi="Book Antiqua" w:cs="Book Antiqua"/>
                <w:bCs/>
                <w:color w:val="000000"/>
                <w:lang w:eastAsia="zh-CN"/>
              </w:rPr>
            </w:pPr>
            <w:r w:rsidRPr="001E6671">
              <w:rPr>
                <w:rFonts w:ascii="Book Antiqua" w:eastAsia="微软雅黑" w:hAnsi="Book Antiqua" w:cs="Book Antiqua"/>
                <w:bCs/>
                <w:color w:val="000000"/>
              </w:rPr>
              <w:t>AFP</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 </w:t>
            </w:r>
            <w:r w:rsidRPr="001E6671">
              <w:rPr>
                <w:rFonts w:ascii="Book Antiqua" w:eastAsia="微软雅黑" w:hAnsi="Book Antiqua" w:cs="Book Antiqua"/>
                <w:bCs/>
                <w:color w:val="000000"/>
              </w:rPr>
              <w:t>μg/L</w:t>
            </w:r>
            <w:r w:rsidRPr="001E6671">
              <w:rPr>
                <w:rFonts w:ascii="Book Antiqua" w:eastAsia="微软雅黑" w:hAnsi="Book Antiqua" w:cs="Book Antiqua"/>
                <w:bCs/>
                <w:color w:val="000000"/>
                <w:lang w:eastAsia="zh-CN"/>
              </w:rPr>
              <w:t>]</w:t>
            </w:r>
          </w:p>
        </w:tc>
      </w:tr>
      <w:tr w:rsidR="000313D3" w:rsidRPr="00B11F4B" w14:paraId="50AD7955" w14:textId="77777777" w:rsidTr="000313D3">
        <w:trPr>
          <w:trHeight w:val="330"/>
        </w:trPr>
        <w:tc>
          <w:tcPr>
            <w:tcW w:w="2030" w:type="dxa"/>
            <w:tcBorders>
              <w:top w:val="nil"/>
              <w:left w:val="nil"/>
              <w:bottom w:val="nil"/>
              <w:right w:val="nil"/>
            </w:tcBorders>
            <w:vAlign w:val="center"/>
          </w:tcPr>
          <w:p w14:paraId="2C9CD96C"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&lt;</w:t>
            </w:r>
            <w:r w:rsidRPr="001E6671">
              <w:rPr>
                <w:rFonts w:ascii="Book Antiqua" w:eastAsia="微软雅黑" w:hAnsi="Book Antiqua" w:cs="Book Antiqua"/>
                <w:color w:val="000000"/>
                <w:lang w:eastAsia="zh-CN"/>
              </w:rPr>
              <w:t xml:space="preserve"> </w:t>
            </w:r>
            <w:r w:rsidRPr="001E6671">
              <w:rPr>
                <w:rFonts w:ascii="Book Antiqua" w:eastAsia="微软雅黑" w:hAnsi="Book Antiqua" w:cs="Book Antiqua"/>
                <w:color w:val="000000"/>
              </w:rPr>
              <w:t>20</w:t>
            </w:r>
          </w:p>
        </w:tc>
        <w:tc>
          <w:tcPr>
            <w:tcW w:w="1759" w:type="dxa"/>
            <w:tcBorders>
              <w:top w:val="nil"/>
              <w:left w:val="nil"/>
              <w:bottom w:val="nil"/>
              <w:right w:val="nil"/>
            </w:tcBorders>
            <w:vAlign w:val="center"/>
          </w:tcPr>
          <w:p w14:paraId="184DC83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193 (66.1)</w:t>
            </w:r>
          </w:p>
        </w:tc>
        <w:tc>
          <w:tcPr>
            <w:tcW w:w="1923" w:type="dxa"/>
            <w:tcBorders>
              <w:top w:val="nil"/>
              <w:left w:val="nil"/>
              <w:bottom w:val="nil"/>
              <w:right w:val="nil"/>
            </w:tcBorders>
            <w:vAlign w:val="center"/>
          </w:tcPr>
          <w:p w14:paraId="7B05F65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133 (80.1)</w:t>
            </w:r>
          </w:p>
        </w:tc>
        <w:tc>
          <w:tcPr>
            <w:tcW w:w="2000" w:type="dxa"/>
            <w:tcBorders>
              <w:top w:val="nil"/>
              <w:left w:val="nil"/>
              <w:bottom w:val="nil"/>
              <w:right w:val="nil"/>
            </w:tcBorders>
            <w:vAlign w:val="center"/>
          </w:tcPr>
          <w:p w14:paraId="2EC828B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60 (47.6)</w:t>
            </w:r>
          </w:p>
        </w:tc>
        <w:tc>
          <w:tcPr>
            <w:tcW w:w="1528" w:type="dxa"/>
            <w:tcBorders>
              <w:top w:val="nil"/>
              <w:left w:val="nil"/>
              <w:bottom w:val="nil"/>
              <w:right w:val="nil"/>
            </w:tcBorders>
            <w:vAlign w:val="center"/>
          </w:tcPr>
          <w:p w14:paraId="4FCEEED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&lt; 0.001</w:t>
            </w:r>
          </w:p>
        </w:tc>
      </w:tr>
      <w:tr w:rsidR="000313D3" w:rsidRPr="00B11F4B" w14:paraId="316BFAA7" w14:textId="77777777" w:rsidTr="000313D3">
        <w:trPr>
          <w:trHeight w:val="330"/>
        </w:trPr>
        <w:tc>
          <w:tcPr>
            <w:tcW w:w="2030" w:type="dxa"/>
            <w:tcBorders>
              <w:top w:val="nil"/>
              <w:left w:val="nil"/>
              <w:bottom w:val="nil"/>
              <w:right w:val="nil"/>
            </w:tcBorders>
            <w:vAlign w:val="center"/>
          </w:tcPr>
          <w:p w14:paraId="2A1499CE"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20-200</w:t>
            </w:r>
          </w:p>
        </w:tc>
        <w:tc>
          <w:tcPr>
            <w:tcW w:w="1759" w:type="dxa"/>
            <w:tcBorders>
              <w:top w:val="nil"/>
              <w:left w:val="nil"/>
              <w:bottom w:val="nil"/>
              <w:right w:val="nil"/>
            </w:tcBorders>
            <w:vAlign w:val="center"/>
          </w:tcPr>
          <w:p w14:paraId="735D4B3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32 (11.0)</w:t>
            </w:r>
          </w:p>
        </w:tc>
        <w:tc>
          <w:tcPr>
            <w:tcW w:w="1923" w:type="dxa"/>
            <w:tcBorders>
              <w:top w:val="nil"/>
              <w:left w:val="nil"/>
              <w:bottom w:val="nil"/>
              <w:right w:val="nil"/>
            </w:tcBorders>
            <w:vAlign w:val="center"/>
          </w:tcPr>
          <w:p w14:paraId="5D1ADBC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 (7.8)</w:t>
            </w:r>
          </w:p>
        </w:tc>
        <w:tc>
          <w:tcPr>
            <w:tcW w:w="2000" w:type="dxa"/>
            <w:tcBorders>
              <w:top w:val="nil"/>
              <w:left w:val="nil"/>
              <w:bottom w:val="nil"/>
              <w:right w:val="nil"/>
            </w:tcBorders>
            <w:vAlign w:val="center"/>
          </w:tcPr>
          <w:p w14:paraId="6A6E9C6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19 (15.1)</w:t>
            </w:r>
          </w:p>
        </w:tc>
        <w:tc>
          <w:tcPr>
            <w:tcW w:w="1528" w:type="dxa"/>
            <w:tcBorders>
              <w:top w:val="nil"/>
              <w:left w:val="nil"/>
              <w:bottom w:val="nil"/>
              <w:right w:val="nil"/>
            </w:tcBorders>
            <w:vAlign w:val="center"/>
          </w:tcPr>
          <w:p w14:paraId="3072712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1319CA65" w14:textId="77777777" w:rsidTr="000313D3">
        <w:trPr>
          <w:trHeight w:val="330"/>
        </w:trPr>
        <w:tc>
          <w:tcPr>
            <w:tcW w:w="2030" w:type="dxa"/>
            <w:tcBorders>
              <w:top w:val="nil"/>
              <w:left w:val="nil"/>
              <w:bottom w:val="nil"/>
              <w:right w:val="nil"/>
            </w:tcBorders>
            <w:vAlign w:val="center"/>
          </w:tcPr>
          <w:p w14:paraId="167B9A7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&gt;</w:t>
            </w:r>
            <w:r w:rsidRPr="001E6671">
              <w:rPr>
                <w:rFonts w:ascii="Book Antiqua" w:eastAsia="微软雅黑" w:hAnsi="Book Antiqua" w:cs="Book Antiqua"/>
                <w:color w:val="000000"/>
                <w:lang w:eastAsia="zh-CN"/>
              </w:rPr>
              <w:t xml:space="preserve"> </w:t>
            </w:r>
            <w:r w:rsidRPr="001E6671">
              <w:rPr>
                <w:rFonts w:ascii="Book Antiqua" w:eastAsia="微软雅黑" w:hAnsi="Book Antiqua" w:cs="Book Antiqua"/>
                <w:color w:val="000000"/>
              </w:rPr>
              <w:t>200</w:t>
            </w:r>
          </w:p>
        </w:tc>
        <w:tc>
          <w:tcPr>
            <w:tcW w:w="1759" w:type="dxa"/>
            <w:tcBorders>
              <w:top w:val="nil"/>
              <w:left w:val="nil"/>
              <w:bottom w:val="nil"/>
              <w:right w:val="nil"/>
            </w:tcBorders>
            <w:vAlign w:val="center"/>
          </w:tcPr>
          <w:p w14:paraId="1EE1406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67 (22.9)</w:t>
            </w:r>
          </w:p>
        </w:tc>
        <w:tc>
          <w:tcPr>
            <w:tcW w:w="1923" w:type="dxa"/>
            <w:tcBorders>
              <w:top w:val="nil"/>
              <w:left w:val="nil"/>
              <w:bottom w:val="nil"/>
              <w:right w:val="nil"/>
            </w:tcBorders>
            <w:vAlign w:val="center"/>
          </w:tcPr>
          <w:p w14:paraId="4270E80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20 (12.0)</w:t>
            </w:r>
          </w:p>
        </w:tc>
        <w:tc>
          <w:tcPr>
            <w:tcW w:w="2000" w:type="dxa"/>
            <w:tcBorders>
              <w:top w:val="nil"/>
              <w:left w:val="nil"/>
              <w:bottom w:val="nil"/>
              <w:right w:val="nil"/>
            </w:tcBorders>
            <w:vAlign w:val="center"/>
          </w:tcPr>
          <w:p w14:paraId="0082B70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47 (37.3)</w:t>
            </w:r>
          </w:p>
        </w:tc>
        <w:tc>
          <w:tcPr>
            <w:tcW w:w="1528" w:type="dxa"/>
            <w:tcBorders>
              <w:top w:val="nil"/>
              <w:left w:val="nil"/>
              <w:bottom w:val="nil"/>
              <w:right w:val="nil"/>
            </w:tcBorders>
            <w:vAlign w:val="center"/>
          </w:tcPr>
          <w:p w14:paraId="31B54B6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43D57E7" w14:textId="77777777" w:rsidTr="000313D3">
        <w:trPr>
          <w:trHeight w:val="300"/>
        </w:trPr>
        <w:tc>
          <w:tcPr>
            <w:tcW w:w="9240" w:type="dxa"/>
            <w:gridSpan w:val="5"/>
            <w:tcBorders>
              <w:top w:val="nil"/>
              <w:left w:val="nil"/>
              <w:bottom w:val="nil"/>
              <w:right w:val="nil"/>
            </w:tcBorders>
            <w:vAlign w:val="center"/>
          </w:tcPr>
          <w:p w14:paraId="5F7630DC" w14:textId="0F12F046" w:rsidR="000313D3" w:rsidRPr="001E6671" w:rsidRDefault="000313D3" w:rsidP="00D472B5">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Enhancement </w:t>
            </w:r>
            <w:r w:rsidR="00D472B5">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7035B340" w14:textId="77777777" w:rsidTr="000313D3">
        <w:trPr>
          <w:trHeight w:val="660"/>
        </w:trPr>
        <w:tc>
          <w:tcPr>
            <w:tcW w:w="2030" w:type="dxa"/>
            <w:tcBorders>
              <w:top w:val="nil"/>
              <w:left w:val="nil"/>
              <w:bottom w:val="nil"/>
              <w:right w:val="nil"/>
            </w:tcBorders>
            <w:vAlign w:val="center"/>
          </w:tcPr>
          <w:p w14:paraId="50621155" w14:textId="42DC0C33"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 xml:space="preserve">in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5D3FD09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42 (14.4)</w:t>
            </w:r>
          </w:p>
        </w:tc>
        <w:tc>
          <w:tcPr>
            <w:tcW w:w="1923" w:type="dxa"/>
            <w:tcBorders>
              <w:top w:val="nil"/>
              <w:left w:val="nil"/>
              <w:bottom w:val="nil"/>
              <w:right w:val="nil"/>
            </w:tcBorders>
            <w:vAlign w:val="center"/>
          </w:tcPr>
          <w:p w14:paraId="7432A5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24 (14.5)</w:t>
            </w:r>
          </w:p>
        </w:tc>
        <w:tc>
          <w:tcPr>
            <w:tcW w:w="2000" w:type="dxa"/>
            <w:tcBorders>
              <w:top w:val="nil"/>
              <w:left w:val="nil"/>
              <w:bottom w:val="nil"/>
              <w:right w:val="nil"/>
            </w:tcBorders>
            <w:vAlign w:val="center"/>
          </w:tcPr>
          <w:p w14:paraId="55FB358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18 (14.3)</w:t>
            </w:r>
          </w:p>
        </w:tc>
        <w:tc>
          <w:tcPr>
            <w:tcW w:w="1528" w:type="dxa"/>
            <w:tcBorders>
              <w:top w:val="nil"/>
              <w:left w:val="nil"/>
              <w:bottom w:val="nil"/>
              <w:right w:val="nil"/>
            </w:tcBorders>
            <w:vAlign w:val="center"/>
          </w:tcPr>
          <w:p w14:paraId="2141B12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08056A87" w14:textId="77777777" w:rsidTr="000313D3">
        <w:trPr>
          <w:trHeight w:val="330"/>
        </w:trPr>
        <w:tc>
          <w:tcPr>
            <w:tcW w:w="2030" w:type="dxa"/>
            <w:tcBorders>
              <w:top w:val="nil"/>
              <w:left w:val="nil"/>
              <w:bottom w:val="nil"/>
              <w:right w:val="nil"/>
            </w:tcBorders>
            <w:vAlign w:val="center"/>
          </w:tcPr>
          <w:p w14:paraId="572AA425" w14:textId="60CE7D41"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 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19E8101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250 (85.6)</w:t>
            </w:r>
          </w:p>
        </w:tc>
        <w:tc>
          <w:tcPr>
            <w:tcW w:w="1923" w:type="dxa"/>
            <w:tcBorders>
              <w:top w:val="nil"/>
              <w:left w:val="nil"/>
              <w:bottom w:val="nil"/>
              <w:right w:val="nil"/>
            </w:tcBorders>
            <w:vAlign w:val="center"/>
          </w:tcPr>
          <w:p w14:paraId="76BCE98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142 (85.5)</w:t>
            </w:r>
          </w:p>
        </w:tc>
        <w:tc>
          <w:tcPr>
            <w:tcW w:w="2000" w:type="dxa"/>
            <w:tcBorders>
              <w:top w:val="nil"/>
              <w:left w:val="nil"/>
              <w:bottom w:val="nil"/>
              <w:right w:val="nil"/>
            </w:tcBorders>
            <w:vAlign w:val="center"/>
          </w:tcPr>
          <w:p w14:paraId="48572D2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108 (85.7)</w:t>
            </w:r>
          </w:p>
        </w:tc>
        <w:tc>
          <w:tcPr>
            <w:tcW w:w="1528" w:type="dxa"/>
            <w:tcBorders>
              <w:top w:val="nil"/>
              <w:left w:val="nil"/>
              <w:bottom w:val="nil"/>
              <w:right w:val="nil"/>
            </w:tcBorders>
            <w:vAlign w:val="center"/>
          </w:tcPr>
          <w:p w14:paraId="536C97B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3C5D5F6F" w14:textId="77777777" w:rsidTr="000313D3">
        <w:trPr>
          <w:trHeight w:val="300"/>
        </w:trPr>
        <w:tc>
          <w:tcPr>
            <w:tcW w:w="9240" w:type="dxa"/>
            <w:gridSpan w:val="5"/>
            <w:tcBorders>
              <w:top w:val="nil"/>
              <w:left w:val="nil"/>
              <w:bottom w:val="nil"/>
              <w:right w:val="nil"/>
            </w:tcBorders>
            <w:vAlign w:val="center"/>
          </w:tcPr>
          <w:p w14:paraId="52D47A1C" w14:textId="6CA810A2"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Wash-in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4B6CE979" w14:textId="77777777" w:rsidTr="000313D3">
        <w:trPr>
          <w:trHeight w:val="330"/>
        </w:trPr>
        <w:tc>
          <w:tcPr>
            <w:tcW w:w="2030" w:type="dxa"/>
            <w:tcBorders>
              <w:top w:val="nil"/>
              <w:left w:val="nil"/>
              <w:bottom w:val="nil"/>
              <w:right w:val="nil"/>
            </w:tcBorders>
            <w:vAlign w:val="center"/>
          </w:tcPr>
          <w:p w14:paraId="6523084D" w14:textId="069317E2"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w:t>
            </w:r>
          </w:p>
        </w:tc>
        <w:tc>
          <w:tcPr>
            <w:tcW w:w="1759" w:type="dxa"/>
            <w:tcBorders>
              <w:top w:val="nil"/>
              <w:left w:val="nil"/>
              <w:bottom w:val="nil"/>
              <w:right w:val="nil"/>
            </w:tcBorders>
            <w:vAlign w:val="center"/>
          </w:tcPr>
          <w:p w14:paraId="0C02702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 (1.4)</w:t>
            </w:r>
          </w:p>
        </w:tc>
        <w:tc>
          <w:tcPr>
            <w:tcW w:w="1923" w:type="dxa"/>
            <w:tcBorders>
              <w:top w:val="nil"/>
              <w:left w:val="nil"/>
              <w:bottom w:val="nil"/>
              <w:right w:val="nil"/>
            </w:tcBorders>
            <w:vAlign w:val="center"/>
          </w:tcPr>
          <w:p w14:paraId="54955D8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(1.2)</w:t>
            </w:r>
          </w:p>
        </w:tc>
        <w:tc>
          <w:tcPr>
            <w:tcW w:w="2000" w:type="dxa"/>
            <w:tcBorders>
              <w:top w:val="nil"/>
              <w:left w:val="nil"/>
              <w:bottom w:val="nil"/>
              <w:right w:val="nil"/>
            </w:tcBorders>
            <w:vAlign w:val="center"/>
          </w:tcPr>
          <w:p w14:paraId="0131402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 (1.6)</w:t>
            </w:r>
          </w:p>
        </w:tc>
        <w:tc>
          <w:tcPr>
            <w:tcW w:w="1528" w:type="dxa"/>
            <w:tcBorders>
              <w:top w:val="nil"/>
              <w:left w:val="nil"/>
              <w:bottom w:val="nil"/>
              <w:right w:val="nil"/>
            </w:tcBorders>
            <w:vAlign w:val="center"/>
          </w:tcPr>
          <w:p w14:paraId="5977290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34706FD0" w14:textId="77777777" w:rsidTr="000313D3">
        <w:trPr>
          <w:trHeight w:val="330"/>
        </w:trPr>
        <w:tc>
          <w:tcPr>
            <w:tcW w:w="2030" w:type="dxa"/>
            <w:tcBorders>
              <w:top w:val="nil"/>
              <w:left w:val="nil"/>
              <w:bottom w:val="nil"/>
              <w:right w:val="nil"/>
            </w:tcBorders>
            <w:vAlign w:val="center"/>
          </w:tcPr>
          <w:p w14:paraId="2C45B1A8" w14:textId="5407E47C"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in</w:t>
            </w:r>
          </w:p>
        </w:tc>
        <w:tc>
          <w:tcPr>
            <w:tcW w:w="1759" w:type="dxa"/>
            <w:tcBorders>
              <w:top w:val="nil"/>
              <w:left w:val="nil"/>
              <w:bottom w:val="nil"/>
              <w:right w:val="nil"/>
            </w:tcBorders>
            <w:vAlign w:val="center"/>
          </w:tcPr>
          <w:p w14:paraId="08BD46B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288 (98.6)</w:t>
            </w:r>
          </w:p>
        </w:tc>
        <w:tc>
          <w:tcPr>
            <w:tcW w:w="1923" w:type="dxa"/>
            <w:tcBorders>
              <w:top w:val="nil"/>
              <w:left w:val="nil"/>
              <w:bottom w:val="nil"/>
              <w:right w:val="nil"/>
            </w:tcBorders>
            <w:vAlign w:val="center"/>
          </w:tcPr>
          <w:p w14:paraId="604D7A7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164 (98.8)</w:t>
            </w:r>
          </w:p>
        </w:tc>
        <w:tc>
          <w:tcPr>
            <w:tcW w:w="2000" w:type="dxa"/>
            <w:tcBorders>
              <w:top w:val="nil"/>
              <w:left w:val="nil"/>
              <w:bottom w:val="nil"/>
              <w:right w:val="nil"/>
            </w:tcBorders>
            <w:vAlign w:val="center"/>
          </w:tcPr>
          <w:p w14:paraId="175F3D36"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124 (98.4)</w:t>
            </w:r>
          </w:p>
        </w:tc>
        <w:tc>
          <w:tcPr>
            <w:tcW w:w="1528" w:type="dxa"/>
            <w:tcBorders>
              <w:top w:val="nil"/>
              <w:left w:val="nil"/>
              <w:bottom w:val="nil"/>
              <w:right w:val="nil"/>
            </w:tcBorders>
            <w:vAlign w:val="center"/>
          </w:tcPr>
          <w:p w14:paraId="3BBBF3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030C4DD8" w14:textId="77777777" w:rsidTr="000313D3">
        <w:trPr>
          <w:trHeight w:val="300"/>
        </w:trPr>
        <w:tc>
          <w:tcPr>
            <w:tcW w:w="9240" w:type="dxa"/>
            <w:gridSpan w:val="5"/>
            <w:tcBorders>
              <w:top w:val="nil"/>
              <w:left w:val="nil"/>
              <w:bottom w:val="nil"/>
              <w:right w:val="nil"/>
            </w:tcBorders>
            <w:vAlign w:val="center"/>
          </w:tcPr>
          <w:p w14:paraId="587E5EEB" w14:textId="4DD54967"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 xml:space="preserve">Washout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004DDCB7" w14:textId="77777777" w:rsidTr="000313D3">
        <w:trPr>
          <w:trHeight w:val="330"/>
        </w:trPr>
        <w:tc>
          <w:tcPr>
            <w:tcW w:w="2030" w:type="dxa"/>
            <w:tcBorders>
              <w:top w:val="nil"/>
              <w:left w:val="nil"/>
              <w:bottom w:val="nil"/>
              <w:right w:val="nil"/>
            </w:tcBorders>
            <w:vAlign w:val="center"/>
          </w:tcPr>
          <w:p w14:paraId="0A12FD3C" w14:textId="0A6DE4E4"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1589AF4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80 (27.4)</w:t>
            </w:r>
          </w:p>
        </w:tc>
        <w:tc>
          <w:tcPr>
            <w:tcW w:w="1923" w:type="dxa"/>
            <w:tcBorders>
              <w:top w:val="nil"/>
              <w:left w:val="nil"/>
              <w:bottom w:val="nil"/>
              <w:right w:val="nil"/>
            </w:tcBorders>
            <w:vAlign w:val="center"/>
          </w:tcPr>
          <w:p w14:paraId="5E1533E2"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41 (24.7)</w:t>
            </w:r>
          </w:p>
        </w:tc>
        <w:tc>
          <w:tcPr>
            <w:tcW w:w="2000" w:type="dxa"/>
            <w:tcBorders>
              <w:top w:val="nil"/>
              <w:left w:val="nil"/>
              <w:bottom w:val="nil"/>
              <w:right w:val="nil"/>
            </w:tcBorders>
            <w:vAlign w:val="center"/>
          </w:tcPr>
          <w:p w14:paraId="6E74498A"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39 (31.0)</w:t>
            </w:r>
          </w:p>
        </w:tc>
        <w:tc>
          <w:tcPr>
            <w:tcW w:w="1528" w:type="dxa"/>
            <w:tcBorders>
              <w:top w:val="nil"/>
              <w:left w:val="nil"/>
              <w:bottom w:val="nil"/>
              <w:right w:val="nil"/>
            </w:tcBorders>
            <w:vAlign w:val="center"/>
          </w:tcPr>
          <w:p w14:paraId="7E3632F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0.29</w:t>
            </w:r>
          </w:p>
        </w:tc>
      </w:tr>
      <w:tr w:rsidR="000313D3" w:rsidRPr="00B11F4B" w14:paraId="1FB776FE" w14:textId="77777777" w:rsidTr="000313D3">
        <w:trPr>
          <w:trHeight w:val="330"/>
        </w:trPr>
        <w:tc>
          <w:tcPr>
            <w:tcW w:w="2030" w:type="dxa"/>
            <w:tcBorders>
              <w:top w:val="nil"/>
              <w:left w:val="nil"/>
              <w:bottom w:val="nil"/>
              <w:right w:val="nil"/>
            </w:tcBorders>
            <w:vAlign w:val="center"/>
          </w:tcPr>
          <w:p w14:paraId="461907C3" w14:textId="34F2A498" w:rsidR="000313D3" w:rsidRPr="001E6671" w:rsidRDefault="000313D3" w:rsidP="005043E2">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w:t>
            </w:r>
            <w:r w:rsidR="005043E2" w:rsidRPr="001E6671">
              <w:rPr>
                <w:rFonts w:ascii="Book Antiqua" w:eastAsia="微软雅黑" w:hAnsi="Book Antiqua" w:cs="Book Antiqua"/>
                <w:color w:val="000000"/>
              </w:rPr>
              <w:t>Fast</w:t>
            </w:r>
            <w:r w:rsidR="005043E2">
              <w:rPr>
                <w:rFonts w:ascii="Book Antiqua" w:eastAsia="微软雅黑" w:hAnsi="Book Antiqua" w:cs="Book Antiqua"/>
                <w:color w:val="000000"/>
              </w:rPr>
              <w:t>-</w:t>
            </w:r>
            <w:r w:rsidRPr="001E6671">
              <w:rPr>
                <w:rFonts w:ascii="Book Antiqua" w:eastAsia="微软雅黑" w:hAnsi="Book Antiqua" w:cs="Book Antiqua"/>
                <w:color w:val="000000"/>
              </w:rPr>
              <w:t>out</w:t>
            </w:r>
          </w:p>
        </w:tc>
        <w:tc>
          <w:tcPr>
            <w:tcW w:w="1759" w:type="dxa"/>
            <w:tcBorders>
              <w:top w:val="nil"/>
              <w:left w:val="nil"/>
              <w:bottom w:val="nil"/>
              <w:right w:val="nil"/>
            </w:tcBorders>
            <w:vAlign w:val="center"/>
          </w:tcPr>
          <w:p w14:paraId="494B8EEB"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212 (72.6)</w:t>
            </w:r>
          </w:p>
        </w:tc>
        <w:tc>
          <w:tcPr>
            <w:tcW w:w="1923" w:type="dxa"/>
            <w:tcBorders>
              <w:top w:val="nil"/>
              <w:left w:val="nil"/>
              <w:bottom w:val="nil"/>
              <w:right w:val="nil"/>
            </w:tcBorders>
            <w:vAlign w:val="center"/>
          </w:tcPr>
          <w:p w14:paraId="72B6B5B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125 (75.3)</w:t>
            </w:r>
          </w:p>
        </w:tc>
        <w:tc>
          <w:tcPr>
            <w:tcW w:w="2000" w:type="dxa"/>
            <w:tcBorders>
              <w:top w:val="nil"/>
              <w:left w:val="nil"/>
              <w:bottom w:val="nil"/>
              <w:right w:val="nil"/>
            </w:tcBorders>
            <w:vAlign w:val="center"/>
          </w:tcPr>
          <w:p w14:paraId="66673B3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87 (69.0)</w:t>
            </w:r>
          </w:p>
        </w:tc>
        <w:tc>
          <w:tcPr>
            <w:tcW w:w="1528" w:type="dxa"/>
            <w:tcBorders>
              <w:top w:val="nil"/>
              <w:left w:val="nil"/>
              <w:bottom w:val="nil"/>
              <w:right w:val="nil"/>
            </w:tcBorders>
            <w:vAlign w:val="center"/>
          </w:tcPr>
          <w:p w14:paraId="2156F31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6D731DD8" w14:textId="77777777" w:rsidTr="000313D3">
        <w:trPr>
          <w:trHeight w:val="300"/>
        </w:trPr>
        <w:tc>
          <w:tcPr>
            <w:tcW w:w="9240" w:type="dxa"/>
            <w:gridSpan w:val="5"/>
            <w:tcBorders>
              <w:top w:val="nil"/>
              <w:left w:val="nil"/>
              <w:bottom w:val="nil"/>
              <w:right w:val="nil"/>
            </w:tcBorders>
            <w:vAlign w:val="center"/>
          </w:tcPr>
          <w:p w14:paraId="5C5CC15E" w14:textId="5BA123AC" w:rsidR="000313D3" w:rsidRPr="001E6671" w:rsidRDefault="000313D3" w:rsidP="005043E2">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Enhance</w:t>
            </w:r>
            <w:r w:rsidR="005043E2">
              <w:rPr>
                <w:rFonts w:ascii="Book Antiqua" w:eastAsia="微软雅黑" w:hAnsi="Book Antiqua" w:cs="Book Antiqua"/>
                <w:bCs/>
                <w:color w:val="000000"/>
              </w:rPr>
              <w:t>ment</w:t>
            </w:r>
            <w:r w:rsidRPr="001E6671">
              <w:rPr>
                <w:rFonts w:ascii="Book Antiqua" w:eastAsia="微软雅黑" w:hAnsi="Book Antiqua" w:cs="Book Antiqua"/>
                <w:bCs/>
                <w:color w:val="000000"/>
              </w:rPr>
              <w:t xml:space="preserve"> </w:t>
            </w:r>
            <w:r w:rsidR="005043E2">
              <w:rPr>
                <w:rFonts w:ascii="Book Antiqua" w:eastAsia="微软雅黑" w:hAnsi="Book Antiqua" w:cs="Book Antiqua"/>
                <w:bCs/>
                <w:color w:val="000000"/>
              </w:rPr>
              <w:t>type</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6937E746" w14:textId="77777777" w:rsidTr="000313D3">
        <w:trPr>
          <w:trHeight w:val="660"/>
        </w:trPr>
        <w:tc>
          <w:tcPr>
            <w:tcW w:w="2030" w:type="dxa"/>
            <w:tcBorders>
              <w:top w:val="nil"/>
              <w:left w:val="nil"/>
              <w:bottom w:val="nil"/>
              <w:right w:val="nil"/>
            </w:tcBorders>
            <w:vAlign w:val="center"/>
          </w:tcPr>
          <w:p w14:paraId="744CDA7B"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Homogeneous enhancement</w:t>
            </w:r>
          </w:p>
        </w:tc>
        <w:tc>
          <w:tcPr>
            <w:tcW w:w="1759" w:type="dxa"/>
            <w:tcBorders>
              <w:top w:val="nil"/>
              <w:left w:val="nil"/>
              <w:bottom w:val="nil"/>
              <w:right w:val="nil"/>
            </w:tcBorders>
            <w:vAlign w:val="center"/>
          </w:tcPr>
          <w:p w14:paraId="436699FE"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223 (76.4)</w:t>
            </w:r>
          </w:p>
        </w:tc>
        <w:tc>
          <w:tcPr>
            <w:tcW w:w="1923" w:type="dxa"/>
            <w:tcBorders>
              <w:top w:val="nil"/>
              <w:left w:val="nil"/>
              <w:bottom w:val="nil"/>
              <w:right w:val="nil"/>
            </w:tcBorders>
            <w:vAlign w:val="center"/>
          </w:tcPr>
          <w:p w14:paraId="522E821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127 (76.5)</w:t>
            </w:r>
          </w:p>
        </w:tc>
        <w:tc>
          <w:tcPr>
            <w:tcW w:w="2000" w:type="dxa"/>
            <w:tcBorders>
              <w:top w:val="nil"/>
              <w:left w:val="nil"/>
              <w:bottom w:val="nil"/>
              <w:right w:val="nil"/>
            </w:tcBorders>
            <w:vAlign w:val="center"/>
          </w:tcPr>
          <w:p w14:paraId="5D42480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96 (76.2)</w:t>
            </w:r>
          </w:p>
        </w:tc>
        <w:tc>
          <w:tcPr>
            <w:tcW w:w="1528" w:type="dxa"/>
            <w:tcBorders>
              <w:top w:val="nil"/>
              <w:left w:val="nil"/>
              <w:bottom w:val="nil"/>
              <w:right w:val="nil"/>
            </w:tcBorders>
            <w:vAlign w:val="center"/>
          </w:tcPr>
          <w:p w14:paraId="52D24F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45A290DA" w14:textId="77777777" w:rsidTr="000313D3">
        <w:trPr>
          <w:trHeight w:val="660"/>
        </w:trPr>
        <w:tc>
          <w:tcPr>
            <w:tcW w:w="2030" w:type="dxa"/>
            <w:tcBorders>
              <w:top w:val="nil"/>
              <w:left w:val="nil"/>
              <w:bottom w:val="nil"/>
              <w:right w:val="nil"/>
            </w:tcBorders>
            <w:vAlign w:val="center"/>
          </w:tcPr>
          <w:p w14:paraId="20B06723"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Inhomogeneous enhancement</w:t>
            </w:r>
          </w:p>
        </w:tc>
        <w:tc>
          <w:tcPr>
            <w:tcW w:w="1759" w:type="dxa"/>
            <w:tcBorders>
              <w:top w:val="nil"/>
              <w:left w:val="nil"/>
              <w:bottom w:val="nil"/>
              <w:right w:val="nil"/>
            </w:tcBorders>
            <w:vAlign w:val="center"/>
          </w:tcPr>
          <w:p w14:paraId="2A71631D"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69 (23.6)</w:t>
            </w:r>
          </w:p>
        </w:tc>
        <w:tc>
          <w:tcPr>
            <w:tcW w:w="1923" w:type="dxa"/>
            <w:tcBorders>
              <w:top w:val="nil"/>
              <w:left w:val="nil"/>
              <w:bottom w:val="nil"/>
              <w:right w:val="nil"/>
            </w:tcBorders>
            <w:vAlign w:val="center"/>
          </w:tcPr>
          <w:p w14:paraId="5AF4084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39 (23.5)</w:t>
            </w:r>
          </w:p>
        </w:tc>
        <w:tc>
          <w:tcPr>
            <w:tcW w:w="2000" w:type="dxa"/>
            <w:tcBorders>
              <w:top w:val="nil"/>
              <w:left w:val="nil"/>
              <w:bottom w:val="nil"/>
              <w:right w:val="nil"/>
            </w:tcBorders>
            <w:vAlign w:val="center"/>
          </w:tcPr>
          <w:p w14:paraId="5EED92B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30 (23.8)</w:t>
            </w:r>
          </w:p>
        </w:tc>
        <w:tc>
          <w:tcPr>
            <w:tcW w:w="1528" w:type="dxa"/>
            <w:tcBorders>
              <w:top w:val="nil"/>
              <w:left w:val="nil"/>
              <w:bottom w:val="nil"/>
              <w:right w:val="nil"/>
            </w:tcBorders>
            <w:vAlign w:val="center"/>
          </w:tcPr>
          <w:p w14:paraId="5B221593"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p>
        </w:tc>
      </w:tr>
      <w:tr w:rsidR="000313D3" w:rsidRPr="00B11F4B" w14:paraId="5E793E3B" w14:textId="77777777" w:rsidTr="000313D3">
        <w:trPr>
          <w:trHeight w:val="300"/>
        </w:trPr>
        <w:tc>
          <w:tcPr>
            <w:tcW w:w="9240" w:type="dxa"/>
            <w:gridSpan w:val="5"/>
            <w:tcBorders>
              <w:top w:val="nil"/>
              <w:left w:val="nil"/>
              <w:bottom w:val="nil"/>
              <w:right w:val="nil"/>
            </w:tcBorders>
            <w:vAlign w:val="center"/>
          </w:tcPr>
          <w:p w14:paraId="089BDCFB" w14:textId="77777777" w:rsidR="000313D3" w:rsidRPr="001E6671" w:rsidRDefault="000313D3" w:rsidP="00664BFB">
            <w:pPr>
              <w:adjustRightInd w:val="0"/>
              <w:snapToGrid w:val="0"/>
              <w:spacing w:line="360" w:lineRule="auto"/>
              <w:rPr>
                <w:rFonts w:ascii="Book Antiqua" w:eastAsia="微软雅黑" w:hAnsi="Book Antiqua" w:cs="Book Antiqua"/>
                <w:bCs/>
                <w:color w:val="000000"/>
              </w:rPr>
            </w:pPr>
            <w:r w:rsidRPr="001E6671">
              <w:rPr>
                <w:rFonts w:ascii="Book Antiqua" w:eastAsia="微软雅黑" w:hAnsi="Book Antiqua" w:cs="Book Antiqua"/>
                <w:bCs/>
                <w:color w:val="000000"/>
              </w:rPr>
              <w:t>Location</w:t>
            </w:r>
            <w:r w:rsidRPr="001E6671">
              <w:rPr>
                <w:rFonts w:ascii="Book Antiqua" w:eastAsia="微软雅黑" w:hAnsi="Book Antiqua" w:cs="Book Antiqua"/>
                <w:bCs/>
                <w:color w:val="000000"/>
                <w:lang w:eastAsia="zh-CN"/>
              </w:rPr>
              <w:t xml:space="preserve">, </w:t>
            </w:r>
            <w:r w:rsidRPr="001E6671">
              <w:rPr>
                <w:rFonts w:ascii="Book Antiqua" w:eastAsia="微软雅黑" w:hAnsi="Book Antiqua" w:cs="Book Antiqua"/>
                <w:bCs/>
                <w:i/>
                <w:color w:val="000000"/>
                <w:lang w:eastAsia="zh-CN"/>
              </w:rPr>
              <w:t>n</w:t>
            </w:r>
            <w:r w:rsidRPr="001E6671">
              <w:rPr>
                <w:rFonts w:ascii="Book Antiqua" w:eastAsia="微软雅黑" w:hAnsi="Book Antiqua" w:cs="Book Antiqua"/>
                <w:bCs/>
                <w:color w:val="000000"/>
                <w:lang w:eastAsia="zh-CN"/>
              </w:rPr>
              <w:t xml:space="preserve"> (%)</w:t>
            </w:r>
          </w:p>
        </w:tc>
      </w:tr>
      <w:tr w:rsidR="000313D3" w:rsidRPr="00B11F4B" w14:paraId="360CA866" w14:textId="77777777" w:rsidTr="000313D3">
        <w:trPr>
          <w:trHeight w:val="330"/>
        </w:trPr>
        <w:tc>
          <w:tcPr>
            <w:tcW w:w="2030" w:type="dxa"/>
            <w:tcBorders>
              <w:top w:val="nil"/>
              <w:left w:val="nil"/>
              <w:bottom w:val="nil"/>
              <w:right w:val="nil"/>
            </w:tcBorders>
            <w:vAlign w:val="center"/>
          </w:tcPr>
          <w:p w14:paraId="6C554E59"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Half</w:t>
            </w:r>
            <w:r w:rsidR="005043E2">
              <w:rPr>
                <w:rFonts w:ascii="Book Antiqua" w:eastAsia="微软雅黑" w:hAnsi="Book Antiqua" w:cs="Book Antiqua"/>
                <w:color w:val="000000"/>
              </w:rPr>
              <w:t xml:space="preserve"> </w:t>
            </w:r>
            <w:r w:rsidRPr="001E6671">
              <w:rPr>
                <w:rFonts w:ascii="Book Antiqua" w:eastAsia="微软雅黑" w:hAnsi="Book Antiqua" w:cs="Book Antiqua"/>
                <w:color w:val="000000"/>
              </w:rPr>
              <w:t>liver</w:t>
            </w:r>
          </w:p>
        </w:tc>
        <w:tc>
          <w:tcPr>
            <w:tcW w:w="1759" w:type="dxa"/>
            <w:tcBorders>
              <w:top w:val="nil"/>
              <w:left w:val="nil"/>
              <w:bottom w:val="nil"/>
              <w:right w:val="nil"/>
            </w:tcBorders>
            <w:vAlign w:val="center"/>
          </w:tcPr>
          <w:p w14:paraId="1FABA245"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261 (89.4)</w:t>
            </w:r>
          </w:p>
        </w:tc>
        <w:tc>
          <w:tcPr>
            <w:tcW w:w="1923" w:type="dxa"/>
            <w:tcBorders>
              <w:top w:val="nil"/>
              <w:left w:val="nil"/>
              <w:bottom w:val="nil"/>
              <w:right w:val="nil"/>
            </w:tcBorders>
            <w:vAlign w:val="center"/>
          </w:tcPr>
          <w:p w14:paraId="167D0750"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148 (89.2)</w:t>
            </w:r>
          </w:p>
        </w:tc>
        <w:tc>
          <w:tcPr>
            <w:tcW w:w="2000" w:type="dxa"/>
            <w:tcBorders>
              <w:top w:val="nil"/>
              <w:left w:val="nil"/>
              <w:bottom w:val="nil"/>
              <w:right w:val="nil"/>
            </w:tcBorders>
            <w:vAlign w:val="center"/>
          </w:tcPr>
          <w:p w14:paraId="558E3E29"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113 (89.7)</w:t>
            </w:r>
          </w:p>
        </w:tc>
        <w:tc>
          <w:tcPr>
            <w:tcW w:w="1528" w:type="dxa"/>
            <w:tcBorders>
              <w:top w:val="nil"/>
              <w:left w:val="nil"/>
              <w:bottom w:val="nil"/>
              <w:right w:val="nil"/>
            </w:tcBorders>
            <w:vAlign w:val="center"/>
          </w:tcPr>
          <w:p w14:paraId="4CF38A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1.00 </w:t>
            </w:r>
          </w:p>
        </w:tc>
      </w:tr>
      <w:tr w:rsidR="000313D3" w:rsidRPr="00B11F4B" w14:paraId="7C681122" w14:textId="77777777" w:rsidTr="000313D3">
        <w:trPr>
          <w:trHeight w:val="345"/>
        </w:trPr>
        <w:tc>
          <w:tcPr>
            <w:tcW w:w="2030" w:type="dxa"/>
            <w:tcBorders>
              <w:top w:val="nil"/>
              <w:left w:val="nil"/>
              <w:bottom w:val="single" w:sz="8" w:space="0" w:color="auto"/>
              <w:right w:val="nil"/>
            </w:tcBorders>
            <w:vAlign w:val="center"/>
          </w:tcPr>
          <w:p w14:paraId="1EA52C65" w14:textId="77777777" w:rsidR="000313D3" w:rsidRPr="001E6671" w:rsidRDefault="000313D3" w:rsidP="00664BFB">
            <w:pPr>
              <w:adjustRightInd w:val="0"/>
              <w:snapToGrid w:val="0"/>
              <w:spacing w:line="360" w:lineRule="auto"/>
              <w:rPr>
                <w:rFonts w:ascii="Book Antiqua" w:eastAsia="微软雅黑" w:hAnsi="Book Antiqua" w:cs="Book Antiqua"/>
                <w:color w:val="000000"/>
              </w:rPr>
            </w:pPr>
            <w:r w:rsidRPr="001E6671">
              <w:rPr>
                <w:rFonts w:ascii="Book Antiqua" w:eastAsia="微软雅黑" w:hAnsi="Book Antiqua" w:cs="Book Antiqua"/>
                <w:color w:val="000000"/>
              </w:rPr>
              <w:t xml:space="preserve"> Non</w:t>
            </w:r>
            <w:r w:rsidR="005043E2">
              <w:rPr>
                <w:rFonts w:ascii="Book Antiqua" w:eastAsia="微软雅黑" w:hAnsi="Book Antiqua" w:cs="Book Antiqua"/>
                <w:color w:val="000000"/>
              </w:rPr>
              <w:t>-</w:t>
            </w:r>
            <w:r w:rsidRPr="001E6671">
              <w:rPr>
                <w:rFonts w:ascii="Book Antiqua" w:eastAsia="微软雅黑" w:hAnsi="Book Antiqua" w:cs="Book Antiqua"/>
                <w:color w:val="000000"/>
              </w:rPr>
              <w:t>half</w:t>
            </w:r>
            <w:r w:rsidR="005043E2">
              <w:rPr>
                <w:rFonts w:ascii="Book Antiqua" w:eastAsia="微软雅黑" w:hAnsi="Book Antiqua" w:cs="Book Antiqua"/>
                <w:color w:val="000000"/>
              </w:rPr>
              <w:t xml:space="preserve"> </w:t>
            </w:r>
            <w:r w:rsidRPr="001E6671">
              <w:rPr>
                <w:rFonts w:ascii="Book Antiqua" w:eastAsia="微软雅黑" w:hAnsi="Book Antiqua" w:cs="Book Antiqua"/>
                <w:color w:val="000000"/>
              </w:rPr>
              <w:t>liver</w:t>
            </w:r>
          </w:p>
        </w:tc>
        <w:tc>
          <w:tcPr>
            <w:tcW w:w="1759" w:type="dxa"/>
            <w:tcBorders>
              <w:top w:val="nil"/>
              <w:left w:val="nil"/>
              <w:bottom w:val="single" w:sz="8" w:space="0" w:color="auto"/>
              <w:right w:val="nil"/>
            </w:tcBorders>
            <w:vAlign w:val="center"/>
          </w:tcPr>
          <w:p w14:paraId="41A4E247"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31 (10.6)</w:t>
            </w:r>
          </w:p>
        </w:tc>
        <w:tc>
          <w:tcPr>
            <w:tcW w:w="1923" w:type="dxa"/>
            <w:tcBorders>
              <w:top w:val="nil"/>
              <w:left w:val="nil"/>
              <w:bottom w:val="single" w:sz="8" w:space="0" w:color="auto"/>
              <w:right w:val="nil"/>
            </w:tcBorders>
            <w:vAlign w:val="center"/>
          </w:tcPr>
          <w:p w14:paraId="6D89917C"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18 (10.8)</w:t>
            </w:r>
          </w:p>
        </w:tc>
        <w:tc>
          <w:tcPr>
            <w:tcW w:w="2000" w:type="dxa"/>
            <w:tcBorders>
              <w:top w:val="nil"/>
              <w:left w:val="nil"/>
              <w:bottom w:val="single" w:sz="8" w:space="0" w:color="auto"/>
              <w:right w:val="nil"/>
            </w:tcBorders>
            <w:vAlign w:val="center"/>
          </w:tcPr>
          <w:p w14:paraId="519F3E21"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13 (10.3)</w:t>
            </w:r>
          </w:p>
        </w:tc>
        <w:tc>
          <w:tcPr>
            <w:tcW w:w="1528" w:type="dxa"/>
            <w:tcBorders>
              <w:top w:val="nil"/>
              <w:left w:val="nil"/>
              <w:bottom w:val="single" w:sz="8" w:space="0" w:color="auto"/>
              <w:right w:val="nil"/>
            </w:tcBorders>
            <w:vAlign w:val="center"/>
          </w:tcPr>
          <w:p w14:paraId="651F4A08" w14:textId="77777777" w:rsidR="000313D3" w:rsidRPr="00B11F4B" w:rsidRDefault="000313D3" w:rsidP="00664BFB">
            <w:pPr>
              <w:adjustRightInd w:val="0"/>
              <w:snapToGrid w:val="0"/>
              <w:spacing w:line="360" w:lineRule="auto"/>
              <w:jc w:val="right"/>
              <w:rPr>
                <w:rFonts w:ascii="Book Antiqua" w:eastAsia="微软雅黑" w:hAnsi="Book Antiqua" w:cs="Book Antiqua"/>
                <w:color w:val="000000"/>
              </w:rPr>
            </w:pPr>
            <w:r w:rsidRPr="00B11F4B">
              <w:rPr>
                <w:rFonts w:ascii="Book Antiqua" w:eastAsia="微软雅黑" w:hAnsi="Book Antiqua" w:cs="Book Antiqua"/>
                <w:color w:val="000000"/>
              </w:rPr>
              <w:t xml:space="preserve">　</w:t>
            </w:r>
          </w:p>
        </w:tc>
      </w:tr>
    </w:tbl>
    <w:p w14:paraId="3F664BB3" w14:textId="77777777" w:rsidR="000313D3" w:rsidRPr="00B11F4B" w:rsidRDefault="000313D3" w:rsidP="00664BFB">
      <w:pPr>
        <w:adjustRightInd w:val="0"/>
        <w:snapToGrid w:val="0"/>
        <w:spacing w:line="360" w:lineRule="auto"/>
        <w:jc w:val="both"/>
        <w:rPr>
          <w:rFonts w:ascii="Book Antiqua" w:hAnsi="Book Antiqua"/>
          <w:lang w:eastAsia="zh-CN"/>
        </w:rPr>
      </w:pPr>
      <w:r w:rsidRPr="00B11F4B">
        <w:rPr>
          <w:rFonts w:ascii="Book Antiqua" w:eastAsia="Book Antiqua" w:hAnsi="Book Antiqua" w:cs="Book Antiqua"/>
          <w:color w:val="000000"/>
        </w:rPr>
        <w:t>ALT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lanine aminotransferase</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AST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spartate aminotransferase</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PLT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p</w:t>
      </w:r>
      <w:r w:rsidRPr="00B11F4B">
        <w:rPr>
          <w:rFonts w:ascii="Book Antiqua" w:eastAsia="Book Antiqua" w:hAnsi="Book Antiqua" w:cs="Book Antiqua"/>
          <w:color w:val="000000"/>
        </w:rPr>
        <w:t>latelet</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AFP</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lpha-fetoprotein</w:t>
      </w:r>
      <w:r w:rsidRPr="00B11F4B">
        <w:rPr>
          <w:rFonts w:ascii="Book Antiqua" w:hAnsi="Book Antiqua" w:cs="Book Antiqua"/>
          <w:color w:val="000000"/>
          <w:lang w:eastAsia="zh-CN"/>
        </w:rPr>
        <w:t xml:space="preserve">; ALB: </w:t>
      </w:r>
      <w:r w:rsidRPr="00B11F4B">
        <w:rPr>
          <w:rFonts w:ascii="Book Antiqua" w:hAnsi="Book Antiqua" w:cs="Book Antiqua"/>
          <w:caps/>
          <w:color w:val="000000"/>
          <w:lang w:eastAsia="zh-CN"/>
        </w:rPr>
        <w:t>a</w:t>
      </w:r>
      <w:r w:rsidRPr="00B11F4B">
        <w:rPr>
          <w:rFonts w:ascii="Book Antiqua" w:hAnsi="Book Antiqua" w:cs="Book Antiqua"/>
          <w:color w:val="000000"/>
          <w:lang w:eastAsia="zh-CN"/>
        </w:rPr>
        <w:t xml:space="preserve">lbumin; TBIL: </w:t>
      </w:r>
      <w:r w:rsidRPr="00B11F4B">
        <w:rPr>
          <w:rFonts w:ascii="Book Antiqua" w:hAnsi="Book Antiqua" w:cs="Book Antiqua"/>
          <w:caps/>
          <w:color w:val="000000"/>
          <w:lang w:eastAsia="zh-CN"/>
        </w:rPr>
        <w:t>t</w:t>
      </w:r>
      <w:r w:rsidRPr="00B11F4B">
        <w:rPr>
          <w:rFonts w:ascii="Book Antiqua" w:hAnsi="Book Antiqua" w:cs="Book Antiqua"/>
          <w:color w:val="000000"/>
          <w:lang w:eastAsia="zh-CN"/>
        </w:rPr>
        <w:t xml:space="preserve">otal bilirubin; Cr: </w:t>
      </w:r>
      <w:r w:rsidRPr="00B11F4B">
        <w:rPr>
          <w:rFonts w:ascii="Book Antiqua" w:hAnsi="Book Antiqua" w:cs="Book Antiqua"/>
          <w:caps/>
          <w:color w:val="000000"/>
          <w:lang w:eastAsia="zh-CN"/>
        </w:rPr>
        <w:t>s</w:t>
      </w:r>
      <w:r w:rsidRPr="00B11F4B">
        <w:rPr>
          <w:rFonts w:ascii="Book Antiqua" w:hAnsi="Book Antiqua" w:cs="Book Antiqua"/>
          <w:color w:val="000000"/>
          <w:lang w:eastAsia="zh-CN"/>
        </w:rPr>
        <w:t xml:space="preserve">erum creatinine; PT: </w:t>
      </w:r>
      <w:r w:rsidRPr="00B11F4B">
        <w:rPr>
          <w:rFonts w:ascii="Book Antiqua" w:hAnsi="Book Antiqua" w:cs="Book Antiqua"/>
          <w:caps/>
          <w:color w:val="000000"/>
          <w:lang w:eastAsia="zh-CN"/>
        </w:rPr>
        <w:t>p</w:t>
      </w:r>
      <w:r w:rsidRPr="00B11F4B">
        <w:rPr>
          <w:rFonts w:ascii="Book Antiqua" w:hAnsi="Book Antiqua" w:cs="Book Antiqua"/>
          <w:color w:val="000000"/>
          <w:lang w:eastAsia="zh-CN"/>
        </w:rPr>
        <w:t xml:space="preserve">rothrombin time; PTA: </w:t>
      </w:r>
      <w:r w:rsidRPr="00B11F4B">
        <w:rPr>
          <w:rFonts w:ascii="Book Antiqua" w:hAnsi="Book Antiqua" w:cs="Book Antiqua"/>
          <w:caps/>
          <w:color w:val="000000"/>
          <w:lang w:eastAsia="zh-CN"/>
        </w:rPr>
        <w:t>p</w:t>
      </w:r>
      <w:r w:rsidRPr="00B11F4B">
        <w:rPr>
          <w:rFonts w:ascii="Book Antiqua" w:hAnsi="Book Antiqua" w:cs="Book Antiqua"/>
          <w:color w:val="000000"/>
          <w:lang w:eastAsia="zh-CN"/>
        </w:rPr>
        <w:t xml:space="preserve">rothrombin time activity; INR: </w:t>
      </w:r>
      <w:r w:rsidRPr="00B11F4B">
        <w:rPr>
          <w:rFonts w:ascii="Book Antiqua" w:hAnsi="Book Antiqua" w:cs="Book Antiqua"/>
          <w:caps/>
          <w:color w:val="000000"/>
          <w:lang w:eastAsia="zh-CN"/>
        </w:rPr>
        <w:t>i</w:t>
      </w:r>
      <w:r w:rsidRPr="00B11F4B">
        <w:rPr>
          <w:rFonts w:ascii="Book Antiqua" w:hAnsi="Book Antiqua" w:cs="Book Antiqua"/>
          <w:color w:val="000000"/>
          <w:lang w:eastAsia="zh-CN"/>
        </w:rPr>
        <w:t xml:space="preserve">nternational normalized ratio; </w:t>
      </w:r>
      <w:r w:rsidRPr="00B11F4B">
        <w:rPr>
          <w:rFonts w:ascii="Book Antiqua" w:eastAsia="Book Antiqua" w:hAnsi="Book Antiqua" w:cs="Book Antiqua"/>
          <w:color w:val="000000"/>
        </w:rPr>
        <w:t>LIRADS</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l</w:t>
      </w:r>
      <w:r w:rsidRPr="00B11F4B">
        <w:rPr>
          <w:rFonts w:ascii="Book Antiqua" w:eastAsia="Book Antiqua" w:hAnsi="Book Antiqua" w:cs="Book Antiqua"/>
          <w:color w:val="000000"/>
        </w:rPr>
        <w:t>iver imaging reporting and data system</w:t>
      </w:r>
      <w:r w:rsidRPr="00B11F4B">
        <w:rPr>
          <w:rFonts w:ascii="Book Antiqua" w:hAnsi="Book Antiqua" w:cs="Book Antiqua"/>
          <w:color w:val="000000"/>
          <w:lang w:eastAsia="zh-CN"/>
        </w:rPr>
        <w:t>.</w:t>
      </w:r>
    </w:p>
    <w:p w14:paraId="5272DFBA" w14:textId="77777777" w:rsidR="00A77B3E" w:rsidRPr="00B11F4B" w:rsidRDefault="000313D3" w:rsidP="00664BFB">
      <w:pPr>
        <w:adjustRightInd w:val="0"/>
        <w:snapToGrid w:val="0"/>
        <w:spacing w:line="360" w:lineRule="auto"/>
        <w:jc w:val="both"/>
        <w:rPr>
          <w:rFonts w:ascii="Book Antiqua" w:hAnsi="Book Antiqua"/>
          <w:b/>
          <w:lang w:eastAsia="zh-CN"/>
        </w:rPr>
      </w:pPr>
      <w:r w:rsidRPr="00B11F4B">
        <w:rPr>
          <w:rFonts w:ascii="Book Antiqua" w:hAnsi="Book Antiqua"/>
        </w:rPr>
        <w:br w:type="page"/>
      </w:r>
      <w:r w:rsidRPr="00B11F4B">
        <w:rPr>
          <w:rFonts w:ascii="Book Antiqua" w:hAnsi="Book Antiqua"/>
          <w:b/>
        </w:rPr>
        <w:t>Table 2 Cox model</w:t>
      </w:r>
    </w:p>
    <w:tbl>
      <w:tblPr>
        <w:tblW w:w="9402" w:type="dxa"/>
        <w:tblLook w:val="04A0" w:firstRow="1" w:lastRow="0" w:firstColumn="1" w:lastColumn="0" w:noHBand="0" w:noVBand="1"/>
      </w:tblPr>
      <w:tblGrid>
        <w:gridCol w:w="1717"/>
        <w:gridCol w:w="1537"/>
        <w:gridCol w:w="1537"/>
        <w:gridCol w:w="1537"/>
        <w:gridCol w:w="1537"/>
        <w:gridCol w:w="1537"/>
      </w:tblGrid>
      <w:tr w:rsidR="00B11F4B" w:rsidRPr="00B11F4B" w14:paraId="04748B8F" w14:textId="77777777" w:rsidTr="00CE1C5E">
        <w:trPr>
          <w:trHeight w:val="60"/>
        </w:trPr>
        <w:tc>
          <w:tcPr>
            <w:tcW w:w="1717" w:type="dxa"/>
            <w:vMerge w:val="restart"/>
            <w:tcBorders>
              <w:top w:val="single" w:sz="4" w:space="0" w:color="auto"/>
              <w:left w:val="nil"/>
              <w:right w:val="nil"/>
            </w:tcBorders>
            <w:vAlign w:val="bottom"/>
          </w:tcPr>
          <w:p w14:paraId="1BFDCA46" w14:textId="77777777" w:rsidR="00B11F4B" w:rsidRPr="00B11F4B" w:rsidRDefault="00B11F4B" w:rsidP="00664BFB">
            <w:pPr>
              <w:adjustRightInd w:val="0"/>
              <w:snapToGrid w:val="0"/>
              <w:spacing w:line="360" w:lineRule="auto"/>
              <w:jc w:val="center"/>
              <w:rPr>
                <w:rFonts w:ascii="Book Antiqua" w:eastAsia="Arial Unicode MS" w:hAnsi="Book Antiqua" w:cs="Book Antiqua"/>
                <w:b/>
                <w:bCs/>
                <w:color w:val="000000"/>
              </w:rPr>
            </w:pPr>
          </w:p>
        </w:tc>
        <w:tc>
          <w:tcPr>
            <w:tcW w:w="1537" w:type="dxa"/>
            <w:vMerge w:val="restart"/>
            <w:tcBorders>
              <w:top w:val="single" w:sz="4" w:space="0" w:color="auto"/>
              <w:left w:val="nil"/>
              <w:bottom w:val="single" w:sz="8" w:space="0" w:color="000000"/>
              <w:right w:val="nil"/>
            </w:tcBorders>
            <w:vAlign w:val="center"/>
          </w:tcPr>
          <w:p w14:paraId="7245A1E3"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β</w:t>
            </w:r>
          </w:p>
        </w:tc>
        <w:tc>
          <w:tcPr>
            <w:tcW w:w="1537" w:type="dxa"/>
            <w:vMerge w:val="restart"/>
            <w:tcBorders>
              <w:top w:val="single" w:sz="4" w:space="0" w:color="auto"/>
              <w:left w:val="nil"/>
              <w:bottom w:val="single" w:sz="8" w:space="0" w:color="000000"/>
              <w:right w:val="nil"/>
            </w:tcBorders>
            <w:vAlign w:val="center"/>
          </w:tcPr>
          <w:p w14:paraId="74608616"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lang w:eastAsia="zh-CN"/>
              </w:rPr>
            </w:pPr>
            <w:r w:rsidRPr="00B11F4B">
              <w:rPr>
                <w:rFonts w:ascii="Book Antiqua" w:eastAsia="Arial Unicode MS" w:hAnsi="Book Antiqua" w:cs="Book Antiqua"/>
                <w:b/>
                <w:i/>
                <w:color w:val="000000"/>
              </w:rPr>
              <w:t>P</w:t>
            </w:r>
            <w:r w:rsidRPr="00B11F4B">
              <w:rPr>
                <w:rFonts w:ascii="Book Antiqua" w:eastAsia="Arial Unicode MS" w:hAnsi="Book Antiqua" w:cs="Book Antiqua"/>
                <w:b/>
                <w:color w:val="000000"/>
                <w:lang w:eastAsia="zh-CN"/>
              </w:rPr>
              <w:t xml:space="preserve"> value</w:t>
            </w:r>
          </w:p>
        </w:tc>
        <w:tc>
          <w:tcPr>
            <w:tcW w:w="1537" w:type="dxa"/>
            <w:vMerge w:val="restart"/>
            <w:tcBorders>
              <w:top w:val="single" w:sz="4" w:space="0" w:color="auto"/>
              <w:left w:val="nil"/>
              <w:bottom w:val="single" w:sz="8" w:space="0" w:color="000000"/>
              <w:right w:val="nil"/>
            </w:tcBorders>
            <w:vAlign w:val="center"/>
          </w:tcPr>
          <w:p w14:paraId="3604E750"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HR</w:t>
            </w:r>
          </w:p>
        </w:tc>
        <w:tc>
          <w:tcPr>
            <w:tcW w:w="3074" w:type="dxa"/>
            <w:gridSpan w:val="2"/>
            <w:tcBorders>
              <w:top w:val="single" w:sz="4" w:space="0" w:color="auto"/>
              <w:left w:val="nil"/>
              <w:bottom w:val="single" w:sz="8" w:space="0" w:color="auto"/>
              <w:right w:val="nil"/>
            </w:tcBorders>
            <w:vAlign w:val="center"/>
          </w:tcPr>
          <w:p w14:paraId="752AC27F"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95.0%CI</w:t>
            </w:r>
          </w:p>
        </w:tc>
      </w:tr>
      <w:tr w:rsidR="00B11F4B" w:rsidRPr="00B11F4B" w14:paraId="4CEC2D43" w14:textId="77777777" w:rsidTr="00D0584C">
        <w:trPr>
          <w:trHeight w:val="309"/>
        </w:trPr>
        <w:tc>
          <w:tcPr>
            <w:tcW w:w="1717" w:type="dxa"/>
            <w:vMerge/>
            <w:tcBorders>
              <w:left w:val="nil"/>
              <w:bottom w:val="single" w:sz="8" w:space="0" w:color="auto"/>
              <w:right w:val="nil"/>
            </w:tcBorders>
            <w:vAlign w:val="bottom"/>
          </w:tcPr>
          <w:p w14:paraId="061AA586" w14:textId="77777777" w:rsidR="00B11F4B" w:rsidRPr="00B11F4B" w:rsidRDefault="00B11F4B" w:rsidP="00664BFB">
            <w:pPr>
              <w:adjustRightInd w:val="0"/>
              <w:snapToGrid w:val="0"/>
              <w:spacing w:line="360" w:lineRule="auto"/>
              <w:rPr>
                <w:rFonts w:ascii="Book Antiqua" w:eastAsia="Arial Unicode MS" w:hAnsi="Book Antiqua" w:cs="Book Antiqua"/>
                <w:color w:val="000000"/>
                <w:lang w:eastAsia="zh-CN"/>
              </w:rPr>
            </w:pPr>
          </w:p>
        </w:tc>
        <w:tc>
          <w:tcPr>
            <w:tcW w:w="1537" w:type="dxa"/>
            <w:vMerge/>
            <w:tcBorders>
              <w:top w:val="nil"/>
              <w:left w:val="nil"/>
              <w:bottom w:val="single" w:sz="8" w:space="0" w:color="000000"/>
              <w:right w:val="nil"/>
            </w:tcBorders>
            <w:vAlign w:val="center"/>
          </w:tcPr>
          <w:p w14:paraId="474CBE7A"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vMerge/>
            <w:tcBorders>
              <w:top w:val="nil"/>
              <w:left w:val="nil"/>
              <w:bottom w:val="single" w:sz="8" w:space="0" w:color="000000"/>
              <w:right w:val="nil"/>
            </w:tcBorders>
            <w:vAlign w:val="center"/>
          </w:tcPr>
          <w:p w14:paraId="66341C05"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vMerge/>
            <w:tcBorders>
              <w:top w:val="nil"/>
              <w:left w:val="nil"/>
              <w:bottom w:val="single" w:sz="8" w:space="0" w:color="000000"/>
              <w:right w:val="nil"/>
            </w:tcBorders>
            <w:vAlign w:val="center"/>
          </w:tcPr>
          <w:p w14:paraId="7823D384" w14:textId="77777777" w:rsidR="00B11F4B" w:rsidRPr="00B11F4B" w:rsidRDefault="00B11F4B" w:rsidP="00664BFB">
            <w:pPr>
              <w:adjustRightInd w:val="0"/>
              <w:snapToGrid w:val="0"/>
              <w:spacing w:line="360" w:lineRule="auto"/>
              <w:rPr>
                <w:rFonts w:ascii="Book Antiqua" w:eastAsia="Arial Unicode MS" w:hAnsi="Book Antiqua" w:cs="Book Antiqua"/>
                <w:b/>
                <w:color w:val="000000"/>
              </w:rPr>
            </w:pPr>
          </w:p>
        </w:tc>
        <w:tc>
          <w:tcPr>
            <w:tcW w:w="1537" w:type="dxa"/>
            <w:tcBorders>
              <w:top w:val="nil"/>
              <w:left w:val="nil"/>
              <w:bottom w:val="single" w:sz="8" w:space="0" w:color="auto"/>
              <w:right w:val="nil"/>
            </w:tcBorders>
            <w:vAlign w:val="bottom"/>
          </w:tcPr>
          <w:p w14:paraId="117657C8"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Lower</w:t>
            </w:r>
          </w:p>
        </w:tc>
        <w:tc>
          <w:tcPr>
            <w:tcW w:w="1537" w:type="dxa"/>
            <w:tcBorders>
              <w:top w:val="nil"/>
              <w:left w:val="nil"/>
              <w:bottom w:val="single" w:sz="8" w:space="0" w:color="auto"/>
              <w:right w:val="nil"/>
            </w:tcBorders>
            <w:vAlign w:val="bottom"/>
          </w:tcPr>
          <w:p w14:paraId="04124BA2" w14:textId="77777777" w:rsidR="00B11F4B" w:rsidRPr="00B11F4B" w:rsidRDefault="00B11F4B" w:rsidP="00664BFB">
            <w:pPr>
              <w:adjustRightInd w:val="0"/>
              <w:snapToGrid w:val="0"/>
              <w:spacing w:line="360" w:lineRule="auto"/>
              <w:jc w:val="center"/>
              <w:rPr>
                <w:rFonts w:ascii="Book Antiqua" w:eastAsia="Arial Unicode MS" w:hAnsi="Book Antiqua" w:cs="Book Antiqua"/>
                <w:b/>
                <w:color w:val="000000"/>
              </w:rPr>
            </w:pPr>
            <w:r w:rsidRPr="00B11F4B">
              <w:rPr>
                <w:rFonts w:ascii="Book Antiqua" w:eastAsia="Arial Unicode MS" w:hAnsi="Book Antiqua" w:cs="Book Antiqua"/>
                <w:b/>
                <w:color w:val="000000"/>
              </w:rPr>
              <w:t>Upper</w:t>
            </w:r>
          </w:p>
        </w:tc>
      </w:tr>
      <w:tr w:rsidR="000313D3" w:rsidRPr="00B11F4B" w14:paraId="79DF31DB" w14:textId="77777777" w:rsidTr="00D0584C">
        <w:trPr>
          <w:trHeight w:val="280"/>
        </w:trPr>
        <w:tc>
          <w:tcPr>
            <w:tcW w:w="1717" w:type="dxa"/>
            <w:tcBorders>
              <w:top w:val="nil"/>
              <w:left w:val="nil"/>
              <w:bottom w:val="nil"/>
              <w:right w:val="nil"/>
            </w:tcBorders>
            <w:shd w:val="clear" w:color="000000" w:fill="FFFFFF"/>
          </w:tcPr>
          <w:p w14:paraId="1B915203"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LIRADS</w:t>
            </w:r>
          </w:p>
        </w:tc>
        <w:tc>
          <w:tcPr>
            <w:tcW w:w="1537" w:type="dxa"/>
            <w:tcBorders>
              <w:top w:val="nil"/>
              <w:left w:val="nil"/>
              <w:bottom w:val="nil"/>
              <w:right w:val="nil"/>
            </w:tcBorders>
            <w:noWrap/>
          </w:tcPr>
          <w:p w14:paraId="3103FB6E"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0.356</w:t>
            </w:r>
          </w:p>
        </w:tc>
        <w:tc>
          <w:tcPr>
            <w:tcW w:w="1537" w:type="dxa"/>
            <w:tcBorders>
              <w:top w:val="nil"/>
              <w:left w:val="nil"/>
              <w:bottom w:val="nil"/>
              <w:right w:val="nil"/>
            </w:tcBorders>
            <w:noWrap/>
          </w:tcPr>
          <w:p w14:paraId="00D1899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0.019</w:t>
            </w:r>
          </w:p>
        </w:tc>
        <w:tc>
          <w:tcPr>
            <w:tcW w:w="1537" w:type="dxa"/>
            <w:tcBorders>
              <w:top w:val="nil"/>
              <w:left w:val="nil"/>
              <w:bottom w:val="nil"/>
              <w:right w:val="nil"/>
            </w:tcBorders>
            <w:noWrap/>
          </w:tcPr>
          <w:p w14:paraId="019875D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1.428</w:t>
            </w:r>
          </w:p>
        </w:tc>
        <w:tc>
          <w:tcPr>
            <w:tcW w:w="1537" w:type="dxa"/>
            <w:tcBorders>
              <w:top w:val="nil"/>
              <w:left w:val="nil"/>
              <w:bottom w:val="nil"/>
              <w:right w:val="nil"/>
            </w:tcBorders>
            <w:noWrap/>
          </w:tcPr>
          <w:p w14:paraId="50EEA3D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1.059</w:t>
            </w:r>
          </w:p>
        </w:tc>
        <w:tc>
          <w:tcPr>
            <w:tcW w:w="1537" w:type="dxa"/>
            <w:tcBorders>
              <w:top w:val="nil"/>
              <w:left w:val="nil"/>
              <w:bottom w:val="nil"/>
              <w:right w:val="nil"/>
            </w:tcBorders>
            <w:noWrap/>
          </w:tcPr>
          <w:p w14:paraId="6E101414"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1.925</w:t>
            </w:r>
          </w:p>
        </w:tc>
      </w:tr>
      <w:tr w:rsidR="000313D3" w:rsidRPr="00B11F4B" w14:paraId="0899727B" w14:textId="77777777" w:rsidTr="00D0584C">
        <w:trPr>
          <w:trHeight w:val="280"/>
        </w:trPr>
        <w:tc>
          <w:tcPr>
            <w:tcW w:w="1717" w:type="dxa"/>
            <w:tcBorders>
              <w:top w:val="nil"/>
              <w:left w:val="nil"/>
              <w:bottom w:val="nil"/>
              <w:right w:val="nil"/>
            </w:tcBorders>
            <w:shd w:val="clear" w:color="000000" w:fill="FFFFFF"/>
          </w:tcPr>
          <w:p w14:paraId="0288A2A9"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AFP</w:t>
            </w:r>
          </w:p>
        </w:tc>
        <w:tc>
          <w:tcPr>
            <w:tcW w:w="1537" w:type="dxa"/>
            <w:tcBorders>
              <w:top w:val="nil"/>
              <w:left w:val="nil"/>
              <w:bottom w:val="nil"/>
              <w:right w:val="nil"/>
            </w:tcBorders>
            <w:noWrap/>
          </w:tcPr>
          <w:p w14:paraId="4ED4E9D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0.436</w:t>
            </w:r>
          </w:p>
        </w:tc>
        <w:tc>
          <w:tcPr>
            <w:tcW w:w="1537" w:type="dxa"/>
            <w:tcBorders>
              <w:top w:val="nil"/>
              <w:left w:val="nil"/>
              <w:bottom w:val="nil"/>
              <w:right w:val="nil"/>
            </w:tcBorders>
            <w:noWrap/>
          </w:tcPr>
          <w:p w14:paraId="591C8D2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0.000</w:t>
            </w:r>
          </w:p>
        </w:tc>
        <w:tc>
          <w:tcPr>
            <w:tcW w:w="1537" w:type="dxa"/>
            <w:tcBorders>
              <w:top w:val="nil"/>
              <w:left w:val="nil"/>
              <w:bottom w:val="nil"/>
              <w:right w:val="nil"/>
            </w:tcBorders>
            <w:noWrap/>
          </w:tcPr>
          <w:p w14:paraId="376078D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1.547</w:t>
            </w:r>
          </w:p>
        </w:tc>
        <w:tc>
          <w:tcPr>
            <w:tcW w:w="1537" w:type="dxa"/>
            <w:tcBorders>
              <w:top w:val="nil"/>
              <w:left w:val="nil"/>
              <w:bottom w:val="nil"/>
              <w:right w:val="nil"/>
            </w:tcBorders>
            <w:noWrap/>
          </w:tcPr>
          <w:p w14:paraId="0B08E897"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1.245</w:t>
            </w:r>
          </w:p>
        </w:tc>
        <w:tc>
          <w:tcPr>
            <w:tcW w:w="1537" w:type="dxa"/>
            <w:tcBorders>
              <w:top w:val="nil"/>
              <w:left w:val="nil"/>
              <w:bottom w:val="nil"/>
              <w:right w:val="nil"/>
            </w:tcBorders>
            <w:noWrap/>
          </w:tcPr>
          <w:p w14:paraId="6FCF8E7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1.922</w:t>
            </w:r>
          </w:p>
        </w:tc>
      </w:tr>
      <w:tr w:rsidR="000313D3" w:rsidRPr="00B11F4B" w14:paraId="6487ABAF" w14:textId="77777777" w:rsidTr="00D0584C">
        <w:trPr>
          <w:trHeight w:val="280"/>
        </w:trPr>
        <w:tc>
          <w:tcPr>
            <w:tcW w:w="1717" w:type="dxa"/>
            <w:tcBorders>
              <w:top w:val="nil"/>
              <w:left w:val="nil"/>
              <w:bottom w:val="nil"/>
              <w:right w:val="nil"/>
            </w:tcBorders>
            <w:shd w:val="clear" w:color="000000" w:fill="FFFFFF"/>
          </w:tcPr>
          <w:p w14:paraId="01C986EB"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Diameter</w:t>
            </w:r>
          </w:p>
        </w:tc>
        <w:tc>
          <w:tcPr>
            <w:tcW w:w="1537" w:type="dxa"/>
            <w:tcBorders>
              <w:top w:val="nil"/>
              <w:left w:val="nil"/>
              <w:bottom w:val="nil"/>
              <w:right w:val="nil"/>
            </w:tcBorders>
            <w:noWrap/>
          </w:tcPr>
          <w:p w14:paraId="2B499B9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0.116</w:t>
            </w:r>
          </w:p>
        </w:tc>
        <w:tc>
          <w:tcPr>
            <w:tcW w:w="1537" w:type="dxa"/>
            <w:tcBorders>
              <w:top w:val="nil"/>
              <w:left w:val="nil"/>
              <w:bottom w:val="nil"/>
              <w:right w:val="nil"/>
            </w:tcBorders>
            <w:noWrap/>
          </w:tcPr>
          <w:p w14:paraId="41E3E9B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0.003</w:t>
            </w:r>
          </w:p>
        </w:tc>
        <w:tc>
          <w:tcPr>
            <w:tcW w:w="1537" w:type="dxa"/>
            <w:tcBorders>
              <w:top w:val="nil"/>
              <w:left w:val="nil"/>
              <w:bottom w:val="nil"/>
              <w:right w:val="nil"/>
            </w:tcBorders>
            <w:noWrap/>
          </w:tcPr>
          <w:p w14:paraId="5F8A293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1.123</w:t>
            </w:r>
          </w:p>
        </w:tc>
        <w:tc>
          <w:tcPr>
            <w:tcW w:w="1537" w:type="dxa"/>
            <w:tcBorders>
              <w:top w:val="nil"/>
              <w:left w:val="nil"/>
              <w:bottom w:val="nil"/>
              <w:right w:val="nil"/>
            </w:tcBorders>
            <w:noWrap/>
          </w:tcPr>
          <w:p w14:paraId="525BCFA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1.041</w:t>
            </w:r>
          </w:p>
        </w:tc>
        <w:tc>
          <w:tcPr>
            <w:tcW w:w="1537" w:type="dxa"/>
            <w:tcBorders>
              <w:top w:val="nil"/>
              <w:left w:val="nil"/>
              <w:bottom w:val="nil"/>
              <w:right w:val="nil"/>
            </w:tcBorders>
            <w:noWrap/>
          </w:tcPr>
          <w:p w14:paraId="273983F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1.211</w:t>
            </w:r>
          </w:p>
        </w:tc>
      </w:tr>
      <w:tr w:rsidR="000313D3" w:rsidRPr="00B11F4B" w14:paraId="4C3D24BF" w14:textId="77777777" w:rsidTr="00D0584C">
        <w:trPr>
          <w:trHeight w:val="280"/>
        </w:trPr>
        <w:tc>
          <w:tcPr>
            <w:tcW w:w="1717" w:type="dxa"/>
            <w:tcBorders>
              <w:top w:val="nil"/>
              <w:left w:val="nil"/>
              <w:bottom w:val="nil"/>
              <w:right w:val="nil"/>
            </w:tcBorders>
            <w:shd w:val="clear" w:color="000000" w:fill="FFFFFF"/>
          </w:tcPr>
          <w:p w14:paraId="43D2516F" w14:textId="4FE27020" w:rsidR="000313D3" w:rsidRPr="00B11F4B" w:rsidRDefault="005043E2" w:rsidP="00664BFB">
            <w:pPr>
              <w:adjustRightInd w:val="0"/>
              <w:snapToGrid w:val="0"/>
              <w:spacing w:line="360" w:lineRule="auto"/>
              <w:rPr>
                <w:rFonts w:ascii="Book Antiqua" w:hAnsi="Book Antiqua"/>
              </w:rPr>
            </w:pPr>
            <w:r>
              <w:rPr>
                <w:rFonts w:ascii="Book Antiqua" w:hAnsi="Book Antiqua"/>
              </w:rPr>
              <w:t>A</w:t>
            </w:r>
            <w:r w:rsidRPr="00B11F4B">
              <w:rPr>
                <w:rFonts w:ascii="Book Antiqua" w:hAnsi="Book Antiqua"/>
              </w:rPr>
              <w:t>ge</w:t>
            </w:r>
          </w:p>
        </w:tc>
        <w:tc>
          <w:tcPr>
            <w:tcW w:w="1537" w:type="dxa"/>
            <w:tcBorders>
              <w:top w:val="nil"/>
              <w:left w:val="nil"/>
              <w:bottom w:val="nil"/>
              <w:right w:val="nil"/>
            </w:tcBorders>
            <w:noWrap/>
          </w:tcPr>
          <w:p w14:paraId="768AE8A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0.009</w:t>
            </w:r>
          </w:p>
        </w:tc>
        <w:tc>
          <w:tcPr>
            <w:tcW w:w="1537" w:type="dxa"/>
            <w:tcBorders>
              <w:top w:val="nil"/>
              <w:left w:val="nil"/>
              <w:bottom w:val="nil"/>
              <w:right w:val="nil"/>
            </w:tcBorders>
            <w:noWrap/>
          </w:tcPr>
          <w:p w14:paraId="4A0BA2D6"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0.319</w:t>
            </w:r>
          </w:p>
        </w:tc>
        <w:tc>
          <w:tcPr>
            <w:tcW w:w="1537" w:type="dxa"/>
            <w:tcBorders>
              <w:top w:val="nil"/>
              <w:left w:val="nil"/>
              <w:bottom w:val="nil"/>
              <w:right w:val="nil"/>
            </w:tcBorders>
            <w:noWrap/>
          </w:tcPr>
          <w:p w14:paraId="3B72BBB1"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1.009</w:t>
            </w:r>
          </w:p>
        </w:tc>
        <w:tc>
          <w:tcPr>
            <w:tcW w:w="1537" w:type="dxa"/>
            <w:tcBorders>
              <w:top w:val="nil"/>
              <w:left w:val="nil"/>
              <w:bottom w:val="nil"/>
              <w:right w:val="nil"/>
            </w:tcBorders>
            <w:noWrap/>
          </w:tcPr>
          <w:p w14:paraId="3B9747D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0.991</w:t>
            </w:r>
          </w:p>
        </w:tc>
        <w:tc>
          <w:tcPr>
            <w:tcW w:w="1537" w:type="dxa"/>
            <w:tcBorders>
              <w:top w:val="nil"/>
              <w:left w:val="nil"/>
              <w:bottom w:val="nil"/>
              <w:right w:val="nil"/>
            </w:tcBorders>
            <w:noWrap/>
          </w:tcPr>
          <w:p w14:paraId="35AD164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1.027</w:t>
            </w:r>
          </w:p>
        </w:tc>
      </w:tr>
      <w:tr w:rsidR="000313D3" w:rsidRPr="00B11F4B" w14:paraId="508D2F57" w14:textId="77777777" w:rsidTr="00D0584C">
        <w:trPr>
          <w:trHeight w:val="280"/>
        </w:trPr>
        <w:tc>
          <w:tcPr>
            <w:tcW w:w="1717" w:type="dxa"/>
            <w:tcBorders>
              <w:top w:val="nil"/>
              <w:left w:val="nil"/>
              <w:bottom w:val="nil"/>
              <w:right w:val="nil"/>
            </w:tcBorders>
            <w:shd w:val="clear" w:color="000000" w:fill="FFFFFF"/>
          </w:tcPr>
          <w:p w14:paraId="60B783A2"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ALT</w:t>
            </w:r>
          </w:p>
        </w:tc>
        <w:tc>
          <w:tcPr>
            <w:tcW w:w="1537" w:type="dxa"/>
            <w:tcBorders>
              <w:top w:val="nil"/>
              <w:left w:val="nil"/>
              <w:bottom w:val="nil"/>
              <w:right w:val="nil"/>
            </w:tcBorders>
            <w:noWrap/>
          </w:tcPr>
          <w:p w14:paraId="7B41CC4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0.007</w:t>
            </w:r>
          </w:p>
        </w:tc>
        <w:tc>
          <w:tcPr>
            <w:tcW w:w="1537" w:type="dxa"/>
            <w:tcBorders>
              <w:top w:val="nil"/>
              <w:left w:val="nil"/>
              <w:bottom w:val="nil"/>
              <w:right w:val="nil"/>
            </w:tcBorders>
            <w:noWrap/>
          </w:tcPr>
          <w:p w14:paraId="26474F6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0.075</w:t>
            </w:r>
          </w:p>
        </w:tc>
        <w:tc>
          <w:tcPr>
            <w:tcW w:w="1537" w:type="dxa"/>
            <w:tcBorders>
              <w:top w:val="nil"/>
              <w:left w:val="nil"/>
              <w:bottom w:val="nil"/>
              <w:right w:val="nil"/>
            </w:tcBorders>
            <w:noWrap/>
          </w:tcPr>
          <w:p w14:paraId="18BE33D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1.007</w:t>
            </w:r>
          </w:p>
        </w:tc>
        <w:tc>
          <w:tcPr>
            <w:tcW w:w="1537" w:type="dxa"/>
            <w:tcBorders>
              <w:top w:val="nil"/>
              <w:left w:val="nil"/>
              <w:bottom w:val="nil"/>
              <w:right w:val="nil"/>
            </w:tcBorders>
            <w:noWrap/>
          </w:tcPr>
          <w:p w14:paraId="53D821B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25914191"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1.014</w:t>
            </w:r>
          </w:p>
        </w:tc>
      </w:tr>
      <w:tr w:rsidR="000313D3" w:rsidRPr="00B11F4B" w14:paraId="6D066276" w14:textId="77777777" w:rsidTr="00D0584C">
        <w:trPr>
          <w:trHeight w:val="280"/>
        </w:trPr>
        <w:tc>
          <w:tcPr>
            <w:tcW w:w="1717" w:type="dxa"/>
            <w:tcBorders>
              <w:top w:val="nil"/>
              <w:left w:val="nil"/>
              <w:bottom w:val="nil"/>
              <w:right w:val="nil"/>
            </w:tcBorders>
            <w:shd w:val="clear" w:color="000000" w:fill="FFFFFF"/>
          </w:tcPr>
          <w:p w14:paraId="535E0A60"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AST</w:t>
            </w:r>
          </w:p>
        </w:tc>
        <w:tc>
          <w:tcPr>
            <w:tcW w:w="1537" w:type="dxa"/>
            <w:tcBorders>
              <w:top w:val="nil"/>
              <w:left w:val="nil"/>
              <w:bottom w:val="nil"/>
              <w:right w:val="nil"/>
            </w:tcBorders>
            <w:noWrap/>
          </w:tcPr>
          <w:p w14:paraId="59C0E2A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0.003</w:t>
            </w:r>
          </w:p>
        </w:tc>
        <w:tc>
          <w:tcPr>
            <w:tcW w:w="1537" w:type="dxa"/>
            <w:tcBorders>
              <w:top w:val="nil"/>
              <w:left w:val="nil"/>
              <w:bottom w:val="nil"/>
              <w:right w:val="nil"/>
            </w:tcBorders>
            <w:noWrap/>
          </w:tcPr>
          <w:p w14:paraId="57C53D4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0.322</w:t>
            </w:r>
          </w:p>
        </w:tc>
        <w:tc>
          <w:tcPr>
            <w:tcW w:w="1537" w:type="dxa"/>
            <w:tcBorders>
              <w:top w:val="nil"/>
              <w:left w:val="nil"/>
              <w:bottom w:val="nil"/>
              <w:right w:val="nil"/>
            </w:tcBorders>
            <w:noWrap/>
          </w:tcPr>
          <w:p w14:paraId="44CD71C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1.003</w:t>
            </w:r>
          </w:p>
        </w:tc>
        <w:tc>
          <w:tcPr>
            <w:tcW w:w="1537" w:type="dxa"/>
            <w:tcBorders>
              <w:top w:val="nil"/>
              <w:left w:val="nil"/>
              <w:bottom w:val="nil"/>
              <w:right w:val="nil"/>
            </w:tcBorders>
            <w:noWrap/>
          </w:tcPr>
          <w:p w14:paraId="189227EC"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0.997</w:t>
            </w:r>
          </w:p>
        </w:tc>
        <w:tc>
          <w:tcPr>
            <w:tcW w:w="1537" w:type="dxa"/>
            <w:tcBorders>
              <w:top w:val="nil"/>
              <w:left w:val="nil"/>
              <w:bottom w:val="nil"/>
              <w:right w:val="nil"/>
            </w:tcBorders>
            <w:noWrap/>
          </w:tcPr>
          <w:p w14:paraId="3A1259A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1.008</w:t>
            </w:r>
          </w:p>
        </w:tc>
      </w:tr>
      <w:tr w:rsidR="000313D3" w:rsidRPr="00B11F4B" w14:paraId="4D181F3A" w14:textId="77777777" w:rsidTr="00D0584C">
        <w:trPr>
          <w:trHeight w:val="280"/>
        </w:trPr>
        <w:tc>
          <w:tcPr>
            <w:tcW w:w="1717" w:type="dxa"/>
            <w:tcBorders>
              <w:top w:val="nil"/>
              <w:left w:val="nil"/>
              <w:bottom w:val="nil"/>
              <w:right w:val="nil"/>
            </w:tcBorders>
            <w:shd w:val="clear" w:color="000000" w:fill="FFFFFF"/>
          </w:tcPr>
          <w:p w14:paraId="28FC404E"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PLT</w:t>
            </w:r>
          </w:p>
        </w:tc>
        <w:tc>
          <w:tcPr>
            <w:tcW w:w="1537" w:type="dxa"/>
            <w:tcBorders>
              <w:top w:val="nil"/>
              <w:left w:val="nil"/>
              <w:bottom w:val="nil"/>
              <w:right w:val="nil"/>
            </w:tcBorders>
            <w:noWrap/>
          </w:tcPr>
          <w:p w14:paraId="703BB87D"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0.002</w:t>
            </w:r>
          </w:p>
        </w:tc>
        <w:tc>
          <w:tcPr>
            <w:tcW w:w="1537" w:type="dxa"/>
            <w:tcBorders>
              <w:top w:val="nil"/>
              <w:left w:val="nil"/>
              <w:bottom w:val="nil"/>
              <w:right w:val="nil"/>
            </w:tcBorders>
            <w:noWrap/>
          </w:tcPr>
          <w:p w14:paraId="3E21908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0.225</w:t>
            </w:r>
          </w:p>
        </w:tc>
        <w:tc>
          <w:tcPr>
            <w:tcW w:w="1537" w:type="dxa"/>
            <w:tcBorders>
              <w:top w:val="nil"/>
              <w:left w:val="nil"/>
              <w:bottom w:val="nil"/>
              <w:right w:val="nil"/>
            </w:tcBorders>
            <w:noWrap/>
          </w:tcPr>
          <w:p w14:paraId="28B2E52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1.002</w:t>
            </w:r>
          </w:p>
        </w:tc>
        <w:tc>
          <w:tcPr>
            <w:tcW w:w="1537" w:type="dxa"/>
            <w:tcBorders>
              <w:top w:val="nil"/>
              <w:left w:val="nil"/>
              <w:bottom w:val="nil"/>
              <w:right w:val="nil"/>
            </w:tcBorders>
            <w:noWrap/>
          </w:tcPr>
          <w:p w14:paraId="720E265D"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23E2C12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1.005</w:t>
            </w:r>
          </w:p>
        </w:tc>
      </w:tr>
      <w:tr w:rsidR="000313D3" w:rsidRPr="00B11F4B" w14:paraId="4A3418F8" w14:textId="77777777" w:rsidTr="00D0584C">
        <w:trPr>
          <w:trHeight w:val="280"/>
        </w:trPr>
        <w:tc>
          <w:tcPr>
            <w:tcW w:w="1717" w:type="dxa"/>
            <w:tcBorders>
              <w:top w:val="nil"/>
              <w:left w:val="nil"/>
              <w:bottom w:val="nil"/>
              <w:right w:val="nil"/>
            </w:tcBorders>
            <w:shd w:val="clear" w:color="000000" w:fill="FFFFFF"/>
          </w:tcPr>
          <w:p w14:paraId="3172C0CC"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TBIL</w:t>
            </w:r>
          </w:p>
        </w:tc>
        <w:tc>
          <w:tcPr>
            <w:tcW w:w="1537" w:type="dxa"/>
            <w:tcBorders>
              <w:top w:val="nil"/>
              <w:left w:val="nil"/>
              <w:bottom w:val="nil"/>
              <w:right w:val="nil"/>
            </w:tcBorders>
            <w:noWrap/>
          </w:tcPr>
          <w:p w14:paraId="1A5B2BF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0.019</w:t>
            </w:r>
          </w:p>
        </w:tc>
        <w:tc>
          <w:tcPr>
            <w:tcW w:w="1537" w:type="dxa"/>
            <w:tcBorders>
              <w:top w:val="nil"/>
              <w:left w:val="nil"/>
              <w:bottom w:val="nil"/>
              <w:right w:val="nil"/>
            </w:tcBorders>
            <w:noWrap/>
          </w:tcPr>
          <w:p w14:paraId="36B1DAF3"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0.052</w:t>
            </w:r>
          </w:p>
        </w:tc>
        <w:tc>
          <w:tcPr>
            <w:tcW w:w="1537" w:type="dxa"/>
            <w:tcBorders>
              <w:top w:val="nil"/>
              <w:left w:val="nil"/>
              <w:bottom w:val="nil"/>
              <w:right w:val="nil"/>
            </w:tcBorders>
            <w:noWrap/>
          </w:tcPr>
          <w:p w14:paraId="602975A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1.019</w:t>
            </w:r>
          </w:p>
        </w:tc>
        <w:tc>
          <w:tcPr>
            <w:tcW w:w="1537" w:type="dxa"/>
            <w:tcBorders>
              <w:top w:val="nil"/>
              <w:left w:val="nil"/>
              <w:bottom w:val="nil"/>
              <w:right w:val="nil"/>
            </w:tcBorders>
            <w:noWrap/>
          </w:tcPr>
          <w:p w14:paraId="3193EF5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1.000</w:t>
            </w:r>
          </w:p>
        </w:tc>
        <w:tc>
          <w:tcPr>
            <w:tcW w:w="1537" w:type="dxa"/>
            <w:tcBorders>
              <w:top w:val="nil"/>
              <w:left w:val="nil"/>
              <w:bottom w:val="nil"/>
              <w:right w:val="nil"/>
            </w:tcBorders>
            <w:noWrap/>
          </w:tcPr>
          <w:p w14:paraId="1351F516"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1.039</w:t>
            </w:r>
          </w:p>
        </w:tc>
      </w:tr>
      <w:tr w:rsidR="000313D3" w:rsidRPr="00B11F4B" w14:paraId="515F211B" w14:textId="77777777" w:rsidTr="00D0584C">
        <w:trPr>
          <w:trHeight w:val="280"/>
        </w:trPr>
        <w:tc>
          <w:tcPr>
            <w:tcW w:w="1717" w:type="dxa"/>
            <w:tcBorders>
              <w:top w:val="nil"/>
              <w:left w:val="nil"/>
              <w:bottom w:val="nil"/>
              <w:right w:val="nil"/>
            </w:tcBorders>
            <w:shd w:val="clear" w:color="000000" w:fill="FFFFFF"/>
          </w:tcPr>
          <w:p w14:paraId="4BAEC2FA"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Start</w:t>
            </w:r>
            <w:r w:rsidR="005043E2">
              <w:rPr>
                <w:rFonts w:ascii="Book Antiqua" w:hAnsi="Book Antiqua"/>
              </w:rPr>
              <w:t xml:space="preserve"> </w:t>
            </w:r>
            <w:r w:rsidRPr="00B11F4B">
              <w:rPr>
                <w:rFonts w:ascii="Book Antiqua" w:hAnsi="Book Antiqua"/>
              </w:rPr>
              <w:t>time</w:t>
            </w:r>
          </w:p>
        </w:tc>
        <w:tc>
          <w:tcPr>
            <w:tcW w:w="1537" w:type="dxa"/>
            <w:tcBorders>
              <w:top w:val="nil"/>
              <w:left w:val="nil"/>
              <w:bottom w:val="nil"/>
              <w:right w:val="nil"/>
            </w:tcBorders>
            <w:noWrap/>
          </w:tcPr>
          <w:p w14:paraId="0A7AC558"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-0.032</w:t>
            </w:r>
          </w:p>
        </w:tc>
        <w:tc>
          <w:tcPr>
            <w:tcW w:w="1537" w:type="dxa"/>
            <w:tcBorders>
              <w:top w:val="nil"/>
              <w:left w:val="nil"/>
              <w:bottom w:val="nil"/>
              <w:right w:val="nil"/>
            </w:tcBorders>
            <w:noWrap/>
          </w:tcPr>
          <w:p w14:paraId="22F1704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0.229</w:t>
            </w:r>
          </w:p>
        </w:tc>
        <w:tc>
          <w:tcPr>
            <w:tcW w:w="1537" w:type="dxa"/>
            <w:tcBorders>
              <w:top w:val="nil"/>
              <w:left w:val="nil"/>
              <w:bottom w:val="nil"/>
              <w:right w:val="nil"/>
            </w:tcBorders>
            <w:noWrap/>
          </w:tcPr>
          <w:p w14:paraId="236C1255"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0.968</w:t>
            </w:r>
          </w:p>
        </w:tc>
        <w:tc>
          <w:tcPr>
            <w:tcW w:w="1537" w:type="dxa"/>
            <w:tcBorders>
              <w:top w:val="nil"/>
              <w:left w:val="nil"/>
              <w:bottom w:val="nil"/>
              <w:right w:val="nil"/>
            </w:tcBorders>
            <w:noWrap/>
          </w:tcPr>
          <w:p w14:paraId="0407FA8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0.918</w:t>
            </w:r>
          </w:p>
        </w:tc>
        <w:tc>
          <w:tcPr>
            <w:tcW w:w="1537" w:type="dxa"/>
            <w:tcBorders>
              <w:top w:val="nil"/>
              <w:left w:val="nil"/>
              <w:bottom w:val="nil"/>
              <w:right w:val="nil"/>
            </w:tcBorders>
            <w:noWrap/>
          </w:tcPr>
          <w:p w14:paraId="41220679"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1.021</w:t>
            </w:r>
          </w:p>
        </w:tc>
      </w:tr>
      <w:tr w:rsidR="000313D3" w:rsidRPr="00B11F4B" w14:paraId="738A3422" w14:textId="77777777" w:rsidTr="00D0584C">
        <w:trPr>
          <w:trHeight w:val="280"/>
        </w:trPr>
        <w:tc>
          <w:tcPr>
            <w:tcW w:w="1717" w:type="dxa"/>
            <w:tcBorders>
              <w:top w:val="nil"/>
              <w:left w:val="nil"/>
              <w:bottom w:val="nil"/>
              <w:right w:val="nil"/>
            </w:tcBorders>
            <w:shd w:val="clear" w:color="000000" w:fill="FFFFFF"/>
          </w:tcPr>
          <w:p w14:paraId="4985D7C8"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rPr>
              <w:t>Out</w:t>
            </w:r>
            <w:r w:rsidR="005043E2">
              <w:rPr>
                <w:rFonts w:ascii="Book Antiqua" w:hAnsi="Book Antiqua"/>
              </w:rPr>
              <w:t xml:space="preserve"> </w:t>
            </w:r>
            <w:r w:rsidRPr="00B11F4B">
              <w:rPr>
                <w:rFonts w:ascii="Book Antiqua" w:hAnsi="Book Antiqua"/>
              </w:rPr>
              <w:t>time</w:t>
            </w:r>
          </w:p>
        </w:tc>
        <w:tc>
          <w:tcPr>
            <w:tcW w:w="1537" w:type="dxa"/>
            <w:tcBorders>
              <w:top w:val="nil"/>
              <w:left w:val="nil"/>
              <w:bottom w:val="nil"/>
              <w:right w:val="nil"/>
            </w:tcBorders>
            <w:noWrap/>
          </w:tcPr>
          <w:p w14:paraId="2EB3FEB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-0.001</w:t>
            </w:r>
          </w:p>
        </w:tc>
        <w:tc>
          <w:tcPr>
            <w:tcW w:w="1537" w:type="dxa"/>
            <w:tcBorders>
              <w:top w:val="nil"/>
              <w:left w:val="nil"/>
              <w:bottom w:val="nil"/>
              <w:right w:val="nil"/>
            </w:tcBorders>
            <w:noWrap/>
          </w:tcPr>
          <w:p w14:paraId="4A401510"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0.595</w:t>
            </w:r>
          </w:p>
        </w:tc>
        <w:tc>
          <w:tcPr>
            <w:tcW w:w="1537" w:type="dxa"/>
            <w:tcBorders>
              <w:top w:val="nil"/>
              <w:left w:val="nil"/>
              <w:bottom w:val="nil"/>
              <w:right w:val="nil"/>
            </w:tcBorders>
            <w:noWrap/>
          </w:tcPr>
          <w:p w14:paraId="1774EB7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0.999</w:t>
            </w:r>
          </w:p>
        </w:tc>
        <w:tc>
          <w:tcPr>
            <w:tcW w:w="1537" w:type="dxa"/>
            <w:tcBorders>
              <w:top w:val="nil"/>
              <w:left w:val="nil"/>
              <w:bottom w:val="nil"/>
              <w:right w:val="nil"/>
            </w:tcBorders>
            <w:noWrap/>
          </w:tcPr>
          <w:p w14:paraId="7B7925B7"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0.996</w:t>
            </w:r>
          </w:p>
        </w:tc>
        <w:tc>
          <w:tcPr>
            <w:tcW w:w="1537" w:type="dxa"/>
            <w:tcBorders>
              <w:top w:val="nil"/>
              <w:left w:val="nil"/>
              <w:bottom w:val="nil"/>
              <w:right w:val="nil"/>
            </w:tcBorders>
            <w:noWrap/>
          </w:tcPr>
          <w:p w14:paraId="71A8CB3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1.002</w:t>
            </w:r>
          </w:p>
        </w:tc>
      </w:tr>
      <w:tr w:rsidR="000313D3" w:rsidRPr="00B11F4B" w14:paraId="4C66B533" w14:textId="77777777" w:rsidTr="00D0584C">
        <w:trPr>
          <w:trHeight w:val="295"/>
        </w:trPr>
        <w:tc>
          <w:tcPr>
            <w:tcW w:w="1717" w:type="dxa"/>
            <w:tcBorders>
              <w:top w:val="nil"/>
              <w:left w:val="nil"/>
              <w:bottom w:val="single" w:sz="8" w:space="0" w:color="auto"/>
              <w:right w:val="nil"/>
            </w:tcBorders>
            <w:shd w:val="clear" w:color="000000" w:fill="FFFFFF"/>
          </w:tcPr>
          <w:p w14:paraId="17FEED1F" w14:textId="77777777" w:rsidR="000313D3" w:rsidRPr="00B11F4B" w:rsidRDefault="000313D3" w:rsidP="00664BFB">
            <w:pPr>
              <w:adjustRightInd w:val="0"/>
              <w:snapToGrid w:val="0"/>
              <w:spacing w:line="360" w:lineRule="auto"/>
              <w:rPr>
                <w:rFonts w:ascii="Book Antiqua" w:hAnsi="Book Antiqua"/>
              </w:rPr>
            </w:pPr>
            <w:r w:rsidRPr="00B11F4B">
              <w:rPr>
                <w:rFonts w:ascii="Book Antiqua" w:hAnsi="Book Antiqua"/>
                <w:caps/>
              </w:rPr>
              <w:t>s</w:t>
            </w:r>
            <w:r w:rsidRPr="00B11F4B">
              <w:rPr>
                <w:rFonts w:ascii="Book Antiqua" w:hAnsi="Book Antiqua"/>
              </w:rPr>
              <w:t>ex</w:t>
            </w:r>
          </w:p>
        </w:tc>
        <w:tc>
          <w:tcPr>
            <w:tcW w:w="1537" w:type="dxa"/>
            <w:tcBorders>
              <w:top w:val="nil"/>
              <w:left w:val="nil"/>
              <w:bottom w:val="single" w:sz="8" w:space="0" w:color="auto"/>
              <w:right w:val="nil"/>
            </w:tcBorders>
            <w:noWrap/>
          </w:tcPr>
          <w:p w14:paraId="29DB7FFA"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-0.270</w:t>
            </w:r>
          </w:p>
        </w:tc>
        <w:tc>
          <w:tcPr>
            <w:tcW w:w="1537" w:type="dxa"/>
            <w:tcBorders>
              <w:top w:val="nil"/>
              <w:left w:val="nil"/>
              <w:bottom w:val="single" w:sz="8" w:space="0" w:color="auto"/>
              <w:right w:val="nil"/>
            </w:tcBorders>
            <w:noWrap/>
          </w:tcPr>
          <w:p w14:paraId="64C958C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0.312</w:t>
            </w:r>
          </w:p>
        </w:tc>
        <w:tc>
          <w:tcPr>
            <w:tcW w:w="1537" w:type="dxa"/>
            <w:tcBorders>
              <w:top w:val="nil"/>
              <w:left w:val="nil"/>
              <w:bottom w:val="single" w:sz="8" w:space="0" w:color="auto"/>
              <w:right w:val="nil"/>
            </w:tcBorders>
            <w:noWrap/>
          </w:tcPr>
          <w:p w14:paraId="1B5EFA7F"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0.763</w:t>
            </w:r>
          </w:p>
        </w:tc>
        <w:tc>
          <w:tcPr>
            <w:tcW w:w="1537" w:type="dxa"/>
            <w:tcBorders>
              <w:top w:val="nil"/>
              <w:left w:val="nil"/>
              <w:bottom w:val="single" w:sz="8" w:space="0" w:color="auto"/>
              <w:right w:val="nil"/>
            </w:tcBorders>
            <w:noWrap/>
          </w:tcPr>
          <w:p w14:paraId="25BCA2D2"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0.453</w:t>
            </w:r>
          </w:p>
        </w:tc>
        <w:tc>
          <w:tcPr>
            <w:tcW w:w="1537" w:type="dxa"/>
            <w:tcBorders>
              <w:top w:val="nil"/>
              <w:left w:val="nil"/>
              <w:bottom w:val="single" w:sz="8" w:space="0" w:color="auto"/>
              <w:right w:val="nil"/>
            </w:tcBorders>
            <w:noWrap/>
          </w:tcPr>
          <w:p w14:paraId="50BF0D1B" w14:textId="77777777" w:rsidR="000313D3" w:rsidRPr="00B11F4B" w:rsidRDefault="000313D3" w:rsidP="00664BFB">
            <w:pPr>
              <w:adjustRightInd w:val="0"/>
              <w:snapToGrid w:val="0"/>
              <w:spacing w:line="360" w:lineRule="auto"/>
              <w:jc w:val="right"/>
              <w:rPr>
                <w:rFonts w:ascii="Book Antiqua" w:eastAsia="Arial Unicode MS" w:hAnsi="Book Antiqua" w:cs="Book Antiqua"/>
                <w:color w:val="000000"/>
              </w:rPr>
            </w:pPr>
            <w:r w:rsidRPr="00B11F4B">
              <w:rPr>
                <w:rFonts w:ascii="Book Antiqua" w:eastAsia="Arial Unicode MS" w:hAnsi="Book Antiqua" w:cs="Book Antiqua"/>
                <w:color w:val="000000"/>
              </w:rPr>
              <w:t>1.288</w:t>
            </w:r>
          </w:p>
        </w:tc>
      </w:tr>
    </w:tbl>
    <w:p w14:paraId="1B42510D" w14:textId="3EB4C02A" w:rsidR="00E23360" w:rsidRDefault="00B11F4B" w:rsidP="00664BFB">
      <w:pPr>
        <w:adjustRightInd w:val="0"/>
        <w:snapToGrid w:val="0"/>
        <w:spacing w:line="360" w:lineRule="auto"/>
        <w:jc w:val="both"/>
        <w:rPr>
          <w:rFonts w:ascii="Book Antiqua" w:hAnsi="Book Antiqua" w:cs="Book Antiqua"/>
          <w:color w:val="000000"/>
          <w:lang w:eastAsia="zh-CN"/>
        </w:rPr>
      </w:pPr>
      <w:r w:rsidRPr="00B11F4B">
        <w:rPr>
          <w:rFonts w:ascii="Book Antiqua" w:eastAsia="Book Antiqua" w:hAnsi="Book Antiqua" w:cs="Book Antiqua"/>
          <w:color w:val="000000"/>
        </w:rPr>
        <w:t>LIRADS</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l</w:t>
      </w:r>
      <w:r w:rsidRPr="00B11F4B">
        <w:rPr>
          <w:rFonts w:ascii="Book Antiqua" w:eastAsia="Book Antiqua" w:hAnsi="Book Antiqua" w:cs="Book Antiqua"/>
          <w:color w:val="000000"/>
        </w:rPr>
        <w:t>iver imaging reporting and data system</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AFP</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lpha-fetoprotein</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ALT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lanine aminotransferase</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AST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a</w:t>
      </w:r>
      <w:r w:rsidRPr="00B11F4B">
        <w:rPr>
          <w:rFonts w:ascii="Book Antiqua" w:eastAsia="Book Antiqua" w:hAnsi="Book Antiqua" w:cs="Book Antiqua"/>
          <w:color w:val="000000"/>
        </w:rPr>
        <w:t>spartate aminotransferase</w:t>
      </w:r>
      <w:r w:rsidRPr="00B11F4B">
        <w:rPr>
          <w:rFonts w:ascii="Book Antiqua" w:hAnsi="Book Antiqua" w:cs="Book Antiqua"/>
          <w:color w:val="000000"/>
          <w:lang w:eastAsia="zh-CN"/>
        </w:rPr>
        <w:t xml:space="preserve">; </w:t>
      </w:r>
      <w:r w:rsidRPr="00B11F4B">
        <w:rPr>
          <w:rFonts w:ascii="Book Antiqua" w:eastAsia="Book Antiqua" w:hAnsi="Book Antiqua" w:cs="Book Antiqua"/>
          <w:color w:val="000000"/>
        </w:rPr>
        <w:t>PLT</w:t>
      </w:r>
      <w:r w:rsidRPr="00B11F4B">
        <w:rPr>
          <w:rFonts w:ascii="Book Antiqua" w:hAnsi="Book Antiqua" w:cs="Book Antiqua"/>
          <w:color w:val="000000"/>
          <w:lang w:eastAsia="zh-CN"/>
        </w:rPr>
        <w:t>:</w:t>
      </w:r>
      <w:r w:rsidRPr="00B11F4B">
        <w:rPr>
          <w:rFonts w:ascii="Book Antiqua" w:eastAsia="Book Antiqua" w:hAnsi="Book Antiqua" w:cs="Book Antiqua"/>
          <w:color w:val="000000"/>
        </w:rPr>
        <w:t xml:space="preserve"> </w:t>
      </w:r>
      <w:r w:rsidRPr="00B11F4B">
        <w:rPr>
          <w:rFonts w:ascii="Book Antiqua" w:eastAsia="Book Antiqua" w:hAnsi="Book Antiqua" w:cs="Book Antiqua"/>
          <w:caps/>
          <w:color w:val="000000"/>
        </w:rPr>
        <w:t>p</w:t>
      </w:r>
      <w:r w:rsidRPr="00B11F4B">
        <w:rPr>
          <w:rFonts w:ascii="Book Antiqua" w:eastAsia="Book Antiqua" w:hAnsi="Book Antiqua" w:cs="Book Antiqua"/>
          <w:color w:val="000000"/>
        </w:rPr>
        <w:t>latelet</w:t>
      </w:r>
      <w:r w:rsidRPr="00B11F4B">
        <w:rPr>
          <w:rFonts w:ascii="Book Antiqua" w:hAnsi="Book Antiqua" w:cs="Book Antiqua"/>
          <w:color w:val="000000"/>
          <w:lang w:eastAsia="zh-CN"/>
        </w:rPr>
        <w:t xml:space="preserve">; TBIL: </w:t>
      </w:r>
      <w:r w:rsidRPr="00B11F4B">
        <w:rPr>
          <w:rFonts w:ascii="Book Antiqua" w:hAnsi="Book Antiqua" w:cs="Book Antiqua"/>
          <w:caps/>
          <w:color w:val="000000"/>
          <w:lang w:eastAsia="zh-CN"/>
        </w:rPr>
        <w:t>t</w:t>
      </w:r>
      <w:r w:rsidRPr="00B11F4B">
        <w:rPr>
          <w:rFonts w:ascii="Book Antiqua" w:hAnsi="Book Antiqua" w:cs="Book Antiqua"/>
          <w:color w:val="000000"/>
          <w:lang w:eastAsia="zh-CN"/>
        </w:rPr>
        <w:t>otal bilirubin.</w:t>
      </w:r>
    </w:p>
    <w:p w14:paraId="373CEA6B" w14:textId="77777777" w:rsidR="00E23360" w:rsidRDefault="00E23360">
      <w:pPr>
        <w:rPr>
          <w:rFonts w:ascii="Book Antiqua" w:hAnsi="Book Antiqua" w:cs="Book Antiqua"/>
          <w:color w:val="000000"/>
          <w:lang w:eastAsia="zh-CN"/>
        </w:rPr>
      </w:pPr>
      <w:r>
        <w:rPr>
          <w:rFonts w:ascii="Book Antiqua" w:hAnsi="Book Antiqua" w:cs="Book Antiqua"/>
          <w:color w:val="000000"/>
          <w:lang w:eastAsia="zh-CN"/>
        </w:rPr>
        <w:br w:type="page"/>
      </w:r>
    </w:p>
    <w:p w14:paraId="36F9D893" w14:textId="77777777" w:rsidR="00E23360" w:rsidRDefault="00E23360" w:rsidP="00E23360">
      <w:pPr>
        <w:jc w:val="center"/>
        <w:rPr>
          <w:rFonts w:ascii="Book Antiqua" w:hAnsi="Book Antiqua"/>
          <w:lang w:eastAsia="zh-CN"/>
        </w:rPr>
      </w:pPr>
      <w:bookmarkStart w:id="8" w:name="OLE_LINK1"/>
      <w:bookmarkStart w:id="9" w:name="OLE_LINK2"/>
    </w:p>
    <w:p w14:paraId="29F640BE" w14:textId="77777777" w:rsidR="00E23360" w:rsidRDefault="00E23360" w:rsidP="00E23360">
      <w:pPr>
        <w:jc w:val="center"/>
        <w:rPr>
          <w:rFonts w:ascii="Book Antiqua" w:hAnsi="Book Antiqua"/>
          <w:lang w:eastAsia="zh-CN"/>
        </w:rPr>
      </w:pPr>
    </w:p>
    <w:p w14:paraId="671E7B7C" w14:textId="77777777" w:rsidR="00E23360" w:rsidRDefault="00E23360" w:rsidP="00E23360">
      <w:pPr>
        <w:jc w:val="center"/>
        <w:rPr>
          <w:rFonts w:ascii="Book Antiqua" w:hAnsi="Book Antiqua"/>
          <w:lang w:eastAsia="zh-CN"/>
        </w:rPr>
      </w:pPr>
    </w:p>
    <w:p w14:paraId="1774224F" w14:textId="77777777" w:rsidR="00E23360" w:rsidRDefault="00E23360" w:rsidP="00E23360">
      <w:pPr>
        <w:jc w:val="center"/>
        <w:rPr>
          <w:rFonts w:ascii="Book Antiqua" w:hAnsi="Book Antiqua"/>
          <w:lang w:eastAsia="zh-CN"/>
        </w:rPr>
      </w:pPr>
    </w:p>
    <w:p w14:paraId="5D54F781" w14:textId="77777777" w:rsidR="00E23360" w:rsidRDefault="00E23360" w:rsidP="00E23360">
      <w:pPr>
        <w:jc w:val="center"/>
        <w:rPr>
          <w:rFonts w:ascii="Book Antiqua" w:hAnsi="Book Antiqua"/>
          <w:lang w:eastAsia="zh-CN"/>
        </w:rPr>
      </w:pPr>
    </w:p>
    <w:p w14:paraId="1FA802A8" w14:textId="77777777" w:rsidR="00E23360" w:rsidRDefault="00E23360" w:rsidP="00E23360">
      <w:pPr>
        <w:jc w:val="center"/>
        <w:rPr>
          <w:rFonts w:ascii="Book Antiqua" w:hAnsi="Book Antiqua"/>
          <w:lang w:eastAsia="zh-CN"/>
        </w:rPr>
      </w:pPr>
      <w:r>
        <w:rPr>
          <w:rFonts w:ascii="Book Antiqua" w:hAnsi="Book Antiqua"/>
          <w:noProof/>
          <w:lang w:eastAsia="zh-CN"/>
        </w:rPr>
        <w:drawing>
          <wp:inline distT="0" distB="0" distL="0" distR="0" wp14:anchorId="133AED54" wp14:editId="56AF5F18">
            <wp:extent cx="2499360" cy="1440180"/>
            <wp:effectExtent l="0" t="0" r="0" b="7620"/>
            <wp:docPr id="11" name="图片 1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7AA500" w14:textId="77777777" w:rsidR="00E23360" w:rsidRDefault="00E23360" w:rsidP="00E23360">
      <w:pPr>
        <w:jc w:val="center"/>
        <w:rPr>
          <w:rFonts w:ascii="Book Antiqua" w:hAnsi="Book Antiqua"/>
          <w:lang w:eastAsia="zh-CN"/>
        </w:rPr>
      </w:pPr>
    </w:p>
    <w:p w14:paraId="7B18ACCA" w14:textId="77777777" w:rsidR="00E23360" w:rsidRPr="00763D22" w:rsidRDefault="00E23360" w:rsidP="00E2336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CA9BFA2" w14:textId="77777777" w:rsidR="00E23360" w:rsidRPr="00763D22" w:rsidRDefault="00E23360" w:rsidP="00E233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29AC9B" w14:textId="77777777" w:rsidR="00E23360" w:rsidRPr="00763D22" w:rsidRDefault="00E23360" w:rsidP="00E233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CF6870" w14:textId="77777777" w:rsidR="00E23360" w:rsidRPr="00763D22" w:rsidRDefault="00E23360" w:rsidP="00E233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3E65806" w14:textId="77777777" w:rsidR="00E23360" w:rsidRPr="00763D22" w:rsidRDefault="00E23360" w:rsidP="00E233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CB8EAA" w14:textId="77777777" w:rsidR="00E23360" w:rsidRPr="00763D22" w:rsidRDefault="00E23360" w:rsidP="00E2336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A2CB0E0" w14:textId="77777777" w:rsidR="00E23360" w:rsidRDefault="00E23360" w:rsidP="00E23360">
      <w:pPr>
        <w:jc w:val="center"/>
        <w:rPr>
          <w:rFonts w:ascii="Book Antiqua" w:hAnsi="Book Antiqua"/>
          <w:lang w:eastAsia="zh-CN"/>
        </w:rPr>
      </w:pPr>
    </w:p>
    <w:p w14:paraId="2F8A6628" w14:textId="77777777" w:rsidR="00E23360" w:rsidRDefault="00E23360" w:rsidP="00E23360">
      <w:pPr>
        <w:jc w:val="center"/>
        <w:rPr>
          <w:rFonts w:ascii="Book Antiqua" w:hAnsi="Book Antiqua"/>
          <w:lang w:eastAsia="zh-CN"/>
        </w:rPr>
      </w:pPr>
    </w:p>
    <w:p w14:paraId="6B7DCBC5" w14:textId="77777777" w:rsidR="00E23360" w:rsidRDefault="00E23360" w:rsidP="00E23360">
      <w:pPr>
        <w:jc w:val="center"/>
        <w:rPr>
          <w:rFonts w:ascii="Book Antiqua" w:hAnsi="Book Antiqua"/>
          <w:lang w:eastAsia="zh-CN"/>
        </w:rPr>
      </w:pPr>
    </w:p>
    <w:p w14:paraId="53FF2A18" w14:textId="77777777" w:rsidR="00E23360" w:rsidRDefault="00E23360" w:rsidP="00E23360">
      <w:pPr>
        <w:jc w:val="center"/>
        <w:rPr>
          <w:rFonts w:ascii="Book Antiqua" w:hAnsi="Book Antiqua"/>
          <w:lang w:eastAsia="zh-CN"/>
        </w:rPr>
      </w:pPr>
      <w:r>
        <w:rPr>
          <w:rFonts w:ascii="Book Antiqua" w:hAnsi="Book Antiqua"/>
          <w:noProof/>
          <w:lang w:eastAsia="zh-CN"/>
        </w:rPr>
        <w:drawing>
          <wp:inline distT="0" distB="0" distL="0" distR="0" wp14:anchorId="20E002AC" wp14:editId="4CD349FD">
            <wp:extent cx="1447800" cy="1440180"/>
            <wp:effectExtent l="0" t="0" r="0" b="7620"/>
            <wp:docPr id="13" name="图片 1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FEB95A" w14:textId="77777777" w:rsidR="00E23360" w:rsidRDefault="00E23360" w:rsidP="00E23360">
      <w:pPr>
        <w:jc w:val="center"/>
        <w:rPr>
          <w:rFonts w:ascii="Book Antiqua" w:hAnsi="Book Antiqua"/>
          <w:lang w:eastAsia="zh-CN"/>
        </w:rPr>
      </w:pPr>
    </w:p>
    <w:p w14:paraId="0D199B59" w14:textId="77777777" w:rsidR="00E23360" w:rsidRDefault="00E23360" w:rsidP="00E23360">
      <w:pPr>
        <w:jc w:val="center"/>
        <w:rPr>
          <w:rFonts w:ascii="Book Antiqua" w:hAnsi="Book Antiqua"/>
          <w:lang w:eastAsia="zh-CN"/>
        </w:rPr>
      </w:pPr>
    </w:p>
    <w:p w14:paraId="2A695D28" w14:textId="77777777" w:rsidR="00E23360" w:rsidRDefault="00E23360" w:rsidP="00E23360">
      <w:pPr>
        <w:jc w:val="center"/>
        <w:rPr>
          <w:rFonts w:ascii="Book Antiqua" w:hAnsi="Book Antiqua"/>
          <w:lang w:eastAsia="zh-CN"/>
        </w:rPr>
      </w:pPr>
    </w:p>
    <w:p w14:paraId="2727875F" w14:textId="77777777" w:rsidR="00E23360" w:rsidRDefault="00E23360" w:rsidP="00E23360">
      <w:pPr>
        <w:jc w:val="center"/>
        <w:rPr>
          <w:rFonts w:ascii="Book Antiqua" w:hAnsi="Book Antiqua"/>
          <w:lang w:eastAsia="zh-CN"/>
        </w:rPr>
      </w:pPr>
    </w:p>
    <w:p w14:paraId="32811810" w14:textId="77777777" w:rsidR="00E23360" w:rsidRDefault="00E23360" w:rsidP="00E23360">
      <w:pPr>
        <w:jc w:val="center"/>
        <w:rPr>
          <w:rFonts w:ascii="Book Antiqua" w:hAnsi="Book Antiqua"/>
          <w:lang w:eastAsia="zh-CN"/>
        </w:rPr>
      </w:pPr>
    </w:p>
    <w:p w14:paraId="1D84DB68" w14:textId="77777777" w:rsidR="00E23360" w:rsidRDefault="00E23360" w:rsidP="00E23360">
      <w:pPr>
        <w:jc w:val="center"/>
        <w:rPr>
          <w:rFonts w:ascii="Book Antiqua" w:hAnsi="Book Antiqua"/>
          <w:lang w:eastAsia="zh-CN"/>
        </w:rPr>
      </w:pPr>
    </w:p>
    <w:p w14:paraId="0CE1E419" w14:textId="77777777" w:rsidR="00E23360" w:rsidRDefault="00E23360" w:rsidP="00E23360">
      <w:pPr>
        <w:jc w:val="center"/>
        <w:rPr>
          <w:rFonts w:ascii="Book Antiqua" w:hAnsi="Book Antiqua"/>
          <w:lang w:eastAsia="zh-CN"/>
        </w:rPr>
      </w:pPr>
    </w:p>
    <w:p w14:paraId="50F85937" w14:textId="77777777" w:rsidR="00E23360" w:rsidRDefault="00E23360" w:rsidP="00E23360">
      <w:pPr>
        <w:jc w:val="center"/>
        <w:rPr>
          <w:rFonts w:ascii="Book Antiqua" w:hAnsi="Book Antiqua"/>
          <w:lang w:eastAsia="zh-CN"/>
        </w:rPr>
      </w:pPr>
    </w:p>
    <w:p w14:paraId="62836D6B" w14:textId="77777777" w:rsidR="00E23360" w:rsidRDefault="00E23360" w:rsidP="00E23360">
      <w:pPr>
        <w:jc w:val="center"/>
        <w:rPr>
          <w:rFonts w:ascii="Book Antiqua" w:hAnsi="Book Antiqua"/>
          <w:lang w:eastAsia="zh-CN"/>
        </w:rPr>
      </w:pPr>
    </w:p>
    <w:p w14:paraId="670984ED" w14:textId="77777777" w:rsidR="00E23360" w:rsidRPr="00763D22" w:rsidRDefault="00E23360" w:rsidP="00E23360">
      <w:pPr>
        <w:jc w:val="right"/>
        <w:rPr>
          <w:rFonts w:ascii="Book Antiqua" w:hAnsi="Book Antiqua"/>
          <w:color w:val="000000" w:themeColor="text1"/>
          <w:lang w:eastAsia="zh-CN"/>
        </w:rPr>
      </w:pPr>
    </w:p>
    <w:p w14:paraId="733D56E1" w14:textId="77777777" w:rsidR="00E23360" w:rsidRPr="00763D22" w:rsidRDefault="00E23360" w:rsidP="00E2336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22F57C78" w14:textId="77777777" w:rsidR="000313D3" w:rsidRPr="00E23360" w:rsidRDefault="000313D3" w:rsidP="00664BFB">
      <w:pPr>
        <w:adjustRightInd w:val="0"/>
        <w:snapToGrid w:val="0"/>
        <w:spacing w:line="360" w:lineRule="auto"/>
        <w:jc w:val="both"/>
        <w:rPr>
          <w:rFonts w:ascii="Book Antiqua" w:hAnsi="Book Antiqua"/>
          <w:b/>
          <w:lang w:eastAsia="zh-CN"/>
        </w:rPr>
      </w:pPr>
      <w:bookmarkStart w:id="10" w:name="_GoBack"/>
      <w:bookmarkEnd w:id="10"/>
    </w:p>
    <w:sectPr w:rsidR="000313D3" w:rsidRPr="00E23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1E3F" w14:textId="77777777" w:rsidR="00B02750" w:rsidRDefault="00B02750" w:rsidP="00B11F4B">
      <w:r>
        <w:separator/>
      </w:r>
    </w:p>
  </w:endnote>
  <w:endnote w:type="continuationSeparator" w:id="0">
    <w:p w14:paraId="544C52E7" w14:textId="77777777" w:rsidR="00B02750" w:rsidRDefault="00B02750" w:rsidP="00B1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98427"/>
      <w:docPartObj>
        <w:docPartGallery w:val="Page Numbers (Bottom of Page)"/>
        <w:docPartUnique/>
      </w:docPartObj>
    </w:sdtPr>
    <w:sdtEndPr/>
    <w:sdtContent>
      <w:sdt>
        <w:sdtPr>
          <w:id w:val="98381352"/>
          <w:docPartObj>
            <w:docPartGallery w:val="Page Numbers (Top of Page)"/>
            <w:docPartUnique/>
          </w:docPartObj>
        </w:sdtPr>
        <w:sdtEndPr/>
        <w:sdtContent>
          <w:p w14:paraId="027901B3" w14:textId="77777777" w:rsidR="00816210" w:rsidRDefault="00816210" w:rsidP="00B11F4B">
            <w:pPr>
              <w:pStyle w:val="a5"/>
              <w:jc w:val="right"/>
            </w:pPr>
            <w:r w:rsidRPr="00B11F4B">
              <w:rPr>
                <w:rFonts w:ascii="Book Antiqua" w:hAnsi="Book Antiqua"/>
                <w:sz w:val="24"/>
                <w:szCs w:val="24"/>
                <w:lang w:val="zh-CN" w:eastAsia="zh-CN"/>
              </w:rPr>
              <w:t xml:space="preserve"> </w:t>
            </w:r>
            <w:r w:rsidRPr="00B11F4B">
              <w:rPr>
                <w:rFonts w:ascii="Book Antiqua" w:hAnsi="Book Antiqua"/>
                <w:b/>
                <w:bCs/>
                <w:sz w:val="24"/>
                <w:szCs w:val="24"/>
              </w:rPr>
              <w:fldChar w:fldCharType="begin"/>
            </w:r>
            <w:r w:rsidRPr="00B11F4B">
              <w:rPr>
                <w:rFonts w:ascii="Book Antiqua" w:hAnsi="Book Antiqua"/>
                <w:b/>
                <w:bCs/>
                <w:sz w:val="24"/>
                <w:szCs w:val="24"/>
              </w:rPr>
              <w:instrText>PAGE</w:instrText>
            </w:r>
            <w:r w:rsidRPr="00B11F4B">
              <w:rPr>
                <w:rFonts w:ascii="Book Antiqua" w:hAnsi="Book Antiqua"/>
                <w:b/>
                <w:bCs/>
                <w:sz w:val="24"/>
                <w:szCs w:val="24"/>
              </w:rPr>
              <w:fldChar w:fldCharType="separate"/>
            </w:r>
            <w:r w:rsidR="00B02750">
              <w:rPr>
                <w:rFonts w:ascii="Book Antiqua" w:hAnsi="Book Antiqua"/>
                <w:b/>
                <w:bCs/>
                <w:noProof/>
                <w:sz w:val="24"/>
                <w:szCs w:val="24"/>
              </w:rPr>
              <w:t>1</w:t>
            </w:r>
            <w:r w:rsidRPr="00B11F4B">
              <w:rPr>
                <w:rFonts w:ascii="Book Antiqua" w:hAnsi="Book Antiqua"/>
                <w:b/>
                <w:bCs/>
                <w:sz w:val="24"/>
                <w:szCs w:val="24"/>
              </w:rPr>
              <w:fldChar w:fldCharType="end"/>
            </w:r>
            <w:r w:rsidRPr="00B11F4B">
              <w:rPr>
                <w:rFonts w:ascii="Book Antiqua" w:hAnsi="Book Antiqua"/>
                <w:sz w:val="24"/>
                <w:szCs w:val="24"/>
                <w:lang w:val="zh-CN" w:eastAsia="zh-CN"/>
              </w:rPr>
              <w:t xml:space="preserve"> / </w:t>
            </w:r>
            <w:r w:rsidRPr="00B11F4B">
              <w:rPr>
                <w:rFonts w:ascii="Book Antiqua" w:hAnsi="Book Antiqua"/>
                <w:b/>
                <w:bCs/>
                <w:sz w:val="24"/>
                <w:szCs w:val="24"/>
              </w:rPr>
              <w:fldChar w:fldCharType="begin"/>
            </w:r>
            <w:r w:rsidRPr="00B11F4B">
              <w:rPr>
                <w:rFonts w:ascii="Book Antiqua" w:hAnsi="Book Antiqua"/>
                <w:b/>
                <w:bCs/>
                <w:sz w:val="24"/>
                <w:szCs w:val="24"/>
              </w:rPr>
              <w:instrText>NUMPAGES</w:instrText>
            </w:r>
            <w:r w:rsidRPr="00B11F4B">
              <w:rPr>
                <w:rFonts w:ascii="Book Antiqua" w:hAnsi="Book Antiqua"/>
                <w:b/>
                <w:bCs/>
                <w:sz w:val="24"/>
                <w:szCs w:val="24"/>
              </w:rPr>
              <w:fldChar w:fldCharType="separate"/>
            </w:r>
            <w:r w:rsidR="00B02750">
              <w:rPr>
                <w:rFonts w:ascii="Book Antiqua" w:hAnsi="Book Antiqua"/>
                <w:b/>
                <w:bCs/>
                <w:noProof/>
                <w:sz w:val="24"/>
                <w:szCs w:val="24"/>
              </w:rPr>
              <w:t>1</w:t>
            </w:r>
            <w:r w:rsidRPr="00B11F4B">
              <w:rPr>
                <w:rFonts w:ascii="Book Antiqua" w:hAnsi="Book Antiqua"/>
                <w:b/>
                <w:bCs/>
                <w:sz w:val="24"/>
                <w:szCs w:val="24"/>
              </w:rPr>
              <w:fldChar w:fldCharType="end"/>
            </w:r>
          </w:p>
        </w:sdtContent>
      </w:sdt>
    </w:sdtContent>
  </w:sdt>
  <w:p w14:paraId="7742E659" w14:textId="77777777" w:rsidR="00816210" w:rsidRDefault="00816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3BBD" w14:textId="77777777" w:rsidR="00B02750" w:rsidRDefault="00B02750" w:rsidP="00B11F4B">
      <w:r>
        <w:separator/>
      </w:r>
    </w:p>
  </w:footnote>
  <w:footnote w:type="continuationSeparator" w:id="0">
    <w:p w14:paraId="4A84BF23" w14:textId="77777777" w:rsidR="00B02750" w:rsidRDefault="00B02750" w:rsidP="00B11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3D3"/>
    <w:rsid w:val="0004789D"/>
    <w:rsid w:val="00126057"/>
    <w:rsid w:val="001304C2"/>
    <w:rsid w:val="001E6671"/>
    <w:rsid w:val="001F3469"/>
    <w:rsid w:val="00231B2A"/>
    <w:rsid w:val="002708FE"/>
    <w:rsid w:val="00271350"/>
    <w:rsid w:val="002B77C6"/>
    <w:rsid w:val="002F5ADD"/>
    <w:rsid w:val="002F66A4"/>
    <w:rsid w:val="003A26B9"/>
    <w:rsid w:val="003B5DC2"/>
    <w:rsid w:val="003C2C7F"/>
    <w:rsid w:val="003D10F8"/>
    <w:rsid w:val="004412FB"/>
    <w:rsid w:val="005043E2"/>
    <w:rsid w:val="00516DAA"/>
    <w:rsid w:val="00563608"/>
    <w:rsid w:val="0056755E"/>
    <w:rsid w:val="00567C86"/>
    <w:rsid w:val="005732B5"/>
    <w:rsid w:val="00575287"/>
    <w:rsid w:val="005B34D4"/>
    <w:rsid w:val="006553CD"/>
    <w:rsid w:val="006604A2"/>
    <w:rsid w:val="00664BFB"/>
    <w:rsid w:val="006B16B5"/>
    <w:rsid w:val="006E6535"/>
    <w:rsid w:val="0073587D"/>
    <w:rsid w:val="00750928"/>
    <w:rsid w:val="0077515F"/>
    <w:rsid w:val="00816210"/>
    <w:rsid w:val="0084257E"/>
    <w:rsid w:val="008702AA"/>
    <w:rsid w:val="009E6384"/>
    <w:rsid w:val="00A27010"/>
    <w:rsid w:val="00A46B7A"/>
    <w:rsid w:val="00A77B3E"/>
    <w:rsid w:val="00AA05D4"/>
    <w:rsid w:val="00AD16BB"/>
    <w:rsid w:val="00B02750"/>
    <w:rsid w:val="00B11F4B"/>
    <w:rsid w:val="00B86D12"/>
    <w:rsid w:val="00C90DA7"/>
    <w:rsid w:val="00CA2A55"/>
    <w:rsid w:val="00CE1C5E"/>
    <w:rsid w:val="00CF54EC"/>
    <w:rsid w:val="00D0584C"/>
    <w:rsid w:val="00D472B5"/>
    <w:rsid w:val="00DD3496"/>
    <w:rsid w:val="00E23360"/>
    <w:rsid w:val="00F3454E"/>
    <w:rsid w:val="00F75CB1"/>
    <w:rsid w:val="00FC4028"/>
    <w:rsid w:val="00FF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D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313D3"/>
    <w:rPr>
      <w:sz w:val="18"/>
      <w:szCs w:val="18"/>
    </w:rPr>
  </w:style>
  <w:style w:type="character" w:customStyle="1" w:styleId="Char">
    <w:name w:val="批注框文本 Char"/>
    <w:basedOn w:val="a0"/>
    <w:link w:val="a3"/>
    <w:rsid w:val="000313D3"/>
    <w:rPr>
      <w:sz w:val="18"/>
      <w:szCs w:val="18"/>
    </w:rPr>
  </w:style>
  <w:style w:type="paragraph" w:styleId="a4">
    <w:name w:val="header"/>
    <w:basedOn w:val="a"/>
    <w:link w:val="Char0"/>
    <w:rsid w:val="00B11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11F4B"/>
    <w:rPr>
      <w:sz w:val="18"/>
      <w:szCs w:val="18"/>
    </w:rPr>
  </w:style>
  <w:style w:type="paragraph" w:styleId="a5">
    <w:name w:val="footer"/>
    <w:basedOn w:val="a"/>
    <w:link w:val="Char1"/>
    <w:uiPriority w:val="99"/>
    <w:rsid w:val="00B11F4B"/>
    <w:pPr>
      <w:tabs>
        <w:tab w:val="center" w:pos="4153"/>
        <w:tab w:val="right" w:pos="8306"/>
      </w:tabs>
      <w:snapToGrid w:val="0"/>
    </w:pPr>
    <w:rPr>
      <w:sz w:val="18"/>
      <w:szCs w:val="18"/>
    </w:rPr>
  </w:style>
  <w:style w:type="character" w:customStyle="1" w:styleId="Char1">
    <w:name w:val="页脚 Char"/>
    <w:basedOn w:val="a0"/>
    <w:link w:val="a5"/>
    <w:uiPriority w:val="99"/>
    <w:rsid w:val="00B11F4B"/>
    <w:rPr>
      <w:sz w:val="18"/>
      <w:szCs w:val="18"/>
    </w:rPr>
  </w:style>
  <w:style w:type="paragraph" w:styleId="a6">
    <w:name w:val="Normal (Web)"/>
    <w:basedOn w:val="a"/>
    <w:uiPriority w:val="99"/>
    <w:unhideWhenUsed/>
    <w:rsid w:val="00F3454E"/>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D472B5"/>
    <w:rPr>
      <w:sz w:val="21"/>
      <w:szCs w:val="21"/>
    </w:rPr>
  </w:style>
  <w:style w:type="paragraph" w:styleId="a8">
    <w:name w:val="annotation text"/>
    <w:basedOn w:val="a"/>
    <w:link w:val="Char2"/>
    <w:semiHidden/>
    <w:unhideWhenUsed/>
    <w:rsid w:val="00D472B5"/>
  </w:style>
  <w:style w:type="character" w:customStyle="1" w:styleId="Char2">
    <w:name w:val="批注文字 Char"/>
    <w:basedOn w:val="a0"/>
    <w:link w:val="a8"/>
    <w:semiHidden/>
    <w:rsid w:val="00D472B5"/>
    <w:rPr>
      <w:sz w:val="24"/>
      <w:szCs w:val="24"/>
    </w:rPr>
  </w:style>
  <w:style w:type="paragraph" w:styleId="a9">
    <w:name w:val="annotation subject"/>
    <w:basedOn w:val="a8"/>
    <w:next w:val="a8"/>
    <w:link w:val="Char3"/>
    <w:semiHidden/>
    <w:unhideWhenUsed/>
    <w:rsid w:val="00D472B5"/>
    <w:rPr>
      <w:b/>
      <w:bCs/>
    </w:rPr>
  </w:style>
  <w:style w:type="character" w:customStyle="1" w:styleId="Char3">
    <w:name w:val="批注主题 Char"/>
    <w:basedOn w:val="Char2"/>
    <w:link w:val="a9"/>
    <w:semiHidden/>
    <w:rsid w:val="00D472B5"/>
    <w:rPr>
      <w:b/>
      <w:bCs/>
      <w:sz w:val="24"/>
      <w:szCs w:val="24"/>
    </w:rPr>
  </w:style>
  <w:style w:type="character" w:styleId="aa">
    <w:name w:val="Hyperlink"/>
    <w:basedOn w:val="a0"/>
    <w:unhideWhenUsed/>
    <w:rsid w:val="00573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313D3"/>
    <w:rPr>
      <w:sz w:val="18"/>
      <w:szCs w:val="18"/>
    </w:rPr>
  </w:style>
  <w:style w:type="character" w:customStyle="1" w:styleId="Char">
    <w:name w:val="批注框文本 Char"/>
    <w:basedOn w:val="a0"/>
    <w:link w:val="a3"/>
    <w:rsid w:val="000313D3"/>
    <w:rPr>
      <w:sz w:val="18"/>
      <w:szCs w:val="18"/>
    </w:rPr>
  </w:style>
  <w:style w:type="paragraph" w:styleId="a4">
    <w:name w:val="header"/>
    <w:basedOn w:val="a"/>
    <w:link w:val="Char0"/>
    <w:rsid w:val="00B11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11F4B"/>
    <w:rPr>
      <w:sz w:val="18"/>
      <w:szCs w:val="18"/>
    </w:rPr>
  </w:style>
  <w:style w:type="paragraph" w:styleId="a5">
    <w:name w:val="footer"/>
    <w:basedOn w:val="a"/>
    <w:link w:val="Char1"/>
    <w:uiPriority w:val="99"/>
    <w:rsid w:val="00B11F4B"/>
    <w:pPr>
      <w:tabs>
        <w:tab w:val="center" w:pos="4153"/>
        <w:tab w:val="right" w:pos="8306"/>
      </w:tabs>
      <w:snapToGrid w:val="0"/>
    </w:pPr>
    <w:rPr>
      <w:sz w:val="18"/>
      <w:szCs w:val="18"/>
    </w:rPr>
  </w:style>
  <w:style w:type="character" w:customStyle="1" w:styleId="Char1">
    <w:name w:val="页脚 Char"/>
    <w:basedOn w:val="a0"/>
    <w:link w:val="a5"/>
    <w:uiPriority w:val="99"/>
    <w:rsid w:val="00B11F4B"/>
    <w:rPr>
      <w:sz w:val="18"/>
      <w:szCs w:val="18"/>
    </w:rPr>
  </w:style>
  <w:style w:type="paragraph" w:styleId="a6">
    <w:name w:val="Normal (Web)"/>
    <w:basedOn w:val="a"/>
    <w:uiPriority w:val="99"/>
    <w:unhideWhenUsed/>
    <w:rsid w:val="00F3454E"/>
    <w:pPr>
      <w:spacing w:before="100" w:beforeAutospacing="1" w:after="100" w:afterAutospacing="1"/>
    </w:pPr>
    <w:rPr>
      <w:rFonts w:ascii="宋体" w:eastAsia="宋体" w:hAnsi="宋体" w:cs="宋体"/>
      <w:lang w:eastAsia="zh-CN"/>
    </w:rPr>
  </w:style>
  <w:style w:type="character" w:styleId="a7">
    <w:name w:val="annotation reference"/>
    <w:basedOn w:val="a0"/>
    <w:semiHidden/>
    <w:unhideWhenUsed/>
    <w:rsid w:val="00D472B5"/>
    <w:rPr>
      <w:sz w:val="21"/>
      <w:szCs w:val="21"/>
    </w:rPr>
  </w:style>
  <w:style w:type="paragraph" w:styleId="a8">
    <w:name w:val="annotation text"/>
    <w:basedOn w:val="a"/>
    <w:link w:val="Char2"/>
    <w:semiHidden/>
    <w:unhideWhenUsed/>
    <w:rsid w:val="00D472B5"/>
  </w:style>
  <w:style w:type="character" w:customStyle="1" w:styleId="Char2">
    <w:name w:val="批注文字 Char"/>
    <w:basedOn w:val="a0"/>
    <w:link w:val="a8"/>
    <w:semiHidden/>
    <w:rsid w:val="00D472B5"/>
    <w:rPr>
      <w:sz w:val="24"/>
      <w:szCs w:val="24"/>
    </w:rPr>
  </w:style>
  <w:style w:type="paragraph" w:styleId="a9">
    <w:name w:val="annotation subject"/>
    <w:basedOn w:val="a8"/>
    <w:next w:val="a8"/>
    <w:link w:val="Char3"/>
    <w:semiHidden/>
    <w:unhideWhenUsed/>
    <w:rsid w:val="00D472B5"/>
    <w:rPr>
      <w:b/>
      <w:bCs/>
    </w:rPr>
  </w:style>
  <w:style w:type="character" w:customStyle="1" w:styleId="Char3">
    <w:name w:val="批注主题 Char"/>
    <w:basedOn w:val="Char2"/>
    <w:link w:val="a9"/>
    <w:semiHidden/>
    <w:rsid w:val="00D472B5"/>
    <w:rPr>
      <w:b/>
      <w:bCs/>
      <w:sz w:val="24"/>
      <w:szCs w:val="24"/>
    </w:rPr>
  </w:style>
  <w:style w:type="character" w:styleId="aa">
    <w:name w:val="Hyperlink"/>
    <w:basedOn w:val="a0"/>
    <w:unhideWhenUsed/>
    <w:rsid w:val="0057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0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7</cp:revision>
  <dcterms:created xsi:type="dcterms:W3CDTF">2021-07-12T14:31:00Z</dcterms:created>
  <dcterms:modified xsi:type="dcterms:W3CDTF">2021-08-18T02:16:00Z</dcterms:modified>
</cp:coreProperties>
</file>