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3420A" w14:textId="77777777" w:rsidR="008B7F41" w:rsidRDefault="004C709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549307B" w14:textId="77777777" w:rsidR="008B7F41" w:rsidRDefault="004C709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65488</w:t>
      </w:r>
    </w:p>
    <w:p w14:paraId="23D5B707" w14:textId="77777777" w:rsidR="008B7F41" w:rsidRDefault="004C709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8DB40F0" w14:textId="77777777" w:rsidR="008B7F41" w:rsidRDefault="008B7F41">
      <w:pPr>
        <w:spacing w:line="360" w:lineRule="auto"/>
        <w:jc w:val="both"/>
      </w:pPr>
    </w:p>
    <w:p w14:paraId="6E571645" w14:textId="77777777" w:rsidR="008B7F41" w:rsidRDefault="004C7094">
      <w:pPr>
        <w:spacing w:line="360" w:lineRule="auto"/>
        <w:jc w:val="both"/>
      </w:pPr>
      <w:r>
        <w:rPr>
          <w:rFonts w:ascii="Book Antiqua" w:eastAsia="Book Antiqua" w:hAnsi="Book Antiqua" w:cs="Book Antiqua"/>
          <w:b/>
          <w:i/>
          <w:color w:val="000000"/>
        </w:rPr>
        <w:t>Basic Study</w:t>
      </w:r>
    </w:p>
    <w:p w14:paraId="1DFE422A" w14:textId="77777777" w:rsidR="008B7F41" w:rsidRDefault="004C7094">
      <w:pPr>
        <w:spacing w:line="360" w:lineRule="auto"/>
        <w:jc w:val="both"/>
      </w:pPr>
      <w:bookmarkStart w:id="0" w:name="OLE_LINK157"/>
      <w:bookmarkStart w:id="1" w:name="OLE_LINK156"/>
      <w:r>
        <w:rPr>
          <w:rFonts w:ascii="Book Antiqua" w:eastAsia="Book Antiqua" w:hAnsi="Book Antiqua" w:cs="Book Antiqua"/>
          <w:b/>
          <w:bCs/>
          <w:color w:val="000000"/>
        </w:rPr>
        <w:t xml:space="preserve">Ubiquitin-specific protease 15 contributes to gastric cancer progression </w:t>
      </w:r>
      <w:r>
        <w:rPr>
          <w:rFonts w:ascii="Book Antiqua" w:eastAsia="Book Antiqua" w:hAnsi="Book Antiqua" w:cs="Book Antiqua"/>
          <w:b/>
          <w:bCs/>
          <w:color w:val="000000"/>
        </w:rPr>
        <w:t>by</w:t>
      </w:r>
      <w:r>
        <w:rPr>
          <w:rFonts w:ascii="Book Antiqua" w:eastAsia="Book Antiqua" w:hAnsi="Book Antiqua" w:cs="Book Antiqua"/>
          <w:b/>
          <w:bCs/>
          <w:i/>
          <w:iCs/>
          <w:color w:val="000000"/>
        </w:rPr>
        <w:t xml:space="preserve"> </w:t>
      </w:r>
      <w:r>
        <w:rPr>
          <w:rFonts w:ascii="Book Antiqua" w:eastAsia="Book Antiqua" w:hAnsi="Book Antiqua" w:cs="Book Antiqua"/>
          <w:b/>
          <w:bCs/>
          <w:color w:val="000000"/>
        </w:rPr>
        <w:t xml:space="preserve">regulating the </w:t>
      </w:r>
      <w:proofErr w:type="spellStart"/>
      <w:r>
        <w:rPr>
          <w:rFonts w:ascii="Book Antiqua" w:eastAsia="Book Antiqua" w:hAnsi="Book Antiqua" w:cs="Book Antiqua"/>
          <w:b/>
          <w:bCs/>
          <w:color w:val="000000"/>
        </w:rPr>
        <w:t>Wnt</w:t>
      </w:r>
      <w:proofErr w:type="spellEnd"/>
      <w:r>
        <w:rPr>
          <w:rFonts w:ascii="Book Antiqua" w:eastAsia="Book Antiqua" w:hAnsi="Book Antiqua" w:cs="Book Antiqua"/>
          <w:b/>
          <w:bCs/>
          <w:color w:val="000000"/>
        </w:rPr>
        <w:t>/β-catenin signaling pathway</w:t>
      </w:r>
    </w:p>
    <w:bookmarkEnd w:id="0"/>
    <w:bookmarkEnd w:id="1"/>
    <w:p w14:paraId="3E3D0AB7" w14:textId="77777777" w:rsidR="008B7F41" w:rsidRDefault="008B7F41">
      <w:pPr>
        <w:spacing w:line="360" w:lineRule="auto"/>
        <w:jc w:val="both"/>
      </w:pPr>
    </w:p>
    <w:p w14:paraId="46D0F6EE" w14:textId="77777777" w:rsidR="008B7F41" w:rsidRDefault="004C7094">
      <w:pPr>
        <w:spacing w:line="360" w:lineRule="auto"/>
        <w:jc w:val="both"/>
      </w:pPr>
      <w:r>
        <w:rPr>
          <w:rFonts w:ascii="Book Antiqua" w:eastAsia="Book Antiqua" w:hAnsi="Book Antiqua" w:cs="Book Antiqua"/>
          <w:color w:val="000000"/>
        </w:rPr>
        <w:t xml:space="preserve">Zhong </w:t>
      </w:r>
      <w:r>
        <w:rPr>
          <w:rFonts w:ascii="Book Antiqua" w:hAnsi="Book Antiqua" w:cs="Book Antiqua" w:hint="eastAsia"/>
          <w:color w:val="000000"/>
          <w:lang w:eastAsia="zh-CN"/>
        </w:rPr>
        <w:t xml:space="preserve">M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USP15 promotes gastric cancer progression </w:t>
      </w:r>
    </w:p>
    <w:p w14:paraId="599DEA3E" w14:textId="77777777" w:rsidR="008B7F41" w:rsidRDefault="008B7F41">
      <w:pPr>
        <w:spacing w:line="360" w:lineRule="auto"/>
        <w:jc w:val="both"/>
      </w:pPr>
    </w:p>
    <w:p w14:paraId="1A3027F0" w14:textId="77777777" w:rsidR="008B7F41" w:rsidRDefault="004C7094">
      <w:pPr>
        <w:spacing w:line="360" w:lineRule="auto"/>
        <w:jc w:val="both"/>
      </w:pPr>
      <w:r>
        <w:rPr>
          <w:rFonts w:ascii="Book Antiqua" w:eastAsia="Book Antiqua" w:hAnsi="Book Antiqua" w:cs="Book Antiqua"/>
          <w:color w:val="000000"/>
        </w:rPr>
        <w:t xml:space="preserve">Min Zhong, Ling Zhou,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Fang, Yang-Yang Yao, Jian-Ping Zou, Jian-Ping </w:t>
      </w:r>
      <w:proofErr w:type="spellStart"/>
      <w:r>
        <w:rPr>
          <w:rFonts w:ascii="Book Antiqua" w:eastAsia="Book Antiqua" w:hAnsi="Book Antiqua" w:cs="Book Antiqua"/>
          <w:color w:val="000000"/>
        </w:rPr>
        <w:t>X</w:t>
      </w:r>
      <w:r>
        <w:rPr>
          <w:rFonts w:ascii="Book Antiqua" w:eastAsia="Book Antiqua" w:hAnsi="Book Antiqua" w:cs="Book Antiqua"/>
          <w:color w:val="000000"/>
        </w:rPr>
        <w:t>iong</w:t>
      </w:r>
      <w:proofErr w:type="spellEnd"/>
      <w:r>
        <w:rPr>
          <w:rFonts w:ascii="Book Antiqua" w:eastAsia="Book Antiqua" w:hAnsi="Book Antiqua" w:cs="Book Antiqua"/>
          <w:color w:val="000000"/>
        </w:rPr>
        <w:t>, Xiao-Jun Xiang, Jun Deng</w:t>
      </w:r>
    </w:p>
    <w:p w14:paraId="4478ECBE" w14:textId="77777777" w:rsidR="008B7F41" w:rsidRDefault="008B7F41">
      <w:pPr>
        <w:spacing w:line="360" w:lineRule="auto"/>
        <w:jc w:val="both"/>
      </w:pPr>
    </w:p>
    <w:p w14:paraId="6E1F0498" w14:textId="77777777" w:rsidR="008B7F41" w:rsidRDefault="004C7094">
      <w:pPr>
        <w:spacing w:line="360" w:lineRule="auto"/>
        <w:jc w:val="both"/>
      </w:pPr>
      <w:r>
        <w:rPr>
          <w:rFonts w:ascii="Book Antiqua" w:eastAsia="Book Antiqua" w:hAnsi="Book Antiqua" w:cs="Book Antiqua"/>
          <w:b/>
          <w:bCs/>
          <w:color w:val="000000"/>
        </w:rPr>
        <w:t xml:space="preserve">Min Zhong, Ling Zhou,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Fang, Jian-Ping Zou, Jun Deng, </w:t>
      </w:r>
      <w:r>
        <w:rPr>
          <w:rFonts w:ascii="Book Antiqua" w:eastAsia="Book Antiqua" w:hAnsi="Book Antiqua" w:cs="Book Antiqua"/>
          <w:color w:val="000000"/>
        </w:rPr>
        <w:t xml:space="preserve">Department of Jiangxi Key Laboratory for Individualized Cancer Therapy, The First Affiliated Hospital of Nanchang University, Nanchang 330006, Jiangxi Province, </w:t>
      </w:r>
      <w:bookmarkStart w:id="2" w:name="OLE_LINK168"/>
      <w:bookmarkStart w:id="3" w:name="OLE_LINK169"/>
      <w:r>
        <w:rPr>
          <w:rFonts w:ascii="Book Antiqua" w:eastAsia="Book Antiqua" w:hAnsi="Book Antiqua" w:cs="Book Antiqua"/>
          <w:color w:val="000000"/>
        </w:rPr>
        <w:t>China</w:t>
      </w:r>
      <w:bookmarkEnd w:id="2"/>
      <w:bookmarkEnd w:id="3"/>
    </w:p>
    <w:p w14:paraId="370037AD" w14:textId="77777777" w:rsidR="008B7F41" w:rsidRDefault="008B7F41">
      <w:pPr>
        <w:spacing w:line="360" w:lineRule="auto"/>
        <w:jc w:val="both"/>
      </w:pPr>
    </w:p>
    <w:p w14:paraId="1E64B673" w14:textId="77777777" w:rsidR="008B7F41" w:rsidRDefault="004C7094">
      <w:pPr>
        <w:spacing w:line="360" w:lineRule="auto"/>
        <w:jc w:val="both"/>
      </w:pPr>
      <w:r>
        <w:rPr>
          <w:rFonts w:ascii="Book Antiqua" w:eastAsia="Book Antiqua" w:hAnsi="Book Antiqua" w:cs="Book Antiqua"/>
          <w:b/>
          <w:bCs/>
          <w:color w:val="000000"/>
        </w:rPr>
        <w:t xml:space="preserve">Yang-Yang Yao, Jian-Ping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Xiao-Jun Xiang, </w:t>
      </w:r>
      <w:r>
        <w:rPr>
          <w:rFonts w:ascii="Book Antiqua" w:eastAsia="Book Antiqua" w:hAnsi="Book Antiqua" w:cs="Book Antiqua"/>
          <w:color w:val="000000"/>
        </w:rPr>
        <w:t>Department of Cancer Center, The First Affiliated Hospital of Nanchang University, Nanchang 330006, Jiangxi Province, China</w:t>
      </w:r>
    </w:p>
    <w:p w14:paraId="18B82203" w14:textId="77777777" w:rsidR="008B7F41" w:rsidRDefault="008B7F41">
      <w:pPr>
        <w:spacing w:line="360" w:lineRule="auto"/>
        <w:jc w:val="both"/>
      </w:pPr>
    </w:p>
    <w:p w14:paraId="6AFD8476" w14:textId="77777777" w:rsidR="008B7F41" w:rsidRDefault="004C709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Zhong M, Zhou L, and Fang Z contributed equally to this work</w:t>
      </w:r>
      <w:r>
        <w:rPr>
          <w:rFonts w:ascii="Book Antiqua" w:eastAsia="Book Antiqua" w:hAnsi="Book Antiqua" w:cs="Book Antiqua"/>
          <w:color w:val="000000"/>
        </w:rPr>
        <w:t xml:space="preserve">; Zhong M performed data acquisition and drafted the manuscript; Zhou L and Fang Z completed the statistical analyses; Yao YY and Zou JP were involved in critically revising the manuscript for important intellectual content; Deng 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JP, and Xiang XJ </w:t>
      </w:r>
      <w:r>
        <w:rPr>
          <w:rFonts w:ascii="Book Antiqua" w:eastAsia="Book Antiqua" w:hAnsi="Book Antiqua" w:cs="Book Antiqua"/>
          <w:color w:val="000000"/>
        </w:rPr>
        <w:t>conceived and designed the study.</w:t>
      </w:r>
    </w:p>
    <w:p w14:paraId="1ACF85A0" w14:textId="77777777" w:rsidR="008B7F41" w:rsidRDefault="008B7F41">
      <w:pPr>
        <w:spacing w:line="360" w:lineRule="auto"/>
        <w:jc w:val="both"/>
      </w:pPr>
    </w:p>
    <w:p w14:paraId="26460E30" w14:textId="77777777" w:rsidR="008B7F41" w:rsidRDefault="004C7094">
      <w:pPr>
        <w:spacing w:line="360" w:lineRule="auto"/>
        <w:jc w:val="both"/>
      </w:pPr>
      <w:r>
        <w:rPr>
          <w:rFonts w:ascii="Book Antiqua" w:eastAsia="Book Antiqua" w:hAnsi="Book Antiqua" w:cs="Book Antiqua"/>
          <w:b/>
          <w:bCs/>
          <w:color w:val="000000"/>
        </w:rPr>
        <w:t xml:space="preserve">Supported by </w:t>
      </w:r>
      <w:bookmarkStart w:id="4" w:name="OLE_LINK158"/>
      <w:bookmarkStart w:id="5" w:name="OLE_LINK159"/>
      <w:r>
        <w:rPr>
          <w:rFonts w:ascii="Book Antiqua" w:eastAsia="Book Antiqua" w:hAnsi="Book Antiqua" w:cs="Book Antiqua"/>
          <w:color w:val="000000"/>
        </w:rPr>
        <w:t xml:space="preserve">National Natural Science Foundation of China, No. 81760432; Science and Technology Department of Jiangxi Province, No. 20202BBGL73036; and Jiangxi Provincial Outstanding Young Talents </w:t>
      </w:r>
      <w:r>
        <w:rPr>
          <w:rFonts w:ascii="Book Antiqua" w:eastAsia="Book Antiqua" w:hAnsi="Book Antiqua" w:cs="Book Antiqua"/>
          <w:caps/>
          <w:color w:val="000000"/>
        </w:rPr>
        <w:t>p</w:t>
      </w:r>
      <w:r>
        <w:rPr>
          <w:rFonts w:ascii="Book Antiqua" w:eastAsia="Book Antiqua" w:hAnsi="Book Antiqua" w:cs="Book Antiqua"/>
          <w:color w:val="000000"/>
        </w:rPr>
        <w:t>roject</w:t>
      </w:r>
      <w:r>
        <w:rPr>
          <w:rFonts w:ascii="Book Antiqua" w:hAnsi="Book Antiqua" w:cs="Book Antiqua" w:hint="eastAsia"/>
          <w:color w:val="000000"/>
          <w:lang w:eastAsia="zh-CN"/>
        </w:rPr>
        <w:t>s,</w:t>
      </w:r>
      <w:r>
        <w:rPr>
          <w:rFonts w:ascii="Book Antiqua" w:eastAsia="Book Antiqua" w:hAnsi="Book Antiqua" w:cs="Book Antiqua"/>
          <w:color w:val="000000"/>
        </w:rPr>
        <w:t xml:space="preserve"> No. 20204BCJ23016.</w:t>
      </w:r>
      <w:bookmarkEnd w:id="4"/>
      <w:bookmarkEnd w:id="5"/>
    </w:p>
    <w:p w14:paraId="689B10B7" w14:textId="77777777" w:rsidR="008B7F41" w:rsidRDefault="008B7F41">
      <w:pPr>
        <w:spacing w:line="360" w:lineRule="auto"/>
        <w:jc w:val="both"/>
      </w:pPr>
    </w:p>
    <w:p w14:paraId="1FDD2F0C" w14:textId="77777777" w:rsidR="008B7F41" w:rsidRDefault="004C7094">
      <w:pPr>
        <w:spacing w:line="360" w:lineRule="auto"/>
        <w:jc w:val="both"/>
      </w:pPr>
      <w:r>
        <w:rPr>
          <w:rFonts w:ascii="Book Antiqua" w:eastAsia="Book Antiqua" w:hAnsi="Book Antiqua" w:cs="Book Antiqua"/>
          <w:b/>
          <w:bCs/>
          <w:color w:val="000000"/>
        </w:rPr>
        <w:lastRenderedPageBreak/>
        <w:t xml:space="preserve">Corresponding author: Jun Deng, PhD, Assistant Professor, </w:t>
      </w:r>
      <w:r>
        <w:rPr>
          <w:rFonts w:ascii="Book Antiqua" w:eastAsia="Book Antiqua" w:hAnsi="Book Antiqua" w:cs="Book Antiqua"/>
          <w:color w:val="000000"/>
        </w:rPr>
        <w:t xml:space="preserve">Department of Jiangxi Key Laboratory for Individualized Cancer Therapy, The First Affiliated Hospital of Nanchang University, No. 17 </w:t>
      </w:r>
      <w:proofErr w:type="spellStart"/>
      <w:r>
        <w:rPr>
          <w:rFonts w:ascii="Book Antiqua" w:eastAsia="Book Antiqua" w:hAnsi="Book Antiqua" w:cs="Book Antiqua"/>
          <w:color w:val="000000"/>
        </w:rPr>
        <w:t>Yongwai</w:t>
      </w:r>
      <w:proofErr w:type="spellEnd"/>
      <w:r>
        <w:rPr>
          <w:rFonts w:ascii="Book Antiqua" w:eastAsia="Book Antiqua" w:hAnsi="Book Antiqua" w:cs="Book Antiqua"/>
          <w:color w:val="000000"/>
        </w:rPr>
        <w:t xml:space="preserve"> Street, Nanchang 330006, Jiangxi Pro</w:t>
      </w:r>
      <w:r>
        <w:rPr>
          <w:rFonts w:ascii="Book Antiqua" w:eastAsia="Book Antiqua" w:hAnsi="Book Antiqua" w:cs="Book Antiqua"/>
          <w:color w:val="000000"/>
        </w:rPr>
        <w:t>vince, China. dengjun19871106@ncu.edu.cn</w:t>
      </w:r>
    </w:p>
    <w:p w14:paraId="0362AECA" w14:textId="77777777" w:rsidR="008B7F41" w:rsidRDefault="008B7F41">
      <w:pPr>
        <w:spacing w:line="360" w:lineRule="auto"/>
        <w:jc w:val="both"/>
      </w:pPr>
    </w:p>
    <w:p w14:paraId="7BD81D2C" w14:textId="77777777" w:rsidR="008B7F41" w:rsidRDefault="004C709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8, 2021</w:t>
      </w:r>
    </w:p>
    <w:p w14:paraId="2CE41E1E" w14:textId="77777777" w:rsidR="008B7F41" w:rsidRDefault="004C709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27, 2021</w:t>
      </w:r>
    </w:p>
    <w:p w14:paraId="46642590" w14:textId="77777777" w:rsidR="008B7F41" w:rsidRDefault="004C7094">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June 16, 2021</w:t>
      </w:r>
    </w:p>
    <w:p w14:paraId="0B01D5CA" w14:textId="77777777" w:rsidR="008B7F41" w:rsidRDefault="004C7094">
      <w:pPr>
        <w:spacing w:line="360" w:lineRule="auto"/>
        <w:jc w:val="both"/>
      </w:pPr>
      <w:r>
        <w:rPr>
          <w:rFonts w:ascii="Book Antiqua" w:eastAsia="Book Antiqua" w:hAnsi="Book Antiqua" w:cs="Book Antiqua"/>
          <w:b/>
          <w:bCs/>
          <w:color w:val="000000"/>
        </w:rPr>
        <w:t xml:space="preserve">Published online: </w:t>
      </w:r>
    </w:p>
    <w:p w14:paraId="60735D01" w14:textId="77777777" w:rsidR="008B7F41" w:rsidRDefault="008B7F41">
      <w:pPr>
        <w:spacing w:line="360" w:lineRule="auto"/>
        <w:jc w:val="both"/>
        <w:sectPr w:rsidR="008B7F41">
          <w:footerReference w:type="default" r:id="rId7"/>
          <w:pgSz w:w="11907" w:h="16840"/>
          <w:pgMar w:top="1440" w:right="1440" w:bottom="1440" w:left="1440" w:header="720" w:footer="720" w:gutter="0"/>
          <w:cols w:space="720"/>
          <w:docGrid w:linePitch="360"/>
        </w:sectPr>
      </w:pPr>
    </w:p>
    <w:p w14:paraId="44C3D929" w14:textId="77777777" w:rsidR="008B7F41" w:rsidRDefault="004C7094">
      <w:pPr>
        <w:spacing w:line="360" w:lineRule="auto"/>
        <w:jc w:val="both"/>
      </w:pPr>
      <w:r>
        <w:rPr>
          <w:rFonts w:ascii="Book Antiqua" w:eastAsia="Book Antiqua" w:hAnsi="Book Antiqua" w:cs="Book Antiqua"/>
          <w:b/>
          <w:color w:val="000000"/>
        </w:rPr>
        <w:lastRenderedPageBreak/>
        <w:t>Abstract</w:t>
      </w:r>
    </w:p>
    <w:p w14:paraId="286EE605" w14:textId="77777777" w:rsidR="008B7F41" w:rsidRDefault="004C7094">
      <w:pPr>
        <w:spacing w:line="360" w:lineRule="auto"/>
        <w:jc w:val="both"/>
      </w:pPr>
      <w:r>
        <w:rPr>
          <w:rFonts w:ascii="Book Antiqua" w:eastAsia="Book Antiqua" w:hAnsi="Book Antiqua" w:cs="Book Antiqua"/>
          <w:color w:val="000000"/>
        </w:rPr>
        <w:t>BACKGROUND</w:t>
      </w:r>
    </w:p>
    <w:p w14:paraId="417B056A" w14:textId="77777777" w:rsidR="008B7F41" w:rsidRDefault="004C7094">
      <w:pPr>
        <w:spacing w:line="360" w:lineRule="auto"/>
        <w:jc w:val="both"/>
      </w:pPr>
      <w:r>
        <w:rPr>
          <w:rFonts w:ascii="Book Antiqua" w:eastAsia="Book Antiqua" w:hAnsi="Book Antiqua" w:cs="Book Antiqua"/>
          <w:color w:val="000000"/>
        </w:rPr>
        <w:t xml:space="preserve">Ubiquitin-specific protease 15 (USP15) is an </w:t>
      </w:r>
      <w:r>
        <w:rPr>
          <w:rFonts w:ascii="Book Antiqua" w:eastAsia="Book Antiqua" w:hAnsi="Book Antiqua" w:cs="Book Antiqua"/>
          <w:color w:val="000000"/>
        </w:rPr>
        <w:t xml:space="preserve">important member of the ubiquitin-specific protease family, the largest </w:t>
      </w:r>
      <w:proofErr w:type="spellStart"/>
      <w:r>
        <w:rPr>
          <w:rFonts w:ascii="Book Antiqua" w:eastAsia="Book Antiqua" w:hAnsi="Book Antiqua" w:cs="Book Antiqua"/>
          <w:color w:val="000000"/>
        </w:rPr>
        <w:t>deubiquitinase</w:t>
      </w:r>
      <w:proofErr w:type="spellEnd"/>
      <w:r>
        <w:rPr>
          <w:rFonts w:ascii="Book Antiqua" w:eastAsia="Book Antiqua" w:hAnsi="Book Antiqua" w:cs="Book Antiqua"/>
          <w:color w:val="000000"/>
        </w:rPr>
        <w:t xml:space="preserve"> subfamily, whose expression is dysregulated in many types of cancer. However, the biological function and the underlying mechanisms of USP15 in gastric cancer (GC) progr</w:t>
      </w:r>
      <w:r>
        <w:rPr>
          <w:rFonts w:ascii="Book Antiqua" w:eastAsia="Book Antiqua" w:hAnsi="Book Antiqua" w:cs="Book Antiqua"/>
          <w:color w:val="000000"/>
        </w:rPr>
        <w:t>ession have not been elucidated.</w:t>
      </w:r>
    </w:p>
    <w:p w14:paraId="278B84CF" w14:textId="77777777" w:rsidR="008B7F41" w:rsidRDefault="008B7F41">
      <w:pPr>
        <w:spacing w:line="360" w:lineRule="auto"/>
        <w:jc w:val="both"/>
      </w:pPr>
    </w:p>
    <w:p w14:paraId="2E72AFC0" w14:textId="77777777" w:rsidR="008B7F41" w:rsidRDefault="004C7094">
      <w:pPr>
        <w:spacing w:line="360" w:lineRule="auto"/>
        <w:jc w:val="both"/>
      </w:pPr>
      <w:r>
        <w:rPr>
          <w:rFonts w:ascii="Book Antiqua" w:eastAsia="Book Antiqua" w:hAnsi="Book Antiqua" w:cs="Book Antiqua"/>
          <w:color w:val="000000"/>
        </w:rPr>
        <w:t>AIM</w:t>
      </w:r>
    </w:p>
    <w:p w14:paraId="00CD1539" w14:textId="77777777" w:rsidR="008B7F41" w:rsidRDefault="004C7094">
      <w:pPr>
        <w:spacing w:line="360" w:lineRule="auto"/>
        <w:jc w:val="both"/>
      </w:pPr>
      <w:r>
        <w:rPr>
          <w:rFonts w:ascii="Book Antiqua" w:eastAsia="Book Antiqua" w:hAnsi="Book Antiqua" w:cs="Book Antiqua"/>
          <w:color w:val="000000"/>
        </w:rPr>
        <w:t>To explore the biological role and underlying mechanisms of USP15 in GC progression.</w:t>
      </w:r>
    </w:p>
    <w:p w14:paraId="56B3CF39" w14:textId="77777777" w:rsidR="008B7F41" w:rsidRDefault="008B7F41">
      <w:pPr>
        <w:spacing w:line="360" w:lineRule="auto"/>
        <w:jc w:val="both"/>
      </w:pPr>
    </w:p>
    <w:p w14:paraId="4B219B4B" w14:textId="77777777" w:rsidR="008B7F41" w:rsidRDefault="004C7094">
      <w:pPr>
        <w:spacing w:line="360" w:lineRule="auto"/>
        <w:jc w:val="both"/>
      </w:pPr>
      <w:r>
        <w:rPr>
          <w:rFonts w:ascii="Book Antiqua" w:eastAsia="Book Antiqua" w:hAnsi="Book Antiqua" w:cs="Book Antiqua"/>
          <w:color w:val="000000"/>
        </w:rPr>
        <w:t>METHODS</w:t>
      </w:r>
    </w:p>
    <w:p w14:paraId="634F6C87" w14:textId="77777777" w:rsidR="008B7F41" w:rsidRDefault="004C7094">
      <w:pPr>
        <w:spacing w:line="360" w:lineRule="auto"/>
        <w:jc w:val="both"/>
      </w:pPr>
      <w:r>
        <w:rPr>
          <w:rFonts w:ascii="Book Antiqua" w:eastAsia="Book Antiqua" w:hAnsi="Book Antiqua" w:cs="Book Antiqua"/>
          <w:color w:val="000000"/>
        </w:rPr>
        <w:t xml:space="preserve">Bioinformatics databases and western blot analysis were utilized to determine the expression of USP15 in GC. </w:t>
      </w:r>
      <w:r>
        <w:rPr>
          <w:rFonts w:ascii="Book Antiqua" w:eastAsia="Book Antiqua" w:hAnsi="Book Antiqua" w:cs="Book Antiqua"/>
          <w:color w:val="000000"/>
        </w:rPr>
        <w:t>Immunohistochemistry was performed to evaluate the correlation between USP15 expression and clinicopathological characteristics of patients with GC. A loss- and gain-of-function experiment was used to investigate the biological effects of USP15 on GC carci</w:t>
      </w:r>
      <w:r>
        <w:rPr>
          <w:rFonts w:ascii="Book Antiqua" w:eastAsia="Book Antiqua" w:hAnsi="Book Antiqua" w:cs="Book Antiqua"/>
          <w:color w:val="000000"/>
        </w:rPr>
        <w:t>nogenesis. RNA sequencing, immunofluorescence, and western blotting were performed to explore the potential mechanism by which USP15 exerts its oncogenic functions.</w:t>
      </w:r>
    </w:p>
    <w:p w14:paraId="7903608A" w14:textId="77777777" w:rsidR="008B7F41" w:rsidRDefault="008B7F41">
      <w:pPr>
        <w:spacing w:line="360" w:lineRule="auto"/>
        <w:jc w:val="both"/>
      </w:pPr>
    </w:p>
    <w:p w14:paraId="119B84BF" w14:textId="77777777" w:rsidR="008B7F41" w:rsidRDefault="004C7094">
      <w:pPr>
        <w:spacing w:line="360" w:lineRule="auto"/>
        <w:jc w:val="both"/>
      </w:pPr>
      <w:r>
        <w:rPr>
          <w:rFonts w:ascii="Book Antiqua" w:eastAsia="Book Antiqua" w:hAnsi="Book Antiqua" w:cs="Book Antiqua"/>
          <w:color w:val="000000"/>
        </w:rPr>
        <w:t>RESULTS</w:t>
      </w:r>
    </w:p>
    <w:p w14:paraId="16405B8C" w14:textId="77777777" w:rsidR="008B7F41" w:rsidRDefault="004C7094">
      <w:pPr>
        <w:spacing w:line="360" w:lineRule="auto"/>
        <w:jc w:val="both"/>
      </w:pPr>
      <w:bookmarkStart w:id="6" w:name="OLE_LINK161"/>
      <w:bookmarkStart w:id="7" w:name="OLE_LINK160"/>
      <w:r>
        <w:rPr>
          <w:rFonts w:ascii="Book Antiqua" w:eastAsia="Book Antiqua" w:hAnsi="Book Antiqua" w:cs="Book Antiqua"/>
          <w:color w:val="000000"/>
        </w:rPr>
        <w:t xml:space="preserve">USP15 was </w:t>
      </w:r>
      <w:proofErr w:type="gramStart"/>
      <w:r>
        <w:rPr>
          <w:rFonts w:ascii="Book Antiqua" w:eastAsia="Book Antiqua" w:hAnsi="Book Antiqua" w:cs="Book Antiqua"/>
          <w:color w:val="000000"/>
        </w:rPr>
        <w:t>up-regulated</w:t>
      </w:r>
      <w:proofErr w:type="gramEnd"/>
      <w:r>
        <w:rPr>
          <w:rFonts w:ascii="Book Antiqua" w:eastAsia="Book Antiqua" w:hAnsi="Book Antiqua" w:cs="Book Antiqua"/>
          <w:color w:val="000000"/>
        </w:rPr>
        <w:t xml:space="preserve"> in GC tissue and cell lines. The expression level of USP15 </w:t>
      </w:r>
      <w:r>
        <w:rPr>
          <w:rFonts w:ascii="Book Antiqua" w:eastAsia="Book Antiqua" w:hAnsi="Book Antiqua" w:cs="Book Antiqua"/>
          <w:color w:val="000000"/>
        </w:rPr>
        <w:t>was positively correlated with clinical characteristics (tumor size, depth of invasion, lymph node involvement, tumor-node-metastasis stage, perineural invasion, and vascular invasion), and was related to poor prognosis. USP15 knockdown significantly inhib</w:t>
      </w:r>
      <w:r>
        <w:rPr>
          <w:rFonts w:ascii="Book Antiqua" w:eastAsia="Book Antiqua" w:hAnsi="Book Antiqua" w:cs="Book Antiqua"/>
          <w:color w:val="000000"/>
        </w:rPr>
        <w:t xml:space="preserve">ited cell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epithelial-mesenchymal transition (EMT) of GC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while overexpression of USP15 promoted these processes. Knockdown of USP15 inhibited tumor growth </w:t>
      </w:r>
      <w:r>
        <w:rPr>
          <w:rFonts w:ascii="Book Antiqua" w:eastAsia="Book Antiqua" w:hAnsi="Book Antiqua" w:cs="Book Antiqua"/>
          <w:i/>
          <w:iCs/>
          <w:color w:val="000000"/>
        </w:rPr>
        <w:t>in vivo</w:t>
      </w:r>
      <w:r>
        <w:rPr>
          <w:rFonts w:ascii="Book Antiqua" w:eastAsia="Book Antiqua" w:hAnsi="Book Antiqua" w:cs="Book Antiqua"/>
          <w:color w:val="000000"/>
        </w:rPr>
        <w:t>. Mechanistically, RNA sequencing analysis showed that US</w:t>
      </w:r>
      <w:r>
        <w:rPr>
          <w:rFonts w:ascii="Book Antiqua" w:eastAsia="Book Antiqua" w:hAnsi="Book Antiqua" w:cs="Book Antiqua"/>
          <w:color w:val="000000"/>
        </w:rPr>
        <w:t xml:space="preserve">P15 regulated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in GC. Western blotting confirmed that USP15 silencing led to significant down-regulation of β-catenin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downstream genes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cyclin D1), </w:t>
      </w:r>
      <w:r>
        <w:rPr>
          <w:rFonts w:ascii="Book Antiqua" w:eastAsia="Book Antiqua" w:hAnsi="Book Antiqua" w:cs="Book Antiqua"/>
          <w:color w:val="000000"/>
        </w:rPr>
        <w:lastRenderedPageBreak/>
        <w:t>while overexpression of USP15 yielded an opposite resul</w:t>
      </w:r>
      <w:r>
        <w:rPr>
          <w:rFonts w:ascii="Book Antiqua" w:eastAsia="Book Antiqua" w:hAnsi="Book Antiqua" w:cs="Book Antiqua"/>
          <w:color w:val="000000"/>
        </w:rPr>
        <w:t xml:space="preserve">t and USP15 mutation had no change. Immunofluorescence indicated that USP15 promoted nuclear translocation of β-catenin, suggesting activation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signaling pathway, which may be the critical mechanism promoting GC progression. Finally, re</w:t>
      </w:r>
      <w:r>
        <w:rPr>
          <w:rFonts w:ascii="Book Antiqua" w:eastAsia="Book Antiqua" w:hAnsi="Book Antiqua" w:cs="Book Antiqua"/>
          <w:color w:val="000000"/>
        </w:rPr>
        <w:t xml:space="preserve">scue experiments showed that the effect of USP15 on gastric cancer progression was dependent on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w:t>
      </w:r>
    </w:p>
    <w:bookmarkEnd w:id="6"/>
    <w:bookmarkEnd w:id="7"/>
    <w:p w14:paraId="3E04BA43" w14:textId="77777777" w:rsidR="008B7F41" w:rsidRDefault="008B7F41">
      <w:pPr>
        <w:spacing w:line="360" w:lineRule="auto"/>
        <w:jc w:val="both"/>
      </w:pPr>
    </w:p>
    <w:p w14:paraId="566A8337" w14:textId="77777777" w:rsidR="008B7F41" w:rsidRDefault="004C7094">
      <w:pPr>
        <w:spacing w:line="360" w:lineRule="auto"/>
        <w:jc w:val="both"/>
      </w:pPr>
      <w:r>
        <w:rPr>
          <w:rFonts w:ascii="Book Antiqua" w:eastAsia="Book Antiqua" w:hAnsi="Book Antiqua" w:cs="Book Antiqua"/>
          <w:color w:val="000000"/>
        </w:rPr>
        <w:t>CONCLUSION</w:t>
      </w:r>
    </w:p>
    <w:p w14:paraId="4F38BDE1" w14:textId="77777777" w:rsidR="008B7F41" w:rsidRDefault="004C7094">
      <w:pPr>
        <w:spacing w:line="360" w:lineRule="auto"/>
        <w:jc w:val="both"/>
      </w:pPr>
      <w:r>
        <w:rPr>
          <w:rFonts w:ascii="Book Antiqua" w:eastAsia="Book Antiqua" w:hAnsi="Book Antiqua" w:cs="Book Antiqua"/>
          <w:color w:val="000000"/>
        </w:rPr>
        <w:t xml:space="preserve">USP15 promotes cell proliferation, invasion and EMT progression of GC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 which suggests that USP15 is a novel potential therapeutic target for GC.</w:t>
      </w:r>
    </w:p>
    <w:p w14:paraId="4ED945F7" w14:textId="77777777" w:rsidR="008B7F41" w:rsidRDefault="008B7F41">
      <w:pPr>
        <w:spacing w:line="360" w:lineRule="auto"/>
        <w:jc w:val="both"/>
      </w:pPr>
    </w:p>
    <w:p w14:paraId="005DFDC9" w14:textId="77777777" w:rsidR="008B7F41" w:rsidRDefault="004C7094">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Ubiquitin-specific protease 15</w:t>
      </w:r>
      <w:r>
        <w:rPr>
          <w:rFonts w:ascii="Book Antiqua" w:hAnsi="Book Antiqua" w:cs="Book Antiqua" w:hint="eastAsia"/>
          <w:color w:val="000000"/>
          <w:lang w:eastAsia="zh-CN"/>
        </w:rPr>
        <w:t>;</w:t>
      </w:r>
      <w:r>
        <w:rPr>
          <w:rFonts w:ascii="Book Antiqua" w:eastAsia="Book Antiqua" w:hAnsi="Book Antiqua" w:cs="Book Antiqua"/>
          <w:color w:val="000000"/>
        </w:rPr>
        <w:t xml:space="preserve"> Gastric cancer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w:t>
      </w:r>
      <w:r>
        <w:rPr>
          <w:rFonts w:ascii="Book Antiqua" w:eastAsia="Book Antiqua" w:hAnsi="Book Antiqua" w:cs="Book Antiqua"/>
          <w:color w:val="000000"/>
        </w:rPr>
        <w:t>nin</w:t>
      </w:r>
      <w:r>
        <w:rPr>
          <w:rFonts w:ascii="Book Antiqua" w:hAnsi="Book Antiqua" w:cs="Book Antiqua" w:hint="eastAsia"/>
          <w:color w:val="000000"/>
          <w:lang w:eastAsia="zh-CN"/>
        </w:rPr>
        <w:t>;</w:t>
      </w:r>
      <w:r>
        <w:rPr>
          <w:rFonts w:ascii="Book Antiqua" w:eastAsia="Book Antiqua" w:hAnsi="Book Antiqua" w:cs="Book Antiqua"/>
          <w:color w:val="000000"/>
        </w:rPr>
        <w:t xml:space="preserve"> Cell proliferation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Cell invasion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e</w:t>
      </w:r>
      <w:r>
        <w:rPr>
          <w:rFonts w:ascii="Book Antiqua" w:eastAsia="Book Antiqua" w:hAnsi="Book Antiqua" w:cs="Book Antiqua"/>
          <w:color w:val="000000"/>
        </w:rPr>
        <w:t>pithelial-mesenchymal transition</w:t>
      </w:r>
    </w:p>
    <w:p w14:paraId="30DDAE76" w14:textId="77777777" w:rsidR="008B7F41" w:rsidRDefault="008B7F41">
      <w:pPr>
        <w:spacing w:line="360" w:lineRule="auto"/>
        <w:jc w:val="both"/>
      </w:pPr>
    </w:p>
    <w:p w14:paraId="437A9F50" w14:textId="77777777" w:rsidR="008B7F41" w:rsidRDefault="004C7094">
      <w:pPr>
        <w:spacing w:line="360" w:lineRule="auto"/>
        <w:jc w:val="both"/>
      </w:pPr>
      <w:r>
        <w:rPr>
          <w:rFonts w:ascii="Book Antiqua" w:eastAsia="Book Antiqua" w:hAnsi="Book Antiqua" w:cs="Book Antiqua"/>
          <w:color w:val="000000"/>
        </w:rPr>
        <w:t xml:space="preserve">Zhong M, Zhou L, Fang Z, Yao YY, Zou JP,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JP, Xiang XJ, Deng J. Ubiquitin-specific protease 15 contributes to gastric cancer progression by regulating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signali</w:t>
      </w:r>
      <w:r>
        <w:rPr>
          <w:rFonts w:ascii="Book Antiqua" w:eastAsia="Book Antiqua" w:hAnsi="Book Antiqua" w:cs="Book Antiqua"/>
          <w:color w:val="000000"/>
        </w:rPr>
        <w:t xml:space="preserve">ng pathway.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523E9C00" w14:textId="77777777" w:rsidR="008B7F41" w:rsidRDefault="008B7F41">
      <w:pPr>
        <w:spacing w:line="360" w:lineRule="auto"/>
        <w:jc w:val="both"/>
      </w:pPr>
    </w:p>
    <w:p w14:paraId="46F380F8" w14:textId="77777777" w:rsidR="008B7F41" w:rsidRDefault="004C709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Ubiquitin-specific protease 15 (USP15) was upregulated in gastric cancer (GC) cells and </w:t>
      </w:r>
      <w:proofErr w:type="gramStart"/>
      <w:r>
        <w:rPr>
          <w:rFonts w:ascii="Book Antiqua" w:eastAsia="Book Antiqua" w:hAnsi="Book Antiqua" w:cs="Book Antiqua"/>
          <w:color w:val="000000"/>
        </w:rPr>
        <w:t>tissues, and</w:t>
      </w:r>
      <w:proofErr w:type="gramEnd"/>
      <w:r>
        <w:rPr>
          <w:rFonts w:ascii="Book Antiqua" w:eastAsia="Book Antiqua" w:hAnsi="Book Antiqua" w:cs="Book Antiqua"/>
          <w:color w:val="000000"/>
        </w:rPr>
        <w:t xml:space="preserve"> was associated with a poor prognosis in patients with GC. USP15 promoted cell proliferation, in</w:t>
      </w:r>
      <w:r>
        <w:rPr>
          <w:rFonts w:ascii="Book Antiqua" w:eastAsia="Book Antiqua" w:hAnsi="Book Antiqua" w:cs="Book Antiqua"/>
          <w:color w:val="000000"/>
        </w:rPr>
        <w:t xml:space="preserve">vasion, and epithelial-mesenchymal transition of GC cells </w:t>
      </w:r>
      <w:r>
        <w:rPr>
          <w:rFonts w:ascii="Book Antiqua" w:eastAsia="Book Antiqua" w:hAnsi="Book Antiqua" w:cs="Book Antiqua"/>
          <w:i/>
          <w:iCs/>
          <w:color w:val="000000"/>
        </w:rPr>
        <w:t>in vitro </w:t>
      </w:r>
      <w:r>
        <w:rPr>
          <w:rFonts w:ascii="Book Antiqua" w:eastAsia="Book Antiqua" w:hAnsi="Book Antiqua" w:cs="Book Antiqua"/>
          <w:color w:val="000000"/>
        </w:rPr>
        <w:t xml:space="preserve">and tumor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Mechanistic studies showed that USP15 functioned as a tumor promoter in GC by regulating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signaling pathway. Thus, USP15 is expected to be a novel</w:t>
      </w:r>
      <w:r>
        <w:rPr>
          <w:rFonts w:ascii="Book Antiqua" w:eastAsia="Book Antiqua" w:hAnsi="Book Antiqua" w:cs="Book Antiqua"/>
          <w:color w:val="000000"/>
        </w:rPr>
        <w:t xml:space="preserve"> potential target for GC therapy.</w:t>
      </w:r>
    </w:p>
    <w:p w14:paraId="06A78330" w14:textId="77777777" w:rsidR="008B7F41" w:rsidRDefault="004C7094">
      <w:pPr>
        <w:spacing w:line="360" w:lineRule="auto"/>
        <w:jc w:val="both"/>
      </w:pPr>
      <w:r>
        <w:br w:type="page"/>
      </w:r>
    </w:p>
    <w:p w14:paraId="63607ACA" w14:textId="77777777" w:rsidR="008B7F41" w:rsidRDefault="004C7094">
      <w:pPr>
        <w:spacing w:line="360" w:lineRule="auto"/>
        <w:jc w:val="both"/>
      </w:pPr>
      <w:r>
        <w:rPr>
          <w:rFonts w:ascii="Book Antiqua" w:eastAsia="Book Antiqua" w:hAnsi="Book Antiqua" w:cs="Book Antiqua"/>
          <w:b/>
          <w:caps/>
          <w:color w:val="000000"/>
          <w:u w:val="single"/>
        </w:rPr>
        <w:lastRenderedPageBreak/>
        <w:t>INTRODUCTION</w:t>
      </w:r>
    </w:p>
    <w:p w14:paraId="075373A0" w14:textId="77777777" w:rsidR="008B7F41" w:rsidRDefault="004C7094">
      <w:pPr>
        <w:spacing w:line="360" w:lineRule="auto"/>
        <w:contextualSpacing/>
        <w:jc w:val="both"/>
        <w:rPr>
          <w:rFonts w:ascii="Book Antiqua" w:hAnsi="Book Antiqua"/>
        </w:rPr>
      </w:pPr>
      <w:bookmarkStart w:id="8" w:name="OLE_LINK163"/>
      <w:bookmarkStart w:id="9" w:name="OLE_LINK162"/>
      <w:r>
        <w:rPr>
          <w:rFonts w:ascii="Book Antiqua" w:eastAsia="Book Antiqua" w:hAnsi="Book Antiqua" w:cs="Book Antiqua"/>
          <w:color w:val="000000"/>
        </w:rPr>
        <w:t>Gastric cancer (GC) has a high incidence worldwide and is one of the main causes of cancer-related deaths, especially in China</w:t>
      </w:r>
      <w:r>
        <w:rPr>
          <w:rFonts w:ascii="Book Antiqua" w:eastAsia="Book Antiqua" w:hAnsi="Book Antiqua" w:cs="Book Antiqua"/>
          <w:color w:val="000000"/>
          <w:szCs w:val="20"/>
          <w:vertAlign w:val="superscript"/>
        </w:rPr>
        <w:t>[</w:t>
      </w:r>
      <w:hyperlink w:anchor="_ENREF_1" w:tooltip="Torre, 2015 #13" w:history="1">
        <w:r>
          <w:rPr>
            <w:rFonts w:ascii="Book Antiqua" w:eastAsia="Book Antiqua" w:hAnsi="Book Antiqua" w:cs="Book Antiqua"/>
            <w:color w:val="000000"/>
            <w:szCs w:val="20"/>
            <w:vertAlign w:val="superscript"/>
          </w:rPr>
          <w:t>1</w:t>
        </w:r>
      </w:hyperlink>
      <w:r>
        <w:rPr>
          <w:rFonts w:ascii="Book Antiqua" w:eastAsia="Book Antiqua" w:hAnsi="Book Antiqua" w:cs="Book Antiqua"/>
          <w:color w:val="000000"/>
          <w:szCs w:val="20"/>
          <w:vertAlign w:val="superscript"/>
        </w:rPr>
        <w:t>,</w:t>
      </w:r>
      <w:hyperlink w:anchor="_ENREF_2" w:tooltip="Chen, 2016 #14" w:history="1">
        <w:r>
          <w:rPr>
            <w:rFonts w:ascii="Book Antiqua" w:eastAsia="Book Antiqua" w:hAnsi="Book Antiqua" w:cs="Book Antiqua"/>
            <w:color w:val="000000"/>
            <w:szCs w:val="20"/>
            <w:vertAlign w:val="superscript"/>
          </w:rPr>
          <w:t>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Although there have been great advances in surgical procedures and targeted chemotherapy in recent years, the results are still not satisfactory and the </w:t>
      </w:r>
      <w:r>
        <w:rPr>
          <w:rFonts w:ascii="Book Antiqua" w:eastAsia="Book Antiqua" w:hAnsi="Book Antiqua" w:cs="Book Antiqua"/>
          <w:color w:val="000000"/>
        </w:rPr>
        <w:t xml:space="preserve">survival rate is low, with median overall survival (OS) less than 12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"_ENREF_3" \o "Nagini, 2012 #18" </w:instrText>
      </w:r>
      <w:r>
        <w:rPr>
          <w:rFonts w:ascii="Book Antiqua" w:hAnsi="Book Antiqua"/>
        </w:rPr>
        <w:fldChar w:fldCharType="separate"/>
      </w:r>
      <w:r>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identifying novel potential targets for GC diagnosis and therapy and elucidating the underlying mechanisms of disease</w:t>
      </w:r>
      <w:r>
        <w:rPr>
          <w:rFonts w:ascii="Book Antiqua" w:eastAsia="Book Antiqua" w:hAnsi="Book Antiqua" w:cs="Book Antiqua"/>
          <w:color w:val="000000"/>
        </w:rPr>
        <w:t xml:space="preserve"> progression are essential for the prevention and treatment of GC. </w:t>
      </w:r>
    </w:p>
    <w:p w14:paraId="2787653E" w14:textId="77777777" w:rsidR="008B7F41" w:rsidRDefault="004C7094">
      <w:pPr>
        <w:spacing w:line="360" w:lineRule="auto"/>
        <w:ind w:firstLine="270"/>
        <w:contextualSpacing/>
        <w:jc w:val="both"/>
        <w:rPr>
          <w:rFonts w:ascii="Book Antiqua" w:hAnsi="Book Antiqua"/>
        </w:rPr>
      </w:pPr>
      <w:r>
        <w:rPr>
          <w:rFonts w:ascii="Book Antiqua" w:eastAsia="Book Antiqua" w:hAnsi="Book Antiqua" w:cs="Book Antiqua"/>
          <w:color w:val="000000"/>
        </w:rPr>
        <w:t xml:space="preserve">In recent years, increasing evidence has shown that ubiquitin-specific proteases (USPs), the largest </w:t>
      </w:r>
      <w:proofErr w:type="spellStart"/>
      <w:r>
        <w:rPr>
          <w:rFonts w:ascii="Book Antiqua" w:eastAsia="Book Antiqua" w:hAnsi="Book Antiqua" w:cs="Book Antiqua"/>
          <w:color w:val="000000"/>
        </w:rPr>
        <w:t>deubiquitinase</w:t>
      </w:r>
      <w:proofErr w:type="spellEnd"/>
      <w:r>
        <w:rPr>
          <w:rFonts w:ascii="Book Antiqua" w:eastAsia="Book Antiqua" w:hAnsi="Book Antiqua" w:cs="Book Antiqua"/>
          <w:color w:val="000000"/>
        </w:rPr>
        <w:t xml:space="preserve"> subfamily, play</w:t>
      </w:r>
      <w:r>
        <w:rPr>
          <w:rFonts w:ascii="Book Antiqua" w:eastAsia="SimSun" w:hAnsi="Book Antiqua" w:cs="Book Antiqua"/>
          <w:color w:val="000000"/>
          <w:lang w:eastAsia="zh-CN"/>
        </w:rPr>
        <w:t>s</w:t>
      </w:r>
      <w:r>
        <w:rPr>
          <w:rFonts w:ascii="Book Antiqua" w:eastAsia="Book Antiqua" w:hAnsi="Book Antiqua" w:cs="Book Antiqua"/>
          <w:color w:val="000000"/>
        </w:rPr>
        <w:t xml:space="preserve"> an important role in GC. For example, USP14</w:t>
      </w:r>
      <w:r>
        <w:rPr>
          <w:rFonts w:ascii="Book Antiqua" w:eastAsia="Book Antiqua" w:hAnsi="Book Antiqua" w:cs="Book Antiqua"/>
          <w:color w:val="000000"/>
          <w:vertAlign w:val="superscript"/>
        </w:rPr>
        <w:t>[</w:t>
      </w:r>
      <w:hyperlink w:anchor="_ENREF_6" w:tooltip="Fu, 2018 #61" w:history="1">
        <w:r>
          <w:rPr>
            <w:rFonts w:ascii="Book Antiqua" w:eastAsia="Book Antiqua" w:hAnsi="Book Antiqua" w:cs="Book Antiqua"/>
            <w:color w:val="000000"/>
            <w:vertAlign w:val="superscript"/>
          </w:rPr>
          <w:t>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USP42</w:t>
      </w:r>
      <w:r>
        <w:rPr>
          <w:rFonts w:ascii="Book Antiqua" w:eastAsia="Book Antiqua" w:hAnsi="Book Antiqua" w:cs="Book Antiqua"/>
          <w:color w:val="000000"/>
          <w:vertAlign w:val="superscript"/>
        </w:rPr>
        <w:t>[</w:t>
      </w:r>
      <w:hyperlink w:anchor="_ENREF_7" w:tooltip="Hou, 2016 #62" w:history="1">
        <w:r>
          <w:rPr>
            <w:rFonts w:ascii="Book Antiqua" w:eastAsia="Book Antiqua" w:hAnsi="Book Antiqua" w:cs="Book Antiqua"/>
            <w:color w:val="000000"/>
            <w:vertAlign w:val="superscript"/>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USP44</w:t>
      </w:r>
      <w:r>
        <w:rPr>
          <w:rFonts w:ascii="Book Antiqua" w:eastAsia="Book Antiqua" w:hAnsi="Book Antiqua" w:cs="Book Antiqua"/>
          <w:color w:val="000000"/>
          <w:vertAlign w:val="superscript"/>
        </w:rPr>
        <w:t>[</w:t>
      </w:r>
      <w:hyperlink w:anchor="_ENREF_8" w:tooltip="Nishimura, 2017 #66" w:history="1">
        <w:r>
          <w:rPr>
            <w:rFonts w:ascii="Book Antiqua" w:eastAsia="Book Antiqua" w:hAnsi="Book Antiqua" w:cs="Book Antiqua"/>
            <w:color w:val="000000"/>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are upregulated in GC and can be used as independent prognostic markers in GC patients. USP15,</w:t>
      </w:r>
      <w:r>
        <w:rPr>
          <w:rFonts w:ascii="Book Antiqua" w:eastAsia="Book Antiqua" w:hAnsi="Book Antiqua" w:cs="Book Antiqua"/>
          <w:color w:val="000000"/>
        </w:rPr>
        <w:t xml:space="preserve"> one of the most important members of the USP family, has been found to have some amplifications in many tumors. The N terminus of the protein encoding USP15 includes a ubiquitin-specific protease (DUSP) domain and two ubiquitin-like (UBL) domains, which c</w:t>
      </w:r>
      <w:r>
        <w:rPr>
          <w:rFonts w:ascii="Book Antiqua" w:eastAsia="Book Antiqua" w:hAnsi="Book Antiqua" w:cs="Book Antiqua"/>
          <w:color w:val="000000"/>
        </w:rPr>
        <w:t xml:space="preserve">an specifically remove the substrate protein by </w:t>
      </w:r>
      <w:proofErr w:type="spellStart"/>
      <w:r>
        <w:rPr>
          <w:rFonts w:ascii="Book Antiqua" w:eastAsia="Book Antiqua" w:hAnsi="Book Antiqua" w:cs="Book Antiqua"/>
          <w:color w:val="000000"/>
        </w:rPr>
        <w:t>monoubiquitination</w:t>
      </w:r>
      <w:proofErr w:type="spellEnd"/>
      <w:r>
        <w:rPr>
          <w:rFonts w:ascii="Book Antiqua" w:eastAsia="Book Antiqua" w:hAnsi="Book Antiqua" w:cs="Book Antiqua"/>
          <w:color w:val="000000"/>
        </w:rPr>
        <w:t xml:space="preserve"> and polyubiquitination </w:t>
      </w:r>
      <w:proofErr w:type="gramStart"/>
      <w:r>
        <w:rPr>
          <w:rFonts w:ascii="Book Antiqua" w:eastAsia="Book Antiqua" w:hAnsi="Book Antiqua" w:cs="Book Antiqua"/>
          <w:color w:val="000000"/>
        </w:rPr>
        <w:t>modification</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"_ENREF_9" \o "Teyra, 2019 #21" </w:instrText>
      </w:r>
      <w:r>
        <w:rPr>
          <w:rFonts w:ascii="Book Antiqua" w:hAnsi="Book Antiqua"/>
        </w:rPr>
        <w:fldChar w:fldCharType="separate"/>
      </w:r>
      <w:r>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active site of the USP15 protein is located at Cys-269, and mutation of Cys269 to Ser (USP15 C26</w:t>
      </w:r>
      <w:r>
        <w:rPr>
          <w:rFonts w:ascii="Book Antiqua" w:eastAsia="Book Antiqua" w:hAnsi="Book Antiqua" w:cs="Book Antiqua"/>
          <w:color w:val="000000"/>
        </w:rPr>
        <w:t xml:space="preserve">9S) can inhibit enzyme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"_ENREF_10" \o "Peng, 2019 #22" </w:instrText>
      </w:r>
      <w:r>
        <w:rPr>
          <w:rFonts w:ascii="Book Antiqua" w:hAnsi="Book Antiqua"/>
        </w:rPr>
        <w:fldChar w:fldCharType="separate"/>
      </w:r>
      <w:r>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Previous studies have reported that USP15 is upregulated in the liver and pancreatic cancer, and is associated with poor prognosis</w:t>
      </w:r>
      <w:r>
        <w:rPr>
          <w:rFonts w:ascii="Book Antiqua" w:eastAsia="Book Antiqua" w:hAnsi="Book Antiqua" w:cs="Book Antiqua"/>
          <w:color w:val="000000"/>
          <w:vertAlign w:val="superscript"/>
        </w:rPr>
        <w:t>[</w:t>
      </w:r>
      <w:hyperlink w:anchor="_ENREF_11" w:tooltip="Yao, 2020 #42" w:history="1">
        <w:r>
          <w:rPr>
            <w:rFonts w:ascii="Book Antiqua" w:eastAsia="Book Antiqua" w:hAnsi="Book Antiqua" w:cs="Book Antiqua"/>
            <w:color w:val="000000"/>
            <w:vertAlign w:val="superscript"/>
          </w:rPr>
          <w:t>11</w:t>
        </w:r>
      </w:hyperlink>
      <w:r>
        <w:rPr>
          <w:rFonts w:ascii="Book Antiqua" w:eastAsia="Book Antiqua" w:hAnsi="Book Antiqua" w:cs="Book Antiqua"/>
          <w:color w:val="000000"/>
          <w:vertAlign w:val="superscript"/>
        </w:rPr>
        <w:t>,</w:t>
      </w:r>
      <w:hyperlink w:anchor="_ENREF_12" w:tooltip="Jiang, 2021 #43" w:history="1">
        <w:r>
          <w:rPr>
            <w:rFonts w:ascii="Book Antiqua" w:eastAsia="Book Antiqua" w:hAnsi="Book Antiqua" w:cs="Book Antiqua"/>
            <w:color w:val="000000"/>
            <w:vertAlign w:val="superscript"/>
          </w:rPr>
          <w:t>12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Mechanistically, USP15 can activate the transforming growth factor β (TGF-β) signaling pathway and promote the progression of advanced malignant gliom</w:t>
      </w:r>
      <w:r>
        <w:rPr>
          <w:rFonts w:ascii="Book Antiqua" w:eastAsia="Book Antiqua" w:hAnsi="Book Antiqua" w:cs="Book Antiqua"/>
          <w:color w:val="000000"/>
        </w:rPr>
        <w:t xml:space="preserve">a by combining the </w:t>
      </w:r>
      <w:r>
        <w:rPr>
          <w:rFonts w:ascii="Book Antiqua" w:hAnsi="Book Antiqua"/>
        </w:rPr>
        <w:t xml:space="preserve">SMAD-specific E3 ubiquitin protein ligase 2 </w:t>
      </w:r>
      <w:r>
        <w:rPr>
          <w:rFonts w:ascii="Book Antiqua" w:eastAsia="Book Antiqua" w:hAnsi="Book Antiqua" w:cs="Book Antiqua"/>
          <w:color w:val="000000"/>
        </w:rPr>
        <w:t xml:space="preserve">complex and deubiquitinating and thus stabilizing the TGF </w:t>
      </w:r>
      <w:r>
        <w:rPr>
          <w:rFonts w:ascii="Symbol" w:eastAsia="Book Antiqua" w:hAnsi="Symbol" w:cs="Book Antiqua"/>
          <w:color w:val="000000"/>
        </w:rPr>
        <w:t>b</w:t>
      </w:r>
      <w:r>
        <w:rPr>
          <w:rFonts w:ascii="Book Antiqua" w:eastAsia="Book Antiqua" w:hAnsi="Book Antiqua" w:cs="Book Antiqua"/>
          <w:color w:val="000000"/>
        </w:rPr>
        <w:t xml:space="preserve"> type I </w:t>
      </w:r>
      <w:proofErr w:type="gramStart"/>
      <w:r>
        <w:rPr>
          <w:rFonts w:ascii="Book Antiqua" w:eastAsia="Book Antiqua" w:hAnsi="Book Antiqua" w:cs="Book Antiqua"/>
          <w:color w:val="000000"/>
        </w:rPr>
        <w:t>receptor</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"_ENREF_13" \o "Eichhorn, 2012 #23" </w:instrText>
      </w:r>
      <w:r>
        <w:rPr>
          <w:rFonts w:ascii="Book Antiqua" w:hAnsi="Book Antiqua"/>
        </w:rPr>
        <w:fldChar w:fldCharType="separate"/>
      </w:r>
      <w:r>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USP15 can negatively regulate the function of </w:t>
      </w:r>
      <w:r>
        <w:rPr>
          <w:rFonts w:ascii="Book Antiqua" w:eastAsia="Book Antiqua" w:hAnsi="Book Antiqua" w:cs="Book Antiqua"/>
          <w:color w:val="000000"/>
        </w:rPr>
        <w:t xml:space="preserve">p53 through affecting de-ubiquitination and stabilizing MDM2. Interestingly, inhibiting the activity of USP15 can induce tumor apoptosis and improve the antitumor T-cell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"_ENREF_14" \o "Zou, 2014 #24" </w:instrText>
      </w:r>
      <w:r>
        <w:rPr>
          <w:rFonts w:ascii="Book Antiqua" w:hAnsi="Book Antiqua"/>
        </w:rPr>
        <w:fldChar w:fldCharType="separate"/>
      </w:r>
      <w:r>
        <w:rPr>
          <w:rFonts w:ascii="Book Antiqua" w:eastAsia="Book Antiqua" w:hAnsi="Book Antiqua" w:cs="Book Antiqua"/>
          <w:color w:val="000000"/>
          <w:vertAlign w:val="superscript"/>
        </w:rPr>
        <w:t>14</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role of USP</w:t>
      </w:r>
      <w:r>
        <w:rPr>
          <w:rFonts w:ascii="Book Antiqua" w:eastAsia="Book Antiqua" w:hAnsi="Book Antiqua" w:cs="Book Antiqua"/>
          <w:color w:val="000000"/>
        </w:rPr>
        <w:t>15 in GC and its potential mechanisms have not been identified.</w:t>
      </w:r>
    </w:p>
    <w:p w14:paraId="1043C422" w14:textId="77777777" w:rsidR="008B7F41" w:rsidRDefault="004C7094">
      <w:pPr>
        <w:spacing w:line="360" w:lineRule="auto"/>
        <w:ind w:firstLine="240"/>
        <w:contextualSpacing/>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is involved in many cellular processes such as tumor growth, differentiation and invasion, and </w:t>
      </w:r>
      <w:proofErr w:type="gramStart"/>
      <w:r>
        <w:rPr>
          <w:rFonts w:ascii="Book Antiqua" w:eastAsia="Book Antiqua" w:hAnsi="Book Antiqua" w:cs="Book Antiqua"/>
          <w:color w:val="000000"/>
        </w:rPr>
        <w:t>tumorigenesis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"_ENREF_15" \o "Clevers, 2012 #25</w:instrText>
      </w:r>
      <w:r>
        <w:rPr>
          <w:rFonts w:ascii="Book Antiqua" w:hAnsi="Book Antiqua"/>
        </w:rPr>
        <w:instrText xml:space="preserve">" </w:instrText>
      </w:r>
      <w:r>
        <w:rPr>
          <w:rFonts w:ascii="Book Antiqua" w:hAnsi="Book Antiqua"/>
        </w:rPr>
        <w:fldChar w:fldCharType="separate"/>
      </w:r>
      <w:r>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is often activated in many types of cancer, and the nuclear accumulation of β-catenin is an important sign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activation</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"_ENREF_16" \o "Ogasawara, 2006 #26" </w:instrText>
      </w:r>
      <w:r>
        <w:rPr>
          <w:rFonts w:ascii="Book Antiqua" w:hAnsi="Book Antiqua"/>
        </w:rPr>
        <w:fldChar w:fldCharType="separate"/>
      </w:r>
      <w:r>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activation of β-catenin can activate </w:t>
      </w:r>
      <w:r>
        <w:rPr>
          <w:rFonts w:ascii="Book Antiqua" w:eastAsia="Book Antiqua" w:hAnsi="Book Antiqua" w:cs="Book Antiqua"/>
          <w:color w:val="000000"/>
        </w:rPr>
        <w:lastRenderedPageBreak/>
        <w:t>many onc</w:t>
      </w:r>
      <w:r>
        <w:rPr>
          <w:rFonts w:ascii="Book Antiqua" w:eastAsia="Book Antiqua" w:hAnsi="Book Antiqua" w:cs="Book Antiqua"/>
          <w:color w:val="000000"/>
        </w:rPr>
        <w:t>ogenes including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cyclin D1, and regulate cell proliferation, cell cycle progression and apoptosis during </w:t>
      </w:r>
      <w:proofErr w:type="gramStart"/>
      <w:r>
        <w:rPr>
          <w:rFonts w:ascii="Book Antiqua" w:eastAsia="Book Antiqua" w:hAnsi="Book Antiqua" w:cs="Book Antiqua"/>
          <w:color w:val="000000"/>
        </w:rPr>
        <w:t>tumorigenesis</w:t>
      </w:r>
      <w:r>
        <w:rPr>
          <w:rFonts w:ascii="Book Antiqua" w:eastAsia="Book Antiqua" w:hAnsi="Book Antiqua" w:cs="Book Antiqua"/>
          <w:color w:val="000000"/>
          <w:szCs w:val="20"/>
          <w:vertAlign w:val="superscript"/>
        </w:rPr>
        <w:t>[</w:t>
      </w:r>
      <w:proofErr w:type="gramEnd"/>
      <w:r>
        <w:fldChar w:fldCharType="begin"/>
      </w:r>
      <w:r>
        <w:instrText xml:space="preserve"> HYPERLINK \l "_ENREF_17" \o "Dihlmann, 2005 #27" </w:instrText>
      </w:r>
      <w:r>
        <w:fldChar w:fldCharType="separate"/>
      </w:r>
      <w:r>
        <w:rPr>
          <w:rFonts w:ascii="Book Antiqua" w:eastAsia="Book Antiqua" w:hAnsi="Book Antiqua" w:cs="Book Antiqua"/>
          <w:color w:val="000000"/>
          <w:szCs w:val="20"/>
          <w:vertAlign w:val="superscript"/>
        </w:rPr>
        <w:t>17-19</w:t>
      </w:r>
      <w:r>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However, the mechanisms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activation in GC have not</w:t>
      </w:r>
      <w:r>
        <w:rPr>
          <w:rFonts w:ascii="Book Antiqua" w:eastAsia="Book Antiqua" w:hAnsi="Book Antiqua" w:cs="Book Antiqua"/>
          <w:color w:val="000000"/>
        </w:rPr>
        <w:t xml:space="preserve"> been fully elucidated. </w:t>
      </w:r>
    </w:p>
    <w:p w14:paraId="12C80034" w14:textId="77777777" w:rsidR="008B7F41" w:rsidRDefault="004C7094">
      <w:pPr>
        <w:spacing w:line="360" w:lineRule="auto"/>
        <w:ind w:firstLine="240"/>
        <w:jc w:val="both"/>
      </w:pPr>
      <w:r>
        <w:rPr>
          <w:rFonts w:ascii="Book Antiqua" w:eastAsia="Book Antiqua" w:hAnsi="Book Antiqua" w:cs="Book Antiqua"/>
          <w:color w:val="000000"/>
        </w:rPr>
        <w:t xml:space="preserve">We found that USP15 was upregulated in GC cells and </w:t>
      </w:r>
      <w:proofErr w:type="gramStart"/>
      <w:r>
        <w:rPr>
          <w:rFonts w:ascii="Book Antiqua" w:eastAsia="Book Antiqua" w:hAnsi="Book Antiqua" w:cs="Book Antiqua"/>
          <w:color w:val="000000"/>
        </w:rPr>
        <w:t>tissues, and</w:t>
      </w:r>
      <w:proofErr w:type="gramEnd"/>
      <w:r>
        <w:rPr>
          <w:rFonts w:ascii="Book Antiqua" w:eastAsia="Book Antiqua" w:hAnsi="Book Antiqua" w:cs="Book Antiqua"/>
          <w:color w:val="000000"/>
        </w:rPr>
        <w:t xml:space="preserve"> was associated with a poor prognosis in GC patients. USP15 promoted cell proliferation, invasion, and epithelial-mesenchymal transition (EMT) of GC cells </w:t>
      </w:r>
      <w:r>
        <w:rPr>
          <w:rFonts w:ascii="Book Antiqua" w:eastAsia="Book Antiqua" w:hAnsi="Book Antiqua" w:cs="Book Antiqua"/>
          <w:i/>
          <w:iCs/>
          <w:color w:val="000000"/>
        </w:rPr>
        <w:t>in vitro </w:t>
      </w:r>
      <w:r>
        <w:rPr>
          <w:rFonts w:ascii="Book Antiqua" w:eastAsia="Book Antiqua" w:hAnsi="Book Antiqua" w:cs="Book Antiqua"/>
          <w:color w:val="000000"/>
        </w:rPr>
        <w:t xml:space="preserve">and tumor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Mechanistic studies showed that USP15 functioned as a tumor promoter in GC by regulating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signaling pathway. Thus, USP15 is expected to be a novel potential target for GC therapy.</w:t>
      </w:r>
    </w:p>
    <w:bookmarkEnd w:id="8"/>
    <w:bookmarkEnd w:id="9"/>
    <w:p w14:paraId="1DBC990B" w14:textId="77777777" w:rsidR="008B7F41" w:rsidRDefault="008B7F41">
      <w:pPr>
        <w:spacing w:line="360" w:lineRule="auto"/>
        <w:ind w:firstLine="240"/>
        <w:jc w:val="both"/>
      </w:pPr>
    </w:p>
    <w:p w14:paraId="6747FFC7" w14:textId="77777777" w:rsidR="008B7F41" w:rsidRDefault="004C7094">
      <w:pPr>
        <w:spacing w:line="360" w:lineRule="auto"/>
        <w:jc w:val="both"/>
      </w:pPr>
      <w:r>
        <w:rPr>
          <w:rFonts w:ascii="Book Antiqua" w:eastAsia="Book Antiqua" w:hAnsi="Book Antiqua" w:cs="Book Antiqua"/>
          <w:b/>
          <w:caps/>
          <w:color w:val="000000"/>
          <w:u w:val="single"/>
        </w:rPr>
        <w:t>MATERIALS AND METHODS</w:t>
      </w:r>
    </w:p>
    <w:p w14:paraId="502C6BC1" w14:textId="77777777" w:rsidR="008B7F41" w:rsidRDefault="004C7094">
      <w:pPr>
        <w:spacing w:line="360" w:lineRule="auto"/>
        <w:jc w:val="both"/>
      </w:pPr>
      <w:bookmarkStart w:id="10" w:name="OLE_LINK165"/>
      <w:bookmarkStart w:id="11" w:name="OLE_LINK164"/>
      <w:r>
        <w:rPr>
          <w:rFonts w:ascii="Book Antiqua" w:eastAsia="Book Antiqua" w:hAnsi="Book Antiqua" w:cs="Book Antiqua"/>
          <w:b/>
          <w:bCs/>
          <w:i/>
          <w:iCs/>
          <w:color w:val="000000"/>
        </w:rPr>
        <w:t>Tissue sam</w:t>
      </w:r>
      <w:r>
        <w:rPr>
          <w:rFonts w:ascii="Book Antiqua" w:eastAsia="Book Antiqua" w:hAnsi="Book Antiqua" w:cs="Book Antiqua"/>
          <w:b/>
          <w:bCs/>
          <w:i/>
          <w:iCs/>
          <w:color w:val="000000"/>
        </w:rPr>
        <w:t>ples</w:t>
      </w:r>
    </w:p>
    <w:p w14:paraId="532EAB9F" w14:textId="77777777" w:rsidR="008B7F41" w:rsidRDefault="004C7094">
      <w:pPr>
        <w:spacing w:line="360" w:lineRule="auto"/>
        <w:jc w:val="both"/>
      </w:pPr>
      <w:r>
        <w:rPr>
          <w:rFonts w:ascii="Book Antiqua" w:eastAsia="Book Antiqua" w:hAnsi="Book Antiqua" w:cs="Book Antiqua"/>
          <w:color w:val="000000"/>
        </w:rPr>
        <w:t>Paraffin-embedded GC samples, including cancerous tissues (</w:t>
      </w:r>
      <w:r>
        <w:rPr>
          <w:rFonts w:ascii="Book Antiqua" w:eastAsia="Book Antiqua" w:hAnsi="Book Antiqua" w:cs="Book Antiqua"/>
          <w:i/>
          <w:iCs/>
          <w:color w:val="000000"/>
        </w:rPr>
        <w:t>n</w:t>
      </w:r>
      <w:r>
        <w:rPr>
          <w:rFonts w:ascii="Book Antiqua" w:eastAsia="Book Antiqua" w:hAnsi="Book Antiqua" w:cs="Book Antiqua"/>
          <w:color w:val="000000"/>
        </w:rPr>
        <w:t> = 115) and adjacent tissues (</w:t>
      </w:r>
      <w:r>
        <w:rPr>
          <w:rFonts w:ascii="Book Antiqua" w:eastAsia="Book Antiqua" w:hAnsi="Book Antiqua" w:cs="Book Antiqua"/>
          <w:i/>
          <w:iCs/>
          <w:color w:val="000000"/>
        </w:rPr>
        <w:t>n</w:t>
      </w:r>
      <w:r>
        <w:rPr>
          <w:rFonts w:ascii="Book Antiqua" w:eastAsia="Book Antiqua" w:hAnsi="Book Antiqua" w:cs="Book Antiqua"/>
          <w:color w:val="000000"/>
        </w:rPr>
        <w:t> = 30), from May 2011 and May 2013, were obtained from the First Affiliated Hospital of Nanchang University (Nanchang, China). The clinicopathological character</w:t>
      </w:r>
      <w:r>
        <w:rPr>
          <w:rFonts w:ascii="Book Antiqua" w:eastAsia="Book Antiqua" w:hAnsi="Book Antiqua" w:cs="Book Antiqua"/>
          <w:color w:val="000000"/>
        </w:rPr>
        <w:t>istics of these patients are shown in Table 1. The fresh GC tissues (</w:t>
      </w:r>
      <w:r>
        <w:rPr>
          <w:rFonts w:ascii="Book Antiqua" w:eastAsia="Book Antiqua" w:hAnsi="Book Antiqua" w:cs="Book Antiqua"/>
          <w:i/>
          <w:iCs/>
          <w:color w:val="000000"/>
        </w:rPr>
        <w:t>n</w:t>
      </w:r>
      <w:r>
        <w:rPr>
          <w:rFonts w:ascii="Book Antiqua" w:eastAsia="Book Antiqua" w:hAnsi="Book Antiqua" w:cs="Book Antiqua"/>
          <w:color w:val="000000"/>
        </w:rPr>
        <w:t> = 8) and corresponding adjacent noncancerous tissues were stored in liquid nitrogen until use. This study obtained ethical approval from the Human Research Ethics Committee of the First</w:t>
      </w:r>
      <w:r>
        <w:rPr>
          <w:rFonts w:ascii="Book Antiqua" w:eastAsia="Book Antiqua" w:hAnsi="Book Antiqua" w:cs="Book Antiqua"/>
          <w:color w:val="000000"/>
        </w:rPr>
        <w:t xml:space="preserve"> Affiliated Hospital of Nanchang University.</w:t>
      </w:r>
    </w:p>
    <w:p w14:paraId="407ACACE" w14:textId="77777777" w:rsidR="008B7F41" w:rsidRDefault="008B7F41">
      <w:pPr>
        <w:spacing w:line="360" w:lineRule="auto"/>
        <w:jc w:val="both"/>
      </w:pPr>
    </w:p>
    <w:p w14:paraId="41C304B9" w14:textId="77777777" w:rsidR="008B7F41" w:rsidRDefault="004C7094">
      <w:pPr>
        <w:spacing w:line="360" w:lineRule="auto"/>
        <w:jc w:val="both"/>
      </w:pPr>
      <w:r>
        <w:rPr>
          <w:rFonts w:ascii="Book Antiqua" w:eastAsia="Book Antiqua" w:hAnsi="Book Antiqua" w:cs="Book Antiqua"/>
          <w:b/>
          <w:bCs/>
          <w:i/>
          <w:iCs/>
          <w:color w:val="000000"/>
        </w:rPr>
        <w:t>Cell lines and culture</w:t>
      </w:r>
    </w:p>
    <w:p w14:paraId="7198F669" w14:textId="77777777" w:rsidR="008B7F41" w:rsidRDefault="004C7094">
      <w:pPr>
        <w:spacing w:line="360" w:lineRule="auto"/>
        <w:jc w:val="both"/>
      </w:pPr>
      <w:r>
        <w:rPr>
          <w:rFonts w:ascii="Book Antiqua" w:eastAsia="Book Antiqua" w:hAnsi="Book Antiqua" w:cs="Book Antiqua"/>
          <w:color w:val="000000"/>
        </w:rPr>
        <w:t xml:space="preserve">Human GC cell lines (SGC-7901, HGC-27, MKN-45, MGC-803, BGC-823, and AGS) and the human immortalized gastric epithelial cell line (GES-1) were purchased from the Beijing </w:t>
      </w:r>
      <w:proofErr w:type="spellStart"/>
      <w:r>
        <w:rPr>
          <w:rFonts w:ascii="Book Antiqua" w:eastAsia="Book Antiqua" w:hAnsi="Book Antiqua" w:cs="Book Antiqua"/>
          <w:color w:val="000000"/>
        </w:rPr>
        <w:t>Beina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Chuanglian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Institute of Biotechnology (Beijing, China). The cells were cultured in (RPMI-1640) or Dulbecco’s modified Eagle’s medium with 10% fetal bovine serum (FBS;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Logan, UT, United States) in an incubator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37 °C.</w:t>
      </w:r>
    </w:p>
    <w:p w14:paraId="143205BF" w14:textId="77777777" w:rsidR="008B7F41" w:rsidRDefault="008B7F41">
      <w:pPr>
        <w:spacing w:line="360" w:lineRule="auto"/>
        <w:jc w:val="both"/>
      </w:pPr>
    </w:p>
    <w:p w14:paraId="5E131D91" w14:textId="77777777" w:rsidR="008B7F41" w:rsidRDefault="004C7094">
      <w:pPr>
        <w:spacing w:line="360" w:lineRule="auto"/>
        <w:jc w:val="both"/>
      </w:pPr>
      <w:r>
        <w:rPr>
          <w:rFonts w:ascii="Book Antiqua" w:eastAsia="Book Antiqua" w:hAnsi="Book Antiqua" w:cs="Book Antiqua"/>
          <w:b/>
          <w:bCs/>
          <w:i/>
          <w:iCs/>
          <w:color w:val="000000"/>
        </w:rPr>
        <w:t>Immunohistochemistry</w:t>
      </w:r>
    </w:p>
    <w:p w14:paraId="1E6231D3" w14:textId="77777777" w:rsidR="008B7F41" w:rsidRDefault="004C7094">
      <w:pPr>
        <w:spacing w:line="360" w:lineRule="auto"/>
        <w:jc w:val="both"/>
      </w:pPr>
      <w:r>
        <w:rPr>
          <w:rFonts w:ascii="Book Antiqua" w:eastAsia="Book Antiqua" w:hAnsi="Book Antiqua" w:cs="Book Antiqua"/>
          <w:color w:val="000000"/>
        </w:rPr>
        <w:t>Immun</w:t>
      </w:r>
      <w:r>
        <w:rPr>
          <w:rFonts w:ascii="Book Antiqua" w:eastAsia="Book Antiqua" w:hAnsi="Book Antiqua" w:cs="Book Antiqua"/>
          <w:color w:val="000000"/>
        </w:rPr>
        <w:t xml:space="preserve">ostaining of USP15 proteins in 115 clinical GC samples followed previously described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20"/>
          <w:vertAlign w:val="superscript"/>
        </w:rPr>
        <w:t>[</w:t>
      </w:r>
      <w:proofErr w:type="gramEnd"/>
      <w:r>
        <w:fldChar w:fldCharType="begin"/>
      </w:r>
      <w:r>
        <w:instrText xml:space="preserve"> HYPERLINK \l "_ENREF_20" \o "Fang, 2017 #30" </w:instrText>
      </w:r>
      <w:r>
        <w:fldChar w:fldCharType="separate"/>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 primary antibody against USP15 (1:100, #66310; Cell Signaling Technology, Danvers, MA, United States) was u</w:t>
      </w:r>
      <w:r>
        <w:rPr>
          <w:rFonts w:ascii="Book Antiqua" w:eastAsia="Book Antiqua" w:hAnsi="Book Antiqua" w:cs="Book Antiqua"/>
          <w:color w:val="000000"/>
        </w:rPr>
        <w:t xml:space="preserve">sed to detect the expression </w:t>
      </w:r>
      <w:r>
        <w:rPr>
          <w:rFonts w:ascii="Book Antiqua" w:eastAsia="Book Antiqua" w:hAnsi="Book Antiqua" w:cs="Book Antiqua"/>
          <w:color w:val="000000"/>
        </w:rPr>
        <w:lastRenderedPageBreak/>
        <w:t>of USP15. All staining scores were evaluated blindly by two pathologists based on staining intensity and positive staining ratio. The grading standard of immunohistochemistry was carried out as previously described</w:t>
      </w:r>
      <w:r>
        <w:rPr>
          <w:rStyle w:val="CommentReference"/>
          <w:rFonts w:eastAsia="SimSun" w:hint="eastAsia"/>
          <w:lang w:eastAsia="zh-CN"/>
        </w:rPr>
        <w:t xml:space="preserve"> </w:t>
      </w:r>
      <w:r>
        <w:rPr>
          <w:rFonts w:ascii="Book Antiqua" w:eastAsia="Book Antiqua" w:hAnsi="Book Antiqua" w:cs="Book Antiqua"/>
          <w:color w:val="000000"/>
          <w:szCs w:val="20"/>
          <w:vertAlign w:val="superscript"/>
        </w:rPr>
        <w:t>[</w:t>
      </w:r>
      <w:hyperlink w:anchor="_ENREF_20" w:tooltip="Fang, 2017 #30" w:history="1">
        <w:r>
          <w:rPr>
            <w:rFonts w:ascii="Book Antiqua" w:eastAsia="Book Antiqua" w:hAnsi="Book Antiqua" w:cs="Book Antiqua"/>
            <w:color w:val="000000"/>
            <w:szCs w:val="20"/>
            <w:vertAlign w:val="superscript"/>
          </w:rPr>
          <w:t>20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381E1F94" w14:textId="77777777" w:rsidR="008B7F41" w:rsidRDefault="008B7F41">
      <w:pPr>
        <w:spacing w:line="360" w:lineRule="auto"/>
        <w:jc w:val="both"/>
      </w:pPr>
    </w:p>
    <w:p w14:paraId="76AE45E2" w14:textId="77777777" w:rsidR="008B7F41" w:rsidRDefault="004C7094">
      <w:pPr>
        <w:spacing w:line="360" w:lineRule="auto"/>
        <w:jc w:val="both"/>
      </w:pPr>
      <w:r>
        <w:rPr>
          <w:rFonts w:ascii="Book Antiqua" w:eastAsia="Book Antiqua" w:hAnsi="Book Antiqua" w:cs="Book Antiqua"/>
          <w:b/>
          <w:bCs/>
          <w:i/>
          <w:iCs/>
          <w:color w:val="000000"/>
        </w:rPr>
        <w:t xml:space="preserve">Cell Counting Kit-8 assay and colony formation assay </w:t>
      </w:r>
    </w:p>
    <w:p w14:paraId="16BBD621" w14:textId="77777777" w:rsidR="008B7F41" w:rsidRDefault="004C7094">
      <w:pPr>
        <w:spacing w:line="360" w:lineRule="auto"/>
        <w:jc w:val="both"/>
      </w:pPr>
      <w:r>
        <w:rPr>
          <w:rFonts w:ascii="Book Antiqua" w:eastAsia="Book Antiqua" w:hAnsi="Book Antiqua" w:cs="Book Antiqua"/>
          <w:color w:val="000000"/>
        </w:rPr>
        <w:t>At 48 h after transfection, 2000 GC cells per well were seeded into a 96-well plate for the Cell Counting Kit-8 (CCK</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8) assay and 1000 GC cells per well </w:t>
      </w:r>
      <w:r>
        <w:rPr>
          <w:rFonts w:ascii="Book Antiqua" w:eastAsia="Book Antiqua" w:hAnsi="Book Antiqua" w:cs="Book Antiqua"/>
          <w:color w:val="000000"/>
        </w:rPr>
        <w:t xml:space="preserve">were seeded into a 6-well plate for the colony formation assay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w:t>
      </w:r>
      <w:proofErr w:type="gramEnd"/>
      <w:r>
        <w:fldChar w:fldCharType="begin"/>
      </w:r>
      <w:r>
        <w:instrText xml:space="preserve"> HYPERLINK \l "_ENREF_21" \o "Huang, 2020 #31" </w:instrText>
      </w:r>
      <w:r>
        <w:fldChar w:fldCharType="separate"/>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3F128089" w14:textId="77777777" w:rsidR="008B7F41" w:rsidRDefault="008B7F41">
      <w:pPr>
        <w:spacing w:line="360" w:lineRule="auto"/>
        <w:jc w:val="both"/>
      </w:pPr>
    </w:p>
    <w:p w14:paraId="43D9EBB9" w14:textId="77777777" w:rsidR="008B7F41" w:rsidRDefault="004C7094">
      <w:pPr>
        <w:spacing w:line="360" w:lineRule="auto"/>
        <w:jc w:val="both"/>
      </w:pPr>
      <w:r>
        <w:rPr>
          <w:rFonts w:ascii="Book Antiqua" w:eastAsia="Book Antiqua" w:hAnsi="Book Antiqua" w:cs="Book Antiqua"/>
          <w:b/>
          <w:bCs/>
          <w:i/>
          <w:iCs/>
          <w:color w:val="000000"/>
        </w:rPr>
        <w:t>Wound healing assay</w:t>
      </w:r>
    </w:p>
    <w:p w14:paraId="1A34FDE3" w14:textId="77777777" w:rsidR="008B7F41" w:rsidRDefault="004C7094">
      <w:pPr>
        <w:spacing w:line="360" w:lineRule="auto"/>
        <w:jc w:val="both"/>
      </w:pPr>
      <w:r>
        <w:rPr>
          <w:rFonts w:ascii="Book Antiqua" w:eastAsia="Book Antiqua" w:hAnsi="Book Antiqua" w:cs="Book Antiqua"/>
          <w:color w:val="000000"/>
        </w:rPr>
        <w:t>At 48 h after transfection,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GC cells per well were seeded into a 6-well plate, and th</w:t>
      </w:r>
      <w:r>
        <w:rPr>
          <w:rFonts w:ascii="Book Antiqua" w:eastAsia="Book Antiqua" w:hAnsi="Book Antiqua" w:cs="Book Antiqua"/>
          <w:color w:val="000000"/>
        </w:rPr>
        <w:t>e cells were starved for 24 h until complete fusion. Straight lines were drawn with a sterile 10-μL pipette tip to form wounds. Then the cells were carefully washed with phosphate-buffered saline (PBS) and cultured in serum-free medium. Images were capture</w:t>
      </w:r>
      <w:r>
        <w:rPr>
          <w:rFonts w:ascii="Book Antiqua" w:eastAsia="Book Antiqua" w:hAnsi="Book Antiqua" w:cs="Book Antiqua"/>
          <w:color w:val="000000"/>
        </w:rPr>
        <w:t xml:space="preserve">d at 0, 24, and 48 h to assess wound closure. </w:t>
      </w:r>
    </w:p>
    <w:p w14:paraId="7DFCB398" w14:textId="77777777" w:rsidR="008B7F41" w:rsidRDefault="008B7F41">
      <w:pPr>
        <w:spacing w:line="360" w:lineRule="auto"/>
        <w:jc w:val="both"/>
      </w:pPr>
    </w:p>
    <w:p w14:paraId="6282CF05" w14:textId="77777777" w:rsidR="008B7F41" w:rsidRDefault="004C7094">
      <w:pPr>
        <w:spacing w:line="360" w:lineRule="auto"/>
        <w:jc w:val="both"/>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w:t>
      </w:r>
    </w:p>
    <w:p w14:paraId="4F4CD5F2" w14:textId="77777777" w:rsidR="008B7F41" w:rsidRDefault="004C7094">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was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using 8-µm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(Merck </w:t>
      </w:r>
      <w:proofErr w:type="spellStart"/>
      <w:r>
        <w:rPr>
          <w:rFonts w:ascii="Book Antiqua" w:eastAsia="Book Antiqua" w:hAnsi="Book Antiqua" w:cs="Book Antiqua"/>
          <w:color w:val="000000"/>
        </w:rPr>
        <w:t>KGaA</w:t>
      </w:r>
      <w:proofErr w:type="spellEnd"/>
      <w:r>
        <w:rPr>
          <w:rFonts w:ascii="Book Antiqua" w:eastAsia="Book Antiqua" w:hAnsi="Book Antiqua" w:cs="Book Antiqua"/>
          <w:color w:val="000000"/>
        </w:rPr>
        <w:t xml:space="preserve">, Darmstadt, Germany) with or without 60 µL Matrigel gel (BD Biosciences, Hercules, CA, United States), and then </w:t>
      </w:r>
      <w:r>
        <w:rPr>
          <w:rFonts w:ascii="Book Antiqua" w:eastAsia="Book Antiqua" w:hAnsi="Book Antiqua" w:cs="Book Antiqua"/>
          <w:color w:val="000000"/>
        </w:rPr>
        <w:t>the chambers were put in each well of a 24-well plate. Cells of each group (5 × 10</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were placed in 200 µL serum-free medium for 48 h after transfection, and subsequently transferred to the upper compartment of the above chambers. The lower chamber contain</w:t>
      </w:r>
      <w:r>
        <w:rPr>
          <w:rFonts w:ascii="Book Antiqua" w:eastAsia="Book Antiqua" w:hAnsi="Book Antiqua" w:cs="Book Antiqua"/>
          <w:color w:val="000000"/>
        </w:rPr>
        <w:t xml:space="preserve">ed RPMI-1640 with 10% FBS. After 36 h of incubation, the cells that had migrated or invaded to the bottom side of the chamber were fixed with methanol, and then stained with crystal violet. </w:t>
      </w:r>
    </w:p>
    <w:p w14:paraId="51B88AAA" w14:textId="77777777" w:rsidR="008B7F41" w:rsidRDefault="008B7F41">
      <w:pPr>
        <w:spacing w:line="360" w:lineRule="auto"/>
        <w:jc w:val="both"/>
      </w:pPr>
    </w:p>
    <w:p w14:paraId="2FAC8F39" w14:textId="77777777" w:rsidR="008B7F41" w:rsidRDefault="004C7094">
      <w:pPr>
        <w:spacing w:line="360" w:lineRule="auto"/>
        <w:jc w:val="both"/>
      </w:pPr>
      <w:r>
        <w:rPr>
          <w:rFonts w:ascii="Book Antiqua" w:eastAsia="Book Antiqua" w:hAnsi="Book Antiqua" w:cs="Book Antiqua"/>
          <w:b/>
          <w:bCs/>
          <w:i/>
          <w:iCs/>
          <w:color w:val="000000"/>
        </w:rPr>
        <w:t>Immunofluorescence</w:t>
      </w:r>
    </w:p>
    <w:p w14:paraId="09FF5407" w14:textId="77777777" w:rsidR="008B7F41" w:rsidRDefault="004C7094">
      <w:pPr>
        <w:spacing w:line="360" w:lineRule="auto"/>
        <w:jc w:val="both"/>
      </w:pPr>
      <w:r>
        <w:rPr>
          <w:rFonts w:ascii="Book Antiqua" w:eastAsia="Book Antiqua" w:hAnsi="Book Antiqua" w:cs="Book Antiqua"/>
          <w:color w:val="000000"/>
        </w:rPr>
        <w:t>We dipped the coverslip into the culture medi</w:t>
      </w:r>
      <w:r>
        <w:rPr>
          <w:rFonts w:ascii="Book Antiqua" w:eastAsia="Book Antiqua" w:hAnsi="Book Antiqua" w:cs="Book Antiqua"/>
          <w:color w:val="000000"/>
        </w:rPr>
        <w:t xml:space="preserve">um to allow the cells to attach and grow, and then washed the cells three times with PBS. At room temperature, the cells were fixed on a coverslip with 4% </w:t>
      </w:r>
      <w:proofErr w:type="spellStart"/>
      <w:r>
        <w:rPr>
          <w:rFonts w:ascii="Book Antiqua" w:eastAsia="Book Antiqua" w:hAnsi="Book Antiqua" w:cs="Book Antiqua"/>
          <w:color w:val="000000"/>
        </w:rPr>
        <w:t>tetraformaldehyde</w:t>
      </w:r>
      <w:proofErr w:type="spellEnd"/>
      <w:r>
        <w:rPr>
          <w:rFonts w:ascii="Book Antiqua" w:eastAsia="Book Antiqua" w:hAnsi="Book Antiqua" w:cs="Book Antiqua"/>
          <w:color w:val="000000"/>
        </w:rPr>
        <w:t xml:space="preserve"> for 20 min, and then were washed again three times with PBS. After a 10 min incubat</w:t>
      </w:r>
      <w:r>
        <w:rPr>
          <w:rFonts w:ascii="Book Antiqua" w:eastAsia="Book Antiqua" w:hAnsi="Book Antiqua" w:cs="Book Antiqua"/>
          <w:color w:val="000000"/>
        </w:rPr>
        <w:t>ion with 0.5% Triton X-100, the cells were blocked in 5% bovine serum albumin for 2 h and then were incubated with anti-</w:t>
      </w:r>
      <w:r>
        <w:rPr>
          <w:rFonts w:ascii="Book Antiqua" w:eastAsia="Book Antiqua" w:hAnsi="Book Antiqua" w:cs="Book Antiqua"/>
          <w:color w:val="000000"/>
        </w:rPr>
        <w:lastRenderedPageBreak/>
        <w:t>β-catenin antibody (1:200 dilution; Cell Signaling Technology) at 4 °C. After washing three times with PBS, cells were incubated with se</w:t>
      </w:r>
      <w:r>
        <w:rPr>
          <w:rFonts w:ascii="Book Antiqua" w:eastAsia="Book Antiqua" w:hAnsi="Book Antiqua" w:cs="Book Antiqua"/>
          <w:color w:val="000000"/>
        </w:rPr>
        <w:t>condary antibody (1:50 dilution, ab150077; Abcam, Cambridge, MA, United States) for 1 h at room temperature. The coverslips were subsequently washed three times with PBS and then were stained with 4′,6-diamidino-2-phenylindole (DAPI). Fluorescence images w</w:t>
      </w:r>
      <w:r>
        <w:rPr>
          <w:rFonts w:ascii="Book Antiqua" w:eastAsia="Book Antiqua" w:hAnsi="Book Antiqua" w:cs="Book Antiqua"/>
          <w:color w:val="000000"/>
        </w:rPr>
        <w:t xml:space="preserve">ere captured </w:t>
      </w:r>
      <w:r>
        <w:rPr>
          <w:rFonts w:ascii="Book Antiqua" w:eastAsia="Book Antiqua" w:hAnsi="Book Antiqua" w:cs="Book Antiqua"/>
          <w:i/>
          <w:iCs/>
          <w:color w:val="000000"/>
        </w:rPr>
        <w:t>via</w:t>
      </w:r>
      <w:r>
        <w:rPr>
          <w:rFonts w:ascii="Book Antiqua" w:eastAsia="Book Antiqua" w:hAnsi="Book Antiqua" w:cs="Book Antiqua"/>
          <w:color w:val="000000"/>
        </w:rPr>
        <w:t xml:space="preserve"> laser confocal microscopy.</w:t>
      </w:r>
    </w:p>
    <w:p w14:paraId="23474D9D" w14:textId="77777777" w:rsidR="008B7F41" w:rsidRDefault="008B7F41">
      <w:pPr>
        <w:spacing w:line="360" w:lineRule="auto"/>
        <w:jc w:val="both"/>
      </w:pPr>
    </w:p>
    <w:p w14:paraId="017934F0" w14:textId="77777777" w:rsidR="008B7F41" w:rsidRDefault="004C7094">
      <w:pPr>
        <w:spacing w:line="360" w:lineRule="auto"/>
        <w:jc w:val="both"/>
      </w:pPr>
      <w:r>
        <w:rPr>
          <w:rFonts w:ascii="Book Antiqua" w:eastAsia="Book Antiqua" w:hAnsi="Book Antiqua" w:cs="Book Antiqua"/>
          <w:b/>
          <w:bCs/>
          <w:i/>
          <w:iCs/>
          <w:color w:val="000000"/>
        </w:rPr>
        <w:t>Western blotting</w:t>
      </w:r>
    </w:p>
    <w:p w14:paraId="21F097CF" w14:textId="77777777" w:rsidR="008B7F41" w:rsidRDefault="004C7094">
      <w:pPr>
        <w:spacing w:line="360" w:lineRule="auto"/>
        <w:jc w:val="both"/>
      </w:pPr>
      <w:r>
        <w:rPr>
          <w:rFonts w:ascii="Book Antiqua" w:eastAsia="Book Antiqua" w:hAnsi="Book Antiqua" w:cs="Book Antiqua"/>
          <w:color w:val="000000"/>
        </w:rPr>
        <w:t xml:space="preserve">Western blotting was performed following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w:t>
      </w:r>
      <w:proofErr w:type="gramEnd"/>
      <w:r>
        <w:fldChar w:fldCharType="begin"/>
      </w:r>
      <w:r>
        <w:instrText xml:space="preserve"> HYPERLINK \l "_ENREF_22" \o "Li, 2018 #32" </w:instrText>
      </w:r>
      <w:r>
        <w:fldChar w:fldCharType="separate"/>
      </w:r>
      <w:r>
        <w:rPr>
          <w:rFonts w:ascii="Book Antiqua" w:eastAsia="Book Antiqua" w:hAnsi="Book Antiqua" w:cs="Book Antiqua"/>
          <w:color w:val="000000"/>
          <w:szCs w:val="20"/>
          <w:u w:val="single" w:color="0000EE"/>
          <w:vertAlign w:val="superscript"/>
        </w:rPr>
        <w:t>22</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following primary antibodies were used: USP15 (1:2000, #66310; Cell Signaling Technology), E-cadherin (1:1000, ab1416; Abcam), N-cadherin (1:1000, ab18203; Abcam), vimentin (1:1500, ab8978; Abcam),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(1:1500, #5605; Cell Signaling Technology), β-</w:t>
      </w:r>
      <w:r>
        <w:rPr>
          <w:rFonts w:ascii="Book Antiqua" w:eastAsia="Book Antiqua" w:hAnsi="Book Antiqua" w:cs="Book Antiqua"/>
          <w:color w:val="000000"/>
        </w:rPr>
        <w:t xml:space="preserve">catenin (1:2000, #8480; Cell Signaling Technology), cyclin D1 (1:1000, #2978; Cell Signaling Technology), </w:t>
      </w:r>
      <w:bookmarkStart w:id="12" w:name="OLE_LINK133"/>
      <w:bookmarkStart w:id="13" w:name="OLE_LINK132"/>
      <w:r>
        <w:rPr>
          <w:rFonts w:ascii="Book Antiqua" w:eastAsia="Book Antiqua" w:hAnsi="Book Antiqua" w:cs="Book Antiqua"/>
          <w:color w:val="000000"/>
        </w:rPr>
        <w:t xml:space="preserve">and GAPDH </w:t>
      </w:r>
      <w:bookmarkEnd w:id="12"/>
      <w:bookmarkEnd w:id="13"/>
      <w:r>
        <w:rPr>
          <w:rFonts w:ascii="Book Antiqua" w:eastAsia="Book Antiqua" w:hAnsi="Book Antiqua" w:cs="Book Antiqua"/>
          <w:color w:val="000000"/>
        </w:rPr>
        <w:t xml:space="preserve">(1:2000, #60004-1-Ig;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Rosemont, IL, United States). </w:t>
      </w:r>
    </w:p>
    <w:p w14:paraId="25FC91A8" w14:textId="77777777" w:rsidR="008B7F41" w:rsidRDefault="008B7F41">
      <w:pPr>
        <w:spacing w:line="360" w:lineRule="auto"/>
        <w:jc w:val="both"/>
      </w:pPr>
    </w:p>
    <w:p w14:paraId="656C9483" w14:textId="77777777" w:rsidR="008B7F41" w:rsidRDefault="004C7094">
      <w:pPr>
        <w:spacing w:line="360" w:lineRule="auto"/>
        <w:jc w:val="both"/>
      </w:pPr>
      <w:r>
        <w:rPr>
          <w:rFonts w:ascii="Book Antiqua" w:eastAsia="Book Antiqua" w:hAnsi="Book Antiqua" w:cs="Book Antiqua"/>
          <w:b/>
          <w:bCs/>
          <w:i/>
          <w:iCs/>
          <w:color w:val="000000"/>
        </w:rPr>
        <w:t>Plasmid construction and cell transfection</w:t>
      </w:r>
    </w:p>
    <w:p w14:paraId="118A49CF" w14:textId="77777777" w:rsidR="008B7F41" w:rsidRDefault="004C7094">
      <w:pPr>
        <w:spacing w:line="360" w:lineRule="auto"/>
        <w:jc w:val="both"/>
      </w:pPr>
      <w:r>
        <w:rPr>
          <w:rFonts w:ascii="Book Antiqua" w:eastAsia="Book Antiqua" w:hAnsi="Book Antiqua" w:cs="Book Antiqua"/>
          <w:color w:val="000000"/>
        </w:rPr>
        <w:t>To knock down the expression o</w:t>
      </w:r>
      <w:r>
        <w:rPr>
          <w:rFonts w:ascii="Book Antiqua" w:eastAsia="Book Antiqua" w:hAnsi="Book Antiqua" w:cs="Book Antiqua"/>
          <w:color w:val="000000"/>
        </w:rPr>
        <w:t>f USP15, three different small interfering RNAs (siRNAs) and a negative control (NC) were designed as followed: USP15-Homo-249, 5′-GGAACACCUUAUUGAUGAATT-3′; USP15-Homo-1150, 5′-GCAGAUGGAAGGCCAGAUATT-3′; USP15-HoMo-1382, 5′-CCAAACCUAUGCAGUACAATT-3′; and a N</w:t>
      </w:r>
      <w:r>
        <w:rPr>
          <w:rFonts w:ascii="Book Antiqua" w:eastAsia="Book Antiqua" w:hAnsi="Book Antiqua" w:cs="Book Antiqua"/>
          <w:color w:val="000000"/>
        </w:rPr>
        <w:t xml:space="preserve">C siRNA, 5′-UUCUCCGAACGUGUCACGUTT-3′. USP15 overexpression plasmid (USP15: NM_006313.2) and USP15 mutated plasmid (USP15-C269S) were based on pcDNA3.1 plasmid. The above siRNA and plasmid were synthesized by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(Suzhou, China). Cells were grown to </w:t>
      </w:r>
      <w:r>
        <w:rPr>
          <w:rFonts w:ascii="Book Antiqua" w:eastAsia="Book Antiqua" w:hAnsi="Book Antiqua" w:cs="Book Antiqua"/>
          <w:color w:val="000000"/>
        </w:rPr>
        <w:t xml:space="preserve">50%–60% confluency and transfected using </w:t>
      </w:r>
      <w:proofErr w:type="spellStart"/>
      <w:r>
        <w:rPr>
          <w:rFonts w:ascii="Book Antiqua" w:eastAsia="Book Antiqua" w:hAnsi="Book Antiqua" w:cs="Book Antiqua"/>
          <w:color w:val="000000"/>
        </w:rPr>
        <w:t>TurboFect</w:t>
      </w:r>
      <w:proofErr w:type="spellEnd"/>
      <w:r>
        <w:rPr>
          <w:rFonts w:ascii="Book Antiqua" w:eastAsia="Book Antiqua" w:hAnsi="Book Antiqua" w:cs="Book Antiqua"/>
          <w:color w:val="000000"/>
        </w:rPr>
        <w:t xml:space="preserve"> transfection reagent (R0532; Thermo Scientific </w:t>
      </w:r>
      <w:proofErr w:type="spellStart"/>
      <w:r>
        <w:rPr>
          <w:rFonts w:ascii="Book Antiqua" w:eastAsia="Book Antiqua" w:hAnsi="Book Antiqua" w:cs="Book Antiqua"/>
          <w:color w:val="000000"/>
        </w:rPr>
        <w:t>Scientific</w:t>
      </w:r>
      <w:proofErr w:type="spellEnd"/>
      <w:r>
        <w:rPr>
          <w:rFonts w:ascii="Book Antiqua" w:eastAsia="Book Antiqua" w:hAnsi="Book Antiqua" w:cs="Book Antiqua"/>
          <w:color w:val="000000"/>
        </w:rPr>
        <w:t>, Waltham, MA, United States).</w:t>
      </w:r>
    </w:p>
    <w:p w14:paraId="013E4EB0" w14:textId="77777777" w:rsidR="008B7F41" w:rsidRDefault="008B7F41">
      <w:pPr>
        <w:spacing w:line="360" w:lineRule="auto"/>
        <w:jc w:val="both"/>
      </w:pPr>
    </w:p>
    <w:p w14:paraId="4E5D6A29" w14:textId="77777777" w:rsidR="008B7F41" w:rsidRDefault="004C7094">
      <w:pPr>
        <w:spacing w:line="360" w:lineRule="auto"/>
        <w:jc w:val="both"/>
      </w:pPr>
      <w:r>
        <w:rPr>
          <w:rFonts w:ascii="Book Antiqua" w:eastAsia="Book Antiqua" w:hAnsi="Book Antiqua" w:cs="Book Antiqua"/>
          <w:b/>
          <w:bCs/>
          <w:i/>
          <w:iCs/>
          <w:color w:val="000000"/>
        </w:rPr>
        <w:t>RNA sequencing analysis</w:t>
      </w:r>
    </w:p>
    <w:p w14:paraId="70BE97E3" w14:textId="77777777" w:rsidR="008B7F41" w:rsidRDefault="004C7094">
      <w:pPr>
        <w:spacing w:line="360" w:lineRule="auto"/>
        <w:jc w:val="both"/>
      </w:pPr>
      <w:r>
        <w:rPr>
          <w:rFonts w:ascii="Book Antiqua" w:eastAsia="Book Antiqua" w:hAnsi="Book Antiqua" w:cs="Book Antiqua"/>
          <w:color w:val="000000"/>
        </w:rPr>
        <w:t xml:space="preserve">The isolated USP15 knockdown and control BGC-823 cells were used for cDNA amplification and </w:t>
      </w:r>
      <w:r>
        <w:rPr>
          <w:rFonts w:ascii="Book Antiqua" w:eastAsia="Book Antiqua" w:hAnsi="Book Antiqua" w:cs="Book Antiqua"/>
          <w:color w:val="000000"/>
        </w:rPr>
        <w:t xml:space="preserve">RNA sequencing (RNA-seq) library preparation. RNA-seq was </w:t>
      </w:r>
      <w:r>
        <w:rPr>
          <w:rFonts w:ascii="Book Antiqua" w:eastAsia="Book Antiqua" w:hAnsi="Book Antiqua" w:cs="Book Antiqua"/>
          <w:color w:val="000000"/>
        </w:rPr>
        <w:lastRenderedPageBreak/>
        <w:t xml:space="preserve">performed by Beijing Novel Bioinformatics Co. Ltd. (Beijing, China). Genes with a false discovery rate &lt; 5% and a fold change &gt; 2.0 that met the established threshold criteria </w:t>
      </w:r>
      <w:proofErr w:type="gramStart"/>
      <w:r>
        <w:rPr>
          <w:rFonts w:ascii="Book Antiqua" w:eastAsia="Book Antiqua" w:hAnsi="Book Antiqua" w:cs="Book Antiqua"/>
          <w:color w:val="000000"/>
        </w:rPr>
        <w:t>were considered to be</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t xml:space="preserve">significantly differentially expressed. </w:t>
      </w:r>
    </w:p>
    <w:p w14:paraId="5AD5C178" w14:textId="77777777" w:rsidR="008B7F41" w:rsidRDefault="008B7F41">
      <w:pPr>
        <w:spacing w:line="360" w:lineRule="auto"/>
        <w:jc w:val="both"/>
      </w:pPr>
    </w:p>
    <w:p w14:paraId="556C08E9" w14:textId="77777777" w:rsidR="008B7F41" w:rsidRDefault="004C7094">
      <w:pPr>
        <w:spacing w:line="360" w:lineRule="auto"/>
        <w:jc w:val="both"/>
      </w:pPr>
      <w:r>
        <w:rPr>
          <w:rFonts w:ascii="Book Antiqua" w:eastAsia="Book Antiqua" w:hAnsi="Book Antiqua" w:cs="Book Antiqua"/>
          <w:b/>
          <w:bCs/>
          <w:i/>
          <w:iCs/>
          <w:color w:val="000000"/>
        </w:rPr>
        <w:t xml:space="preserve">Nude mouse tumor cell xenograft assay </w:t>
      </w:r>
    </w:p>
    <w:p w14:paraId="2C9EB733" w14:textId="77777777" w:rsidR="008B7F41" w:rsidRDefault="004C7094">
      <w:pPr>
        <w:spacing w:line="360" w:lineRule="auto"/>
        <w:jc w:val="both"/>
      </w:pPr>
      <w:r>
        <w:rPr>
          <w:rFonts w:ascii="Book Antiqua" w:eastAsia="Book Antiqua" w:hAnsi="Book Antiqua" w:cs="Book Antiqua"/>
          <w:color w:val="000000"/>
        </w:rPr>
        <w:t>Short hairpin RNAs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targeting USP15 or scramble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were subcloned into the lentiviral expression vector (</w:t>
      </w:r>
      <w:proofErr w:type="spellStart"/>
      <w:r>
        <w:rPr>
          <w:rFonts w:ascii="Book Antiqua" w:eastAsia="Book Antiqua" w:hAnsi="Book Antiqua" w:cs="Book Antiqua"/>
          <w:color w:val="000000"/>
        </w:rPr>
        <w:t>Jikai</w:t>
      </w:r>
      <w:proofErr w:type="spellEnd"/>
      <w:r>
        <w:rPr>
          <w:rFonts w:ascii="Book Antiqua" w:eastAsia="Book Antiqua" w:hAnsi="Book Antiqua" w:cs="Book Antiqua"/>
          <w:color w:val="000000"/>
        </w:rPr>
        <w:t xml:space="preserve"> Co. Shanghai, China). BGC‐823 cells transfected with</w:t>
      </w:r>
      <w:r>
        <w:rPr>
          <w:rFonts w:ascii="Book Antiqua" w:eastAsia="Book Antiqua" w:hAnsi="Book Antiqua" w:cs="Book Antiqua"/>
          <w:color w:val="000000"/>
        </w:rPr>
        <w:t xml:space="preserve"> LV-</w:t>
      </w:r>
      <w:proofErr w:type="gramStart"/>
      <w:r>
        <w:rPr>
          <w:rFonts w:ascii="Book Antiqua" w:eastAsia="Book Antiqua" w:hAnsi="Book Antiqua" w:cs="Book Antiqua"/>
          <w:color w:val="000000"/>
        </w:rPr>
        <w:t>shUSP15</w:t>
      </w:r>
      <w:proofErr w:type="gramEnd"/>
      <w:r>
        <w:rPr>
          <w:rFonts w:ascii="Book Antiqua" w:eastAsia="Book Antiqua" w:hAnsi="Book Antiqua" w:cs="Book Antiqua"/>
          <w:color w:val="000000"/>
        </w:rPr>
        <w:t xml:space="preserve"> or LV-scramble shRNA was stably expressed and screened by puromycin. The stably expressed strain was amplified and inoculated at a rate of 5 ×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cells per animal into 5- to 6-wk-old BALB/c-nu mice. Tumor volume was measured every 3 d and calc</w:t>
      </w:r>
      <w:r>
        <w:rPr>
          <w:rFonts w:ascii="Book Antiqua" w:eastAsia="Book Antiqua" w:hAnsi="Book Antiqua" w:cs="Book Antiqua"/>
          <w:color w:val="000000"/>
        </w:rPr>
        <w:t>ulated according to the formula: volume (mm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 (length × width</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)/2. Mice were sacrificed after 28 d and xenograft tumors were measured and weighed. Proteins were extracted from tumors and USP15 and β-catenin expression was detected by western blotting.</w:t>
      </w:r>
    </w:p>
    <w:p w14:paraId="5FE6F039" w14:textId="77777777" w:rsidR="008B7F41" w:rsidRDefault="008B7F41">
      <w:pPr>
        <w:spacing w:line="360" w:lineRule="auto"/>
        <w:jc w:val="both"/>
      </w:pPr>
    </w:p>
    <w:p w14:paraId="399AAC99" w14:textId="77777777" w:rsidR="008B7F41" w:rsidRDefault="004C7094">
      <w:pPr>
        <w:spacing w:line="360" w:lineRule="auto"/>
        <w:jc w:val="both"/>
      </w:pPr>
      <w:r>
        <w:rPr>
          <w:rFonts w:ascii="Book Antiqua" w:eastAsia="Book Antiqua" w:hAnsi="Book Antiqua" w:cs="Book Antiqua"/>
          <w:b/>
          <w:bCs/>
          <w:i/>
          <w:iCs/>
          <w:color w:val="000000"/>
        </w:rPr>
        <w:t>S</w:t>
      </w:r>
      <w:r>
        <w:rPr>
          <w:rFonts w:ascii="Book Antiqua" w:eastAsia="Book Antiqua" w:hAnsi="Book Antiqua" w:cs="Book Antiqua"/>
          <w:b/>
          <w:bCs/>
          <w:i/>
          <w:iCs/>
          <w:color w:val="000000"/>
        </w:rPr>
        <w:t>tatistical analyses</w:t>
      </w:r>
    </w:p>
    <w:p w14:paraId="7DDC4704" w14:textId="77777777" w:rsidR="008B7F41" w:rsidRDefault="004C7094">
      <w:pPr>
        <w:spacing w:line="360" w:lineRule="auto"/>
        <w:jc w:val="both"/>
      </w:pPr>
      <w:r>
        <w:rPr>
          <w:rFonts w:ascii="Book Antiqua" w:eastAsia="Book Antiqua" w:hAnsi="Book Antiqua" w:cs="Book Antiqua"/>
          <w:color w:val="000000"/>
        </w:rPr>
        <w:t xml:space="preserve">We statistically analyzed the data using SPSS version 26.0 software (Chicago, IL, United States). The relationship between clinical characteristics and USP15 expression was evaluated by the </w:t>
      </w:r>
      <w:bookmarkStart w:id="14" w:name="OLE_LINK7"/>
      <w:bookmarkStart w:id="15" w:name="OLE_LINK8"/>
      <w:r>
        <w:rPr>
          <w:rFonts w:ascii="Symbol" w:hAnsi="Symbol"/>
          <w:i/>
        </w:rPr>
        <w:t></w:t>
      </w:r>
      <w:r>
        <w:rPr>
          <w:rFonts w:ascii="Book Antiqua" w:hAnsi="Book Antiqua" w:hint="eastAsia"/>
          <w:vertAlign w:val="superscript"/>
        </w:rPr>
        <w:t>2</w:t>
      </w:r>
      <w:bookmarkEnd w:id="14"/>
      <w:bookmarkEnd w:id="15"/>
      <w:r>
        <w:rPr>
          <w:rFonts w:ascii="Book Antiqua" w:eastAsia="Book Antiqua" w:hAnsi="Book Antiqua" w:cs="Book Antiqua"/>
          <w:color w:val="000000"/>
        </w:rPr>
        <w:t xml:space="preserve"> test. The Kaplan–Meier method was performed</w:t>
      </w:r>
      <w:r>
        <w:rPr>
          <w:rFonts w:ascii="Book Antiqua" w:eastAsia="Book Antiqua" w:hAnsi="Book Antiqua" w:cs="Book Antiqua"/>
          <w:color w:val="000000"/>
        </w:rPr>
        <w:t xml:space="preserve"> to determine the OS curve of all enrolled GC patients.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determine the mean difference between two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bookmarkEnd w:id="10"/>
    <w:bookmarkEnd w:id="11"/>
    <w:p w14:paraId="069D51B4" w14:textId="77777777" w:rsidR="008B7F41" w:rsidRDefault="008B7F41">
      <w:pPr>
        <w:spacing w:line="360" w:lineRule="auto"/>
        <w:jc w:val="both"/>
      </w:pPr>
    </w:p>
    <w:p w14:paraId="5C541392" w14:textId="77777777" w:rsidR="008B7F41" w:rsidRDefault="004C7094">
      <w:pPr>
        <w:spacing w:line="360" w:lineRule="auto"/>
        <w:jc w:val="both"/>
      </w:pPr>
      <w:r>
        <w:rPr>
          <w:rFonts w:ascii="Book Antiqua" w:eastAsia="Book Antiqua" w:hAnsi="Book Antiqua" w:cs="Book Antiqua"/>
          <w:b/>
          <w:caps/>
          <w:color w:val="000000"/>
          <w:u w:val="single"/>
        </w:rPr>
        <w:t>RESULTS</w:t>
      </w:r>
    </w:p>
    <w:p w14:paraId="207FB630" w14:textId="77777777" w:rsidR="008B7F41" w:rsidRDefault="004C7094">
      <w:pPr>
        <w:spacing w:line="360" w:lineRule="auto"/>
        <w:jc w:val="both"/>
      </w:pPr>
      <w:r>
        <w:rPr>
          <w:rFonts w:ascii="Book Antiqua" w:eastAsia="Book Antiqua" w:hAnsi="Book Antiqua" w:cs="Book Antiqua"/>
          <w:b/>
          <w:bCs/>
          <w:i/>
          <w:iCs/>
          <w:color w:val="000000"/>
        </w:rPr>
        <w:t xml:space="preserve">USP15 is upregulated in GC cells and tissues and is </w:t>
      </w:r>
      <w:r>
        <w:rPr>
          <w:rFonts w:ascii="Book Antiqua" w:eastAsia="Book Antiqua" w:hAnsi="Book Antiqua" w:cs="Book Antiqua"/>
          <w:b/>
          <w:bCs/>
          <w:i/>
          <w:iCs/>
          <w:color w:val="000000"/>
        </w:rPr>
        <w:t>associated with a poor prognosis in patients with GC</w:t>
      </w:r>
    </w:p>
    <w:p w14:paraId="5E7D035C" w14:textId="77777777" w:rsidR="008B7F41" w:rsidRDefault="004C7094">
      <w:pPr>
        <w:spacing w:line="360" w:lineRule="auto"/>
        <w:jc w:val="both"/>
      </w:pPr>
      <w:r>
        <w:rPr>
          <w:rFonts w:ascii="Book Antiqua" w:eastAsia="Book Antiqua" w:hAnsi="Book Antiqua" w:cs="Book Antiqua"/>
          <w:color w:val="000000"/>
        </w:rPr>
        <w:t xml:space="preserve">First, an online database, </w:t>
      </w:r>
      <w:proofErr w:type="spellStart"/>
      <w:r>
        <w:rPr>
          <w:rFonts w:ascii="Book Antiqua" w:eastAsia="Book Antiqua" w:hAnsi="Book Antiqua" w:cs="Book Antiqua"/>
          <w:color w:val="000000"/>
        </w:rPr>
        <w:t>cBioPortal</w:t>
      </w:r>
      <w:proofErr w:type="spellEnd"/>
      <w:r>
        <w:rPr>
          <w:rFonts w:ascii="Book Antiqua" w:eastAsia="Book Antiqua" w:hAnsi="Book Antiqua" w:cs="Book Antiqua"/>
          <w:color w:val="000000"/>
        </w:rPr>
        <w:t> for Cancer Genomics (</w:t>
      </w:r>
      <w:hyperlink r:id="rId8" w:history="1">
        <w:r>
          <w:rPr>
            <w:rFonts w:ascii="Book Antiqua" w:eastAsia="Book Antiqua" w:hAnsi="Book Antiqua" w:cs="Book Antiqua"/>
            <w:color w:val="000000"/>
          </w:rPr>
          <w:t>http://www.cbioportal.org/</w:t>
        </w:r>
      </w:hyperlink>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hyperlink w:anchor="_ENREF_23" w:tooltip="Gao, 2013 #36" w:history="1">
        <w:r>
          <w:rPr>
            <w:rFonts w:ascii="Book Antiqua" w:eastAsia="Book Antiqua" w:hAnsi="Book Antiqua" w:cs="Book Antiqua"/>
            <w:color w:val="000000"/>
            <w:szCs w:val="20"/>
            <w:vertAlign w:val="superscript"/>
          </w:rPr>
          <w:t>23</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showed that </w:t>
      </w:r>
      <w:r>
        <w:rPr>
          <w:rFonts w:ascii="Book Antiqua" w:eastAsia="Book Antiqua" w:hAnsi="Book Antiqua" w:cs="Book Antiqua"/>
          <w:color w:val="000000"/>
        </w:rPr>
        <w:t>USP15 was amplified in many types of tumor including GC (Figure 1A). TIMER (https://cistrome.shinyapps.io/timer/)</w:t>
      </w:r>
      <w:r>
        <w:rPr>
          <w:rFonts w:ascii="Book Antiqua" w:eastAsia="Book Antiqua" w:hAnsi="Book Antiqua" w:cs="Book Antiqua"/>
          <w:color w:val="000000"/>
          <w:szCs w:val="20"/>
          <w:vertAlign w:val="superscript"/>
        </w:rPr>
        <w:t>[</w:t>
      </w:r>
      <w:hyperlink w:anchor="_ENREF_24" w:tooltip="Li, 2020 #37" w:history="1">
        <w:r>
          <w:rPr>
            <w:rFonts w:ascii="Book Antiqua" w:eastAsia="Book Antiqua" w:hAnsi="Book Antiqua" w:cs="Book Antiqua"/>
            <w:color w:val="000000"/>
            <w:szCs w:val="20"/>
            <w:vertAlign w:val="superscript"/>
          </w:rPr>
          <w:t>24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UALCAN database (</w:t>
      </w:r>
      <w:hyperlink r:id="rId9" w:history="1">
        <w:r>
          <w:rPr>
            <w:rFonts w:ascii="Book Antiqua" w:eastAsia="Book Antiqua" w:hAnsi="Book Antiqua" w:cs="Book Antiqua"/>
            <w:color w:val="000000"/>
          </w:rPr>
          <w:t>http://ualcan.path.uab.edu/</w:t>
        </w:r>
      </w:hyperlink>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hyperlink w:anchor="_ENREF_25" w:tooltip="Chandrashekar, 2017 #9" w:history="1">
        <w:r>
          <w:rPr>
            <w:rFonts w:ascii="Book Antiqua" w:eastAsia="Book Antiqua" w:hAnsi="Book Antiqua" w:cs="Book Antiqua"/>
            <w:color w:val="000000"/>
            <w:szCs w:val="20"/>
            <w:vertAlign w:val="superscript"/>
          </w:rPr>
          <w:t>25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based on The Cancer Genome Atlas (TCGA) database, indicated that the mRNA levels of USP15 in GC tissues were higher than those in normal tissues (Figure 1B and C). To confirm the protein expr</w:t>
      </w:r>
      <w:r>
        <w:rPr>
          <w:rFonts w:ascii="Book Antiqua" w:eastAsia="Book Antiqua" w:hAnsi="Book Antiqua" w:cs="Book Antiqua"/>
          <w:color w:val="000000"/>
        </w:rPr>
        <w:t xml:space="preserve">ession level of USP15 in GC, western blotting was conducted on GC cell </w:t>
      </w:r>
      <w:r>
        <w:rPr>
          <w:rFonts w:ascii="Book Antiqua" w:eastAsia="Book Antiqua" w:hAnsi="Book Antiqua" w:cs="Book Antiqua"/>
          <w:color w:val="000000"/>
        </w:rPr>
        <w:lastRenderedPageBreak/>
        <w:t>lines and tissues. Most GC cell lines expressed a higher level of USP15 than the gastric epithelial cell line GES-1 (Figure 1D). USP15 was elevated in most of the eight pairs of clinica</w:t>
      </w:r>
      <w:r>
        <w:rPr>
          <w:rFonts w:ascii="Book Antiqua" w:eastAsia="Book Antiqua" w:hAnsi="Book Antiqua" w:cs="Book Antiqua"/>
          <w:color w:val="000000"/>
        </w:rPr>
        <w:t>l GC tissues and their adjacent normal tissues (Figure 1E).</w:t>
      </w:r>
    </w:p>
    <w:p w14:paraId="7CF6DBE6" w14:textId="77777777" w:rsidR="008B7F41" w:rsidRDefault="004C7094">
      <w:pPr>
        <w:spacing w:line="360" w:lineRule="auto"/>
        <w:ind w:firstLine="270"/>
        <w:jc w:val="both"/>
      </w:pPr>
      <w:r>
        <w:rPr>
          <w:rFonts w:ascii="Book Antiqua" w:eastAsia="Book Antiqua" w:hAnsi="Book Antiqua" w:cs="Book Antiqua"/>
          <w:color w:val="000000"/>
        </w:rPr>
        <w:t xml:space="preserve">As USP15 was found to be upregulated in GC, we confirmed its clinical significance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using immunohistochemistry. </w:t>
      </w:r>
      <w:r>
        <w:rPr>
          <w:rFonts w:ascii="Book Antiqua" w:eastAsia="Book Antiqua" w:hAnsi="Book Antiqua" w:cs="Book Antiqua"/>
          <w:color w:val="000000"/>
          <w:shd w:val="clear" w:color="auto" w:fill="FFFFFF"/>
        </w:rPr>
        <w:t>The staining of USP15 protein ranged from weak to strong and located in the cytop</w:t>
      </w:r>
      <w:r>
        <w:rPr>
          <w:rFonts w:ascii="Book Antiqua" w:eastAsia="Book Antiqua" w:hAnsi="Book Antiqua" w:cs="Book Antiqua"/>
          <w:color w:val="000000"/>
          <w:shd w:val="clear" w:color="auto" w:fill="FFFFFF"/>
        </w:rPr>
        <w:t xml:space="preserve">lasm </w:t>
      </w:r>
      <w:r>
        <w:rPr>
          <w:rFonts w:ascii="Book Antiqua" w:eastAsia="Book Antiqua" w:hAnsi="Book Antiqua" w:cs="Book Antiqua"/>
          <w:color w:val="000000"/>
        </w:rPr>
        <w:t xml:space="preserve">(Figure 1F), which showed that USP15 was markedly increased in GC tissue sections, whereas USP15 staining was weak or negative in noncancerous tissue sections (Figure 1G). The staining scores of USP15 in adjacent tissues were significantly lower than </w:t>
      </w:r>
      <w:r>
        <w:rPr>
          <w:rFonts w:ascii="Book Antiqua" w:eastAsia="Book Antiqua" w:hAnsi="Book Antiqua" w:cs="Book Antiqua"/>
          <w:color w:val="000000"/>
        </w:rPr>
        <w:t xml:space="preserve">those in GC tissues, which were considered significantly different (Figure 1H). </w:t>
      </w:r>
    </w:p>
    <w:p w14:paraId="255F13F2" w14:textId="77777777" w:rsidR="008B7F41" w:rsidRDefault="004C7094">
      <w:pPr>
        <w:spacing w:line="360" w:lineRule="auto"/>
        <w:ind w:firstLine="270"/>
        <w:jc w:val="both"/>
      </w:pPr>
      <w:r>
        <w:rPr>
          <w:rFonts w:ascii="Book Antiqua" w:eastAsia="Book Antiqua" w:hAnsi="Book Antiqua" w:cs="Book Antiqua"/>
          <w:caps/>
          <w:color w:val="000000"/>
        </w:rPr>
        <w:t>s</w:t>
      </w:r>
      <w:r>
        <w:rPr>
          <w:rFonts w:ascii="Book Antiqua" w:eastAsia="Book Antiqua" w:hAnsi="Book Antiqua" w:cs="Book Antiqua"/>
          <w:color w:val="000000"/>
        </w:rPr>
        <w:t>ubsequently, we evaluated the correlation between the staining score of USP15 and the clinicopathological characteristics of patients. There was no significant difference amo</w:t>
      </w:r>
      <w:r>
        <w:rPr>
          <w:rFonts w:ascii="Book Antiqua" w:eastAsia="Book Antiqua" w:hAnsi="Book Antiqua" w:cs="Book Antiqua"/>
          <w:color w:val="000000"/>
        </w:rPr>
        <w:t>ng patient gender, age, differentiation, and USP15 expression; however, tumor size (</w:t>
      </w:r>
      <w:r>
        <w:rPr>
          <w:rFonts w:ascii="Book Antiqua" w:eastAsia="Book Antiqua" w:hAnsi="Book Antiqua" w:cs="Book Antiqua"/>
          <w:i/>
          <w:iCs/>
          <w:color w:val="000000"/>
        </w:rPr>
        <w:t xml:space="preserve">P </w:t>
      </w:r>
      <w:r>
        <w:rPr>
          <w:rFonts w:ascii="Book Antiqua" w:eastAsia="Book Antiqua" w:hAnsi="Book Antiqua" w:cs="Book Antiqua"/>
          <w:color w:val="000000"/>
        </w:rPr>
        <w:t>= 0.004), tumor-node-metastasis (TNM) stage (</w:t>
      </w:r>
      <w:r>
        <w:rPr>
          <w:rFonts w:ascii="Book Antiqua" w:eastAsia="Book Antiqua" w:hAnsi="Book Antiqua" w:cs="Book Antiqua"/>
          <w:i/>
          <w:iCs/>
          <w:color w:val="000000"/>
        </w:rPr>
        <w:t xml:space="preserve">P </w:t>
      </w:r>
      <w:r>
        <w:rPr>
          <w:rFonts w:ascii="Book Antiqua" w:eastAsia="Book Antiqua" w:hAnsi="Book Antiqua" w:cs="Book Antiqua"/>
          <w:color w:val="000000"/>
        </w:rPr>
        <w:t>= 0.015), depth of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0.009), lymph node involvement (LNI) (</w:t>
      </w:r>
      <w:r>
        <w:rPr>
          <w:rFonts w:ascii="Book Antiqua" w:eastAsia="Book Antiqua" w:hAnsi="Book Antiqua" w:cs="Book Antiqua"/>
          <w:i/>
          <w:iCs/>
          <w:color w:val="000000"/>
        </w:rPr>
        <w:t xml:space="preserve">P </w:t>
      </w:r>
      <w:r>
        <w:rPr>
          <w:rFonts w:ascii="Book Antiqua" w:eastAsia="Book Antiqua" w:hAnsi="Book Antiqua" w:cs="Book Antiqua"/>
          <w:color w:val="000000"/>
        </w:rPr>
        <w:t>= 0.002), perineural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0.021), and vas</w:t>
      </w:r>
      <w:r>
        <w:rPr>
          <w:rFonts w:ascii="Book Antiqua" w:eastAsia="Book Antiqua" w:hAnsi="Book Antiqua" w:cs="Book Antiqua"/>
          <w:color w:val="000000"/>
        </w:rPr>
        <w:t>cular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were significantly associated with USP15 expression in GC. Consistent with the results obtained from Kaplan–Meier Plotter Database Analysis</w:t>
      </w:r>
      <w:r>
        <w:rPr>
          <w:rFonts w:ascii="Book Antiqua" w:eastAsia="Book Antiqua" w:hAnsi="Book Antiqua" w:cs="Book Antiqua"/>
          <w:color w:val="000000"/>
          <w:szCs w:val="20"/>
          <w:vertAlign w:val="superscript"/>
        </w:rPr>
        <w:t>[</w:t>
      </w:r>
      <w:hyperlink w:anchor="_ENREF_26" w:tooltip="Szász, 2016 #13" w:history="1">
        <w:r>
          <w:rPr>
            <w:rFonts w:ascii="Book Antiqua" w:eastAsia="Book Antiqua" w:hAnsi="Book Antiqua" w:cs="Book Antiqua"/>
            <w:color w:val="000000"/>
            <w:szCs w:val="20"/>
            <w:u w:val="single" w:color="0000EE"/>
            <w:vertAlign w:val="superscript"/>
          </w:rPr>
          <w:t>26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hyperlink r:id="rId10" w:history="1">
        <w:r>
          <w:rPr>
            <w:rFonts w:ascii="Book Antiqua" w:eastAsia="Book Antiqua" w:hAnsi="Book Antiqua" w:cs="Book Antiqua"/>
            <w:color w:val="000000"/>
            <w:u w:val="single" w:color="0000EE"/>
          </w:rPr>
          <w:t>http://kmplot.com/analysis/</w:t>
        </w:r>
      </w:hyperlink>
      <w:r>
        <w:rPr>
          <w:rFonts w:ascii="Book Antiqua" w:eastAsia="Book Antiqua" w:hAnsi="Book Antiqua" w:cs="Book Antiqua"/>
          <w:color w:val="000000"/>
        </w:rPr>
        <w:t>), the Kaplan–Meier curve stratified by USP15 expression in these 115 GC patients showed that patients with lower USP15 expression had longer OS (Figure 1I and J).</w:t>
      </w:r>
    </w:p>
    <w:p w14:paraId="4B8CFB76" w14:textId="77777777" w:rsidR="008B7F41" w:rsidRDefault="008B7F41">
      <w:pPr>
        <w:spacing w:line="360" w:lineRule="auto"/>
        <w:ind w:firstLine="480"/>
        <w:jc w:val="both"/>
      </w:pPr>
    </w:p>
    <w:p w14:paraId="7A97C1D1" w14:textId="77777777" w:rsidR="008B7F41" w:rsidRDefault="004C7094">
      <w:pPr>
        <w:spacing w:line="360" w:lineRule="auto"/>
        <w:jc w:val="both"/>
      </w:pPr>
      <w:r>
        <w:rPr>
          <w:rFonts w:ascii="Book Antiqua" w:eastAsia="Book Antiqua" w:hAnsi="Book Antiqua" w:cs="Book Antiqua"/>
          <w:b/>
          <w:bCs/>
          <w:i/>
          <w:iCs/>
          <w:color w:val="000000"/>
        </w:rPr>
        <w:t>Knockdown of USP15 i</w:t>
      </w:r>
      <w:r>
        <w:rPr>
          <w:rFonts w:ascii="Book Antiqua" w:eastAsia="Book Antiqua" w:hAnsi="Book Antiqua" w:cs="Book Antiqua"/>
          <w:b/>
          <w:bCs/>
          <w:i/>
          <w:iCs/>
          <w:color w:val="000000"/>
        </w:rPr>
        <w:t>nhibits cell proliferation, invasion, and EMT progression of GC in vitro</w:t>
      </w:r>
    </w:p>
    <w:p w14:paraId="2AF37AF8" w14:textId="77777777" w:rsidR="008B7F41" w:rsidRDefault="004C7094">
      <w:pPr>
        <w:spacing w:line="360" w:lineRule="auto"/>
        <w:jc w:val="both"/>
      </w:pPr>
      <w:r>
        <w:rPr>
          <w:rFonts w:ascii="Book Antiqua" w:eastAsia="Book Antiqua" w:hAnsi="Book Antiqua" w:cs="Book Antiqua"/>
          <w:color w:val="000000"/>
        </w:rPr>
        <w:t>As shown above, BGC-823 and MKN-45 cells had high expression of USP15. siRNA-mediated knockdown of USP15 expression in BGC-823 and MKN-45 cells was used to detect the function of USP1</w:t>
      </w:r>
      <w:r>
        <w:rPr>
          <w:rFonts w:ascii="Book Antiqua" w:eastAsia="Book Antiqua" w:hAnsi="Book Antiqua" w:cs="Book Antiqua"/>
          <w:color w:val="000000"/>
        </w:rPr>
        <w:t xml:space="preserve">5 </w:t>
      </w:r>
      <w:r>
        <w:rPr>
          <w:rFonts w:ascii="Book Antiqua" w:eastAsia="Book Antiqua" w:hAnsi="Book Antiqua" w:cs="Book Antiqua"/>
          <w:i/>
          <w:iCs/>
          <w:color w:val="000000"/>
        </w:rPr>
        <w:t>in vitro</w:t>
      </w:r>
      <w:r>
        <w:rPr>
          <w:rFonts w:ascii="Book Antiqua" w:eastAsia="Book Antiqua" w:hAnsi="Book Antiqua" w:cs="Book Antiqua"/>
          <w:color w:val="000000"/>
        </w:rPr>
        <w:t>. Western blotting was used to confirm the silencing efficiency of USP15 in GC cells (Figure 2A). The results of CCK-8 and colony formation assays showed that the proliferation rate and colony formation ability were markedly decreased in the USP1</w:t>
      </w:r>
      <w:r>
        <w:rPr>
          <w:rFonts w:ascii="Book Antiqua" w:eastAsia="Book Antiqua" w:hAnsi="Book Antiqua" w:cs="Book Antiqua"/>
          <w:color w:val="000000"/>
        </w:rPr>
        <w:t xml:space="preserve">5-siRNA-1/2 group compared to the NC group (Figure 2B and C). Based on correlation of USP15 expression and lymph node status, perineural and vascular invasion, wound healing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were used to evaluate the role of USP15 in tumor cell migrati</w:t>
      </w:r>
      <w:r>
        <w:rPr>
          <w:rFonts w:ascii="Book Antiqua" w:eastAsia="Book Antiqua" w:hAnsi="Book Antiqua" w:cs="Book Antiqua"/>
          <w:color w:val="000000"/>
        </w:rPr>
        <w:t xml:space="preserve">on and invasion. As shown in Figure </w:t>
      </w:r>
      <w:r>
        <w:rPr>
          <w:rFonts w:ascii="Book Antiqua" w:eastAsia="Book Antiqua" w:hAnsi="Book Antiqua" w:cs="Book Antiqua"/>
          <w:color w:val="000000"/>
        </w:rPr>
        <w:lastRenderedPageBreak/>
        <w:t>2D and Figure 2E, USP15 silencing suppressed GC cell migration and invasion. In addition, knockdown of USP15 upregulated E-cadherin and downregulated N-cadherin and vimentin (Figure 2F).</w:t>
      </w:r>
    </w:p>
    <w:p w14:paraId="59C1424D" w14:textId="77777777" w:rsidR="008B7F41" w:rsidRDefault="008B7F41">
      <w:pPr>
        <w:spacing w:line="360" w:lineRule="auto"/>
        <w:jc w:val="both"/>
      </w:pPr>
    </w:p>
    <w:p w14:paraId="66196561" w14:textId="77777777" w:rsidR="008B7F41" w:rsidRDefault="004C7094">
      <w:pPr>
        <w:spacing w:line="360" w:lineRule="auto"/>
        <w:jc w:val="both"/>
      </w:pPr>
      <w:r>
        <w:rPr>
          <w:rFonts w:ascii="Book Antiqua" w:eastAsia="Book Antiqua" w:hAnsi="Book Antiqua" w:cs="Book Antiqua"/>
          <w:b/>
          <w:bCs/>
          <w:i/>
          <w:iCs/>
          <w:color w:val="000000"/>
        </w:rPr>
        <w:t>USP15 overexpression promotes ce</w:t>
      </w:r>
      <w:r>
        <w:rPr>
          <w:rFonts w:ascii="Book Antiqua" w:eastAsia="Book Antiqua" w:hAnsi="Book Antiqua" w:cs="Book Antiqua"/>
          <w:b/>
          <w:bCs/>
          <w:i/>
          <w:iCs/>
          <w:color w:val="000000"/>
        </w:rPr>
        <w:t>ll proliferation, invasion, and EMT progression in GC</w:t>
      </w:r>
    </w:p>
    <w:p w14:paraId="7753192B" w14:textId="77777777" w:rsidR="008B7F41" w:rsidRDefault="004C7094">
      <w:pPr>
        <w:spacing w:line="360" w:lineRule="auto"/>
        <w:jc w:val="both"/>
      </w:pPr>
      <w:r>
        <w:rPr>
          <w:rFonts w:ascii="Book Antiqua" w:eastAsia="Book Antiqua" w:hAnsi="Book Antiqua" w:cs="Book Antiqua"/>
          <w:color w:val="000000"/>
        </w:rPr>
        <w:t>We explored the cellular behavioral changes caused by overexpression of USP15. A stably transfected cell line with USP15 overexpression plasmid, USP15 mutant plasmid (USP15-C269S), and a NC (empty-vecto</w:t>
      </w:r>
      <w:r>
        <w:rPr>
          <w:rFonts w:ascii="Book Antiqua" w:eastAsia="Book Antiqua" w:hAnsi="Book Antiqua" w:cs="Book Antiqua"/>
          <w:color w:val="000000"/>
        </w:rPr>
        <w:t>r) cell line were established in SGC7901 cells. Western blotting confirmed the transfection efficiency (Figure 3A). Compared with the empty vector group, proliferation of the USP15 group was significantly enhanced, while the USP15-C269S group had no change</w:t>
      </w:r>
      <w:r>
        <w:rPr>
          <w:rFonts w:ascii="Book Antiqua" w:eastAsia="Book Antiqua" w:hAnsi="Book Antiqua" w:cs="Book Antiqua"/>
          <w:color w:val="000000"/>
        </w:rPr>
        <w:t>s (Figure 3B and C). Overexpression of USP15 promoted GC cell migration and invasion, while USP15-C269S did not (Figure 3D and E). Western blotting analysis showed that overexpression of USP15 upregulated vimentin and N-cadherin but downregulated E-cadheri</w:t>
      </w:r>
      <w:r>
        <w:rPr>
          <w:rFonts w:ascii="Book Antiqua" w:eastAsia="Book Antiqua" w:hAnsi="Book Antiqua" w:cs="Book Antiqua"/>
          <w:color w:val="000000"/>
        </w:rPr>
        <w:t>n (Figure 3F). Collectively, these data demonstrated that USP15 overexpression promoted GC proliferation, invasion, and EMT progression.</w:t>
      </w:r>
    </w:p>
    <w:p w14:paraId="49F98C25" w14:textId="77777777" w:rsidR="008B7F41" w:rsidRDefault="008B7F41">
      <w:pPr>
        <w:spacing w:line="360" w:lineRule="auto"/>
        <w:jc w:val="both"/>
      </w:pPr>
    </w:p>
    <w:p w14:paraId="0582354C" w14:textId="77777777" w:rsidR="008B7F41" w:rsidRDefault="004C7094">
      <w:pPr>
        <w:spacing w:line="360" w:lineRule="auto"/>
        <w:jc w:val="both"/>
      </w:pPr>
      <w:r>
        <w:rPr>
          <w:rFonts w:ascii="Book Antiqua" w:eastAsia="Book Antiqua" w:hAnsi="Book Antiqua" w:cs="Book Antiqua"/>
          <w:b/>
          <w:bCs/>
          <w:i/>
          <w:iCs/>
          <w:color w:val="000000"/>
        </w:rPr>
        <w:t>USP15 regulates the </w:t>
      </w:r>
      <w:proofErr w:type="spellStart"/>
      <w:r>
        <w:rPr>
          <w:rFonts w:ascii="Book Antiqua" w:eastAsia="Book Antiqua" w:hAnsi="Book Antiqua" w:cs="Book Antiqua"/>
          <w:b/>
          <w:bCs/>
          <w:i/>
          <w:iCs/>
          <w:color w:val="000000"/>
        </w:rPr>
        <w:t>Wnt</w:t>
      </w:r>
      <w:proofErr w:type="spellEnd"/>
      <w:r>
        <w:rPr>
          <w:rFonts w:ascii="Book Antiqua" w:eastAsia="Book Antiqua" w:hAnsi="Book Antiqua" w:cs="Book Antiqua"/>
          <w:b/>
          <w:bCs/>
          <w:i/>
          <w:iCs/>
          <w:color w:val="000000"/>
        </w:rPr>
        <w:t>/β-catenin pathway in GC cells</w:t>
      </w:r>
    </w:p>
    <w:p w14:paraId="6F434D85" w14:textId="77777777" w:rsidR="008B7F41" w:rsidRDefault="004C7094">
      <w:pPr>
        <w:spacing w:line="360" w:lineRule="auto"/>
        <w:jc w:val="both"/>
      </w:pPr>
      <w:r>
        <w:rPr>
          <w:rFonts w:ascii="Book Antiqua" w:eastAsia="Book Antiqua" w:hAnsi="Book Antiqua" w:cs="Book Antiqua"/>
          <w:color w:val="000000"/>
        </w:rPr>
        <w:t>To explore the potential molecular mechanism responsible for the</w:t>
      </w:r>
      <w:r>
        <w:rPr>
          <w:rFonts w:ascii="Book Antiqua" w:eastAsia="Book Antiqua" w:hAnsi="Book Antiqua" w:cs="Book Antiqua"/>
          <w:color w:val="000000"/>
        </w:rPr>
        <w:t xml:space="preserve"> effects of USP15 on GC progression, the whole transcriptome profiles of BGC-823 cells with USP15 knockdown or NC were analyzed by RNA-seq. The transfection efﬁciency was conﬁrmed by western blotting (Figure 4A). The most differentially expressed genes (DE</w:t>
      </w:r>
      <w:r>
        <w:rPr>
          <w:rFonts w:ascii="Book Antiqua" w:eastAsia="Book Antiqua" w:hAnsi="Book Antiqua" w:cs="Book Antiqua"/>
          <w:color w:val="000000"/>
        </w:rPr>
        <w:t xml:space="preserve">Gs) (29829) were displayed on the heat map (Figure 4B). Among the 2343 signiﬁcant DEGs (adjusted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transcripts of 1134 genes were </w:t>
      </w:r>
      <w:proofErr w:type="gramStart"/>
      <w:r>
        <w:rPr>
          <w:rFonts w:ascii="Book Antiqua" w:eastAsia="Book Antiqua" w:hAnsi="Book Antiqua" w:cs="Book Antiqua"/>
          <w:color w:val="000000"/>
        </w:rPr>
        <w:t>upregulated</w:t>
      </w:r>
      <w:proofErr w:type="gramEnd"/>
      <w:r>
        <w:rPr>
          <w:rFonts w:ascii="Book Antiqua" w:eastAsia="Book Antiqua" w:hAnsi="Book Antiqua" w:cs="Book Antiqua"/>
          <w:color w:val="000000"/>
        </w:rPr>
        <w:t> and transcripts of 1209 were downregulated in USP15 knockdown groups compared to the control groups (Figu</w:t>
      </w:r>
      <w:r>
        <w:rPr>
          <w:rFonts w:ascii="Book Antiqua" w:eastAsia="Book Antiqua" w:hAnsi="Book Antiqua" w:cs="Book Antiqua"/>
          <w:color w:val="000000"/>
        </w:rPr>
        <w:t xml:space="preserve">re 4C). Gene Ontology enrichment analyses showed that the difference in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was the most obvious (Figure 4D) among the enriched pathways. </w:t>
      </w:r>
    </w:p>
    <w:p w14:paraId="0401C7E7" w14:textId="77777777" w:rsidR="008B7F41" w:rsidRDefault="004C7094">
      <w:pPr>
        <w:spacing w:line="360" w:lineRule="auto"/>
        <w:ind w:firstLine="270"/>
        <w:jc w:val="both"/>
      </w:pPr>
      <w:r>
        <w:rPr>
          <w:rFonts w:ascii="Book Antiqua" w:eastAsia="Book Antiqua" w:hAnsi="Book Antiqua" w:cs="Book Antiqua"/>
          <w:color w:val="000000"/>
        </w:rPr>
        <w:t xml:space="preserve">As one of the most classic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pathways,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 has been involved in m</w:t>
      </w:r>
      <w:r>
        <w:rPr>
          <w:rFonts w:ascii="Book Antiqua" w:eastAsia="Book Antiqua" w:hAnsi="Book Antiqua" w:cs="Book Antiqua"/>
          <w:color w:val="000000"/>
        </w:rPr>
        <w:t xml:space="preserve">ultiple physiological processes of GC progression. To confirm the role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in the malignant biological behavior in </w:t>
      </w:r>
      <w:r>
        <w:rPr>
          <w:rFonts w:ascii="Book Antiqua" w:eastAsia="Book Antiqua" w:hAnsi="Book Antiqua" w:cs="Book Antiqua"/>
          <w:color w:val="000000"/>
        </w:rPr>
        <w:lastRenderedPageBreak/>
        <w:t xml:space="preserve">GC mediated by USP15, western blotting was performed to investigate expression of β-catenin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w:t>
      </w:r>
      <w:r>
        <w:rPr>
          <w:rFonts w:ascii="Book Antiqua" w:eastAsia="Book Antiqua" w:hAnsi="Book Antiqua" w:cs="Book Antiqua"/>
          <w:color w:val="000000"/>
        </w:rPr>
        <w:t>nin downstream genes (including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cyclin D1). USP15 knockdown resulted in downregulation of the protein level of β-catenin,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cyclin D1, while USP15 overexpression yielded opposite results and there was no change in USP15 C269S group (Figur</w:t>
      </w:r>
      <w:r>
        <w:rPr>
          <w:rFonts w:ascii="Book Antiqua" w:eastAsia="Book Antiqua" w:hAnsi="Book Antiqua" w:cs="Book Antiqua"/>
          <w:color w:val="000000"/>
        </w:rPr>
        <w:t xml:space="preserve">e 4E). In addition, immunofluorescence assay showed that USP15 knockdown significantly reduced nuclear β-catenin accumulation compared with the control groups, while USP15 overexpression yielded opposite results, and there was no change in the USP15 C269S </w:t>
      </w:r>
      <w:r>
        <w:rPr>
          <w:rFonts w:ascii="Book Antiqua" w:eastAsia="Book Antiqua" w:hAnsi="Book Antiqua" w:cs="Book Antiqua"/>
          <w:color w:val="000000"/>
        </w:rPr>
        <w:t xml:space="preserve">group (Figure 4F). </w:t>
      </w:r>
    </w:p>
    <w:p w14:paraId="535EA1A3" w14:textId="77777777" w:rsidR="008B7F41" w:rsidRDefault="008B7F41">
      <w:pPr>
        <w:spacing w:line="360" w:lineRule="auto"/>
        <w:ind w:firstLine="360"/>
        <w:jc w:val="both"/>
      </w:pPr>
    </w:p>
    <w:p w14:paraId="706BD74F" w14:textId="77777777" w:rsidR="008B7F41" w:rsidRDefault="004C7094">
      <w:pPr>
        <w:spacing w:line="360" w:lineRule="auto"/>
        <w:jc w:val="both"/>
      </w:pPr>
      <w:r>
        <w:rPr>
          <w:rFonts w:ascii="Book Antiqua" w:eastAsia="Book Antiqua" w:hAnsi="Book Antiqua" w:cs="Book Antiqua"/>
          <w:b/>
          <w:bCs/>
          <w:i/>
          <w:iCs/>
          <w:color w:val="000000"/>
        </w:rPr>
        <w:t>Lithium chloride partly reversed the effects of USP15 knockdown on GC progression.</w:t>
      </w:r>
    </w:p>
    <w:p w14:paraId="742FDD85" w14:textId="77777777" w:rsidR="008B7F41" w:rsidRDefault="004C7094">
      <w:pPr>
        <w:spacing w:line="360" w:lineRule="auto"/>
        <w:jc w:val="both"/>
      </w:pPr>
      <w:r>
        <w:rPr>
          <w:rFonts w:ascii="Book Antiqua" w:eastAsia="Book Antiqua" w:hAnsi="Book Antiqua" w:cs="Book Antiqua"/>
          <w:color w:val="000000"/>
        </w:rPr>
        <w:t xml:space="preserve">To further clarify whether the function of USP15 in GC was mediated by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 we performed a rescue experiment using lithium chlorid</w:t>
      </w:r>
      <w:r>
        <w:rPr>
          <w:rFonts w:ascii="Book Antiqua" w:eastAsia="Book Antiqua" w:hAnsi="Book Antiqua" w:cs="Book Antiqua"/>
          <w:color w:val="000000"/>
        </w:rPr>
        <w:t>e (LiCl)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 activator). The cell proliferation ability of BGC-823 and MKN-45 cells transfected with USP15 siRNA-1 was significantly elevated after treatment with LiCl compared to the untreated group (Figure 5A and B). Furthermore, the i</w:t>
      </w:r>
      <w:r>
        <w:rPr>
          <w:rFonts w:ascii="Book Antiqua" w:eastAsia="Book Antiqua" w:hAnsi="Book Antiqua" w:cs="Book Antiqua"/>
          <w:color w:val="000000"/>
        </w:rPr>
        <w:t>nhibition of invasion by USP15 knockdown can also be partly reversed by LiCl (Figure 5C). In addition, LiCl-treatment induced upregulation of β-catenin,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and cyclin D1 (Figure 5D). The above findings suggest that the function of USP15 on GC progressi</w:t>
      </w:r>
      <w:r>
        <w:rPr>
          <w:rFonts w:ascii="Book Antiqua" w:eastAsia="Book Antiqua" w:hAnsi="Book Antiqua" w:cs="Book Antiqua"/>
          <w:color w:val="000000"/>
        </w:rPr>
        <w:t xml:space="preserve">on is dependent on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w:t>
      </w:r>
    </w:p>
    <w:p w14:paraId="6B521FD7" w14:textId="77777777" w:rsidR="008B7F41" w:rsidRDefault="008B7F41">
      <w:pPr>
        <w:spacing w:line="360" w:lineRule="auto"/>
        <w:jc w:val="both"/>
      </w:pPr>
    </w:p>
    <w:p w14:paraId="489C63EE" w14:textId="77777777" w:rsidR="008B7F41" w:rsidRDefault="004C7094">
      <w:pPr>
        <w:spacing w:line="360" w:lineRule="auto"/>
        <w:jc w:val="both"/>
      </w:pPr>
      <w:r>
        <w:rPr>
          <w:rFonts w:ascii="Book Antiqua" w:eastAsia="Book Antiqua" w:hAnsi="Book Antiqua" w:cs="Book Antiqua"/>
          <w:b/>
          <w:bCs/>
          <w:i/>
          <w:iCs/>
          <w:color w:val="000000"/>
        </w:rPr>
        <w:t>USP15 knockdown inhibits tumor growth in vivo</w:t>
      </w:r>
    </w:p>
    <w:p w14:paraId="32B27FCC" w14:textId="77777777" w:rsidR="008B7F41" w:rsidRDefault="004C7094">
      <w:pPr>
        <w:spacing w:line="360" w:lineRule="auto"/>
        <w:jc w:val="both"/>
      </w:pPr>
      <w:r>
        <w:rPr>
          <w:rFonts w:ascii="Book Antiqua" w:eastAsia="Book Antiqua" w:hAnsi="Book Antiqua" w:cs="Book Antiqua"/>
          <w:color w:val="000000"/>
        </w:rPr>
        <w:t xml:space="preserve">We investigated the function of USP15 </w:t>
      </w:r>
      <w:r>
        <w:rPr>
          <w:rFonts w:ascii="Book Antiqua" w:eastAsia="Book Antiqua" w:hAnsi="Book Antiqua" w:cs="Book Antiqua"/>
          <w:i/>
          <w:iCs/>
          <w:color w:val="000000"/>
        </w:rPr>
        <w:t>in vivo</w:t>
      </w:r>
      <w:r>
        <w:rPr>
          <w:rFonts w:ascii="Book Antiqua" w:eastAsia="Book Antiqua" w:hAnsi="Book Antiqua" w:cs="Book Antiqua"/>
          <w:color w:val="000000"/>
        </w:rPr>
        <w:t>. BGC-823 cells transfected with LV-</w:t>
      </w:r>
      <w:proofErr w:type="gramStart"/>
      <w:r>
        <w:rPr>
          <w:rFonts w:ascii="Book Antiqua" w:eastAsia="Book Antiqua" w:hAnsi="Book Antiqua" w:cs="Book Antiqua"/>
          <w:color w:val="000000"/>
        </w:rPr>
        <w:t>shUSP15</w:t>
      </w:r>
      <w:proofErr w:type="gramEnd"/>
      <w:r>
        <w:rPr>
          <w:rFonts w:ascii="Book Antiqua" w:eastAsia="Book Antiqua" w:hAnsi="Book Antiqua" w:cs="Book Antiqua"/>
          <w:color w:val="000000"/>
        </w:rPr>
        <w:t xml:space="preserve"> or LV-scramble shRNA were subcutaneously injected into nude mice to establish </w:t>
      </w:r>
      <w:r>
        <w:rPr>
          <w:rFonts w:ascii="Book Antiqua" w:eastAsia="Book Antiqua" w:hAnsi="Book Antiqua" w:cs="Book Antiqua"/>
          <w:color w:val="000000"/>
        </w:rPr>
        <w:t>a xenograft mouse model. After the mice were sacrificed on day 29, we obtained tumor images (Figure 6A). Compared with the scramble shRNA group, USP15 knockdown reduced tumor volume and weight (Figure 6B and C). In addition, USP15 knockdown significantly r</w:t>
      </w:r>
      <w:r>
        <w:rPr>
          <w:rFonts w:ascii="Book Antiqua" w:eastAsia="Book Antiqua" w:hAnsi="Book Antiqua" w:cs="Book Antiqua"/>
          <w:color w:val="000000"/>
        </w:rPr>
        <w:t>educed the protein levels of β-catenin,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cyclin D1 in tumor tissue of nude mouse, consistent with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results (Figure 6D).</w:t>
      </w:r>
    </w:p>
    <w:p w14:paraId="04DD82E4" w14:textId="77777777" w:rsidR="008B7F41" w:rsidRDefault="008B7F41">
      <w:pPr>
        <w:spacing w:line="360" w:lineRule="auto"/>
        <w:jc w:val="both"/>
      </w:pPr>
    </w:p>
    <w:p w14:paraId="40F306C5" w14:textId="77777777" w:rsidR="008B7F41" w:rsidRDefault="004C7094">
      <w:pPr>
        <w:spacing w:line="360" w:lineRule="auto"/>
        <w:jc w:val="both"/>
      </w:pPr>
      <w:r>
        <w:rPr>
          <w:rFonts w:ascii="Book Antiqua" w:eastAsia="Book Antiqua" w:hAnsi="Book Antiqua" w:cs="Book Antiqua"/>
          <w:b/>
          <w:caps/>
          <w:color w:val="000000"/>
          <w:u w:val="single"/>
        </w:rPr>
        <w:t>DISCUSSION</w:t>
      </w:r>
    </w:p>
    <w:p w14:paraId="46579845" w14:textId="77777777" w:rsidR="008B7F41" w:rsidRDefault="004C7094">
      <w:pPr>
        <w:spacing w:line="360" w:lineRule="auto"/>
        <w:jc w:val="both"/>
      </w:pPr>
      <w:r>
        <w:rPr>
          <w:rFonts w:ascii="Book Antiqua" w:eastAsia="Book Antiqua" w:hAnsi="Book Antiqua" w:cs="Book Antiqua"/>
          <w:color w:val="000000"/>
        </w:rPr>
        <w:lastRenderedPageBreak/>
        <w:t xml:space="preserve">In recent years, an increasing number of USP proteins have been reported to be critical to human </w:t>
      </w:r>
      <w:r>
        <w:rPr>
          <w:rFonts w:ascii="Book Antiqua" w:eastAsia="Book Antiqua" w:hAnsi="Book Antiqua" w:cs="Book Antiqua"/>
          <w:color w:val="000000"/>
        </w:rPr>
        <w:t>cancers. For example, high expression of USP28 is related to the OS of patients with non-small cell lung cancer</w:t>
      </w:r>
      <w:r>
        <w:rPr>
          <w:rFonts w:ascii="Book Antiqua" w:eastAsia="Book Antiqua" w:hAnsi="Book Antiqua" w:cs="Book Antiqua"/>
          <w:color w:val="000000"/>
          <w:szCs w:val="20"/>
          <w:vertAlign w:val="superscript"/>
        </w:rPr>
        <w:t>[</w:t>
      </w:r>
      <w:hyperlink w:anchor="_ENREF_27" w:tooltip="Zhang, 2015 #39" w:history="1">
        <w:r>
          <w:rPr>
            <w:rFonts w:ascii="Book Antiqua" w:eastAsia="Book Antiqua" w:hAnsi="Book Antiqua" w:cs="Book Antiqua"/>
            <w:color w:val="000000"/>
            <w:szCs w:val="20"/>
            <w:vertAlign w:val="superscript"/>
          </w:rPr>
          <w:t>27</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while the expression of USP22 and USP11 is related to the poor prognosis of breast cancer</w:t>
      </w:r>
      <w:r>
        <w:rPr>
          <w:rFonts w:ascii="Book Antiqua" w:eastAsia="Book Antiqua" w:hAnsi="Book Antiqua" w:cs="Book Antiqua"/>
          <w:color w:val="000000"/>
          <w:szCs w:val="20"/>
          <w:vertAlign w:val="superscript"/>
        </w:rPr>
        <w:t>[</w:t>
      </w:r>
      <w:hyperlink w:anchor="_ENREF_28" w:tooltip="Zhang, 2011 #40" w:history="1">
        <w:r>
          <w:rPr>
            <w:rFonts w:ascii="Book Antiqua" w:eastAsia="Book Antiqua" w:hAnsi="Book Antiqua" w:cs="Book Antiqua"/>
            <w:color w:val="000000"/>
            <w:szCs w:val="20"/>
            <w:vertAlign w:val="superscript"/>
          </w:rPr>
          <w:t>28</w:t>
        </w:r>
      </w:hyperlink>
      <w:r>
        <w:rPr>
          <w:rFonts w:ascii="Book Antiqua" w:eastAsia="Book Antiqua" w:hAnsi="Book Antiqua" w:cs="Book Antiqua"/>
          <w:color w:val="000000"/>
          <w:szCs w:val="20"/>
          <w:vertAlign w:val="superscript"/>
        </w:rPr>
        <w:t>,</w:t>
      </w:r>
      <w:hyperlink w:anchor="_ENREF_29" w:tooltip="Bayraktar, 2013 #41" w:history="1">
        <w:r>
          <w:rPr>
            <w:rFonts w:ascii="Book Antiqua" w:eastAsia="Book Antiqua" w:hAnsi="Book Antiqua" w:cs="Book Antiqua"/>
            <w:color w:val="000000"/>
            <w:szCs w:val="20"/>
            <w:vertAlign w:val="superscript"/>
          </w:rPr>
          <w:t>29</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Two recent studies have shown that USP15 is upregulated in liver cancer and pancreatic ductal cell carcinoma</w:t>
      </w:r>
      <w:r>
        <w:rPr>
          <w:rFonts w:ascii="Book Antiqua" w:eastAsia="Book Antiqua" w:hAnsi="Book Antiqua" w:cs="Book Antiqua"/>
          <w:color w:val="000000"/>
          <w:szCs w:val="20"/>
          <w:vertAlign w:val="superscript"/>
        </w:rPr>
        <w:t>[</w:t>
      </w:r>
      <w:hyperlink w:anchor="_ENREF_11" w:tooltip="Yao, 2020 #42" w:history="1">
        <w:r>
          <w:rPr>
            <w:rFonts w:ascii="Book Antiqua" w:eastAsia="Book Antiqua" w:hAnsi="Book Antiqua" w:cs="Book Antiqua"/>
            <w:color w:val="000000"/>
            <w:szCs w:val="20"/>
            <w:vertAlign w:val="superscript"/>
          </w:rPr>
          <w:t>11</w:t>
        </w:r>
      </w:hyperlink>
      <w:r>
        <w:rPr>
          <w:rFonts w:ascii="Book Antiqua" w:eastAsia="Book Antiqua" w:hAnsi="Book Antiqua" w:cs="Book Antiqua"/>
          <w:color w:val="000000"/>
          <w:szCs w:val="20"/>
          <w:vertAlign w:val="superscript"/>
        </w:rPr>
        <w:t>,</w:t>
      </w:r>
      <w:hyperlink w:anchor="_ENREF_12" w:tooltip="Jiang, 2021 #43" w:history="1">
        <w:r>
          <w:rPr>
            <w:rFonts w:ascii="Book Antiqua" w:eastAsia="Book Antiqua" w:hAnsi="Book Antiqua" w:cs="Book Antiqua"/>
            <w:color w:val="000000"/>
            <w:szCs w:val="20"/>
            <w:vertAlign w:val="superscript"/>
          </w:rPr>
          <w:t>12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this study, IHC analyses showed that the high expression of USP15 was closely related to the depth of invasion, LNI, TNM stage, which indicated that USP15 acted as an oncogene, ther</w:t>
      </w:r>
      <w:r>
        <w:rPr>
          <w:rFonts w:ascii="Book Antiqua" w:eastAsia="Book Antiqua" w:hAnsi="Book Antiqua" w:cs="Book Antiqua"/>
          <w:color w:val="000000"/>
        </w:rPr>
        <w:t xml:space="preserve">eby promoting GC invasion, metastasis, and progression. In addition, the high expression of USP15 was related to the poor survival rate of GC patients, suggesting that USP15 is very important in the pathogenesis and development of GC, and could be used as </w:t>
      </w:r>
      <w:r>
        <w:rPr>
          <w:rFonts w:ascii="Book Antiqua" w:eastAsia="Book Antiqua" w:hAnsi="Book Antiqua" w:cs="Book Antiqua"/>
          <w:color w:val="000000"/>
        </w:rPr>
        <w:t>a prognostic biomarker.</w:t>
      </w:r>
    </w:p>
    <w:p w14:paraId="29796DB4" w14:textId="77777777" w:rsidR="008B7F41" w:rsidRDefault="004C7094">
      <w:pPr>
        <w:spacing w:line="360" w:lineRule="auto"/>
        <w:ind w:firstLine="240"/>
        <w:jc w:val="both"/>
      </w:pPr>
      <w:r>
        <w:rPr>
          <w:rFonts w:ascii="Book Antiqua" w:eastAsia="Book Antiqua" w:hAnsi="Book Antiqua" w:cs="Book Antiqua"/>
          <w:color w:val="000000"/>
        </w:rPr>
        <w:t>Similar to previous results</w:t>
      </w:r>
      <w:r>
        <w:rPr>
          <w:rFonts w:ascii="Book Antiqua" w:eastAsia="Book Antiqua" w:hAnsi="Book Antiqua" w:cs="Book Antiqua"/>
          <w:color w:val="000000"/>
          <w:szCs w:val="20"/>
          <w:vertAlign w:val="superscript"/>
        </w:rPr>
        <w:t>[</w:t>
      </w:r>
      <w:hyperlink w:anchor="_ENREF_11" w:tooltip="Yao, 2020 #42" w:history="1">
        <w:r>
          <w:rPr>
            <w:rFonts w:ascii="Book Antiqua" w:eastAsia="Book Antiqua" w:hAnsi="Book Antiqua" w:cs="Book Antiqua"/>
            <w:color w:val="000000"/>
            <w:szCs w:val="20"/>
            <w:vertAlign w:val="superscript"/>
          </w:rPr>
          <w:t>11</w:t>
        </w:r>
      </w:hyperlink>
      <w:r>
        <w:rPr>
          <w:rFonts w:ascii="Book Antiqua" w:eastAsia="Book Antiqua" w:hAnsi="Book Antiqua" w:cs="Book Antiqua"/>
          <w:color w:val="000000"/>
          <w:szCs w:val="20"/>
          <w:vertAlign w:val="superscript"/>
        </w:rPr>
        <w:t>,</w:t>
      </w:r>
      <w:hyperlink w:anchor="_ENREF_12" w:tooltip="Jiang, 2021 #43" w:history="1">
        <w:r>
          <w:rPr>
            <w:rFonts w:ascii="Book Antiqua" w:eastAsia="Book Antiqua" w:hAnsi="Book Antiqua" w:cs="Book Antiqua"/>
            <w:color w:val="000000"/>
            <w:szCs w:val="20"/>
            <w:vertAlign w:val="superscript"/>
          </w:rPr>
          <w:t>12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our study confirmed that USP15 was significantly associated with tumor cell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In addition, we also found that USP15 could participate in the tumor growth </w:t>
      </w:r>
      <w:r>
        <w:rPr>
          <w:rFonts w:ascii="Book Antiqua" w:eastAsia="Book Antiqua" w:hAnsi="Book Antiqua" w:cs="Book Antiqua"/>
          <w:i/>
          <w:iCs/>
          <w:color w:val="000000"/>
        </w:rPr>
        <w:t>in vivo</w:t>
      </w:r>
      <w:r>
        <w:rPr>
          <w:rFonts w:ascii="Book Antiqua" w:eastAsia="Book Antiqua" w:hAnsi="Book Antiqua" w:cs="Book Antiqua"/>
          <w:color w:val="000000"/>
        </w:rPr>
        <w:t>. Subsequently, we further found that USP15 can significantly promote t</w:t>
      </w:r>
      <w:r>
        <w:rPr>
          <w:rFonts w:ascii="Book Antiqua" w:eastAsia="Book Antiqua" w:hAnsi="Book Antiqua" w:cs="Book Antiqua"/>
          <w:color w:val="000000"/>
        </w:rPr>
        <w:t>he migration and invasion of GC cells </w:t>
      </w:r>
      <w:r>
        <w:rPr>
          <w:rFonts w:ascii="Book Antiqua" w:eastAsia="Book Antiqua" w:hAnsi="Book Antiqua" w:cs="Book Antiqua"/>
          <w:i/>
          <w:iCs/>
          <w:color w:val="000000"/>
        </w:rPr>
        <w:t>in vitro</w:t>
      </w:r>
      <w:r>
        <w:rPr>
          <w:rFonts w:ascii="Book Antiqua" w:eastAsia="Book Antiqua" w:hAnsi="Book Antiqua" w:cs="Book Antiqua"/>
          <w:color w:val="000000"/>
        </w:rPr>
        <w:t>. Migration and invasion, as the basic characteristics of malignant tumors, are the main reasons for the short survival time of cancer patients</w:t>
      </w:r>
      <w:r>
        <w:rPr>
          <w:rFonts w:ascii="Book Antiqua" w:eastAsia="Book Antiqua" w:hAnsi="Book Antiqua" w:cs="Book Antiqua"/>
          <w:color w:val="000000"/>
          <w:szCs w:val="20"/>
          <w:vertAlign w:val="superscript"/>
        </w:rPr>
        <w:t>[</w:t>
      </w:r>
      <w:hyperlink w:anchor="_ENREF_30" w:tooltip="Hanahan, 2011 #63" w:history="1">
        <w:r>
          <w:rPr>
            <w:rFonts w:ascii="Book Antiqua" w:eastAsia="Book Antiqua" w:hAnsi="Book Antiqua" w:cs="Book Antiqua"/>
            <w:color w:val="000000"/>
            <w:szCs w:val="20"/>
            <w:vertAlign w:val="superscript"/>
          </w:rPr>
          <w:t>30</w:t>
        </w:r>
      </w:hyperlink>
      <w:r>
        <w:rPr>
          <w:rFonts w:ascii="Book Antiqua" w:eastAsia="Book Antiqua" w:hAnsi="Book Antiqua" w:cs="Book Antiqua"/>
          <w:color w:val="000000"/>
          <w:szCs w:val="20"/>
          <w:vertAlign w:val="superscript"/>
        </w:rPr>
        <w:t>,</w:t>
      </w:r>
      <w:hyperlink w:anchor="_ENREF_31" w:tooltip="Jiang, 2015 #64" w:history="1">
        <w:r>
          <w:rPr>
            <w:rFonts w:ascii="Book Antiqua" w:eastAsia="Book Antiqua" w:hAnsi="Book Antiqua" w:cs="Book Antiqua"/>
            <w:color w:val="000000"/>
            <w:szCs w:val="20"/>
            <w:vertAlign w:val="superscript"/>
          </w:rPr>
          <w:t>31</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Mounting evidence has shown that tumor cells after EMT has high motility and aggressiveness, among which E-cadherin, N-cadherin, and vimentin are important molecular </w:t>
      </w:r>
      <w:proofErr w:type="gramStart"/>
      <w:r>
        <w:rPr>
          <w:rFonts w:ascii="Book Antiqua" w:eastAsia="Book Antiqua" w:hAnsi="Book Antiqua" w:cs="Book Antiqua"/>
          <w:color w:val="000000"/>
        </w:rPr>
        <w:t>markers</w:t>
      </w:r>
      <w:r>
        <w:rPr>
          <w:rFonts w:ascii="Book Antiqua" w:eastAsia="Book Antiqua" w:hAnsi="Book Antiqua" w:cs="Book Antiqua"/>
          <w:color w:val="000000"/>
          <w:szCs w:val="20"/>
          <w:vertAlign w:val="superscript"/>
        </w:rPr>
        <w:t>[</w:t>
      </w:r>
      <w:proofErr w:type="gramEnd"/>
      <w:r>
        <w:fldChar w:fldCharType="begin"/>
      </w:r>
      <w:r>
        <w:instrText xml:space="preserve"> HYPERLINK \l "_ENREF_32" \o "Zeisberg</w:instrText>
      </w:r>
      <w:r>
        <w:instrText xml:space="preserve">, 2009 #45" </w:instrText>
      </w:r>
      <w:r>
        <w:fldChar w:fldCharType="separate"/>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addition, the epithelial marker E-cadherin is downregulated, while the mesenchymal markers vimentin and N-cadherin are upregulated during </w:t>
      </w:r>
      <w:proofErr w:type="gramStart"/>
      <w:r>
        <w:rPr>
          <w:rFonts w:ascii="Book Antiqua" w:eastAsia="Book Antiqua" w:hAnsi="Book Antiqua" w:cs="Book Antiqua"/>
          <w:color w:val="000000"/>
        </w:rPr>
        <w:t>EMT</w:t>
      </w:r>
      <w:r>
        <w:rPr>
          <w:rFonts w:ascii="Book Antiqua" w:eastAsia="Book Antiqua" w:hAnsi="Book Antiqua" w:cs="Book Antiqua"/>
          <w:color w:val="000000"/>
          <w:szCs w:val="20"/>
          <w:vertAlign w:val="superscript"/>
        </w:rPr>
        <w:t>[</w:t>
      </w:r>
      <w:proofErr w:type="gramEnd"/>
      <w:r>
        <w:fldChar w:fldCharType="begin"/>
      </w:r>
      <w:r>
        <w:instrText xml:space="preserve"> HYPERLINK \l "_ENREF_32" \o "Zeisberg, 2009 #45" </w:instrText>
      </w:r>
      <w:r>
        <w:fldChar w:fldCharType="separate"/>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As shown in our results, knockdown of USP15 resulted in upregulation of E-cadherin and downregulation of N-cadherin and vimentin, while overexpression of USP15 had the opposite effects, suggesting that USP15 can induce EMT in GC cells. The above findings</w:t>
      </w:r>
      <w:r>
        <w:rPr>
          <w:rFonts w:ascii="Book Antiqua" w:eastAsia="Book Antiqua" w:hAnsi="Book Antiqua" w:cs="Book Antiqua"/>
          <w:color w:val="000000"/>
        </w:rPr>
        <w:t xml:space="preserve"> indicated that USP15 may promote cell proliferation, migration, invasion and EMT process to become an oncogene of GC. </w:t>
      </w:r>
    </w:p>
    <w:p w14:paraId="327255AD" w14:textId="77777777" w:rsidR="008B7F41" w:rsidRDefault="004C7094">
      <w:pPr>
        <w:spacing w:line="360" w:lineRule="auto"/>
        <w:ind w:firstLine="240"/>
        <w:jc w:val="both"/>
      </w:pPr>
      <w:r>
        <w:rPr>
          <w:rFonts w:ascii="Book Antiqua" w:eastAsia="Book Antiqua" w:hAnsi="Book Antiqua" w:cs="Book Antiqua"/>
          <w:color w:val="000000"/>
        </w:rPr>
        <w:t>USP15 was related to a variety of cell signaling events, including transforming growth factor β (TGF-β)</w:t>
      </w:r>
      <w:r>
        <w:rPr>
          <w:rFonts w:ascii="Book Antiqua" w:eastAsia="Book Antiqua" w:hAnsi="Book Antiqua" w:cs="Book Antiqua"/>
          <w:color w:val="000000"/>
          <w:szCs w:val="20"/>
          <w:vertAlign w:val="superscript"/>
        </w:rPr>
        <w:t>[</w:t>
      </w:r>
      <w:hyperlink w:anchor="_ENREF_13" w:tooltip="Eichhorn, 2012 #23" w:history="1">
        <w:r>
          <w:rPr>
            <w:rFonts w:ascii="Book Antiqua" w:eastAsia="Book Antiqua" w:hAnsi="Book Antiqua" w:cs="Book Antiqua"/>
            <w:color w:val="000000"/>
            <w:szCs w:val="20"/>
            <w:vertAlign w:val="superscript"/>
          </w:rPr>
          <w:t>13</w:t>
        </w:r>
      </w:hyperlink>
      <w:r>
        <w:rPr>
          <w:rFonts w:ascii="Book Antiqua" w:eastAsia="Book Antiqua" w:hAnsi="Book Antiqua" w:cs="Book Antiqua"/>
          <w:color w:val="000000"/>
          <w:szCs w:val="20"/>
          <w:vertAlign w:val="superscript"/>
        </w:rPr>
        <w:t>,</w:t>
      </w:r>
      <w:hyperlink w:anchor="_ENREF_33" w:tooltip="Iyengar, 2015 #49" w:history="1">
        <w:r>
          <w:rPr>
            <w:rFonts w:ascii="Book Antiqua" w:eastAsia="Book Antiqua" w:hAnsi="Book Antiqua" w:cs="Book Antiqua"/>
            <w:color w:val="000000"/>
            <w:szCs w:val="20"/>
            <w:vertAlign w:val="superscript"/>
          </w:rPr>
          <w:t>33</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constitutive photomorphogenesis 9 (COP9) signaling body</w:t>
      </w:r>
      <w:r>
        <w:rPr>
          <w:rFonts w:ascii="Book Antiqua" w:eastAsia="Book Antiqua" w:hAnsi="Book Antiqua" w:cs="Book Antiqua"/>
          <w:color w:val="000000"/>
          <w:szCs w:val="20"/>
          <w:vertAlign w:val="superscript"/>
        </w:rPr>
        <w:t>[</w:t>
      </w:r>
      <w:hyperlink w:anchor="_ENREF_34" w:tooltip="Hetfeld, 2005 #50" w:history="1">
        <w:r>
          <w:rPr>
            <w:rFonts w:ascii="Book Antiqua" w:eastAsia="Book Antiqua" w:hAnsi="Book Antiqua" w:cs="Book Antiqua"/>
            <w:color w:val="000000"/>
            <w:szCs w:val="20"/>
            <w:vertAlign w:val="superscript"/>
          </w:rPr>
          <w:t>34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p53 signaling pathway</w:t>
      </w:r>
      <w:r>
        <w:rPr>
          <w:rFonts w:ascii="Book Antiqua" w:eastAsia="Book Antiqua" w:hAnsi="Book Antiqua" w:cs="Book Antiqua"/>
          <w:color w:val="000000"/>
          <w:szCs w:val="20"/>
          <w:vertAlign w:val="superscript"/>
        </w:rPr>
        <w:t>[</w:t>
      </w:r>
      <w:hyperlink w:anchor="_ENREF_14" w:tooltip="Zou, 2014 #24" w:history="1">
        <w:r>
          <w:rPr>
            <w:rFonts w:ascii="Book Antiqua" w:eastAsia="Book Antiqua" w:hAnsi="Book Antiqua" w:cs="Book Antiqua"/>
            <w:color w:val="000000"/>
            <w:szCs w:val="20"/>
            <w:vertAlign w:val="superscript"/>
          </w:rPr>
          <w:t>14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and nuclear factor kappa B (NF-</w:t>
      </w:r>
      <w:r>
        <w:rPr>
          <w:rFonts w:ascii="Symbol" w:eastAsia="Book Antiqua" w:hAnsi="Symbol" w:cs="Book Antiqua"/>
          <w:color w:val="000000"/>
        </w:rPr>
        <w:t>k</w:t>
      </w:r>
      <w:r>
        <w:rPr>
          <w:rFonts w:ascii="Book Antiqua" w:eastAsia="Book Antiqua" w:hAnsi="Book Antiqua" w:cs="Book Antiqua"/>
          <w:color w:val="000000"/>
        </w:rPr>
        <w:t>B)</w:t>
      </w:r>
      <w:r>
        <w:rPr>
          <w:rFonts w:ascii="Book Antiqua" w:eastAsia="Book Antiqua" w:hAnsi="Book Antiqua" w:cs="Book Antiqua"/>
          <w:color w:val="000000"/>
          <w:szCs w:val="20"/>
          <w:vertAlign w:val="superscript"/>
        </w:rPr>
        <w:t>[</w:t>
      </w:r>
      <w:hyperlink w:anchor="_ENREF_35" w:tooltip="Schweitzer, 2007 #52" w:history="1">
        <w:r>
          <w:rPr>
            <w:rFonts w:ascii="Book Antiqua" w:eastAsia="Book Antiqua" w:hAnsi="Book Antiqua" w:cs="Book Antiqua"/>
            <w:color w:val="000000"/>
            <w:szCs w:val="20"/>
            <w:vertAlign w:val="superscript"/>
          </w:rPr>
          <w:t>35</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For example, USP15 promotes the stabilization of TGF-β receptor and its downstream signal transducers, thereby resulting in enhanced TGF-β signaling</w:t>
      </w:r>
      <w:r>
        <w:rPr>
          <w:rFonts w:ascii="Book Antiqua" w:eastAsia="Book Antiqua" w:hAnsi="Book Antiqua" w:cs="Book Antiqua"/>
          <w:color w:val="000000"/>
          <w:szCs w:val="20"/>
          <w:vertAlign w:val="superscript"/>
        </w:rPr>
        <w:t>[</w:t>
      </w:r>
      <w:hyperlink w:anchor="_ENREF_13" w:tooltip="Eichhorn, 2012 #23" w:history="1">
        <w:r>
          <w:rPr>
            <w:rFonts w:ascii="Book Antiqua" w:eastAsia="Book Antiqua" w:hAnsi="Book Antiqua" w:cs="Book Antiqua"/>
            <w:color w:val="000000"/>
            <w:szCs w:val="20"/>
            <w:vertAlign w:val="superscript"/>
          </w:rPr>
          <w:t>13</w:t>
        </w:r>
      </w:hyperlink>
      <w:r>
        <w:rPr>
          <w:rFonts w:ascii="Book Antiqua" w:eastAsia="Book Antiqua" w:hAnsi="Book Antiqua" w:cs="Book Antiqua"/>
          <w:color w:val="000000"/>
          <w:szCs w:val="20"/>
          <w:vertAlign w:val="superscript"/>
        </w:rPr>
        <w:t>,</w:t>
      </w:r>
      <w:hyperlink w:anchor="_ENREF_36" w:tooltip="Inui, 2011 #55" w:history="1">
        <w:r>
          <w:rPr>
            <w:rFonts w:ascii="Book Antiqua" w:eastAsia="Book Antiqua" w:hAnsi="Book Antiqua" w:cs="Book Antiqua"/>
            <w:color w:val="000000"/>
            <w:szCs w:val="20"/>
            <w:vertAlign w:val="superscript"/>
          </w:rPr>
          <w:t>36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USP15 can protect the constituent subunits of </w:t>
      </w:r>
      <w:proofErr w:type="spellStart"/>
      <w:r>
        <w:rPr>
          <w:rFonts w:ascii="Book Antiqua" w:eastAsia="Book Antiqua" w:hAnsi="Book Antiqua" w:cs="Book Antiqua"/>
          <w:color w:val="000000"/>
        </w:rPr>
        <w:t>cullin</w:t>
      </w:r>
      <w:proofErr w:type="spellEnd"/>
      <w:r>
        <w:rPr>
          <w:rFonts w:ascii="Book Antiqua" w:eastAsia="Book Antiqua" w:hAnsi="Book Antiqua" w:cs="Book Antiqua"/>
          <w:color w:val="000000"/>
        </w:rPr>
        <w:t>-RING ubiquitin ligase from self-</w:t>
      </w:r>
      <w:r>
        <w:rPr>
          <w:rFonts w:ascii="Book Antiqua" w:eastAsia="Book Antiqua" w:hAnsi="Book Antiqua" w:cs="Book Antiqua"/>
          <w:color w:val="000000"/>
        </w:rPr>
        <w:lastRenderedPageBreak/>
        <w:t xml:space="preserve">ubiquitination and degradation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stable cooperation with</w:t>
      </w:r>
      <w:r>
        <w:rPr>
          <w:rFonts w:ascii="Book Antiqua" w:eastAsia="Book Antiqua" w:hAnsi="Book Antiqua" w:cs="Book Antiqua"/>
          <w:color w:val="000000"/>
        </w:rPr>
        <w:t xml:space="preserve"> COP9-signalosome</w:t>
      </w:r>
      <w:r>
        <w:rPr>
          <w:rFonts w:ascii="Book Antiqua" w:eastAsia="Book Antiqua" w:hAnsi="Book Antiqua" w:cs="Book Antiqua"/>
          <w:color w:val="000000"/>
          <w:szCs w:val="20"/>
          <w:vertAlign w:val="superscript"/>
        </w:rPr>
        <w:t>[</w:t>
      </w:r>
      <w:hyperlink w:anchor="_ENREF_34" w:tooltip="Hetfeld, 2005 #50" w:history="1">
        <w:r>
          <w:rPr>
            <w:rFonts w:ascii="Book Antiqua" w:eastAsia="Book Antiqua" w:hAnsi="Book Antiqua" w:cs="Book Antiqua"/>
            <w:color w:val="000000"/>
            <w:szCs w:val="20"/>
            <w:vertAlign w:val="superscript"/>
          </w:rPr>
          <w:t>34</w:t>
        </w:r>
      </w:hyperlink>
      <w:r>
        <w:rPr>
          <w:rFonts w:ascii="Book Antiqua" w:eastAsia="Book Antiqua" w:hAnsi="Book Antiqua" w:cs="Book Antiqua"/>
          <w:color w:val="000000"/>
          <w:szCs w:val="20"/>
          <w:vertAlign w:val="superscript"/>
        </w:rPr>
        <w:t>,</w:t>
      </w:r>
      <w:hyperlink w:anchor="_ENREF_37" w:tooltip="Huang, 2009 #56" w:history="1">
        <w:r>
          <w:rPr>
            <w:rFonts w:ascii="Book Antiqua" w:eastAsia="Book Antiqua" w:hAnsi="Book Antiqua" w:cs="Book Antiqua"/>
            <w:color w:val="000000"/>
            <w:szCs w:val="20"/>
            <w:vertAlign w:val="superscript"/>
          </w:rPr>
          <w:t>37</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USP15 can stabilize MDM2 and negatively regulate the protein level of p53, and inactivation of USP15 can induce tumor apoptosis </w:t>
      </w:r>
      <w:r>
        <w:rPr>
          <w:rFonts w:ascii="Book Antiqua" w:eastAsia="Book Antiqua" w:hAnsi="Book Antiqua" w:cs="Book Antiqua"/>
          <w:color w:val="000000"/>
        </w:rPr>
        <w:t xml:space="preserve">and improve the antitumor T-cell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20"/>
          <w:vertAlign w:val="superscript"/>
        </w:rPr>
        <w:t>[</w:t>
      </w:r>
      <w:proofErr w:type="gramEnd"/>
      <w:r>
        <w:fldChar w:fldCharType="begin"/>
      </w:r>
      <w:r>
        <w:instrText xml:space="preserve"> HYPERLINK \l "_ENREF_14" \o "Zou, 2014 #24" </w:instrText>
      </w:r>
      <w:r>
        <w:fldChar w:fldCharType="separate"/>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Another recent study showed that USP15 can effectively activate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by maintaining the stability of TAB2/3 </w:t>
      </w:r>
      <w:proofErr w:type="gramStart"/>
      <w:r>
        <w:rPr>
          <w:rFonts w:ascii="Book Antiqua" w:eastAsia="Book Antiqua" w:hAnsi="Book Antiqua" w:cs="Book Antiqua"/>
          <w:color w:val="000000"/>
        </w:rPr>
        <w:t>differentially</w:t>
      </w:r>
      <w:r>
        <w:rPr>
          <w:rFonts w:ascii="Book Antiqua" w:eastAsia="Book Antiqua" w:hAnsi="Book Antiqua" w:cs="Book Antiqua"/>
          <w:color w:val="000000"/>
          <w:szCs w:val="20"/>
          <w:vertAlign w:val="superscript"/>
        </w:rPr>
        <w:t>[</w:t>
      </w:r>
      <w:proofErr w:type="gramEnd"/>
      <w:r>
        <w:fldChar w:fldCharType="begin"/>
      </w:r>
      <w:r>
        <w:instrText xml:space="preserve"> HYPERLINK \l "_ENREF_38" \o "Zhou, 2</w:instrText>
      </w:r>
      <w:r>
        <w:instrText xml:space="preserve">020 #57" </w:instrText>
      </w:r>
      <w:r>
        <w:fldChar w:fldCharType="separate"/>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szCs w:val="20"/>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our study, GO enrichment analysis based on RNA-Seq indicated that USP15 regulated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in GC. Previous studies have shown that abnormal activation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pathway could promote the </w:t>
      </w:r>
      <w:r>
        <w:rPr>
          <w:rFonts w:ascii="Book Antiqua" w:eastAsia="Book Antiqua" w:hAnsi="Book Antiqua" w:cs="Book Antiqua"/>
          <w:color w:val="000000"/>
        </w:rPr>
        <w:t>malignant progression of a variety of cancers, including GC</w:t>
      </w:r>
      <w:r>
        <w:rPr>
          <w:rFonts w:ascii="Book Antiqua" w:eastAsia="Book Antiqua" w:hAnsi="Book Antiqua" w:cs="Book Antiqua"/>
          <w:color w:val="000000"/>
          <w:szCs w:val="20"/>
          <w:vertAlign w:val="superscript"/>
        </w:rPr>
        <w:t>[</w:t>
      </w:r>
      <w:hyperlink w:anchor="_ENREF_39" w:tooltip="Nusse, 2017 #53" w:history="1">
        <w:r>
          <w:rPr>
            <w:rFonts w:ascii="Book Antiqua" w:eastAsia="Book Antiqua" w:hAnsi="Book Antiqua" w:cs="Book Antiqua"/>
            <w:color w:val="000000"/>
            <w:szCs w:val="20"/>
            <w:vertAlign w:val="superscript"/>
          </w:rPr>
          <w:t>39</w:t>
        </w:r>
      </w:hyperlink>
      <w:r>
        <w:rPr>
          <w:rFonts w:ascii="Book Antiqua" w:eastAsia="Book Antiqua" w:hAnsi="Book Antiqua" w:cs="Book Antiqua"/>
          <w:color w:val="000000"/>
          <w:szCs w:val="20"/>
          <w:vertAlign w:val="superscript"/>
        </w:rPr>
        <w:t>,</w:t>
      </w:r>
      <w:hyperlink w:anchor="_ENREF_40" w:tooltip="Duñach, 2017 #54" w:history="1">
        <w:r>
          <w:rPr>
            <w:rFonts w:ascii="Book Antiqua" w:eastAsia="Book Antiqua" w:hAnsi="Book Antiqua" w:cs="Book Antiqua"/>
            <w:color w:val="000000"/>
            <w:szCs w:val="20"/>
            <w:vertAlign w:val="superscript"/>
          </w:rPr>
          <w:t>40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Increased nuclear expression of β-catenin is an important sign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signali</w:t>
      </w:r>
      <w:r>
        <w:rPr>
          <w:rFonts w:ascii="Book Antiqua" w:eastAsia="Book Antiqua" w:hAnsi="Book Antiqua" w:cs="Book Antiqua"/>
          <w:color w:val="000000"/>
        </w:rPr>
        <w:t>ng pathway activation, which mainly depends on the transport of cytoplasmic β-catenin to the nucleus</w:t>
      </w:r>
      <w:r>
        <w:rPr>
          <w:rFonts w:ascii="Book Antiqua" w:eastAsia="Book Antiqua" w:hAnsi="Book Antiqua" w:cs="Book Antiqua"/>
          <w:color w:val="000000"/>
          <w:szCs w:val="20"/>
          <w:vertAlign w:val="superscript"/>
        </w:rPr>
        <w:t>[</w:t>
      </w:r>
      <w:hyperlink w:anchor="_ENREF_39" w:tooltip="Nusse, 2017 #53" w:history="1">
        <w:r>
          <w:rPr>
            <w:rFonts w:ascii="Book Antiqua" w:eastAsia="Book Antiqua" w:hAnsi="Book Antiqua" w:cs="Book Antiqua"/>
            <w:color w:val="000000"/>
            <w:szCs w:val="20"/>
            <w:vertAlign w:val="superscript"/>
          </w:rPr>
          <w:t>39</w:t>
        </w:r>
      </w:hyperlink>
      <w:r>
        <w:rPr>
          <w:rFonts w:ascii="Book Antiqua" w:eastAsia="Book Antiqua" w:hAnsi="Book Antiqua" w:cs="Book Antiqua"/>
          <w:color w:val="000000"/>
          <w:szCs w:val="20"/>
          <w:vertAlign w:val="superscript"/>
        </w:rPr>
        <w:t>,</w:t>
      </w:r>
      <w:hyperlink w:anchor="_ENREF_40" w:tooltip="Duñach, 2017 #54" w:history="1">
        <w:r>
          <w:rPr>
            <w:rFonts w:ascii="Book Antiqua" w:eastAsia="Book Antiqua" w:hAnsi="Book Antiqua" w:cs="Book Antiqua"/>
            <w:color w:val="000000"/>
            <w:szCs w:val="20"/>
            <w:vertAlign w:val="superscript"/>
          </w:rPr>
          <w:t>40</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our study, knockdown of USP15 significantly</w:t>
      </w:r>
      <w:r>
        <w:rPr>
          <w:rFonts w:ascii="Book Antiqua" w:eastAsia="Book Antiqua" w:hAnsi="Book Antiqua" w:cs="Book Antiqua"/>
          <w:color w:val="000000"/>
        </w:rPr>
        <w:t xml:space="preserve"> reduced the nuclear expression of β-catenin and downregulation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downstream genes in GC cells, while USP15 overexpression yielded opposite results, and there was no change in the USP15 C269S group (USP15 mutant), indicating that USP15 acted</w:t>
      </w:r>
      <w:r>
        <w:rPr>
          <w:rFonts w:ascii="Book Antiqua" w:eastAsia="Book Antiqua" w:hAnsi="Book Antiqua" w:cs="Book Antiqua"/>
          <w:color w:val="000000"/>
        </w:rPr>
        <w:t xml:space="preserve"> as a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pathway activator. A rescue experiment by using LiCl (a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pathway activator) showed that the effect of USP15 on GC progression was dependent on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pathway.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these findings suggest that USP15 contributes to G</w:t>
      </w:r>
      <w:r>
        <w:rPr>
          <w:rFonts w:ascii="Book Antiqua" w:eastAsia="Book Antiqua" w:hAnsi="Book Antiqua" w:cs="Book Antiqua"/>
          <w:color w:val="000000"/>
        </w:rPr>
        <w:t xml:space="preserve">C progression </w:t>
      </w:r>
      <w:r>
        <w:rPr>
          <w:rFonts w:ascii="Book Antiqua" w:eastAsia="Book Antiqua" w:hAnsi="Book Antiqua" w:cs="Book Antiqua"/>
          <w:color w:val="000000"/>
        </w:rPr>
        <w:t>by</w:t>
      </w:r>
      <w:r>
        <w:rPr>
          <w:rFonts w:ascii="Book Antiqua" w:eastAsia="Book Antiqua" w:hAnsi="Book Antiqua" w:cs="Book Antiqua"/>
          <w:color w:val="000000"/>
        </w:rPr>
        <w:t xml:space="preserve"> regulating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signaling pathway.</w:t>
      </w:r>
    </w:p>
    <w:p w14:paraId="674DAC08" w14:textId="77777777" w:rsidR="008B7F41" w:rsidRDefault="004C7094">
      <w:pPr>
        <w:spacing w:line="360" w:lineRule="auto"/>
        <w:ind w:firstLine="240"/>
        <w:jc w:val="both"/>
      </w:pPr>
      <w:r>
        <w:rPr>
          <w:rFonts w:ascii="Book Antiqua" w:eastAsia="Book Antiqua" w:hAnsi="Book Antiqua" w:cs="Book Antiqua"/>
          <w:color w:val="000000"/>
        </w:rPr>
        <w:t>To the best of our knowledge, this study is the first to explore the clinical significance and molecular function of USP15 in GC. However, our research had some limitations. This was a retros</w:t>
      </w:r>
      <w:r>
        <w:rPr>
          <w:rFonts w:ascii="Book Antiqua" w:eastAsia="Book Antiqua" w:hAnsi="Book Antiqua" w:cs="Book Antiqua"/>
          <w:color w:val="000000"/>
        </w:rPr>
        <w:t xml:space="preserve">pective study that included a small number of GC patients from a single center in our hospital, so there may have been a degree of bias. In the future, a large multicenter study should be conducted to verify our results. In addition, although </w:t>
      </w:r>
      <w:proofErr w:type="spellStart"/>
      <w:r>
        <w:rPr>
          <w:rFonts w:ascii="Book Antiqua" w:eastAsia="Book Antiqua" w:hAnsi="Book Antiqua" w:cs="Book Antiqua"/>
          <w:color w:val="000000"/>
        </w:rPr>
        <w:t>GeneMANIA</w:t>
      </w:r>
      <w:proofErr w:type="spellEnd"/>
      <w:r>
        <w:rPr>
          <w:rFonts w:ascii="Book Antiqua" w:eastAsia="Book Antiqua" w:hAnsi="Book Antiqua" w:cs="Book Antiqua"/>
          <w:color w:val="000000"/>
          <w:szCs w:val="20"/>
          <w:vertAlign w:val="superscript"/>
        </w:rPr>
        <w:t>[</w:t>
      </w:r>
      <w:hyperlink w:anchor="_ENREF_41" w:tooltip="Warde-Farley, 2010 #69" w:history="1">
        <w:r>
          <w:rPr>
            <w:rFonts w:ascii="Book Antiqua" w:eastAsia="Book Antiqua" w:hAnsi="Book Antiqua" w:cs="Book Antiqua"/>
            <w:color w:val="000000"/>
            <w:szCs w:val="20"/>
            <w:vertAlign w:val="superscript"/>
          </w:rPr>
          <w:t>41</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 protein interaction bioinformatics website, predicts that USP15 can interact with some upstream proteins (CTNNB1, NUSAP1)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 the specific molecular mechanism problems n</w:t>
      </w:r>
      <w:r>
        <w:rPr>
          <w:rFonts w:ascii="Book Antiqua" w:eastAsia="Book Antiqua" w:hAnsi="Book Antiqua" w:cs="Book Antiqua"/>
          <w:color w:val="000000"/>
        </w:rPr>
        <w:t>eed to be resolved in future research.</w:t>
      </w:r>
    </w:p>
    <w:p w14:paraId="29CD951C" w14:textId="77777777" w:rsidR="008B7F41" w:rsidRDefault="008B7F41">
      <w:pPr>
        <w:spacing w:line="360" w:lineRule="auto"/>
        <w:ind w:firstLine="240"/>
        <w:jc w:val="both"/>
      </w:pPr>
    </w:p>
    <w:p w14:paraId="4EDE23B8" w14:textId="77777777" w:rsidR="008B7F41" w:rsidRDefault="004C7094">
      <w:pPr>
        <w:spacing w:line="360" w:lineRule="auto"/>
        <w:jc w:val="both"/>
      </w:pPr>
      <w:r>
        <w:rPr>
          <w:rFonts w:ascii="Book Antiqua" w:eastAsia="Book Antiqua" w:hAnsi="Book Antiqua" w:cs="Book Antiqua"/>
          <w:b/>
          <w:caps/>
          <w:color w:val="000000"/>
          <w:u w:val="single"/>
        </w:rPr>
        <w:t>CONCLUSION</w:t>
      </w:r>
    </w:p>
    <w:p w14:paraId="3B0D2DCC" w14:textId="77777777" w:rsidR="008B7F41" w:rsidRDefault="004C7094">
      <w:pPr>
        <w:spacing w:line="360" w:lineRule="auto"/>
        <w:jc w:val="both"/>
      </w:pPr>
      <w:r>
        <w:rPr>
          <w:rFonts w:ascii="Book Antiqua" w:eastAsia="Book Antiqua" w:hAnsi="Book Antiqua" w:cs="Book Antiqua"/>
          <w:color w:val="000000"/>
        </w:rPr>
        <w:t xml:space="preserve">In conclusion, the results presented in our study demonstrated that USP15 was upregulated in GC cells and </w:t>
      </w:r>
      <w:proofErr w:type="gramStart"/>
      <w:r>
        <w:rPr>
          <w:rFonts w:ascii="Book Antiqua" w:eastAsia="Book Antiqua" w:hAnsi="Book Antiqua" w:cs="Book Antiqua"/>
          <w:color w:val="000000"/>
        </w:rPr>
        <w:t>tissues, and</w:t>
      </w:r>
      <w:proofErr w:type="gramEnd"/>
      <w:r>
        <w:rPr>
          <w:rFonts w:ascii="Book Antiqua" w:eastAsia="Book Antiqua" w:hAnsi="Book Antiqua" w:cs="Book Antiqua"/>
          <w:color w:val="000000"/>
        </w:rPr>
        <w:t xml:space="preserve"> was associated with a poor prognosis in </w:t>
      </w:r>
      <w:r>
        <w:rPr>
          <w:rFonts w:ascii="Book Antiqua" w:eastAsia="Book Antiqua" w:hAnsi="Book Antiqua" w:cs="Book Antiqua"/>
          <w:color w:val="000000"/>
        </w:rPr>
        <w:lastRenderedPageBreak/>
        <w:t xml:space="preserve">patients with GC. Furthermore, USP15 promoted </w:t>
      </w:r>
      <w:r>
        <w:rPr>
          <w:rFonts w:ascii="Book Antiqua" w:eastAsia="Book Antiqua" w:hAnsi="Book Antiqua" w:cs="Book Antiqua"/>
          <w:color w:val="000000"/>
        </w:rPr>
        <w:t xml:space="preserve">cell proliferation, invasion, and EMT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promoted the growth of GC cells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our findings shed light on USP15 as a novel promising therapeutic target for understanding the pathogenes</w:t>
      </w:r>
      <w:r>
        <w:rPr>
          <w:rFonts w:ascii="Book Antiqua" w:eastAsia="Book Antiqua" w:hAnsi="Book Antiqua" w:cs="Book Antiqua"/>
          <w:color w:val="000000"/>
        </w:rPr>
        <w:t>is of GC, providing new insights into the development of novel strategies for diagnosis and treatment from the bench to clinic.</w:t>
      </w:r>
    </w:p>
    <w:p w14:paraId="03A2D0CB" w14:textId="77777777" w:rsidR="008B7F41" w:rsidRDefault="008B7F41">
      <w:pPr>
        <w:spacing w:line="360" w:lineRule="auto"/>
        <w:jc w:val="both"/>
      </w:pPr>
    </w:p>
    <w:p w14:paraId="18309B85" w14:textId="77777777" w:rsidR="008B7F41" w:rsidRDefault="004C7094">
      <w:pPr>
        <w:spacing w:line="360" w:lineRule="auto"/>
        <w:jc w:val="both"/>
      </w:pPr>
      <w:r>
        <w:rPr>
          <w:rFonts w:ascii="Book Antiqua" w:eastAsia="Book Antiqua" w:hAnsi="Book Antiqua" w:cs="Book Antiqua"/>
          <w:b/>
          <w:caps/>
          <w:color w:val="000000"/>
          <w:u w:val="single"/>
        </w:rPr>
        <w:t>ARTICLE HIGHLIGHTS</w:t>
      </w:r>
    </w:p>
    <w:p w14:paraId="1BCAF165" w14:textId="77777777" w:rsidR="008B7F41" w:rsidRDefault="004C7094">
      <w:pPr>
        <w:spacing w:line="360" w:lineRule="auto"/>
        <w:jc w:val="both"/>
      </w:pPr>
      <w:r>
        <w:rPr>
          <w:rFonts w:ascii="Book Antiqua" w:eastAsia="Book Antiqua" w:hAnsi="Book Antiqua" w:cs="Book Antiqua"/>
          <w:b/>
          <w:i/>
          <w:color w:val="000000"/>
        </w:rPr>
        <w:t>Research background</w:t>
      </w:r>
    </w:p>
    <w:p w14:paraId="539B6C62" w14:textId="77777777" w:rsidR="008B7F41" w:rsidRDefault="004C7094">
      <w:pPr>
        <w:spacing w:line="360" w:lineRule="auto"/>
        <w:jc w:val="both"/>
      </w:pPr>
      <w:r>
        <w:rPr>
          <w:rFonts w:ascii="Book Antiqua" w:eastAsia="Book Antiqua" w:hAnsi="Book Antiqua" w:cs="Book Antiqua"/>
          <w:color w:val="000000"/>
        </w:rPr>
        <w:t xml:space="preserve">Ubiquitin-specific protease 15 (USP15) is an important member of the ubiquitin-specific </w:t>
      </w:r>
      <w:r>
        <w:rPr>
          <w:rFonts w:ascii="Book Antiqua" w:eastAsia="Book Antiqua" w:hAnsi="Book Antiqua" w:cs="Book Antiqua"/>
          <w:color w:val="000000"/>
        </w:rPr>
        <w:t xml:space="preserve">protease (USP) family, whose expression is dysregulated in many types of cancer. However, the function role and the underlying mechanism of USP15 in gastric cancer (GC) progression have not yet been elucidated. </w:t>
      </w:r>
    </w:p>
    <w:p w14:paraId="0C99CA64" w14:textId="77777777" w:rsidR="008B7F41" w:rsidRDefault="008B7F41">
      <w:pPr>
        <w:spacing w:line="360" w:lineRule="auto"/>
        <w:jc w:val="both"/>
      </w:pPr>
    </w:p>
    <w:p w14:paraId="02F60931" w14:textId="77777777" w:rsidR="008B7F41" w:rsidRDefault="004C7094">
      <w:pPr>
        <w:spacing w:line="360" w:lineRule="auto"/>
        <w:jc w:val="both"/>
      </w:pPr>
      <w:r>
        <w:rPr>
          <w:rFonts w:ascii="Book Antiqua" w:eastAsia="Book Antiqua" w:hAnsi="Book Antiqua" w:cs="Book Antiqua"/>
          <w:b/>
          <w:i/>
          <w:color w:val="000000"/>
        </w:rPr>
        <w:t>Research motivation</w:t>
      </w:r>
    </w:p>
    <w:p w14:paraId="33CB4C62" w14:textId="77777777" w:rsidR="008B7F41" w:rsidRDefault="004C7094">
      <w:pPr>
        <w:spacing w:line="360" w:lineRule="auto"/>
        <w:jc w:val="both"/>
      </w:pPr>
      <w:r>
        <w:rPr>
          <w:rFonts w:ascii="Book Antiqua" w:eastAsia="Book Antiqua" w:hAnsi="Book Antiqua" w:cs="Book Antiqua"/>
          <w:color w:val="000000"/>
        </w:rPr>
        <w:t>To explore the underlyi</w:t>
      </w:r>
      <w:r>
        <w:rPr>
          <w:rFonts w:ascii="Book Antiqua" w:eastAsia="Book Antiqua" w:hAnsi="Book Antiqua" w:cs="Book Antiqua"/>
          <w:color w:val="000000"/>
        </w:rPr>
        <w:t>ng mechanisms of GC development and discover biomarkers for the treatment of GC.</w:t>
      </w:r>
    </w:p>
    <w:p w14:paraId="193E0C32" w14:textId="77777777" w:rsidR="008B7F41" w:rsidRDefault="008B7F41">
      <w:pPr>
        <w:spacing w:line="360" w:lineRule="auto"/>
        <w:jc w:val="both"/>
      </w:pPr>
    </w:p>
    <w:p w14:paraId="7C66944E" w14:textId="77777777" w:rsidR="008B7F41" w:rsidRDefault="004C7094">
      <w:pPr>
        <w:spacing w:line="360" w:lineRule="auto"/>
        <w:jc w:val="both"/>
      </w:pPr>
      <w:r>
        <w:rPr>
          <w:rFonts w:ascii="Book Antiqua" w:eastAsia="Book Antiqua" w:hAnsi="Book Antiqua" w:cs="Book Antiqua"/>
          <w:b/>
          <w:i/>
          <w:color w:val="000000"/>
        </w:rPr>
        <w:t>Research objectives</w:t>
      </w:r>
    </w:p>
    <w:p w14:paraId="065472BE" w14:textId="77777777" w:rsidR="008B7F41" w:rsidRDefault="004C7094">
      <w:pPr>
        <w:spacing w:line="360" w:lineRule="auto"/>
        <w:jc w:val="both"/>
      </w:pPr>
      <w:r>
        <w:rPr>
          <w:rFonts w:ascii="Book Antiqua" w:eastAsia="Book Antiqua" w:hAnsi="Book Antiqua" w:cs="Book Antiqua"/>
          <w:color w:val="000000"/>
        </w:rPr>
        <w:t>To investigate the role and potential mechanism of USP15 in GC.</w:t>
      </w:r>
    </w:p>
    <w:p w14:paraId="70C2A6FB" w14:textId="77777777" w:rsidR="008B7F41" w:rsidRDefault="008B7F41">
      <w:pPr>
        <w:spacing w:line="360" w:lineRule="auto"/>
        <w:jc w:val="both"/>
      </w:pPr>
    </w:p>
    <w:p w14:paraId="768CE1B8" w14:textId="77777777" w:rsidR="008B7F41" w:rsidRDefault="004C7094">
      <w:pPr>
        <w:spacing w:line="360" w:lineRule="auto"/>
        <w:jc w:val="both"/>
      </w:pPr>
      <w:r>
        <w:rPr>
          <w:rFonts w:ascii="Book Antiqua" w:eastAsia="Book Antiqua" w:hAnsi="Book Antiqua" w:cs="Book Antiqua"/>
          <w:b/>
          <w:i/>
          <w:color w:val="000000"/>
        </w:rPr>
        <w:t>Research methods</w:t>
      </w:r>
    </w:p>
    <w:p w14:paraId="15BC3779" w14:textId="77777777" w:rsidR="008B7F41" w:rsidRDefault="004C7094">
      <w:pPr>
        <w:spacing w:line="360" w:lineRule="auto"/>
        <w:jc w:val="both"/>
      </w:pPr>
      <w:r>
        <w:rPr>
          <w:rFonts w:ascii="Book Antiqua" w:eastAsia="Book Antiqua" w:hAnsi="Book Antiqua" w:cs="Book Antiqua"/>
          <w:color w:val="000000"/>
        </w:rPr>
        <w:t xml:space="preserve">Bioinformatics databases and western blot analysis were utilized to </w:t>
      </w:r>
      <w:r>
        <w:rPr>
          <w:rFonts w:ascii="Book Antiqua" w:eastAsia="Book Antiqua" w:hAnsi="Book Antiqua" w:cs="Book Antiqua"/>
          <w:color w:val="000000"/>
        </w:rPr>
        <w:t xml:space="preserve">determine the expression of USP15 in GC. Immunohistochemistry was performed to evaluate the correlation between expression of USP15 and clinicopathological characteristics of GC patients. A loss- and gain-of-function experiment was used to investigate the </w:t>
      </w:r>
      <w:r>
        <w:rPr>
          <w:rFonts w:ascii="Book Antiqua" w:eastAsia="Book Antiqua" w:hAnsi="Book Antiqua" w:cs="Book Antiqua"/>
          <w:color w:val="000000"/>
        </w:rPr>
        <w:t>biological effects of USP15 on GC carcinogenesis. RNA sequencing analysis, immunofluorescence, and western blotting were performed to explore the potential mechanism by which USP15 exerted its oncogenic functions.</w:t>
      </w:r>
    </w:p>
    <w:p w14:paraId="70A8D886" w14:textId="77777777" w:rsidR="008B7F41" w:rsidRDefault="008B7F41">
      <w:pPr>
        <w:spacing w:line="360" w:lineRule="auto"/>
        <w:jc w:val="both"/>
      </w:pPr>
    </w:p>
    <w:p w14:paraId="18877608" w14:textId="77777777" w:rsidR="008B7F41" w:rsidRDefault="004C7094">
      <w:pPr>
        <w:spacing w:line="360" w:lineRule="auto"/>
        <w:jc w:val="both"/>
      </w:pPr>
      <w:r>
        <w:rPr>
          <w:rFonts w:ascii="Book Antiqua" w:eastAsia="Book Antiqua" w:hAnsi="Book Antiqua" w:cs="Book Antiqua"/>
          <w:b/>
          <w:i/>
          <w:color w:val="000000"/>
        </w:rPr>
        <w:t>Research results</w:t>
      </w:r>
    </w:p>
    <w:p w14:paraId="1FC7D35F" w14:textId="77777777" w:rsidR="008B7F41" w:rsidRDefault="004C7094">
      <w:pPr>
        <w:spacing w:line="360" w:lineRule="auto"/>
        <w:jc w:val="both"/>
      </w:pPr>
      <w:r>
        <w:rPr>
          <w:rFonts w:ascii="Book Antiqua" w:eastAsia="Book Antiqua" w:hAnsi="Book Antiqua" w:cs="Book Antiqua"/>
          <w:color w:val="000000"/>
        </w:rPr>
        <w:lastRenderedPageBreak/>
        <w:t>USP15 was upregulated in</w:t>
      </w:r>
      <w:r>
        <w:rPr>
          <w:rFonts w:ascii="Book Antiqua" w:eastAsia="Book Antiqua" w:hAnsi="Book Antiqua" w:cs="Book Antiqua"/>
          <w:color w:val="000000"/>
        </w:rPr>
        <w:t xml:space="preserve"> GC tissue and cell lines. The expression level of USP15 was positively correlated with clinical characteristics (tumor size, depth of invasion, lymph node involvement (LNI), tumor-node-metastasis (TNM) stage, perineural invasion, and vascular invasion), a</w:t>
      </w:r>
      <w:r>
        <w:rPr>
          <w:rFonts w:ascii="Book Antiqua" w:eastAsia="Book Antiqua" w:hAnsi="Book Antiqua" w:cs="Book Antiqua"/>
          <w:color w:val="000000"/>
        </w:rPr>
        <w:t xml:space="preserve">nd was related to poor prognosis. USP15 knockdown significantly inhibited cell proliferation,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epithelial-mesenchymal transition of GC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while overexpression of USP15 promoted these processes. Knockdown of USP15 inhibited tumor growth </w:t>
      </w:r>
      <w:r>
        <w:rPr>
          <w:rFonts w:ascii="Book Antiqua" w:eastAsia="Book Antiqua" w:hAnsi="Book Antiqua" w:cs="Book Antiqua"/>
          <w:i/>
          <w:iCs/>
          <w:color w:val="000000"/>
        </w:rPr>
        <w:t>i</w:t>
      </w:r>
      <w:r>
        <w:rPr>
          <w:rFonts w:ascii="Book Antiqua" w:eastAsia="Book Antiqua" w:hAnsi="Book Antiqua" w:cs="Book Antiqua"/>
          <w:i/>
          <w:iCs/>
          <w:color w:val="000000"/>
        </w:rPr>
        <w:t>n vivo</w:t>
      </w:r>
      <w:r>
        <w:rPr>
          <w:rFonts w:ascii="Book Antiqua" w:eastAsia="Book Antiqua" w:hAnsi="Book Antiqua" w:cs="Book Antiqua"/>
          <w:color w:val="000000"/>
        </w:rPr>
        <w:t xml:space="preserve">. Mechanistically, RNA-seq analysis showed that USP15 regulated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in GC. Western blotting confirmed that USP15 silencing led to significant downregulation of β-catenin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downstream genes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cyclin D1), </w:t>
      </w:r>
      <w:r>
        <w:rPr>
          <w:rFonts w:ascii="Book Antiqua" w:eastAsia="Book Antiqua" w:hAnsi="Book Antiqua" w:cs="Book Antiqua"/>
          <w:color w:val="000000"/>
        </w:rPr>
        <w:t xml:space="preserve">while overexpression of USP15 yielded the opposite results and USP15 mutation showed no change. Immunofluorescence indicated that USP15 promoted the nuclear translocation of β-catenin, suggesting activation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signaling pathway, which may</w:t>
      </w:r>
      <w:r>
        <w:rPr>
          <w:rFonts w:ascii="Book Antiqua" w:eastAsia="Book Antiqua" w:hAnsi="Book Antiqua" w:cs="Book Antiqua"/>
          <w:color w:val="000000"/>
        </w:rPr>
        <w:t xml:space="preserve"> be the critical mechanism promoting GC progression. Finally, rescue experiments showed that the effects of USP15 on gastric cancer progression were dependent on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w:t>
      </w:r>
    </w:p>
    <w:p w14:paraId="50049B68" w14:textId="77777777" w:rsidR="008B7F41" w:rsidRDefault="008B7F41">
      <w:pPr>
        <w:spacing w:line="360" w:lineRule="auto"/>
        <w:jc w:val="both"/>
      </w:pPr>
    </w:p>
    <w:p w14:paraId="5BCAD1F3" w14:textId="77777777" w:rsidR="008B7F41" w:rsidRDefault="004C7094">
      <w:pPr>
        <w:spacing w:line="360" w:lineRule="auto"/>
        <w:jc w:val="both"/>
      </w:pPr>
      <w:r>
        <w:rPr>
          <w:rFonts w:ascii="Book Antiqua" w:eastAsia="Book Antiqua" w:hAnsi="Book Antiqua" w:cs="Book Antiqua"/>
          <w:b/>
          <w:i/>
          <w:color w:val="000000"/>
        </w:rPr>
        <w:t>Research conclusions</w:t>
      </w:r>
    </w:p>
    <w:p w14:paraId="0EE54A12" w14:textId="77777777" w:rsidR="008B7F41" w:rsidRDefault="004C7094">
      <w:pPr>
        <w:spacing w:line="360" w:lineRule="auto"/>
        <w:jc w:val="both"/>
      </w:pPr>
      <w:r>
        <w:rPr>
          <w:rFonts w:ascii="Book Antiqua" w:eastAsia="Book Antiqua" w:hAnsi="Book Antiqua" w:cs="Book Antiqua"/>
          <w:color w:val="000000"/>
        </w:rPr>
        <w:t xml:space="preserve">USP15 promotes cell proliferation, invasion, </w:t>
      </w:r>
      <w:r>
        <w:rPr>
          <w:rFonts w:ascii="Book Antiqua" w:eastAsia="Book Antiqua" w:hAnsi="Book Antiqua" w:cs="Book Antiqua"/>
          <w:color w:val="000000"/>
        </w:rPr>
        <w:t xml:space="preserve">and EMT progression of GC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pathway.</w:t>
      </w:r>
    </w:p>
    <w:p w14:paraId="0D575282" w14:textId="77777777" w:rsidR="008B7F41" w:rsidRDefault="008B7F41">
      <w:pPr>
        <w:spacing w:line="360" w:lineRule="auto"/>
        <w:jc w:val="both"/>
      </w:pPr>
    </w:p>
    <w:p w14:paraId="6A050104" w14:textId="77777777" w:rsidR="008B7F41" w:rsidRDefault="004C7094">
      <w:pPr>
        <w:spacing w:line="360" w:lineRule="auto"/>
        <w:jc w:val="both"/>
      </w:pPr>
      <w:r>
        <w:rPr>
          <w:rFonts w:ascii="Book Antiqua" w:eastAsia="Book Antiqua" w:hAnsi="Book Antiqua" w:cs="Book Antiqua"/>
          <w:b/>
          <w:i/>
          <w:color w:val="000000"/>
        </w:rPr>
        <w:t>Research perspectives</w:t>
      </w:r>
    </w:p>
    <w:p w14:paraId="5D04F4B5" w14:textId="77777777" w:rsidR="008B7F41" w:rsidRDefault="004C7094">
      <w:pPr>
        <w:spacing w:line="360" w:lineRule="auto"/>
        <w:jc w:val="both"/>
      </w:pPr>
      <w:r>
        <w:rPr>
          <w:rFonts w:ascii="Book Antiqua" w:eastAsia="Book Antiqua" w:hAnsi="Book Antiqua" w:cs="Book Antiqua"/>
          <w:color w:val="000000"/>
        </w:rPr>
        <w:t>USP15 is expected to be a novel potential therapeutic target for GC.</w:t>
      </w:r>
    </w:p>
    <w:p w14:paraId="222CA011" w14:textId="77777777" w:rsidR="008B7F41" w:rsidRDefault="008B7F41">
      <w:pPr>
        <w:spacing w:line="360" w:lineRule="auto"/>
        <w:jc w:val="both"/>
      </w:pPr>
    </w:p>
    <w:p w14:paraId="25057DA0" w14:textId="77777777" w:rsidR="008B7F41" w:rsidRDefault="004C7094">
      <w:pPr>
        <w:spacing w:line="360" w:lineRule="auto"/>
        <w:jc w:val="both"/>
      </w:pPr>
      <w:r>
        <w:rPr>
          <w:rFonts w:ascii="Book Antiqua" w:eastAsia="Book Antiqua" w:hAnsi="Book Antiqua" w:cs="Book Antiqua"/>
          <w:b/>
          <w:color w:val="000000"/>
        </w:rPr>
        <w:t>REFERENCES</w:t>
      </w:r>
    </w:p>
    <w:p w14:paraId="5EB1279C" w14:textId="77777777" w:rsidR="008B7F41" w:rsidRDefault="004C7094">
      <w:pPr>
        <w:spacing w:line="360" w:lineRule="auto"/>
        <w:jc w:val="both"/>
      </w:pPr>
      <w:bookmarkStart w:id="16" w:name="OLE_LINK167"/>
      <w:bookmarkStart w:id="17" w:name="OLE_LINK166"/>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4D496642" w14:textId="77777777" w:rsidR="008B7F41" w:rsidRDefault="004C709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Zheng R, Baade PD, Zhang S, Zeng H, Bray F, Jemal A, Yu XQ, He J. Cancer statist</w:t>
      </w:r>
      <w:r>
        <w:rPr>
          <w:rFonts w:ascii="Book Antiqua" w:eastAsia="Book Antiqua" w:hAnsi="Book Antiqua" w:cs="Book Antiqua"/>
          <w:color w:val="000000"/>
        </w:rPr>
        <w:t xml:space="preserve">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13E4E2F9" w14:textId="77777777" w:rsidR="008B7F41" w:rsidRDefault="004C7094">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Nagini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Carcinoma of the stomach: A review of epidemiology, pathogenesis, molecular </w:t>
      </w:r>
      <w:proofErr w:type="gramStart"/>
      <w:r>
        <w:rPr>
          <w:rFonts w:ascii="Book Antiqua" w:eastAsia="Book Antiqua" w:hAnsi="Book Antiqua" w:cs="Book Antiqua"/>
          <w:color w:val="000000"/>
        </w:rPr>
        <w:t>genetics</w:t>
      </w:r>
      <w:proofErr w:type="gramEnd"/>
      <w:r>
        <w:rPr>
          <w:rFonts w:ascii="Book Antiqua" w:eastAsia="Book Antiqua" w:hAnsi="Book Antiqua" w:cs="Book Antiqua"/>
          <w:color w:val="000000"/>
        </w:rPr>
        <w:t xml:space="preserve"> and chemoprevention.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156-16</w:t>
      </w:r>
      <w:r>
        <w:rPr>
          <w:rFonts w:ascii="Book Antiqua" w:eastAsia="Book Antiqua" w:hAnsi="Book Antiqua" w:cs="Book Antiqua"/>
          <w:color w:val="000000"/>
        </w:rPr>
        <w:t>9 [PMID: 22844547 DOI: 10.4251/</w:t>
      </w:r>
      <w:proofErr w:type="gramStart"/>
      <w:r>
        <w:rPr>
          <w:rFonts w:ascii="Book Antiqua" w:eastAsia="Book Antiqua" w:hAnsi="Book Antiqua" w:cs="Book Antiqua"/>
          <w:color w:val="000000"/>
        </w:rPr>
        <w:t>wjgo.v</w:t>
      </w:r>
      <w:proofErr w:type="gramEnd"/>
      <w:r>
        <w:rPr>
          <w:rFonts w:ascii="Book Antiqua" w:eastAsia="Book Antiqua" w:hAnsi="Book Antiqua" w:cs="Book Antiqua"/>
          <w:color w:val="000000"/>
        </w:rPr>
        <w:t>4.i7.156]</w:t>
      </w:r>
    </w:p>
    <w:p w14:paraId="4EE41AA3" w14:textId="77777777" w:rsidR="008B7F41" w:rsidRDefault="004C709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Sasako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Optimizing adjuvant therapies for the treatment of gastric cancer: with a special focus on Asia. </w:t>
      </w:r>
      <w:r>
        <w:rPr>
          <w:rFonts w:ascii="Book Antiqua" w:eastAsia="Book Antiqua" w:hAnsi="Book Antiqua" w:cs="Book Antiqua"/>
          <w:i/>
          <w:iCs/>
          <w:color w:val="000000"/>
        </w:rPr>
        <w:t xml:space="preserve">Expert Rev Anticancer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939-945 [PMID: 31661989 DOI: 10.1080/14737140.2019.1685877]</w:t>
      </w:r>
    </w:p>
    <w:p w14:paraId="1FDEB130" w14:textId="77777777" w:rsidR="008B7F41" w:rsidRDefault="004C709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w:t>
      </w:r>
      <w:r>
        <w:rPr>
          <w:rFonts w:ascii="Book Antiqua" w:eastAsia="Book Antiqua" w:hAnsi="Book Antiqua" w:cs="Book Antiqua"/>
          <w:b/>
          <w:bCs/>
          <w:color w:val="000000"/>
        </w:rPr>
        <w:t>oshikawa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Shitara</w:t>
      </w:r>
      <w:proofErr w:type="spellEnd"/>
      <w:r>
        <w:rPr>
          <w:rFonts w:ascii="Book Antiqua" w:eastAsia="Book Antiqua" w:hAnsi="Book Antiqua" w:cs="Book Antiqua"/>
          <w:color w:val="000000"/>
        </w:rPr>
        <w:t xml:space="preserve"> K, Oh DY, Kang YK, Chung HC, Kudo T, Chin K, </w:t>
      </w:r>
      <w:proofErr w:type="spellStart"/>
      <w:r>
        <w:rPr>
          <w:rFonts w:ascii="Book Antiqua" w:eastAsia="Book Antiqua" w:hAnsi="Book Antiqua" w:cs="Book Antiqua"/>
          <w:color w:val="000000"/>
        </w:rPr>
        <w:t>Kadowaki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Hamamoto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Hironaka</w:t>
      </w:r>
      <w:proofErr w:type="spellEnd"/>
      <w:r>
        <w:rPr>
          <w:rFonts w:ascii="Book Antiqua" w:eastAsia="Book Antiqua" w:hAnsi="Book Antiqua" w:cs="Book Antiqua"/>
          <w:color w:val="000000"/>
        </w:rPr>
        <w:t xml:space="preserve"> S, Yoshida K, Yen CJ, </w:t>
      </w:r>
      <w:proofErr w:type="spellStart"/>
      <w:r>
        <w:rPr>
          <w:rFonts w:ascii="Book Antiqua" w:eastAsia="Book Antiqua" w:hAnsi="Book Antiqua" w:cs="Book Antiqua"/>
          <w:color w:val="000000"/>
        </w:rPr>
        <w:t>Omuro</w:t>
      </w:r>
      <w:proofErr w:type="spellEnd"/>
      <w:r>
        <w:rPr>
          <w:rFonts w:ascii="Book Antiqua" w:eastAsia="Book Antiqua" w:hAnsi="Book Antiqua" w:cs="Book Antiqua"/>
          <w:color w:val="000000"/>
        </w:rPr>
        <w:t xml:space="preserve"> Y, Bai LY, Maeda K, Ozeki A, Yoshikawa R, Kitagawa Y. Effect of First-line S-1 Plus Oxaliplatin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or Without Ramuciruma</w:t>
      </w:r>
      <w:r>
        <w:rPr>
          <w:rFonts w:ascii="Book Antiqua" w:eastAsia="Book Antiqua" w:hAnsi="Book Antiqua" w:cs="Book Antiqua"/>
          <w:color w:val="000000"/>
        </w:rPr>
        <w:t xml:space="preserve">b Followed by Paclitaxel Plus Ramucirumab on Advanced Gastric Cancer in East Asia: The Phase 2 RAINSTORM Randomized Clinical Trial.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e198243 [PMID: 31373648 DOI: 10.1001/jamanetworkopen.2019.8243]</w:t>
      </w:r>
    </w:p>
    <w:p w14:paraId="3D404D56" w14:textId="77777777" w:rsidR="008B7F41" w:rsidRDefault="004C709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Fu Y</w:t>
      </w:r>
      <w:r>
        <w:rPr>
          <w:rFonts w:ascii="Book Antiqua" w:eastAsia="Book Antiqua" w:hAnsi="Book Antiqua" w:cs="Book Antiqua"/>
          <w:color w:val="000000"/>
        </w:rPr>
        <w:t xml:space="preserve">, Ma G, Liu G, Li B, Li H, Hao X, Liu L. USP14 as a novel prognostic marker promotes cisplatin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Akt/ERK signaling pathways in gastric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5577-5588 [PMID: 30296012 DOI: 10.1002/cam4.1770]</w:t>
      </w:r>
    </w:p>
    <w:p w14:paraId="66E3C058" w14:textId="77777777" w:rsidR="008B7F41" w:rsidRDefault="004C709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Hou K</w:t>
      </w:r>
      <w:r>
        <w:rPr>
          <w:rFonts w:ascii="Book Antiqua" w:eastAsia="Book Antiqua" w:hAnsi="Book Antiqua" w:cs="Book Antiqua"/>
          <w:color w:val="000000"/>
        </w:rPr>
        <w:t xml:space="preserve">, Zhu Z, Wang Y, Zhang </w:t>
      </w:r>
      <w:r>
        <w:rPr>
          <w:rFonts w:ascii="Book Antiqua" w:eastAsia="Book Antiqua" w:hAnsi="Book Antiqua" w:cs="Book Antiqua"/>
          <w:color w:val="000000"/>
        </w:rPr>
        <w:t xml:space="preserve">C, Yu S, Zhu Q, Yan B. Overexpression and Biological Function of Ubiquitin-Specific Protease 42 in Gastric Cancer.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e0152997 [PMID: 27030989 DOI: 10.1371/journal.pone.0152997]</w:t>
      </w:r>
    </w:p>
    <w:p w14:paraId="4A56E395" w14:textId="77777777" w:rsidR="008B7F41" w:rsidRDefault="004C709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Nishimura S</w:t>
      </w:r>
      <w:r>
        <w:rPr>
          <w:rFonts w:ascii="Book Antiqua" w:eastAsia="Book Antiqua" w:hAnsi="Book Antiqua" w:cs="Book Antiqua"/>
          <w:color w:val="000000"/>
        </w:rPr>
        <w:t xml:space="preserve">, Oki E, Ando K, </w:t>
      </w:r>
      <w:proofErr w:type="spellStart"/>
      <w:r>
        <w:rPr>
          <w:rFonts w:ascii="Book Antiqua" w:eastAsia="Book Antiqua" w:hAnsi="Book Antiqua" w:cs="Book Antiqua"/>
          <w:color w:val="000000"/>
        </w:rPr>
        <w:t>Iimori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xml:space="preserve"> Y, Nakashima Y,</w:t>
      </w:r>
      <w:r>
        <w:rPr>
          <w:rFonts w:ascii="Book Antiqua" w:eastAsia="Book Antiqua" w:hAnsi="Book Antiqua" w:cs="Book Antiqua"/>
          <w:color w:val="000000"/>
        </w:rPr>
        <w:t xml:space="preserve"> Saeki H, Oda Y, Maehara Y. High ubiquitin-specific protease 44 expression induces DNA aneuploidy and provides independent prognostic information in gastric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1453-1464 [PMID: 28544703 DOI: 10.1002/cam4.1090]</w:t>
      </w:r>
    </w:p>
    <w:p w14:paraId="0265AF63" w14:textId="77777777" w:rsidR="008B7F41" w:rsidRDefault="004C709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Teyra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Singer AU,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Schmitges</w:t>
      </w:r>
      <w:proofErr w:type="spellEnd"/>
      <w:r>
        <w:rPr>
          <w:rFonts w:ascii="Book Antiqua" w:eastAsia="Book Antiqua" w:hAnsi="Book Antiqua" w:cs="Book Antiqua"/>
          <w:color w:val="000000"/>
        </w:rPr>
        <w:t xml:space="preserve"> FW, Jaynes P, Kit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Lui S, </w:t>
      </w:r>
      <w:proofErr w:type="spellStart"/>
      <w:r>
        <w:rPr>
          <w:rFonts w:ascii="Book Antiqua" w:eastAsia="Book Antiqua" w:hAnsi="Book Antiqua" w:cs="Book Antiqua"/>
          <w:color w:val="000000"/>
        </w:rPr>
        <w:t>Polyak</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Fodil</w:t>
      </w:r>
      <w:proofErr w:type="spellEnd"/>
      <w:r>
        <w:rPr>
          <w:rFonts w:ascii="Book Antiqua" w:eastAsia="Book Antiqua" w:hAnsi="Book Antiqua" w:cs="Book Antiqua"/>
          <w:color w:val="000000"/>
        </w:rPr>
        <w:t xml:space="preserve"> N, Krieger JR, Tong J, </w:t>
      </w:r>
      <w:proofErr w:type="spellStart"/>
      <w:r>
        <w:rPr>
          <w:rFonts w:ascii="Book Antiqua" w:eastAsia="Book Antiqua" w:hAnsi="Book Antiqua" w:cs="Book Antiqua"/>
          <w:color w:val="000000"/>
        </w:rPr>
        <w:t>Schwerdtfeger</w:t>
      </w:r>
      <w:proofErr w:type="spellEnd"/>
      <w:r>
        <w:rPr>
          <w:rFonts w:ascii="Book Antiqua" w:eastAsia="Book Antiqua" w:hAnsi="Book Antiqua" w:cs="Book Antiqua"/>
          <w:color w:val="000000"/>
        </w:rPr>
        <w:t xml:space="preserve"> C, Brasher BB, </w:t>
      </w:r>
      <w:proofErr w:type="spellStart"/>
      <w:r>
        <w:rPr>
          <w:rFonts w:ascii="Book Antiqua" w:eastAsia="Book Antiqua" w:hAnsi="Book Antiqua" w:cs="Book Antiqua"/>
          <w:color w:val="000000"/>
        </w:rPr>
        <w:t>Ceccarelli</w:t>
      </w:r>
      <w:proofErr w:type="spellEnd"/>
      <w:r>
        <w:rPr>
          <w:rFonts w:ascii="Book Antiqua" w:eastAsia="Book Antiqua" w:hAnsi="Book Antiqua" w:cs="Book Antiqua"/>
          <w:color w:val="000000"/>
        </w:rPr>
        <w:t xml:space="preserve"> DFJ, Moffat J, </w:t>
      </w:r>
      <w:proofErr w:type="spellStart"/>
      <w:r>
        <w:rPr>
          <w:rFonts w:ascii="Book Antiqua" w:eastAsia="Book Antiqua" w:hAnsi="Book Antiqua" w:cs="Book Antiqua"/>
          <w:color w:val="000000"/>
        </w:rPr>
        <w:t>Sicheri</w:t>
      </w:r>
      <w:proofErr w:type="spellEnd"/>
      <w:r>
        <w:rPr>
          <w:rFonts w:ascii="Book Antiqua" w:eastAsia="Book Antiqua" w:hAnsi="Book Antiqua" w:cs="Book Antiqua"/>
          <w:color w:val="000000"/>
        </w:rPr>
        <w:t xml:space="preserve"> F, Moran MF, Gros P, Eichhorn PJA, </w:t>
      </w:r>
      <w:proofErr w:type="spellStart"/>
      <w:r>
        <w:rPr>
          <w:rFonts w:ascii="Book Antiqua" w:eastAsia="Book Antiqua" w:hAnsi="Book Antiqua" w:cs="Book Antiqua"/>
          <w:color w:val="000000"/>
        </w:rPr>
        <w:t>Lenter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Boehmelt</w:t>
      </w:r>
      <w:proofErr w:type="spellEnd"/>
      <w:r>
        <w:rPr>
          <w:rFonts w:ascii="Book Antiqua" w:eastAsia="Book Antiqua" w:hAnsi="Book Antiqua" w:cs="Book Antiqua"/>
          <w:color w:val="000000"/>
        </w:rPr>
        <w:t xml:space="preserve"> G, Sidhu SS. Structural and Functional Characterization of</w:t>
      </w:r>
      <w:r>
        <w:rPr>
          <w:rFonts w:ascii="Book Antiqua" w:eastAsia="Book Antiqua" w:hAnsi="Book Antiqua" w:cs="Book Antiqua"/>
          <w:color w:val="000000"/>
        </w:rPr>
        <w:t xml:space="preserve"> Ubiquitin Variant Inhibitors of USP15. </w:t>
      </w:r>
      <w:r>
        <w:rPr>
          <w:rFonts w:ascii="Book Antiqua" w:eastAsia="Book Antiqua" w:hAnsi="Book Antiqua" w:cs="Book Antiqua"/>
          <w:i/>
          <w:iCs/>
          <w:color w:val="000000"/>
        </w:rPr>
        <w:t>Structure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590-605.e5 [PMID: 30713027 DOI: 10.1016/j.str.2019.01.002]</w:t>
      </w:r>
    </w:p>
    <w:p w14:paraId="12061DCB" w14:textId="77777777" w:rsidR="008B7F41" w:rsidRDefault="004C709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Peng Y</w:t>
      </w:r>
      <w:r>
        <w:rPr>
          <w:rFonts w:ascii="Book Antiqua" w:eastAsia="Book Antiqua" w:hAnsi="Book Antiqua" w:cs="Book Antiqua"/>
          <w:color w:val="000000"/>
        </w:rPr>
        <w:t>, Liao Q, Tan W, Peng C, Hu Z, Chen Y, Li Z, Li J, Zhen B, Zhu W, Li X, Yao Y, Song Q, Liu C, Qi X, He F, Pei H. The deubiquityl</w:t>
      </w:r>
      <w:r>
        <w:rPr>
          <w:rFonts w:ascii="Book Antiqua" w:eastAsia="Book Antiqua" w:hAnsi="Book Antiqua" w:cs="Book Antiqua"/>
          <w:color w:val="000000"/>
        </w:rPr>
        <w:t xml:space="preserve">ating enzyme USP15 regulates homologous recombination repair and cancer cell response to PARP inhibitors.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1224 [PMID: 30874560 DOI: 10.1038/s41467-019-09232-8]</w:t>
      </w:r>
    </w:p>
    <w:p w14:paraId="0FB1AA66" w14:textId="77777777" w:rsidR="008B7F41" w:rsidRDefault="004C7094">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Yao XQ</w:t>
      </w:r>
      <w:r>
        <w:rPr>
          <w:rFonts w:ascii="Book Antiqua" w:eastAsia="Book Antiqua" w:hAnsi="Book Antiqua" w:cs="Book Antiqua"/>
          <w:color w:val="000000"/>
        </w:rPr>
        <w:t>, Li L, Piao LZ, Zhang GJ, Huang XZ, Wang Y, Liang ZL. Overexpress</w:t>
      </w:r>
      <w:r>
        <w:rPr>
          <w:rFonts w:ascii="Book Antiqua" w:eastAsia="Book Antiqua" w:hAnsi="Book Antiqua" w:cs="Book Antiqua"/>
          <w:color w:val="000000"/>
        </w:rPr>
        <w:t xml:space="preserve">ion of Ubiquitin-Specific Protease15 (USP15) Promotes Tumor Growth and Inhibits Apoptosis and Correlated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Poor Disease-Free Survival in Hepatocellular Carcinoma. </w:t>
      </w:r>
      <w:r>
        <w:rPr>
          <w:rFonts w:ascii="Book Antiqua" w:eastAsia="Book Antiqua" w:hAnsi="Book Antiqua" w:cs="Book Antiqua"/>
          <w:i/>
          <w:iCs/>
          <w:color w:val="000000"/>
        </w:rPr>
        <w:t>Technol Cancer Res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1533033820967455 [PMID: 33267707 DOI: 10.1177/153303382</w:t>
      </w:r>
      <w:r>
        <w:rPr>
          <w:rFonts w:ascii="Book Antiqua" w:eastAsia="Book Antiqua" w:hAnsi="Book Antiqua" w:cs="Book Antiqua"/>
          <w:color w:val="000000"/>
        </w:rPr>
        <w:t>0967455]</w:t>
      </w:r>
    </w:p>
    <w:p w14:paraId="2DE2D7A2" w14:textId="77777777" w:rsidR="008B7F41" w:rsidRDefault="004C709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Jiang B</w:t>
      </w:r>
      <w:r>
        <w:rPr>
          <w:rFonts w:ascii="Book Antiqua" w:eastAsia="Book Antiqua" w:hAnsi="Book Antiqua" w:cs="Book Antiqua"/>
          <w:color w:val="000000"/>
        </w:rPr>
        <w:t>, Zhou L, Lu J, Wang Y, Liu C, Liang Z, Zhou W, You L, Guo J. Clinicopathological and prognostic significance of ubiquitin-specific peptidase 15 and its relationship with transforming growth factor-β receptors in patients with pancreatic</w:t>
      </w:r>
      <w:r>
        <w:rPr>
          <w:rFonts w:ascii="Book Antiqua" w:eastAsia="Book Antiqua" w:hAnsi="Book Antiqua" w:cs="Book Antiqua"/>
          <w:color w:val="000000"/>
        </w:rPr>
        <w:t xml:space="preserve"> ductal adenocarcinoma.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507-515 [PMID: 32875609 DOI: 10.1111/jgh.15244]</w:t>
      </w:r>
    </w:p>
    <w:p w14:paraId="72772DC0" w14:textId="77777777" w:rsidR="008B7F41" w:rsidRDefault="004C709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Eichhorn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Rodón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Gonzàlez-Juncà</w:t>
      </w:r>
      <w:proofErr w:type="spellEnd"/>
      <w:r>
        <w:rPr>
          <w:rFonts w:ascii="Book Antiqua" w:eastAsia="Book Antiqua" w:hAnsi="Book Antiqua" w:cs="Book Antiqua"/>
          <w:color w:val="000000"/>
        </w:rPr>
        <w:t xml:space="preserve"> A, Dirac A, Gili M, Martínez-</w:t>
      </w:r>
      <w:proofErr w:type="spellStart"/>
      <w:r>
        <w:rPr>
          <w:rFonts w:ascii="Book Antiqua" w:eastAsia="Book Antiqua" w:hAnsi="Book Antiqua" w:cs="Book Antiqua"/>
          <w:color w:val="000000"/>
        </w:rPr>
        <w:t>Sáez</w:t>
      </w:r>
      <w:proofErr w:type="spellEnd"/>
      <w:r>
        <w:rPr>
          <w:rFonts w:ascii="Book Antiqua" w:eastAsia="Book Antiqua" w:hAnsi="Book Antiqua" w:cs="Book Antiqua"/>
          <w:color w:val="000000"/>
        </w:rPr>
        <w:t xml:space="preserve"> E, Aura C, Barba I, Peg V, Prat A, </w:t>
      </w:r>
      <w:proofErr w:type="spellStart"/>
      <w:r>
        <w:rPr>
          <w:rFonts w:ascii="Book Antiqua" w:eastAsia="Book Antiqua" w:hAnsi="Book Antiqua" w:cs="Book Antiqua"/>
          <w:color w:val="000000"/>
        </w:rPr>
        <w:t>Cuartas</w:t>
      </w:r>
      <w:proofErr w:type="spellEnd"/>
      <w:r>
        <w:rPr>
          <w:rFonts w:ascii="Book Antiqua" w:eastAsia="Book Antiqua" w:hAnsi="Book Antiqua" w:cs="Book Antiqua"/>
          <w:color w:val="000000"/>
        </w:rPr>
        <w:t xml:space="preserve"> I, Jimenez J, García-Dorado D, </w:t>
      </w:r>
      <w:proofErr w:type="spellStart"/>
      <w:r>
        <w:rPr>
          <w:rFonts w:ascii="Book Antiqua" w:eastAsia="Book Antiqua" w:hAnsi="Book Antiqua" w:cs="Book Antiqua"/>
          <w:color w:val="000000"/>
        </w:rPr>
        <w:t>Sa</w:t>
      </w:r>
      <w:r>
        <w:rPr>
          <w:rFonts w:ascii="Book Antiqua" w:eastAsia="Book Antiqua" w:hAnsi="Book Antiqua" w:cs="Book Antiqua"/>
          <w:color w:val="000000"/>
        </w:rPr>
        <w:t>huquillo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Bernards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Baselga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Seoane</w:t>
      </w:r>
      <w:proofErr w:type="spellEnd"/>
      <w:r>
        <w:rPr>
          <w:rFonts w:ascii="Book Antiqua" w:eastAsia="Book Antiqua" w:hAnsi="Book Antiqua" w:cs="Book Antiqua"/>
          <w:color w:val="000000"/>
        </w:rPr>
        <w:t xml:space="preserve"> J. USP15 stabilizes TGF-β receptor I and promotes oncogenesis through the activation of TGF-β signaling in glioblastoma.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429-435 [PMID: 22344298 DOI: 10.1038/nm.2619]</w:t>
      </w:r>
    </w:p>
    <w:p w14:paraId="61231F07" w14:textId="77777777" w:rsidR="008B7F41" w:rsidRDefault="004C709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Zou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Hu H, Li HS,</w:t>
      </w:r>
      <w:r>
        <w:rPr>
          <w:rFonts w:ascii="Book Antiqua" w:eastAsia="Book Antiqua" w:hAnsi="Book Antiqua" w:cs="Book Antiqua"/>
          <w:color w:val="000000"/>
        </w:rPr>
        <w:t xml:space="preserve"> Romano S, Xiao Y, </w:t>
      </w:r>
      <w:proofErr w:type="spellStart"/>
      <w:r>
        <w:rPr>
          <w:rFonts w:ascii="Book Antiqua" w:eastAsia="Book Antiqua" w:hAnsi="Book Antiqua" w:cs="Book Antiqua"/>
          <w:color w:val="000000"/>
        </w:rPr>
        <w:t>Nakaya</w:t>
      </w:r>
      <w:proofErr w:type="spellEnd"/>
      <w:r>
        <w:rPr>
          <w:rFonts w:ascii="Book Antiqua" w:eastAsia="Book Antiqua" w:hAnsi="Book Antiqua" w:cs="Book Antiqua"/>
          <w:color w:val="000000"/>
        </w:rPr>
        <w:t xml:space="preserve"> M, Zhou X, Cheng X, Yang P, Lozano G, Zhu C, </w:t>
      </w:r>
      <w:proofErr w:type="spellStart"/>
      <w:r>
        <w:rPr>
          <w:rFonts w:ascii="Book Antiqua" w:eastAsia="Book Antiqua" w:hAnsi="Book Antiqua" w:cs="Book Antiqua"/>
          <w:color w:val="000000"/>
        </w:rPr>
        <w:t>Watowich</w:t>
      </w:r>
      <w:proofErr w:type="spellEnd"/>
      <w:r>
        <w:rPr>
          <w:rFonts w:ascii="Book Antiqua" w:eastAsia="Book Antiqua" w:hAnsi="Book Antiqua" w:cs="Book Antiqua"/>
          <w:color w:val="000000"/>
        </w:rPr>
        <w:t xml:space="preserve"> SS, Ullrich SE, Sun SC. USP15 stabilizes MDM2 to mediate cancer-cell survival and inhibit antitumor T cell responses.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562-570 [PMID: 24777531 DOI: 10.1038</w:t>
      </w:r>
      <w:r>
        <w:rPr>
          <w:rFonts w:ascii="Book Antiqua" w:eastAsia="Book Antiqua" w:hAnsi="Book Antiqua" w:cs="Book Antiqua"/>
          <w:color w:val="000000"/>
        </w:rPr>
        <w:t>/ni.2885]</w:t>
      </w:r>
    </w:p>
    <w:p w14:paraId="1B6A2830" w14:textId="77777777" w:rsidR="008B7F41" w:rsidRDefault="004C709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Clevers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Nusse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and disease.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149</w:t>
      </w:r>
      <w:r>
        <w:rPr>
          <w:rFonts w:ascii="Book Antiqua" w:eastAsia="Book Antiqua" w:hAnsi="Book Antiqua" w:cs="Book Antiqua"/>
          <w:color w:val="000000"/>
        </w:rPr>
        <w:t>: 1192-1205 [PMID: 22682243 DOI: 10.1016/j.cell.2012.05.012]</w:t>
      </w:r>
    </w:p>
    <w:p w14:paraId="52946858" w14:textId="77777777" w:rsidR="008B7F41" w:rsidRDefault="004C709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Ogasawara N</w:t>
      </w:r>
      <w:r>
        <w:rPr>
          <w:rFonts w:ascii="Book Antiqua" w:eastAsia="Book Antiqua" w:hAnsi="Book Antiqua" w:cs="Book Antiqua"/>
          <w:color w:val="000000"/>
        </w:rPr>
        <w:t xml:space="preserve">, Tsukamoto T, </w:t>
      </w:r>
      <w:proofErr w:type="spellStart"/>
      <w:r>
        <w:rPr>
          <w:rFonts w:ascii="Book Antiqua" w:eastAsia="Book Antiqua" w:hAnsi="Book Antiqua" w:cs="Book Antiqua"/>
          <w:color w:val="000000"/>
        </w:rPr>
        <w:t>Mizoshita</w:t>
      </w:r>
      <w:proofErr w:type="spellEnd"/>
      <w:r>
        <w:rPr>
          <w:rFonts w:ascii="Book Antiqua" w:eastAsia="Book Antiqua" w:hAnsi="Book Antiqua" w:cs="Book Antiqua"/>
          <w:color w:val="000000"/>
        </w:rPr>
        <w:t xml:space="preserve"> T, Inada K, Cao X,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Y, Joh T, </w:t>
      </w:r>
      <w:proofErr w:type="spellStart"/>
      <w:r>
        <w:rPr>
          <w:rFonts w:ascii="Book Antiqua" w:eastAsia="Book Antiqua" w:hAnsi="Book Antiqua" w:cs="Book Antiqua"/>
          <w:color w:val="000000"/>
        </w:rPr>
        <w:t>Tatematsu</w:t>
      </w:r>
      <w:proofErr w:type="spellEnd"/>
      <w:r>
        <w:rPr>
          <w:rFonts w:ascii="Book Antiqua" w:eastAsia="Book Antiqua" w:hAnsi="Book Antiqua" w:cs="Book Antiqua"/>
          <w:color w:val="000000"/>
        </w:rPr>
        <w:t xml:space="preserve"> M. </w:t>
      </w:r>
      <w:proofErr w:type="gramStart"/>
      <w:r>
        <w:rPr>
          <w:rFonts w:ascii="Book Antiqua" w:eastAsia="Book Antiqua" w:hAnsi="Book Antiqua" w:cs="Book Antiqua"/>
          <w:color w:val="000000"/>
        </w:rPr>
        <w:t>Mutations</w:t>
      </w:r>
      <w:proofErr w:type="gramEnd"/>
      <w:r>
        <w:rPr>
          <w:rFonts w:ascii="Book Antiqua" w:eastAsia="Book Antiqua" w:hAnsi="Book Antiqua" w:cs="Book Antiqua"/>
          <w:color w:val="000000"/>
        </w:rPr>
        <w:t xml:space="preserve"> and nuclear accumulation of beta-catenin correlate with intestinal phenotypic expression in human gastric cancer.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49</w:t>
      </w:r>
      <w:r>
        <w:rPr>
          <w:rFonts w:ascii="Book Antiqua" w:eastAsia="Book Antiqua" w:hAnsi="Book Antiqua" w:cs="Book Antiqua"/>
          <w:color w:val="000000"/>
        </w:rPr>
        <w:t>: 612-621 [PMID: 17163846 DOI: 10</w:t>
      </w:r>
      <w:r>
        <w:rPr>
          <w:rFonts w:ascii="Book Antiqua" w:eastAsia="Book Antiqua" w:hAnsi="Book Antiqua" w:cs="Book Antiqua"/>
          <w:color w:val="000000"/>
        </w:rPr>
        <w:t>.1111/j.1365-2559.</w:t>
      </w:r>
      <w:proofErr w:type="gramStart"/>
      <w:r>
        <w:rPr>
          <w:rFonts w:ascii="Book Antiqua" w:eastAsia="Book Antiqua" w:hAnsi="Book Antiqua" w:cs="Book Antiqua"/>
          <w:color w:val="000000"/>
        </w:rPr>
        <w:t>2006.02560.x</w:t>
      </w:r>
      <w:proofErr w:type="gramEnd"/>
      <w:r>
        <w:rPr>
          <w:rFonts w:ascii="Book Antiqua" w:eastAsia="Book Antiqua" w:hAnsi="Book Antiqua" w:cs="Book Antiqua"/>
          <w:color w:val="000000"/>
        </w:rPr>
        <w:t>]</w:t>
      </w:r>
    </w:p>
    <w:p w14:paraId="2273C692" w14:textId="77777777" w:rsidR="008B7F41" w:rsidRDefault="004C709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Dihlmann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Knebel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Doeberitz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/beta-catenin-pathway as a molecular target for future anti-cancer therapeutics.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113</w:t>
      </w:r>
      <w:r>
        <w:rPr>
          <w:rFonts w:ascii="Book Antiqua" w:eastAsia="Book Antiqua" w:hAnsi="Book Antiqua" w:cs="Book Antiqua"/>
          <w:color w:val="000000"/>
        </w:rPr>
        <w:t>: 515-524 [PMID: 15472907 DOI: 10.1002/ijc.20609]</w:t>
      </w:r>
    </w:p>
    <w:p w14:paraId="4E959745" w14:textId="77777777" w:rsidR="008B7F41" w:rsidRDefault="004C709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He TC</w:t>
      </w:r>
      <w:r>
        <w:rPr>
          <w:rFonts w:ascii="Book Antiqua" w:eastAsia="Book Antiqua" w:hAnsi="Book Antiqua" w:cs="Book Antiqua"/>
          <w:color w:val="000000"/>
        </w:rPr>
        <w:t xml:space="preserve">, Sparks AB, Rago C, </w:t>
      </w:r>
      <w:proofErr w:type="spellStart"/>
      <w:r>
        <w:rPr>
          <w:rFonts w:ascii="Book Antiqua" w:eastAsia="Book Antiqua" w:hAnsi="Book Antiqua" w:cs="Book Antiqua"/>
          <w:color w:val="000000"/>
        </w:rPr>
        <w:t>Hermeking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Zawel</w:t>
      </w:r>
      <w:proofErr w:type="spellEnd"/>
      <w:r>
        <w:rPr>
          <w:rFonts w:ascii="Book Antiqua" w:eastAsia="Book Antiqua" w:hAnsi="Book Antiqua" w:cs="Book Antiqua"/>
          <w:color w:val="000000"/>
        </w:rPr>
        <w:t xml:space="preserve"> L, da Costa LT, Morin PJ, Vogelstein B, </w:t>
      </w:r>
      <w:proofErr w:type="spellStart"/>
      <w:r>
        <w:rPr>
          <w:rFonts w:ascii="Book Antiqua" w:eastAsia="Book Antiqua" w:hAnsi="Book Antiqua" w:cs="Book Antiqua"/>
          <w:color w:val="000000"/>
        </w:rPr>
        <w:t>Kinzler</w:t>
      </w:r>
      <w:proofErr w:type="spellEnd"/>
      <w:r>
        <w:rPr>
          <w:rFonts w:ascii="Book Antiqua" w:eastAsia="Book Antiqua" w:hAnsi="Book Antiqua" w:cs="Book Antiqua"/>
          <w:color w:val="000000"/>
        </w:rPr>
        <w:t xml:space="preserve"> KW. Identification of c-MYC as a target of the APC pathway.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1998; </w:t>
      </w:r>
      <w:r>
        <w:rPr>
          <w:rFonts w:ascii="Book Antiqua" w:eastAsia="Book Antiqua" w:hAnsi="Book Antiqua" w:cs="Book Antiqua"/>
          <w:b/>
          <w:bCs/>
          <w:color w:val="000000"/>
        </w:rPr>
        <w:t>281</w:t>
      </w:r>
      <w:r>
        <w:rPr>
          <w:rFonts w:ascii="Book Antiqua" w:eastAsia="Book Antiqua" w:hAnsi="Book Antiqua" w:cs="Book Antiqua"/>
          <w:color w:val="000000"/>
        </w:rPr>
        <w:t>: 1509-1512 [PMID: 9727977 DOI: 10.1126/science.281.5382.1509]</w:t>
      </w:r>
    </w:p>
    <w:p w14:paraId="5BD90FCD" w14:textId="77777777" w:rsidR="008B7F41" w:rsidRDefault="004C7094">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Tetsu</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McCormick F. Beta-catenin regulates e</w:t>
      </w:r>
      <w:r>
        <w:rPr>
          <w:rFonts w:ascii="Book Antiqua" w:eastAsia="Book Antiqua" w:hAnsi="Book Antiqua" w:cs="Book Antiqua"/>
          <w:color w:val="000000"/>
        </w:rPr>
        <w:t xml:space="preserve">xpression of cyclin D1 in colon carcinoma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1999; </w:t>
      </w:r>
      <w:r>
        <w:rPr>
          <w:rFonts w:ascii="Book Antiqua" w:eastAsia="Book Antiqua" w:hAnsi="Book Antiqua" w:cs="Book Antiqua"/>
          <w:b/>
          <w:bCs/>
          <w:color w:val="000000"/>
        </w:rPr>
        <w:t>398</w:t>
      </w:r>
      <w:r>
        <w:rPr>
          <w:rFonts w:ascii="Book Antiqua" w:eastAsia="Book Antiqua" w:hAnsi="Book Antiqua" w:cs="Book Antiqua"/>
          <w:color w:val="000000"/>
        </w:rPr>
        <w:t>: 422-426 [PMID: 10201372 DOI: 10.1038/18884]</w:t>
      </w:r>
    </w:p>
    <w:p w14:paraId="31400E3B" w14:textId="77777777" w:rsidR="008B7F41" w:rsidRDefault="004C709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Fang Z</w:t>
      </w:r>
      <w:r>
        <w:rPr>
          <w:rFonts w:ascii="Book Antiqua" w:eastAsia="Book Antiqua" w:hAnsi="Book Antiqua" w:cs="Book Antiqua"/>
          <w:color w:val="000000"/>
        </w:rPr>
        <w:t xml:space="preserve">, Deng J, Zhang L, Xiang X, Yu F, Chen J, Feng M,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TRIM24 promotes the aggression of gastric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signal</w:t>
      </w:r>
      <w:r>
        <w:rPr>
          <w:rFonts w:ascii="Book Antiqua" w:eastAsia="Book Antiqua" w:hAnsi="Book Antiqua" w:cs="Book Antiqua"/>
          <w:color w:val="000000"/>
        </w:rPr>
        <w:t xml:space="preserve">ing pathway.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1797-1806 [PMID: 28454326 DOI: 10.3892/ol.2017.5604]</w:t>
      </w:r>
    </w:p>
    <w:p w14:paraId="016EB059" w14:textId="77777777" w:rsidR="008B7F41" w:rsidRDefault="004C709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Huang S</w:t>
      </w:r>
      <w:r>
        <w:rPr>
          <w:rFonts w:ascii="Book Antiqua" w:eastAsia="Book Antiqua" w:hAnsi="Book Antiqua" w:cs="Book Antiqua"/>
          <w:color w:val="000000"/>
        </w:rPr>
        <w:t xml:space="preserve">, Cao Y, Guo H, Yao Y, Li L, Chen J, Li J, Xiang X, Deng 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Up-regulated acylglycerol kinase (AGK) expression associates with gastric cancer progressi</w:t>
      </w:r>
      <w:r>
        <w:rPr>
          <w:rFonts w:ascii="Book Antiqua" w:eastAsia="Book Antiqua" w:hAnsi="Book Antiqua" w:cs="Book Antiqua"/>
          <w:color w:val="000000"/>
        </w:rPr>
        <w:t xml:space="preserve">on through the formation of a novel YAP1-AGK-positive loop.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11133-11145 [PMID: 32827244 DOI: 10.1111/jcmm.15613]</w:t>
      </w:r>
    </w:p>
    <w:p w14:paraId="0E7001AE" w14:textId="77777777" w:rsidR="008B7F41" w:rsidRDefault="004C709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L</w:t>
      </w:r>
      <w:r>
        <w:rPr>
          <w:rFonts w:ascii="Book Antiqua" w:eastAsia="Book Antiqua" w:hAnsi="Book Antiqua" w:cs="Book Antiqua"/>
          <w:color w:val="000000"/>
        </w:rPr>
        <w:t xml:space="preserve">, Zhao J, Huang S, Wang Y, Zhu L, Cao Y,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Deng J. MiR-93-5p promotes gastric cancer-cell progression </w:t>
      </w:r>
      <w:r>
        <w:rPr>
          <w:rFonts w:ascii="Book Antiqua" w:eastAsia="Book Antiqua" w:hAnsi="Book Antiqua" w:cs="Book Antiqua"/>
          <w:i/>
          <w:iCs/>
          <w:color w:val="000000"/>
        </w:rPr>
        <w:t>vi</w:t>
      </w:r>
      <w:r>
        <w:rPr>
          <w:rFonts w:ascii="Book Antiqua" w:eastAsia="Book Antiqua" w:hAnsi="Book Antiqua" w:cs="Book Antiqua"/>
          <w:i/>
          <w:iCs/>
          <w:color w:val="000000"/>
        </w:rPr>
        <w:t>a</w:t>
      </w:r>
      <w:r>
        <w:rPr>
          <w:rFonts w:ascii="Book Antiqua" w:eastAsia="Book Antiqua" w:hAnsi="Book Antiqua" w:cs="Book Antiqua"/>
          <w:color w:val="000000"/>
        </w:rPr>
        <w:t xml:space="preserve"> inactivation of the Hippo signaling pathway.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2018; </w:t>
      </w:r>
      <w:r>
        <w:rPr>
          <w:rFonts w:ascii="Book Antiqua" w:eastAsia="Book Antiqua" w:hAnsi="Book Antiqua" w:cs="Book Antiqua"/>
          <w:b/>
          <w:bCs/>
          <w:color w:val="000000"/>
        </w:rPr>
        <w:t>641</w:t>
      </w:r>
      <w:r>
        <w:rPr>
          <w:rFonts w:ascii="Book Antiqua" w:eastAsia="Book Antiqua" w:hAnsi="Book Antiqua" w:cs="Book Antiqua"/>
          <w:color w:val="000000"/>
        </w:rPr>
        <w:t>: 240-247 [PMID: 29045821 DOI: 10.1016/j.gene.2017.09.071]</w:t>
      </w:r>
    </w:p>
    <w:p w14:paraId="79FD1E4A" w14:textId="77777777" w:rsidR="008B7F41" w:rsidRDefault="004C709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Gao J</w:t>
      </w:r>
      <w:r>
        <w:rPr>
          <w:rFonts w:ascii="Book Antiqua" w:eastAsia="Book Antiqua" w:hAnsi="Book Antiqua" w:cs="Book Antiqua"/>
          <w:color w:val="000000"/>
        </w:rPr>
        <w:t xml:space="preserve">, Aksoy BA, </w:t>
      </w:r>
      <w:proofErr w:type="spellStart"/>
      <w:r>
        <w:rPr>
          <w:rFonts w:ascii="Book Antiqua" w:eastAsia="Book Antiqua" w:hAnsi="Book Antiqua" w:cs="Book Antiqua"/>
          <w:color w:val="000000"/>
        </w:rPr>
        <w:t>Dogrusoz</w:t>
      </w:r>
      <w:proofErr w:type="spellEnd"/>
      <w:r>
        <w:rPr>
          <w:rFonts w:ascii="Book Antiqua" w:eastAsia="Book Antiqua" w:hAnsi="Book Antiqua" w:cs="Book Antiqua"/>
          <w:color w:val="000000"/>
        </w:rPr>
        <w:t xml:space="preserve"> U, Dresdner G, Gross B, Sumer SO, Sun Y, Jacobsen A, Sinha R, Larsson E, </w:t>
      </w:r>
      <w:proofErr w:type="spellStart"/>
      <w:r>
        <w:rPr>
          <w:rFonts w:ascii="Book Antiqua" w:eastAsia="Book Antiqua" w:hAnsi="Book Antiqua" w:cs="Book Antiqua"/>
          <w:color w:val="000000"/>
        </w:rPr>
        <w:t>Cerami</w:t>
      </w:r>
      <w:proofErr w:type="spellEnd"/>
      <w:r>
        <w:rPr>
          <w:rFonts w:ascii="Book Antiqua" w:eastAsia="Book Antiqua" w:hAnsi="Book Antiqua" w:cs="Book Antiqua"/>
          <w:color w:val="000000"/>
        </w:rPr>
        <w:t xml:space="preserve"> E, Sander C, Schultz N. Int</w:t>
      </w:r>
      <w:r>
        <w:rPr>
          <w:rFonts w:ascii="Book Antiqua" w:eastAsia="Book Antiqua" w:hAnsi="Book Antiqua" w:cs="Book Antiqua"/>
          <w:color w:val="000000"/>
        </w:rPr>
        <w:t xml:space="preserve">egrative analysis of complex cancer genomics and clinical profiles using the </w:t>
      </w:r>
      <w:proofErr w:type="spellStart"/>
      <w:r>
        <w:rPr>
          <w:rFonts w:ascii="Book Antiqua" w:eastAsia="Book Antiqua" w:hAnsi="Book Antiqua" w:cs="Book Antiqua"/>
          <w:color w:val="000000"/>
        </w:rPr>
        <w:t>cBioPortal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pl1 [PMID: 23550210 DOI: 10.1126/scisignal.2004088]</w:t>
      </w:r>
    </w:p>
    <w:p w14:paraId="7E7FFD6B" w14:textId="77777777" w:rsidR="008B7F41" w:rsidRDefault="004C709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 T</w:t>
      </w:r>
      <w:r>
        <w:rPr>
          <w:rFonts w:ascii="Book Antiqua" w:eastAsia="Book Antiqua" w:hAnsi="Book Antiqua" w:cs="Book Antiqua"/>
          <w:color w:val="000000"/>
        </w:rPr>
        <w:t>, Fu J, Zeng Z, Cohen D, Li J, Chen Q, Li B, Liu XS. TIMER2.0 for analysis of tumor-infi</w:t>
      </w:r>
      <w:r>
        <w:rPr>
          <w:rFonts w:ascii="Book Antiqua" w:eastAsia="Book Antiqua" w:hAnsi="Book Antiqua" w:cs="Book Antiqua"/>
          <w:color w:val="000000"/>
        </w:rPr>
        <w:t xml:space="preserve">ltrating immune cells.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W509-W514 [PMID: 32442275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/gkaa407]</w:t>
      </w:r>
    </w:p>
    <w:p w14:paraId="0F29F61F" w14:textId="77777777" w:rsidR="008B7F41" w:rsidRDefault="004C709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Chandrashekar 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Bashel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Balasubramanya</w:t>
      </w:r>
      <w:proofErr w:type="spellEnd"/>
      <w:r>
        <w:rPr>
          <w:rFonts w:ascii="Book Antiqua" w:eastAsia="Book Antiqua" w:hAnsi="Book Antiqua" w:cs="Book Antiqua"/>
          <w:color w:val="000000"/>
        </w:rPr>
        <w:t xml:space="preserve"> SAH, Creighton CJ, Ponce-Rodriguez I, </w:t>
      </w:r>
      <w:proofErr w:type="spellStart"/>
      <w:r>
        <w:rPr>
          <w:rFonts w:ascii="Book Antiqua" w:eastAsia="Book Antiqua" w:hAnsi="Book Antiqua" w:cs="Book Antiqua"/>
          <w:color w:val="000000"/>
        </w:rPr>
        <w:t>Chakravarthi</w:t>
      </w:r>
      <w:proofErr w:type="spellEnd"/>
      <w:r>
        <w:rPr>
          <w:rFonts w:ascii="Book Antiqua" w:eastAsia="Book Antiqua" w:hAnsi="Book Antiqua" w:cs="Book Antiqua"/>
          <w:color w:val="000000"/>
        </w:rPr>
        <w:t xml:space="preserve"> BVSK, </w:t>
      </w:r>
      <w:proofErr w:type="spellStart"/>
      <w:r>
        <w:rPr>
          <w:rFonts w:ascii="Book Antiqua" w:eastAsia="Book Antiqua" w:hAnsi="Book Antiqua" w:cs="Book Antiqua"/>
          <w:color w:val="000000"/>
        </w:rPr>
        <w:t>Varambally</w:t>
      </w:r>
      <w:proofErr w:type="spellEnd"/>
      <w:r>
        <w:rPr>
          <w:rFonts w:ascii="Book Antiqua" w:eastAsia="Book Antiqua" w:hAnsi="Book Antiqua" w:cs="Book Antiqua"/>
          <w:color w:val="000000"/>
        </w:rPr>
        <w:t xml:space="preserve"> S. UALCAN: A Portal for Facilitating Tu</w:t>
      </w:r>
      <w:r>
        <w:rPr>
          <w:rFonts w:ascii="Book Antiqua" w:eastAsia="Book Antiqua" w:hAnsi="Book Antiqua" w:cs="Book Antiqua"/>
          <w:color w:val="000000"/>
        </w:rPr>
        <w:t xml:space="preserve">mor Subgroup Gene Expression and Survival Analyses. </w:t>
      </w:r>
      <w:r>
        <w:rPr>
          <w:rFonts w:ascii="Book Antiqua" w:eastAsia="Book Antiqua" w:hAnsi="Book Antiqua" w:cs="Book Antiqua"/>
          <w:i/>
          <w:iCs/>
          <w:color w:val="000000"/>
        </w:rPr>
        <w:t>Neoplasia</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649-658 [PMID: 28732212 DOI: 10.1016/j.neo.2017.05.002]</w:t>
      </w:r>
    </w:p>
    <w:p w14:paraId="57D3CDAA" w14:textId="77777777" w:rsidR="008B7F41" w:rsidRDefault="004C7094">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Szász</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Lánczky</w:t>
      </w:r>
      <w:proofErr w:type="spellEnd"/>
      <w:r>
        <w:rPr>
          <w:rFonts w:ascii="Book Antiqua" w:eastAsia="Book Antiqua" w:hAnsi="Book Antiqua" w:cs="Book Antiqua"/>
          <w:color w:val="000000"/>
        </w:rPr>
        <w:t xml:space="preserve"> A, Nagy Á, </w:t>
      </w:r>
      <w:proofErr w:type="spellStart"/>
      <w:r>
        <w:rPr>
          <w:rFonts w:ascii="Book Antiqua" w:eastAsia="Book Antiqua" w:hAnsi="Book Antiqua" w:cs="Book Antiqua"/>
          <w:color w:val="000000"/>
        </w:rPr>
        <w:t>Förster</w:t>
      </w:r>
      <w:proofErr w:type="spellEnd"/>
      <w:r>
        <w:rPr>
          <w:rFonts w:ascii="Book Antiqua" w:eastAsia="Book Antiqua" w:hAnsi="Book Antiqua" w:cs="Book Antiqua"/>
          <w:color w:val="000000"/>
        </w:rPr>
        <w:t xml:space="preserve"> S, Hark K, Green JE, </w:t>
      </w:r>
      <w:proofErr w:type="spellStart"/>
      <w:r>
        <w:rPr>
          <w:rFonts w:ascii="Book Antiqua" w:eastAsia="Book Antiqua" w:hAnsi="Book Antiqua" w:cs="Book Antiqua"/>
          <w:color w:val="000000"/>
        </w:rPr>
        <w:t>Boussioutas</w:t>
      </w:r>
      <w:proofErr w:type="spellEnd"/>
      <w:r>
        <w:rPr>
          <w:rFonts w:ascii="Book Antiqua" w:eastAsia="Book Antiqua" w:hAnsi="Book Antiqua" w:cs="Book Antiqua"/>
          <w:color w:val="000000"/>
        </w:rPr>
        <w:t xml:space="preserve"> A, Busuttil R, </w:t>
      </w:r>
      <w:proofErr w:type="spellStart"/>
      <w:r>
        <w:rPr>
          <w:rFonts w:ascii="Book Antiqua" w:eastAsia="Book Antiqua" w:hAnsi="Book Antiqua" w:cs="Book Antiqua"/>
          <w:color w:val="000000"/>
        </w:rPr>
        <w:t>Szabó</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Győrffy</w:t>
      </w:r>
      <w:proofErr w:type="spellEnd"/>
      <w:r>
        <w:rPr>
          <w:rFonts w:ascii="Book Antiqua" w:eastAsia="Book Antiqua" w:hAnsi="Book Antiqua" w:cs="Book Antiqua"/>
          <w:color w:val="000000"/>
        </w:rPr>
        <w:t xml:space="preserve"> B. Cross-validation of survival associated biomarkers in gastric cancer using transcriptomic data of 1,065 patients.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49322-49333 [PMID: 273849</w:t>
      </w:r>
      <w:r>
        <w:rPr>
          <w:rFonts w:ascii="Book Antiqua" w:eastAsia="Book Antiqua" w:hAnsi="Book Antiqua" w:cs="Book Antiqua"/>
          <w:color w:val="000000"/>
        </w:rPr>
        <w:t>94 DOI: 10.18632/oncotarget.10337]</w:t>
      </w:r>
    </w:p>
    <w:p w14:paraId="7385DAC1" w14:textId="77777777" w:rsidR="008B7F41" w:rsidRDefault="004C709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Xu B,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Y, Huang H, Wang C, Li D, Qian J. Overexpression of deubiquitinating enzyme USP28 promoted non-small cell lung cancer growth.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799-805 [PMID: 25656529 DOI: 10.1111/jcmm.1242</w:t>
      </w:r>
      <w:r>
        <w:rPr>
          <w:rFonts w:ascii="Book Antiqua" w:eastAsia="Book Antiqua" w:hAnsi="Book Antiqua" w:cs="Book Antiqua"/>
          <w:color w:val="000000"/>
        </w:rPr>
        <w:t>6]</w:t>
      </w:r>
    </w:p>
    <w:p w14:paraId="712622CF" w14:textId="77777777" w:rsidR="008B7F41" w:rsidRDefault="004C709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Yao L, Zhang X, Ji H, Wang L, Sun S, Pang D. Elevated expression of USP22 in correlation with poor prognosis in patients with invasive breast cancer. </w:t>
      </w:r>
      <w:r>
        <w:rPr>
          <w:rFonts w:ascii="Book Antiqua" w:eastAsia="Book Antiqua" w:hAnsi="Book Antiqua" w:cs="Book Antiqua"/>
          <w:i/>
          <w:iCs/>
          <w:color w:val="000000"/>
        </w:rPr>
        <w:t xml:space="preserve">J </w:t>
      </w:r>
      <w:r>
        <w:rPr>
          <w:rFonts w:ascii="Book Antiqua" w:eastAsia="Book Antiqua" w:hAnsi="Book Antiqua" w:cs="Book Antiqua"/>
          <w:i/>
          <w:iCs/>
          <w:color w:val="000000"/>
        </w:rPr>
        <w:lastRenderedPageBreak/>
        <w:t>Cancer Res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137</w:t>
      </w:r>
      <w:r>
        <w:rPr>
          <w:rFonts w:ascii="Book Antiqua" w:eastAsia="Book Antiqua" w:hAnsi="Book Antiqua" w:cs="Book Antiqua"/>
          <w:color w:val="000000"/>
        </w:rPr>
        <w:t>: 1245-1253 [PMID: 21691749 DOI: 10.1007/s00432-011-0998-9</w:t>
      </w:r>
      <w:r>
        <w:rPr>
          <w:rFonts w:ascii="Book Antiqua" w:eastAsia="Book Antiqua" w:hAnsi="Book Antiqua" w:cs="Book Antiqua"/>
          <w:color w:val="000000"/>
        </w:rPr>
        <w:t>]</w:t>
      </w:r>
    </w:p>
    <w:p w14:paraId="5F125369" w14:textId="77777777" w:rsidR="008B7F41" w:rsidRDefault="004C7094">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Bayraktar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Gutierrez Barrera AM, Liu D, </w:t>
      </w:r>
      <w:proofErr w:type="spellStart"/>
      <w:r>
        <w:rPr>
          <w:rFonts w:ascii="Book Antiqua" w:eastAsia="Book Antiqua" w:hAnsi="Book Antiqua" w:cs="Book Antiqua"/>
          <w:color w:val="000000"/>
        </w:rPr>
        <w:t>Pusztai</w:t>
      </w:r>
      <w:proofErr w:type="spellEnd"/>
      <w:r>
        <w:rPr>
          <w:rFonts w:ascii="Book Antiqua" w:eastAsia="Book Antiqua" w:hAnsi="Book Antiqua" w:cs="Book Antiqua"/>
          <w:color w:val="000000"/>
        </w:rPr>
        <w:t xml:space="preserve"> L, Litton J, Valero V, Hunt K, </w:t>
      </w:r>
      <w:proofErr w:type="spellStart"/>
      <w:r>
        <w:rPr>
          <w:rFonts w:ascii="Book Antiqua" w:eastAsia="Book Antiqua" w:hAnsi="Book Antiqua" w:cs="Book Antiqua"/>
          <w:color w:val="000000"/>
        </w:rPr>
        <w:t>Hortobagyi</w:t>
      </w:r>
      <w:proofErr w:type="spellEnd"/>
      <w:r>
        <w:rPr>
          <w:rFonts w:ascii="Book Antiqua" w:eastAsia="Book Antiqua" w:hAnsi="Book Antiqua" w:cs="Book Antiqua"/>
          <w:color w:val="000000"/>
        </w:rPr>
        <w:t xml:space="preserve"> GN, Wu Y, </w:t>
      </w:r>
      <w:proofErr w:type="spellStart"/>
      <w:r>
        <w:rPr>
          <w:rFonts w:ascii="Book Antiqua" w:eastAsia="Book Antiqua" w:hAnsi="Book Antiqua" w:cs="Book Antiqua"/>
          <w:color w:val="000000"/>
        </w:rPr>
        <w:t>Symmans</w:t>
      </w:r>
      <w:proofErr w:type="spellEnd"/>
      <w:r>
        <w:rPr>
          <w:rFonts w:ascii="Book Antiqua" w:eastAsia="Book Antiqua" w:hAnsi="Book Antiqua" w:cs="Book Antiqua"/>
          <w:color w:val="000000"/>
        </w:rPr>
        <w:t xml:space="preserve"> F, Arun B. USP-11 as a predictive and prognostic factor following neoadjuvant therapy in women with breast cancer. </w:t>
      </w:r>
      <w:r>
        <w:rPr>
          <w:rFonts w:ascii="Book Antiqua" w:eastAsia="Book Antiqua" w:hAnsi="Book Antiqua" w:cs="Book Antiqua"/>
          <w:i/>
          <w:iCs/>
          <w:color w:val="000000"/>
        </w:rPr>
        <w:t>Cancer J</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10-17 [</w:t>
      </w:r>
      <w:r>
        <w:rPr>
          <w:rFonts w:ascii="Book Antiqua" w:eastAsia="Book Antiqua" w:hAnsi="Book Antiqua" w:cs="Book Antiqua"/>
          <w:color w:val="000000"/>
        </w:rPr>
        <w:t>PMID: 23337751 DOI: 10.1097/PPO.0b013e3182801b3a]</w:t>
      </w:r>
    </w:p>
    <w:p w14:paraId="5D16D8DB" w14:textId="77777777" w:rsidR="008B7F41" w:rsidRDefault="004C709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Hanahan D</w:t>
      </w:r>
      <w:r>
        <w:rPr>
          <w:rFonts w:ascii="Book Antiqua" w:eastAsia="Book Antiqua" w:hAnsi="Book Antiqua" w:cs="Book Antiqua"/>
          <w:color w:val="000000"/>
        </w:rPr>
        <w:t xml:space="preserve">, Weinberg RA. Hallmarks of cancer: the next generation.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144</w:t>
      </w:r>
      <w:r>
        <w:rPr>
          <w:rFonts w:ascii="Book Antiqua" w:eastAsia="Book Antiqua" w:hAnsi="Book Antiqua" w:cs="Book Antiqua"/>
          <w:color w:val="000000"/>
        </w:rPr>
        <w:t>: 646-674 [PMID: 21376230 DOI: 10.1016/j.cell.2011.02.013]</w:t>
      </w:r>
    </w:p>
    <w:p w14:paraId="508A311C" w14:textId="77777777" w:rsidR="008B7F41" w:rsidRDefault="004C709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Jiang WG</w:t>
      </w:r>
      <w:r>
        <w:rPr>
          <w:rFonts w:ascii="Book Antiqua" w:eastAsia="Book Antiqua" w:hAnsi="Book Antiqua" w:cs="Book Antiqua"/>
          <w:color w:val="000000"/>
        </w:rPr>
        <w:t xml:space="preserve">, Sanders AJ,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Ungefroren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Gieseler</w:t>
      </w:r>
      <w:proofErr w:type="spellEnd"/>
      <w:r>
        <w:rPr>
          <w:rFonts w:ascii="Book Antiqua" w:eastAsia="Book Antiqua" w:hAnsi="Book Antiqua" w:cs="Book Antiqua"/>
          <w:color w:val="000000"/>
        </w:rPr>
        <w:t xml:space="preserve"> F, Prin</w:t>
      </w:r>
      <w:r>
        <w:rPr>
          <w:rFonts w:ascii="Book Antiqua" w:eastAsia="Book Antiqua" w:hAnsi="Book Antiqua" w:cs="Book Antiqua"/>
          <w:color w:val="000000"/>
        </w:rPr>
        <w:t xml:space="preserve">ce M, Thompson SK, </w:t>
      </w:r>
      <w:proofErr w:type="spellStart"/>
      <w:r>
        <w:rPr>
          <w:rFonts w:ascii="Book Antiqua" w:eastAsia="Book Antiqua" w:hAnsi="Book Antiqua" w:cs="Book Antiqua"/>
          <w:color w:val="000000"/>
        </w:rPr>
        <w:t>Zollo</w:t>
      </w:r>
      <w:proofErr w:type="spellEnd"/>
      <w:r>
        <w:rPr>
          <w:rFonts w:ascii="Book Antiqua" w:eastAsia="Book Antiqua" w:hAnsi="Book Antiqua" w:cs="Book Antiqua"/>
          <w:color w:val="000000"/>
        </w:rPr>
        <w:t xml:space="preserve"> M, Spano D, Dhawan P, </w:t>
      </w:r>
      <w:proofErr w:type="spellStart"/>
      <w:r>
        <w:rPr>
          <w:rFonts w:ascii="Book Antiqua" w:eastAsia="Book Antiqua" w:hAnsi="Book Antiqua" w:cs="Book Antiqua"/>
          <w:color w:val="000000"/>
        </w:rPr>
        <w:t>Sliva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Subbarayan</w:t>
      </w:r>
      <w:proofErr w:type="spellEnd"/>
      <w:r>
        <w:rPr>
          <w:rFonts w:ascii="Book Antiqua" w:eastAsia="Book Antiqua" w:hAnsi="Book Antiqua" w:cs="Book Antiqua"/>
          <w:color w:val="000000"/>
        </w:rPr>
        <w:t xml:space="preserve"> PR, Sarkar M, </w:t>
      </w:r>
      <w:proofErr w:type="spellStart"/>
      <w:r>
        <w:rPr>
          <w:rFonts w:ascii="Book Antiqua" w:eastAsia="Book Antiqua" w:hAnsi="Book Antiqua" w:cs="Book Antiqua"/>
          <w:color w:val="000000"/>
        </w:rPr>
        <w:t>Honoki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Georgakilas</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Amedei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Niccolai</w:t>
      </w:r>
      <w:proofErr w:type="spellEnd"/>
      <w:r>
        <w:rPr>
          <w:rFonts w:ascii="Book Antiqua" w:eastAsia="Book Antiqua" w:hAnsi="Book Antiqua" w:cs="Book Antiqua"/>
          <w:color w:val="000000"/>
        </w:rPr>
        <w:t xml:space="preserve"> E, Amin A, Ashraf SS, Ye L, </w:t>
      </w:r>
      <w:proofErr w:type="spellStart"/>
      <w:r>
        <w:rPr>
          <w:rFonts w:ascii="Book Antiqua" w:eastAsia="Book Antiqua" w:hAnsi="Book Antiqua" w:cs="Book Antiqua"/>
          <w:color w:val="000000"/>
        </w:rPr>
        <w:t>Helferich</w:t>
      </w:r>
      <w:proofErr w:type="spellEnd"/>
      <w:r>
        <w:rPr>
          <w:rFonts w:ascii="Book Antiqua" w:eastAsia="Book Antiqua" w:hAnsi="Book Antiqua" w:cs="Book Antiqua"/>
          <w:color w:val="000000"/>
        </w:rPr>
        <w:t xml:space="preserve"> WG, Yang X, </w:t>
      </w:r>
      <w:proofErr w:type="spellStart"/>
      <w:r>
        <w:rPr>
          <w:rFonts w:ascii="Book Antiqua" w:eastAsia="Book Antiqua" w:hAnsi="Book Antiqua" w:cs="Book Antiqua"/>
          <w:color w:val="000000"/>
        </w:rPr>
        <w:t>Boosani</w:t>
      </w:r>
      <w:proofErr w:type="spellEnd"/>
      <w:r>
        <w:rPr>
          <w:rFonts w:ascii="Book Antiqua" w:eastAsia="Book Antiqua" w:hAnsi="Book Antiqua" w:cs="Book Antiqua"/>
          <w:color w:val="000000"/>
        </w:rPr>
        <w:t xml:space="preserve"> CS, Guha G, </w:t>
      </w:r>
      <w:proofErr w:type="spellStart"/>
      <w:r>
        <w:rPr>
          <w:rFonts w:ascii="Book Antiqua" w:eastAsia="Book Antiqua" w:hAnsi="Book Antiqua" w:cs="Book Antiqua"/>
          <w:color w:val="000000"/>
        </w:rPr>
        <w:t>Ciriolo</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Aquilano</w:t>
      </w:r>
      <w:proofErr w:type="spellEnd"/>
      <w:r>
        <w:rPr>
          <w:rFonts w:ascii="Book Antiqua" w:eastAsia="Book Antiqua" w:hAnsi="Book Antiqua" w:cs="Book Antiqua"/>
          <w:color w:val="000000"/>
        </w:rPr>
        <w:t xml:space="preserve"> K, Chen S, Azmi AS, Keith WN, </w:t>
      </w:r>
      <w:r>
        <w:rPr>
          <w:rFonts w:ascii="Book Antiqua" w:eastAsia="Book Antiqua" w:hAnsi="Book Antiqua" w:cs="Book Antiqua"/>
          <w:color w:val="000000"/>
        </w:rPr>
        <w:t xml:space="preserve">Bilsland A, Bhakta D, </w:t>
      </w:r>
      <w:proofErr w:type="spellStart"/>
      <w:r>
        <w:rPr>
          <w:rFonts w:ascii="Book Antiqua" w:eastAsia="Book Antiqua" w:hAnsi="Book Antiqua" w:cs="Book Antiqua"/>
          <w:color w:val="000000"/>
        </w:rPr>
        <w:t>Halicka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Nowsheen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Pantano</w:t>
      </w:r>
      <w:proofErr w:type="spellEnd"/>
      <w:r>
        <w:rPr>
          <w:rFonts w:ascii="Book Antiqua" w:eastAsia="Book Antiqua" w:hAnsi="Book Antiqua" w:cs="Book Antiqua"/>
          <w:color w:val="000000"/>
        </w:rPr>
        <w:t xml:space="preserve"> F, Santini D. Tissue invasion and metastasis: Molecular, biological and clinical perspectives.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35 Suppl</w:t>
      </w:r>
      <w:r>
        <w:rPr>
          <w:rFonts w:ascii="Book Antiqua" w:eastAsia="Book Antiqua" w:hAnsi="Book Antiqua" w:cs="Book Antiqua"/>
          <w:color w:val="000000"/>
        </w:rPr>
        <w:t>: S244-S275 [PMID: 25865774 DOI: 10.1016/j.semcancer.2015.03.008]</w:t>
      </w:r>
    </w:p>
    <w:p w14:paraId="608ADA0F" w14:textId="77777777" w:rsidR="008B7F41" w:rsidRDefault="004C7094">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Zeisber</w:t>
      </w:r>
      <w:r>
        <w:rPr>
          <w:rFonts w:ascii="Book Antiqua" w:eastAsia="Book Antiqua" w:hAnsi="Book Antiqua" w:cs="Book Antiqua"/>
          <w:b/>
          <w:bCs/>
          <w:color w:val="000000"/>
        </w:rPr>
        <w:t>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Neilson EG. Biomarkers for epithelial-mesenchymal transitions.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2009; </w:t>
      </w:r>
      <w:r>
        <w:rPr>
          <w:rFonts w:ascii="Book Antiqua" w:eastAsia="Book Antiqua" w:hAnsi="Book Antiqua" w:cs="Book Antiqua"/>
          <w:b/>
          <w:bCs/>
          <w:color w:val="000000"/>
        </w:rPr>
        <w:t>119</w:t>
      </w:r>
      <w:r>
        <w:rPr>
          <w:rFonts w:ascii="Book Antiqua" w:eastAsia="Book Antiqua" w:hAnsi="Book Antiqua" w:cs="Book Antiqua"/>
          <w:color w:val="000000"/>
        </w:rPr>
        <w:t>: 1429-1437 [PMID: 19487819 DOI: 10.1172/JCI36183]</w:t>
      </w:r>
    </w:p>
    <w:p w14:paraId="49DC57F3" w14:textId="77777777" w:rsidR="008B7F41" w:rsidRDefault="004C709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Iyengar PV</w:t>
      </w:r>
      <w:r>
        <w:rPr>
          <w:rFonts w:ascii="Book Antiqua" w:eastAsia="Book Antiqua" w:hAnsi="Book Antiqua" w:cs="Book Antiqua"/>
          <w:color w:val="000000"/>
        </w:rPr>
        <w:t xml:space="preserve">, Jaynes P, Rodon L, Lama D, Law KP, Lim YP, Verma C, </w:t>
      </w:r>
      <w:proofErr w:type="spellStart"/>
      <w:r>
        <w:rPr>
          <w:rFonts w:ascii="Book Antiqua" w:eastAsia="Book Antiqua" w:hAnsi="Book Antiqua" w:cs="Book Antiqua"/>
          <w:color w:val="000000"/>
        </w:rPr>
        <w:t>Seoane</w:t>
      </w:r>
      <w:proofErr w:type="spellEnd"/>
      <w:r>
        <w:rPr>
          <w:rFonts w:ascii="Book Antiqua" w:eastAsia="Book Antiqua" w:hAnsi="Book Antiqua" w:cs="Book Antiqua"/>
          <w:color w:val="000000"/>
        </w:rPr>
        <w:t xml:space="preserve"> J, Eichhorn PJ. USP15 regulates SMURF2 k</w:t>
      </w:r>
      <w:r>
        <w:rPr>
          <w:rFonts w:ascii="Book Antiqua" w:eastAsia="Book Antiqua" w:hAnsi="Book Antiqua" w:cs="Book Antiqua"/>
          <w:color w:val="000000"/>
        </w:rPr>
        <w:t xml:space="preserve">inetics through C-lobe mediated </w:t>
      </w:r>
      <w:proofErr w:type="spellStart"/>
      <w:r>
        <w:rPr>
          <w:rFonts w:ascii="Book Antiqua" w:eastAsia="Book Antiqua" w:hAnsi="Book Antiqua" w:cs="Book Antiqua"/>
          <w:color w:val="000000"/>
        </w:rPr>
        <w:t>deubiquitination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14733 [PMID: 26435193 DOI: 10.1038/srep14733]</w:t>
      </w:r>
    </w:p>
    <w:p w14:paraId="2526F1B3" w14:textId="77777777" w:rsidR="008B7F41" w:rsidRDefault="004C7094">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Hetfeld</w:t>
      </w:r>
      <w:proofErr w:type="spellEnd"/>
      <w:r>
        <w:rPr>
          <w:rFonts w:ascii="Book Antiqua" w:eastAsia="Book Antiqua" w:hAnsi="Book Antiqua" w:cs="Book Antiqua"/>
          <w:b/>
          <w:bCs/>
          <w:color w:val="000000"/>
        </w:rPr>
        <w:t xml:space="preserve"> BK</w:t>
      </w:r>
      <w:r>
        <w:rPr>
          <w:rFonts w:ascii="Book Antiqua" w:eastAsia="Book Antiqua" w:hAnsi="Book Antiqua" w:cs="Book Antiqua"/>
          <w:color w:val="000000"/>
        </w:rPr>
        <w:t xml:space="preserve">, Helfrich A, </w:t>
      </w:r>
      <w:proofErr w:type="spellStart"/>
      <w:r>
        <w:rPr>
          <w:rFonts w:ascii="Book Antiqua" w:eastAsia="Book Antiqua" w:hAnsi="Book Antiqua" w:cs="Book Antiqua"/>
          <w:color w:val="000000"/>
        </w:rPr>
        <w:t>Kapelari</w:t>
      </w:r>
      <w:proofErr w:type="spellEnd"/>
      <w:r>
        <w:rPr>
          <w:rFonts w:ascii="Book Antiqua" w:eastAsia="Book Antiqua" w:hAnsi="Book Antiqua" w:cs="Book Antiqua"/>
          <w:color w:val="000000"/>
        </w:rPr>
        <w:t xml:space="preserve"> B, Scheel H, Hofmann K, </w:t>
      </w:r>
      <w:proofErr w:type="spellStart"/>
      <w:r>
        <w:rPr>
          <w:rFonts w:ascii="Book Antiqua" w:eastAsia="Book Antiqua" w:hAnsi="Book Antiqua" w:cs="Book Antiqua"/>
          <w:color w:val="000000"/>
        </w:rPr>
        <w:t>Guterman</w:t>
      </w:r>
      <w:proofErr w:type="spellEnd"/>
      <w:r>
        <w:rPr>
          <w:rFonts w:ascii="Book Antiqua" w:eastAsia="Book Antiqua" w:hAnsi="Book Antiqua" w:cs="Book Antiqua"/>
          <w:color w:val="000000"/>
        </w:rPr>
        <w:t xml:space="preserve"> A, Glickman M, Schade R, </w:t>
      </w:r>
      <w:proofErr w:type="spellStart"/>
      <w:r>
        <w:rPr>
          <w:rFonts w:ascii="Book Antiqua" w:eastAsia="Book Antiqua" w:hAnsi="Book Antiqua" w:cs="Book Antiqua"/>
          <w:color w:val="000000"/>
        </w:rPr>
        <w:t>Kloetzel</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Dubiel</w:t>
      </w:r>
      <w:proofErr w:type="spellEnd"/>
      <w:r>
        <w:rPr>
          <w:rFonts w:ascii="Book Antiqua" w:eastAsia="Book Antiqua" w:hAnsi="Book Antiqua" w:cs="Book Antiqua"/>
          <w:color w:val="000000"/>
        </w:rPr>
        <w:t xml:space="preserve"> W. The zinc finger of the CSN</w:t>
      </w:r>
      <w:r>
        <w:rPr>
          <w:rFonts w:ascii="Book Antiqua" w:eastAsia="Book Antiqua" w:hAnsi="Book Antiqua" w:cs="Book Antiqua"/>
          <w:color w:val="000000"/>
        </w:rPr>
        <w:t xml:space="preserve">-associated deubiquitinating enzyme USP15 is essential to rescue the E3 Ligase Rbx1.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1217-1221 [PMID: 16005295 DOI: 10.1016/j.cub.2005.05.059]</w:t>
      </w:r>
    </w:p>
    <w:p w14:paraId="6213337F" w14:textId="77777777" w:rsidR="008B7F41" w:rsidRDefault="004C709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Schweitzer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Bozko</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Dubiel</w:t>
      </w:r>
      <w:proofErr w:type="spellEnd"/>
      <w:r>
        <w:rPr>
          <w:rFonts w:ascii="Book Antiqua" w:eastAsia="Book Antiqua" w:hAnsi="Book Antiqua" w:cs="Book Antiqua"/>
          <w:color w:val="000000"/>
        </w:rPr>
        <w:t xml:space="preserve"> W, Naumann M. CSN controls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deubiquitinylation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IkappaBalpha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26</w:t>
      </w:r>
      <w:r>
        <w:rPr>
          <w:rFonts w:ascii="Book Antiqua" w:eastAsia="Book Antiqua" w:hAnsi="Book Antiqua" w:cs="Book Antiqua"/>
          <w:color w:val="000000"/>
        </w:rPr>
        <w:t>: 1532-1541 [PMID: 17318178 DOI: 10.1038/sj.emboj.7601600]</w:t>
      </w:r>
    </w:p>
    <w:p w14:paraId="15AB7651" w14:textId="77777777" w:rsidR="008B7F41" w:rsidRDefault="004C709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Inui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Manfrin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Mamidi</w:t>
      </w:r>
      <w:proofErr w:type="spellEnd"/>
      <w:r>
        <w:rPr>
          <w:rFonts w:ascii="Book Antiqua" w:eastAsia="Book Antiqua" w:hAnsi="Book Antiqua" w:cs="Book Antiqua"/>
          <w:color w:val="000000"/>
        </w:rPr>
        <w:t xml:space="preserve"> A, Martello G, </w:t>
      </w:r>
      <w:proofErr w:type="spellStart"/>
      <w:r>
        <w:rPr>
          <w:rFonts w:ascii="Book Antiqua" w:eastAsia="Book Antiqua" w:hAnsi="Book Antiqua" w:cs="Book Antiqua"/>
          <w:color w:val="000000"/>
        </w:rPr>
        <w:t>Morsut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Soligo</w:t>
      </w:r>
      <w:proofErr w:type="spellEnd"/>
      <w:r>
        <w:rPr>
          <w:rFonts w:ascii="Book Antiqua" w:eastAsia="Book Antiqua" w:hAnsi="Book Antiqua" w:cs="Book Antiqua"/>
          <w:color w:val="000000"/>
        </w:rPr>
        <w:t xml:space="preserve"> S, Enzo E, Moro S, Polo S, Dupont S, </w:t>
      </w:r>
      <w:proofErr w:type="spellStart"/>
      <w:r>
        <w:rPr>
          <w:rFonts w:ascii="Book Antiqua" w:eastAsia="Book Antiqua" w:hAnsi="Book Antiqua" w:cs="Book Antiqua"/>
          <w:color w:val="000000"/>
        </w:rPr>
        <w:t>Cordenonsi</w:t>
      </w:r>
      <w:proofErr w:type="spellEnd"/>
      <w:r>
        <w:rPr>
          <w:rFonts w:ascii="Book Antiqua" w:eastAsia="Book Antiqua" w:hAnsi="Book Antiqua" w:cs="Book Antiqua"/>
          <w:color w:val="000000"/>
        </w:rPr>
        <w:t xml:space="preserve"> M, Piccolo S. USP15 is a deubiquitylating enzyme for </w:t>
      </w:r>
      <w:proofErr w:type="gramStart"/>
      <w:r>
        <w:rPr>
          <w:rFonts w:ascii="Book Antiqua" w:eastAsia="Book Antiqua" w:hAnsi="Book Antiqua" w:cs="Book Antiqua"/>
          <w:color w:val="000000"/>
        </w:rPr>
        <w:t>receptor-activated</w:t>
      </w:r>
      <w:proofErr w:type="gramEnd"/>
      <w:r>
        <w:rPr>
          <w:rFonts w:ascii="Book Antiqua" w:eastAsia="Book Antiqua" w:hAnsi="Book Antiqua" w:cs="Book Antiqua"/>
          <w:color w:val="000000"/>
        </w:rPr>
        <w:t xml:space="preserve"> SMADs.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1368-1375 [PMID: 21947082 DOI: 10.1038/ncb2346]</w:t>
      </w:r>
    </w:p>
    <w:p w14:paraId="6DE6B978" w14:textId="77777777" w:rsidR="008B7F41" w:rsidRDefault="004C7094">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Hu</w:t>
      </w:r>
      <w:r>
        <w:rPr>
          <w:rFonts w:ascii="Book Antiqua" w:eastAsia="Book Antiqua" w:hAnsi="Book Antiqua" w:cs="Book Antiqua"/>
          <w:b/>
          <w:bCs/>
          <w:color w:val="000000"/>
        </w:rPr>
        <w:t>ang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Langelotz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Hetfeld-Pechoc</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Schwenk</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Dubiel</w:t>
      </w:r>
      <w:proofErr w:type="spellEnd"/>
      <w:r>
        <w:rPr>
          <w:rFonts w:ascii="Book Antiqua" w:eastAsia="Book Antiqua" w:hAnsi="Book Antiqua" w:cs="Book Antiqua"/>
          <w:color w:val="000000"/>
        </w:rPr>
        <w:t xml:space="preserve"> W. The COP9 signalosome mediates beta-catenin degradation by </w:t>
      </w:r>
      <w:proofErr w:type="spellStart"/>
      <w:r>
        <w:rPr>
          <w:rFonts w:ascii="Book Antiqua" w:eastAsia="Book Antiqua" w:hAnsi="Book Antiqua" w:cs="Book Antiqua"/>
          <w:color w:val="000000"/>
        </w:rPr>
        <w:t>deneddylation</w:t>
      </w:r>
      <w:proofErr w:type="spellEnd"/>
      <w:r>
        <w:rPr>
          <w:rFonts w:ascii="Book Antiqua" w:eastAsia="Book Antiqua" w:hAnsi="Book Antiqua" w:cs="Book Antiqua"/>
          <w:color w:val="000000"/>
        </w:rPr>
        <w:t xml:space="preserve"> and blocks adenomatous polyposis coli destruction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USP15.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391</w:t>
      </w:r>
      <w:r>
        <w:rPr>
          <w:rFonts w:ascii="Book Antiqua" w:eastAsia="Book Antiqua" w:hAnsi="Book Antiqua" w:cs="Book Antiqua"/>
          <w:color w:val="000000"/>
        </w:rPr>
        <w:t>: 691-702 [PMID: 19576224 DOI: 10.1016/j.jm</w:t>
      </w:r>
      <w:r>
        <w:rPr>
          <w:rFonts w:ascii="Book Antiqua" w:eastAsia="Book Antiqua" w:hAnsi="Book Antiqua" w:cs="Book Antiqua"/>
          <w:color w:val="000000"/>
        </w:rPr>
        <w:t>b.2009.06.066]</w:t>
      </w:r>
    </w:p>
    <w:p w14:paraId="47662BB3" w14:textId="77777777" w:rsidR="008B7F41" w:rsidRDefault="004C709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Zhou Q</w:t>
      </w:r>
      <w:r>
        <w:rPr>
          <w:rFonts w:ascii="Book Antiqua" w:eastAsia="Book Antiqua" w:hAnsi="Book Antiqua" w:cs="Book Antiqua"/>
          <w:color w:val="000000"/>
        </w:rPr>
        <w:t xml:space="preserve">, Cheng C, Wei Y, Yang J, Zhou W, Song Q,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M, Yan W, Zheng L, Zhang Y, Huang K. USP15 potentiates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by differentially stabilizing TAB2 and TAB3.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287</w:t>
      </w:r>
      <w:r>
        <w:rPr>
          <w:rFonts w:ascii="Book Antiqua" w:eastAsia="Book Antiqua" w:hAnsi="Book Antiqua" w:cs="Book Antiqua"/>
          <w:color w:val="000000"/>
        </w:rPr>
        <w:t>: 3165-3183 [PMID: 31903660 DOI: 10.1111/febs.15202]</w:t>
      </w:r>
    </w:p>
    <w:p w14:paraId="35A75CA7" w14:textId="77777777" w:rsidR="008B7F41" w:rsidRDefault="004C7094">
      <w:pPr>
        <w:spacing w:line="360" w:lineRule="auto"/>
        <w:jc w:val="both"/>
      </w:pPr>
      <w:r>
        <w:rPr>
          <w:rFonts w:ascii="Book Antiqua" w:eastAsia="Book Antiqua" w:hAnsi="Book Antiqua" w:cs="Book Antiqua"/>
          <w:color w:val="000000"/>
        </w:rPr>
        <w:t>3</w:t>
      </w: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Nusse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Disease, and Emerging Therapeutic Modalities.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169</w:t>
      </w:r>
      <w:r>
        <w:rPr>
          <w:rFonts w:ascii="Book Antiqua" w:eastAsia="Book Antiqua" w:hAnsi="Book Antiqua" w:cs="Book Antiqua"/>
          <w:color w:val="000000"/>
        </w:rPr>
        <w:t>: 985-999 [PMID: 28575679 DOI: 10.1016/j.cell.2017.05.016]</w:t>
      </w:r>
    </w:p>
    <w:p w14:paraId="709A3859" w14:textId="77777777" w:rsidR="008B7F41" w:rsidRDefault="004C7094">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Duñach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Del Valle-Pérez B, García de Herreros A. p120-catenin in 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w:t>
      </w:r>
      <w:r>
        <w:rPr>
          <w:rFonts w:ascii="Book Antiqua" w:eastAsia="Book Antiqua" w:hAnsi="Book Antiqua" w:cs="Book Antiqua"/>
          <w:color w:val="000000"/>
        </w:rPr>
        <w:t xml:space="preserve">ing. </w:t>
      </w:r>
      <w:r>
        <w:rPr>
          <w:rFonts w:ascii="Book Antiqua" w:eastAsia="Book Antiqua" w:hAnsi="Book Antiqua" w:cs="Book Antiqua"/>
          <w:i/>
          <w:iCs/>
          <w:color w:val="000000"/>
        </w:rPr>
        <w:t xml:space="preserve">Crit Rev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Mol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327-339 [PMID: 28276699 DOI: 10.1080/10409238.2017.1295920]</w:t>
      </w:r>
    </w:p>
    <w:p w14:paraId="6770ABAF" w14:textId="77777777" w:rsidR="008B7F41" w:rsidRDefault="004C7094">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Warde</w:t>
      </w:r>
      <w:proofErr w:type="spellEnd"/>
      <w:r>
        <w:rPr>
          <w:rFonts w:ascii="Book Antiqua" w:eastAsia="Book Antiqua" w:hAnsi="Book Antiqua" w:cs="Book Antiqua"/>
          <w:b/>
          <w:bCs/>
          <w:color w:val="000000"/>
        </w:rPr>
        <w:t>-Farley D</w:t>
      </w:r>
      <w:r>
        <w:rPr>
          <w:rFonts w:ascii="Book Antiqua" w:eastAsia="Book Antiqua" w:hAnsi="Book Antiqua" w:cs="Book Antiqua"/>
          <w:color w:val="000000"/>
        </w:rPr>
        <w:t xml:space="preserve">, Donaldson SL, Comes O, Zuberi K, </w:t>
      </w:r>
      <w:proofErr w:type="spellStart"/>
      <w:r>
        <w:rPr>
          <w:rFonts w:ascii="Book Antiqua" w:eastAsia="Book Antiqua" w:hAnsi="Book Antiqua" w:cs="Book Antiqua"/>
          <w:color w:val="000000"/>
        </w:rPr>
        <w:t>Badrawi</w:t>
      </w:r>
      <w:proofErr w:type="spellEnd"/>
      <w:r>
        <w:rPr>
          <w:rFonts w:ascii="Book Antiqua" w:eastAsia="Book Antiqua" w:hAnsi="Book Antiqua" w:cs="Book Antiqua"/>
          <w:color w:val="000000"/>
        </w:rPr>
        <w:t xml:space="preserve"> R, Chao P, Franz M, </w:t>
      </w:r>
      <w:proofErr w:type="spellStart"/>
      <w:r>
        <w:rPr>
          <w:rFonts w:ascii="Book Antiqua" w:eastAsia="Book Antiqua" w:hAnsi="Book Antiqua" w:cs="Book Antiqua"/>
          <w:color w:val="000000"/>
        </w:rPr>
        <w:t>Grouios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Kazi</w:t>
      </w:r>
      <w:proofErr w:type="spellEnd"/>
      <w:r>
        <w:rPr>
          <w:rFonts w:ascii="Book Antiqua" w:eastAsia="Book Antiqua" w:hAnsi="Book Antiqua" w:cs="Book Antiqua"/>
          <w:color w:val="000000"/>
        </w:rPr>
        <w:t xml:space="preserve"> F, Lopes CT, Maitland A, </w:t>
      </w:r>
      <w:proofErr w:type="spellStart"/>
      <w:r>
        <w:rPr>
          <w:rFonts w:ascii="Book Antiqua" w:eastAsia="Book Antiqua" w:hAnsi="Book Antiqua" w:cs="Book Antiqua"/>
          <w:color w:val="000000"/>
        </w:rPr>
        <w:t>Mostafavi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Montojo</w:t>
      </w:r>
      <w:proofErr w:type="spellEnd"/>
      <w:r>
        <w:rPr>
          <w:rFonts w:ascii="Book Antiqua" w:eastAsia="Book Antiqua" w:hAnsi="Book Antiqua" w:cs="Book Antiqua"/>
          <w:color w:val="000000"/>
        </w:rPr>
        <w:t xml:space="preserve"> J, Shao Q, Wr</w:t>
      </w:r>
      <w:r>
        <w:rPr>
          <w:rFonts w:ascii="Book Antiqua" w:eastAsia="Book Antiqua" w:hAnsi="Book Antiqua" w:cs="Book Antiqua"/>
          <w:color w:val="000000"/>
        </w:rPr>
        <w:t xml:space="preserve">ight G, Bader GD, Morris Q. The </w:t>
      </w:r>
      <w:proofErr w:type="spellStart"/>
      <w:r>
        <w:rPr>
          <w:rFonts w:ascii="Book Antiqua" w:eastAsia="Book Antiqua" w:hAnsi="Book Antiqua" w:cs="Book Antiqua"/>
          <w:color w:val="000000"/>
        </w:rPr>
        <w:t>GeneMANIA</w:t>
      </w:r>
      <w:proofErr w:type="spellEnd"/>
      <w:r>
        <w:rPr>
          <w:rFonts w:ascii="Book Antiqua" w:eastAsia="Book Antiqua" w:hAnsi="Book Antiqua" w:cs="Book Antiqua"/>
          <w:color w:val="000000"/>
        </w:rPr>
        <w:t xml:space="preserve"> prediction server: biological network integration for gene prioritization and predicting gene function.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W214-W220 [PMID: 20576703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/gkq537]</w:t>
      </w:r>
    </w:p>
    <w:p w14:paraId="6877546E" w14:textId="77777777" w:rsidR="008B7F41" w:rsidRDefault="008B7F41">
      <w:pPr>
        <w:spacing w:line="360" w:lineRule="auto"/>
        <w:jc w:val="both"/>
        <w:sectPr w:rsidR="008B7F41">
          <w:pgSz w:w="11907" w:h="16840"/>
          <w:pgMar w:top="1440" w:right="1440" w:bottom="1440" w:left="1440" w:header="720" w:footer="720" w:gutter="0"/>
          <w:cols w:space="720"/>
          <w:docGrid w:linePitch="360"/>
        </w:sectPr>
      </w:pPr>
    </w:p>
    <w:bookmarkEnd w:id="16"/>
    <w:bookmarkEnd w:id="17"/>
    <w:p w14:paraId="44EEE377" w14:textId="77777777" w:rsidR="008B7F41" w:rsidRDefault="004C7094">
      <w:pPr>
        <w:spacing w:line="360" w:lineRule="auto"/>
        <w:jc w:val="both"/>
      </w:pPr>
      <w:r>
        <w:rPr>
          <w:rFonts w:ascii="Book Antiqua" w:eastAsia="Book Antiqua" w:hAnsi="Book Antiqua" w:cs="Book Antiqua"/>
          <w:b/>
          <w:color w:val="000000"/>
        </w:rPr>
        <w:lastRenderedPageBreak/>
        <w:t>Footnotes</w:t>
      </w:r>
    </w:p>
    <w:p w14:paraId="1B992E77" w14:textId="77777777" w:rsidR="008B7F41" w:rsidRDefault="004C7094">
      <w:pPr>
        <w:spacing w:line="360" w:lineRule="auto"/>
        <w:jc w:val="both"/>
      </w:pPr>
      <w:r>
        <w:rPr>
          <w:rFonts w:ascii="Book Antiqua" w:eastAsia="Book Antiqua" w:hAnsi="Book Antiqua" w:cs="Book Antiqua"/>
          <w:b/>
          <w:bCs/>
          <w:color w:val="000000"/>
        </w:rPr>
        <w:t>Institutional</w:t>
      </w:r>
      <w:r>
        <w:rPr>
          <w:rFonts w:ascii="Book Antiqua" w:eastAsia="Book Antiqua" w:hAnsi="Book Antiqua" w:cs="Book Antiqua"/>
          <w:b/>
          <w:bCs/>
          <w:color w:val="000000"/>
        </w:rPr>
        <w:t xml:space="preserve"> review board statement: </w:t>
      </w:r>
      <w:r>
        <w:rPr>
          <w:rFonts w:ascii="Book Antiqua" w:eastAsia="Book Antiqua" w:hAnsi="Book Antiqua" w:cs="Book Antiqua"/>
          <w:color w:val="000000"/>
        </w:rPr>
        <w:t>The study was reviewed and approved by the Medical Research Ethics Committee of the First Affiliated Hospital of Nanchang University.</w:t>
      </w:r>
    </w:p>
    <w:p w14:paraId="5E9843BA" w14:textId="77777777" w:rsidR="008B7F41" w:rsidRDefault="008B7F41">
      <w:pPr>
        <w:spacing w:line="360" w:lineRule="auto"/>
        <w:jc w:val="both"/>
      </w:pPr>
    </w:p>
    <w:p w14:paraId="126B0EC4" w14:textId="77777777" w:rsidR="008B7F41" w:rsidRDefault="004C7094">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animal experiments conformed to the i</w:t>
      </w:r>
      <w:r>
        <w:rPr>
          <w:rFonts w:ascii="Book Antiqua" w:eastAsia="Book Antiqua" w:hAnsi="Book Antiqua" w:cs="Book Antiqua"/>
          <w:color w:val="000000"/>
        </w:rPr>
        <w:t>nternationally accepted principles for the care and use of laboratory animals [license No. SYXK (GAN) 2015-0001, Laboratory Animal Science Center of Nanchang University; protocol No. 2020-130, The Medical Research Ethics Committee of the First Affiliated H</w:t>
      </w:r>
      <w:r>
        <w:rPr>
          <w:rFonts w:ascii="Book Antiqua" w:eastAsia="Book Antiqua" w:hAnsi="Book Antiqua" w:cs="Book Antiqua"/>
          <w:color w:val="000000"/>
        </w:rPr>
        <w:t>ospital of Nanchang University].</w:t>
      </w:r>
    </w:p>
    <w:p w14:paraId="302220AA" w14:textId="77777777" w:rsidR="008B7F41" w:rsidRDefault="008B7F41">
      <w:pPr>
        <w:spacing w:line="360" w:lineRule="auto"/>
        <w:jc w:val="both"/>
      </w:pPr>
    </w:p>
    <w:p w14:paraId="284BDAB9" w14:textId="77777777" w:rsidR="008B7F41" w:rsidRDefault="004C709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0112B132" w14:textId="77777777" w:rsidR="008B7F41" w:rsidRDefault="008B7F41">
      <w:pPr>
        <w:spacing w:line="360" w:lineRule="auto"/>
        <w:jc w:val="both"/>
      </w:pPr>
    </w:p>
    <w:p w14:paraId="4524714D" w14:textId="77777777" w:rsidR="008B7F41" w:rsidRDefault="004C7094">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221B8246" w14:textId="77777777" w:rsidR="008B7F41" w:rsidRDefault="008B7F41">
      <w:pPr>
        <w:spacing w:line="360" w:lineRule="auto"/>
        <w:jc w:val="both"/>
      </w:pPr>
    </w:p>
    <w:p w14:paraId="14617A92" w14:textId="77777777" w:rsidR="008B7F41" w:rsidRDefault="004C7094">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w:t>
      </w:r>
      <w:r>
        <w:rPr>
          <w:rFonts w:ascii="Book Antiqua" w:eastAsia="Book Antiqua" w:hAnsi="Book Antiqua" w:cs="Book Antiqua"/>
          <w:color w:val="000000"/>
        </w:rPr>
        <w:t>s, and the manuscript was prepared and revised according to the ARRIVE guidelines.</w:t>
      </w:r>
    </w:p>
    <w:p w14:paraId="7AA7DCEC" w14:textId="77777777" w:rsidR="008B7F41" w:rsidRDefault="008B7F41">
      <w:pPr>
        <w:spacing w:line="360" w:lineRule="auto"/>
        <w:jc w:val="both"/>
      </w:pPr>
    </w:p>
    <w:p w14:paraId="14D3382F" w14:textId="77777777" w:rsidR="008B7F41" w:rsidRDefault="004C7094">
      <w:pPr>
        <w:spacing w:line="360" w:lineRule="auto"/>
        <w:jc w:val="both"/>
      </w:pPr>
      <w:r>
        <w:rPr>
          <w:rFonts w:ascii="Book Antiqua" w:eastAsia="Book Antiqua" w:hAnsi="Book Antiqua" w:cs="Book Antiqua"/>
          <w:b/>
          <w:bCs/>
          <w:color w:val="000000"/>
        </w:rPr>
        <w:t xml:space="preserve">Open-Access: </w:t>
      </w:r>
      <w:bookmarkStart w:id="18" w:name="OLE_LINK170"/>
      <w:bookmarkStart w:id="19" w:name="OLE_LINK171"/>
      <w:r>
        <w:rPr>
          <w:rFonts w:ascii="Book Antiqua" w:eastAsia="Book Antiqua" w:hAnsi="Book Antiqua" w:cs="Book Antiqua"/>
          <w:color w:val="000000"/>
        </w:rPr>
        <w:t xml:space="preserve">This article is an open-access article that was selected by an in-house editor and fully peer-reviewed by external reviewers. It is distributed in </w:t>
      </w:r>
      <w:r>
        <w:rPr>
          <w:rFonts w:ascii="Book Antiqua" w:eastAsia="Book Antiqua" w:hAnsi="Book Antiqua" w:cs="Book Antiqua"/>
          <w:color w:val="000000"/>
        </w:rPr>
        <w:t xml:space="preserve">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w:t>
      </w:r>
      <w:r>
        <w:rPr>
          <w:rFonts w:ascii="Book Antiqua" w:eastAsia="Book Antiqua" w:hAnsi="Book Antiqua" w:cs="Book Antiqua"/>
          <w:color w:val="000000"/>
        </w:rPr>
        <w:t>k is properly cited and the use is non-commercial. See: http://creativecommons.org/Licenses/by-nc/4.0/</w:t>
      </w:r>
    </w:p>
    <w:bookmarkEnd w:id="18"/>
    <w:bookmarkEnd w:id="19"/>
    <w:p w14:paraId="061F0CAA" w14:textId="77777777" w:rsidR="008B7F41" w:rsidRDefault="008B7F41">
      <w:pPr>
        <w:spacing w:line="360" w:lineRule="auto"/>
        <w:jc w:val="both"/>
      </w:pPr>
    </w:p>
    <w:p w14:paraId="703581F7" w14:textId="77777777" w:rsidR="008B7F41" w:rsidRDefault="004C709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FC7C103" w14:textId="77777777" w:rsidR="008B7F41" w:rsidRDefault="008B7F41">
      <w:pPr>
        <w:spacing w:line="360" w:lineRule="auto"/>
        <w:jc w:val="both"/>
      </w:pPr>
    </w:p>
    <w:p w14:paraId="3D4479AA" w14:textId="77777777" w:rsidR="008B7F41" w:rsidRDefault="004C709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8, 2021</w:t>
      </w:r>
    </w:p>
    <w:p w14:paraId="06FC45FA" w14:textId="77777777" w:rsidR="008B7F41" w:rsidRDefault="004C709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17, 2021</w:t>
      </w:r>
    </w:p>
    <w:p w14:paraId="17154BC8" w14:textId="77777777" w:rsidR="008B7F41" w:rsidRDefault="004C7094">
      <w:pPr>
        <w:spacing w:line="360" w:lineRule="auto"/>
        <w:jc w:val="both"/>
      </w:pPr>
      <w:r>
        <w:rPr>
          <w:rFonts w:ascii="Book Antiqua" w:eastAsia="Book Antiqua" w:hAnsi="Book Antiqua" w:cs="Book Antiqua"/>
          <w:b/>
          <w:color w:val="000000"/>
        </w:rPr>
        <w:t xml:space="preserve">Article in press: </w:t>
      </w:r>
    </w:p>
    <w:p w14:paraId="270907D5" w14:textId="77777777" w:rsidR="008B7F41" w:rsidRDefault="008B7F41">
      <w:pPr>
        <w:spacing w:line="360" w:lineRule="auto"/>
        <w:jc w:val="both"/>
      </w:pPr>
    </w:p>
    <w:p w14:paraId="207E377E" w14:textId="77777777" w:rsidR="008B7F41" w:rsidRDefault="004C709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w:t>
      </w:r>
      <w:r>
        <w:rPr>
          <w:rFonts w:ascii="Book Antiqua" w:eastAsia="Book Antiqua" w:hAnsi="Book Antiqua" w:cs="Book Antiqua"/>
          <w:color w:val="000000"/>
        </w:rPr>
        <w:t xml:space="preserve">y </w:t>
      </w:r>
    </w:p>
    <w:p w14:paraId="2523B0B2" w14:textId="77777777" w:rsidR="008B7F41" w:rsidRDefault="004C709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53E60EC" w14:textId="77777777" w:rsidR="008B7F41" w:rsidRDefault="004C7094">
      <w:pPr>
        <w:spacing w:line="360" w:lineRule="auto"/>
        <w:jc w:val="both"/>
      </w:pPr>
      <w:r>
        <w:rPr>
          <w:rFonts w:ascii="Book Antiqua" w:eastAsia="Book Antiqua" w:hAnsi="Book Antiqua" w:cs="Book Antiqua"/>
          <w:b/>
          <w:color w:val="000000"/>
        </w:rPr>
        <w:t>Peer-review report’s scientific quality classification</w:t>
      </w:r>
    </w:p>
    <w:p w14:paraId="251929C8" w14:textId="77777777" w:rsidR="008B7F41" w:rsidRDefault="004C7094">
      <w:pPr>
        <w:spacing w:line="360" w:lineRule="auto"/>
        <w:jc w:val="both"/>
      </w:pPr>
      <w:r>
        <w:rPr>
          <w:rFonts w:ascii="Book Antiqua" w:eastAsia="Book Antiqua" w:hAnsi="Book Antiqua" w:cs="Book Antiqua"/>
          <w:color w:val="000000"/>
        </w:rPr>
        <w:t>Grade A (Excellent): 0</w:t>
      </w:r>
    </w:p>
    <w:p w14:paraId="5164B4A6" w14:textId="77777777" w:rsidR="008B7F41" w:rsidRDefault="004C7094">
      <w:pPr>
        <w:spacing w:line="360" w:lineRule="auto"/>
        <w:jc w:val="both"/>
      </w:pPr>
      <w:r>
        <w:rPr>
          <w:rFonts w:ascii="Book Antiqua" w:eastAsia="Book Antiqua" w:hAnsi="Book Antiqua" w:cs="Book Antiqua"/>
          <w:color w:val="000000"/>
        </w:rPr>
        <w:t>Grade B (Very good): B</w:t>
      </w:r>
    </w:p>
    <w:p w14:paraId="1F7319BA" w14:textId="77777777" w:rsidR="008B7F41" w:rsidRDefault="004C7094">
      <w:pPr>
        <w:spacing w:line="360" w:lineRule="auto"/>
        <w:jc w:val="both"/>
      </w:pPr>
      <w:r>
        <w:rPr>
          <w:rFonts w:ascii="Book Antiqua" w:eastAsia="Book Antiqua" w:hAnsi="Book Antiqua" w:cs="Book Antiqua"/>
          <w:color w:val="000000"/>
        </w:rPr>
        <w:t>Grade C (Good): C</w:t>
      </w:r>
    </w:p>
    <w:p w14:paraId="1DAEAABF" w14:textId="77777777" w:rsidR="008B7F41" w:rsidRDefault="004C7094">
      <w:pPr>
        <w:spacing w:line="360" w:lineRule="auto"/>
        <w:jc w:val="both"/>
      </w:pPr>
      <w:r>
        <w:rPr>
          <w:rFonts w:ascii="Book Antiqua" w:eastAsia="Book Antiqua" w:hAnsi="Book Antiqua" w:cs="Book Antiqua"/>
          <w:color w:val="000000"/>
        </w:rPr>
        <w:t>Grade D (Fair): 0</w:t>
      </w:r>
    </w:p>
    <w:p w14:paraId="50D92160" w14:textId="77777777" w:rsidR="008B7F41" w:rsidRDefault="004C7094">
      <w:pPr>
        <w:spacing w:line="360" w:lineRule="auto"/>
        <w:jc w:val="both"/>
      </w:pPr>
      <w:r>
        <w:rPr>
          <w:rFonts w:ascii="Book Antiqua" w:eastAsia="Book Antiqua" w:hAnsi="Book Antiqua" w:cs="Book Antiqua"/>
          <w:color w:val="000000"/>
        </w:rPr>
        <w:t>Grade E (Poor): 0</w:t>
      </w:r>
    </w:p>
    <w:p w14:paraId="34E23E5C" w14:textId="77777777" w:rsidR="008B7F41" w:rsidRDefault="008B7F41">
      <w:pPr>
        <w:spacing w:line="360" w:lineRule="auto"/>
        <w:jc w:val="both"/>
      </w:pPr>
    </w:p>
    <w:p w14:paraId="667F2B22" w14:textId="77777777" w:rsidR="008B7F41" w:rsidRDefault="004C7094">
      <w:pPr>
        <w:spacing w:line="360" w:lineRule="auto"/>
        <w:jc w:val="both"/>
        <w:sectPr w:rsidR="008B7F41">
          <w:pgSz w:w="11907" w:h="16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Appiah-</w:t>
      </w:r>
      <w:proofErr w:type="spellStart"/>
      <w:r>
        <w:rPr>
          <w:rFonts w:ascii="Book Antiqua" w:eastAsia="Book Antiqua" w:hAnsi="Book Antiqua" w:cs="Book Antiqua"/>
          <w:color w:val="000000"/>
        </w:rPr>
        <w:t>Kubi</w:t>
      </w:r>
      <w:proofErr w:type="spellEnd"/>
      <w:r>
        <w:rPr>
          <w:rFonts w:ascii="Book Antiqua" w:eastAsia="Book Antiqua" w:hAnsi="Book Antiqua" w:cs="Book Antiqua"/>
          <w:color w:val="000000"/>
        </w:rPr>
        <w:t xml:space="preserve"> K, Nakajima N</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37A69DC8" w14:textId="77777777" w:rsidR="008B7F41" w:rsidRDefault="004C709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DFFC0C0" w14:textId="77777777" w:rsidR="008B7F41" w:rsidRDefault="004C7094">
      <w:pPr>
        <w:spacing w:line="360" w:lineRule="auto"/>
        <w:jc w:val="both"/>
        <w:rPr>
          <w:lang w:eastAsia="zh-CN"/>
        </w:rPr>
      </w:pPr>
      <w:r>
        <w:rPr>
          <w:noProof/>
          <w:lang w:eastAsia="zh-CN"/>
        </w:rPr>
        <w:drawing>
          <wp:inline distT="0" distB="0" distL="0" distR="0" wp14:anchorId="3F10F83C" wp14:editId="090FE1B4">
            <wp:extent cx="5486400" cy="29838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486400" cy="2983865"/>
                    </a:xfrm>
                    <a:prstGeom prst="rect">
                      <a:avLst/>
                    </a:prstGeom>
                  </pic:spPr>
                </pic:pic>
              </a:graphicData>
            </a:graphic>
          </wp:inline>
        </w:drawing>
      </w:r>
    </w:p>
    <w:p w14:paraId="279236FB" w14:textId="77777777" w:rsidR="008B7F41" w:rsidRDefault="004C7094">
      <w:pPr>
        <w:spacing w:line="360" w:lineRule="auto"/>
        <w:jc w:val="both"/>
        <w:rPr>
          <w:lang w:eastAsia="zh-CN"/>
        </w:rPr>
      </w:pPr>
      <w:r>
        <w:rPr>
          <w:noProof/>
          <w:lang w:eastAsia="zh-CN"/>
        </w:rPr>
        <w:drawing>
          <wp:inline distT="0" distB="0" distL="0" distR="0" wp14:anchorId="415269F1" wp14:editId="11B71B32">
            <wp:extent cx="5715635" cy="38080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718675" cy="3810464"/>
                    </a:xfrm>
                    <a:prstGeom prst="rect">
                      <a:avLst/>
                    </a:prstGeom>
                  </pic:spPr>
                </pic:pic>
              </a:graphicData>
            </a:graphic>
          </wp:inline>
        </w:drawing>
      </w:r>
    </w:p>
    <w:p w14:paraId="2F53FBA0"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Ubiquitin-specific protease 15 is upregulated in gastric cancer cells and </w:t>
      </w:r>
      <w:proofErr w:type="gramStart"/>
      <w:r>
        <w:rPr>
          <w:rFonts w:ascii="Book Antiqua" w:eastAsia="Book Antiqua" w:hAnsi="Book Antiqua" w:cs="Book Antiqua"/>
          <w:b/>
          <w:bCs/>
          <w:color w:val="000000"/>
        </w:rPr>
        <w:t>tissues, and</w:t>
      </w:r>
      <w:proofErr w:type="gramEnd"/>
      <w:r>
        <w:rPr>
          <w:rFonts w:ascii="Book Antiqua" w:eastAsia="Book Antiqua" w:hAnsi="Book Antiqua" w:cs="Book Antiqua"/>
          <w:b/>
          <w:bCs/>
          <w:color w:val="000000"/>
        </w:rPr>
        <w:t xml:space="preserve"> is associated with a poor prognosis in gastric cancer patients. </w:t>
      </w:r>
      <w:r>
        <w:rPr>
          <w:rFonts w:ascii="Book Antiqua" w:eastAsia="Book Antiqua" w:hAnsi="Book Antiqua" w:cs="Book Antiqua"/>
          <w:color w:val="000000"/>
        </w:rPr>
        <w:t xml:space="preserve">A: Frequency of ubiquitin-specific protease 15 </w:t>
      </w:r>
      <w:r>
        <w:rPr>
          <w:rFonts w:ascii="Book Antiqua" w:eastAsia="Book Antiqua" w:hAnsi="Book Antiqua" w:cs="Book Antiqua"/>
          <w:color w:val="000000"/>
        </w:rPr>
        <w:t xml:space="preserve">(USP15) in various cancers, including gastric cancer (GC). The data were derived from the </w:t>
      </w:r>
      <w:proofErr w:type="spellStart"/>
      <w:r>
        <w:rPr>
          <w:rFonts w:ascii="Book Antiqua" w:eastAsia="Book Antiqua" w:hAnsi="Book Antiqua" w:cs="Book Antiqua"/>
          <w:color w:val="000000"/>
        </w:rPr>
        <w:t>cBioPortal</w:t>
      </w:r>
      <w:proofErr w:type="spellEnd"/>
      <w:r>
        <w:rPr>
          <w:rFonts w:ascii="Book Antiqua" w:eastAsia="Book Antiqua" w:hAnsi="Book Antiqua" w:cs="Book Antiqua"/>
          <w:color w:val="000000"/>
        </w:rPr>
        <w:t xml:space="preserve"> for Cancer Genomics; B, C: USP15 mRNA expression level of cancer tissue and normal tissue in GC. Analysis of The Cancer Genome Atlas data from TIMER and UA</w:t>
      </w:r>
      <w:r>
        <w:rPr>
          <w:rFonts w:ascii="Book Antiqua" w:eastAsia="Book Antiqua" w:hAnsi="Book Antiqua" w:cs="Book Antiqua"/>
          <w:color w:val="000000"/>
        </w:rPr>
        <w:t xml:space="preserve">LCAN databases; D: Protein </w:t>
      </w:r>
      <w:r>
        <w:rPr>
          <w:rFonts w:ascii="Book Antiqua" w:eastAsia="Book Antiqua" w:hAnsi="Book Antiqua" w:cs="Book Antiqua"/>
          <w:color w:val="000000"/>
        </w:rPr>
        <w:lastRenderedPageBreak/>
        <w:t>expression of USP15 in GES-1 cell line and GC cell lines; E: Protein expression of USP15 in GC tissue and adjacent noncancerous tissues (</w:t>
      </w:r>
      <w:r>
        <w:rPr>
          <w:rFonts w:ascii="Book Antiqua" w:eastAsia="Book Antiqua" w:hAnsi="Book Antiqua" w:cs="Book Antiqua"/>
          <w:i/>
          <w:iCs/>
          <w:color w:val="000000"/>
        </w:rPr>
        <w:t>n</w:t>
      </w:r>
      <w:r>
        <w:rPr>
          <w:rFonts w:ascii="Book Antiqua" w:eastAsia="Book Antiqua" w:hAnsi="Book Antiqua" w:cs="Book Antiqua"/>
          <w:color w:val="000000"/>
        </w:rPr>
        <w:t xml:space="preserve"> = 8); F, G: Representative images of immunohistochemical staining of USP15 in human GC tissues and adjacent noncancerous tissues; H: USP15 staining scores of GC and normal tissues; I: Correlation between USP15 expression level and </w:t>
      </w:r>
      <w:r>
        <w:rPr>
          <w:rFonts w:ascii="Book Antiqua" w:hAnsi="Book Antiqua" w:cs="Book Antiqua"/>
          <w:color w:val="000000"/>
          <w:lang w:eastAsia="zh-CN"/>
        </w:rPr>
        <w:t>overall survival (OS)</w:t>
      </w:r>
      <w:r>
        <w:rPr>
          <w:rFonts w:ascii="Book Antiqua" w:eastAsia="Book Antiqua" w:hAnsi="Book Antiqua" w:cs="Book Antiqua"/>
          <w:color w:val="000000"/>
        </w:rPr>
        <w:t xml:space="preserve"> in</w:t>
      </w:r>
      <w:r>
        <w:rPr>
          <w:rFonts w:ascii="Book Antiqua" w:eastAsia="Book Antiqua" w:hAnsi="Book Antiqua" w:cs="Book Antiqua"/>
          <w:color w:val="000000"/>
        </w:rPr>
        <w:t xml:space="preserve"> GC patients obtained from Kaplan–Meier Plotter databases (209475_at, HR = 2.07 (1.43-3), log rank </w:t>
      </w:r>
      <w:r>
        <w:rPr>
          <w:rFonts w:ascii="Book Antiqua" w:eastAsia="Book Antiqua" w:hAnsi="Book Antiqua" w:cs="Book Antiqua"/>
          <w:i/>
          <w:iCs/>
          <w:color w:val="000000"/>
        </w:rPr>
        <w:t xml:space="preserve">P </w:t>
      </w:r>
      <w:r>
        <w:rPr>
          <w:rFonts w:ascii="Book Antiqua" w:eastAsia="Book Antiqua" w:hAnsi="Book Antiqua" w:cs="Book Antiqua"/>
          <w:color w:val="000000"/>
        </w:rPr>
        <w:t>= 8.5e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05</w:t>
      </w:r>
      <w:r>
        <w:rPr>
          <w:rFonts w:ascii="Book Antiqua" w:eastAsia="Book Antiqua" w:hAnsi="Book Antiqua" w:cs="Book Antiqua"/>
          <w:color w:val="000000"/>
        </w:rPr>
        <w:t xml:space="preserve">); J: Kaplan–Meier curve stratified by USP15 expression in 115 GC patients (log-rank test,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0.0006).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data were expressed as the mean</w:t>
      </w:r>
      <w:r>
        <w:rPr>
          <w:rFonts w:ascii="Book Antiqua" w:eastAsia="Book Antiqua" w:hAnsi="Book Antiqua" w:cs="Book Antiqua"/>
          <w:color w:val="000000"/>
        </w:rPr>
        <w:t xml:space="preserve"> ± standard error of the mean.</w:t>
      </w:r>
    </w:p>
    <w:p w14:paraId="43E8E4B1" w14:textId="77777777" w:rsidR="008B7F41" w:rsidRDefault="004C709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89AFC12" wp14:editId="2CC50D24">
            <wp:extent cx="5718175" cy="2933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721760" cy="2935713"/>
                    </a:xfrm>
                    <a:prstGeom prst="rect">
                      <a:avLst/>
                    </a:prstGeom>
                  </pic:spPr>
                </pic:pic>
              </a:graphicData>
            </a:graphic>
          </wp:inline>
        </w:drawing>
      </w:r>
    </w:p>
    <w:p w14:paraId="589A43A6" w14:textId="77777777" w:rsidR="008B7F41" w:rsidRDefault="004C7094">
      <w:pPr>
        <w:spacing w:line="360" w:lineRule="auto"/>
        <w:jc w:val="both"/>
        <w:rPr>
          <w:lang w:eastAsia="zh-CN"/>
        </w:rPr>
      </w:pPr>
      <w:r>
        <w:rPr>
          <w:noProof/>
          <w:lang w:eastAsia="zh-CN"/>
        </w:rPr>
        <w:drawing>
          <wp:inline distT="0" distB="0" distL="0" distR="0" wp14:anchorId="1E95E650" wp14:editId="77B1426E">
            <wp:extent cx="5756275" cy="17043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771771" cy="1708818"/>
                    </a:xfrm>
                    <a:prstGeom prst="rect">
                      <a:avLst/>
                    </a:prstGeom>
                  </pic:spPr>
                </pic:pic>
              </a:graphicData>
            </a:graphic>
          </wp:inline>
        </w:drawing>
      </w:r>
    </w:p>
    <w:p w14:paraId="31221FFB" w14:textId="77777777" w:rsidR="008B7F41" w:rsidRDefault="004C7094">
      <w:pPr>
        <w:spacing w:line="360" w:lineRule="auto"/>
        <w:jc w:val="both"/>
        <w:rPr>
          <w:lang w:eastAsia="zh-CN"/>
        </w:rPr>
      </w:pPr>
      <w:r>
        <w:rPr>
          <w:noProof/>
          <w:lang w:eastAsia="zh-CN"/>
        </w:rPr>
        <w:drawing>
          <wp:inline distT="0" distB="0" distL="0" distR="0" wp14:anchorId="664E7F14" wp14:editId="6C6E0BB0">
            <wp:extent cx="5724525" cy="2345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733836" cy="2349280"/>
                    </a:xfrm>
                    <a:prstGeom prst="rect">
                      <a:avLst/>
                    </a:prstGeom>
                  </pic:spPr>
                </pic:pic>
              </a:graphicData>
            </a:graphic>
          </wp:inline>
        </w:drawing>
      </w:r>
    </w:p>
    <w:p w14:paraId="0531B083"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Knockdown of ubiquitin-specific protease 15 inhibits cell proliferation, invasion, and epithelial-mesenchymal transition progression of gastric cancer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w:t>
      </w:r>
      <w:r>
        <w:rPr>
          <w:rFonts w:ascii="Book Antiqua" w:eastAsia="Book Antiqua" w:hAnsi="Book Antiqua" w:cs="Book Antiqua"/>
          <w:color w:val="000000"/>
        </w:rPr>
        <w:t>A: BGC-823 and MKN-45 cells were transfected wit</w:t>
      </w:r>
      <w:r>
        <w:rPr>
          <w:rFonts w:ascii="Book Antiqua" w:eastAsia="Book Antiqua" w:hAnsi="Book Antiqua" w:cs="Book Antiqua"/>
          <w:color w:val="000000"/>
        </w:rPr>
        <w:t xml:space="preserve">h ubiquitin-specific protease 15 (USP15) small interfering RNA or negative control for 48 h, and the efficiency was detected by Western blotting; B and C: Cell Counting Kit-8 </w:t>
      </w:r>
      <w:proofErr w:type="gramStart"/>
      <w:r>
        <w:rPr>
          <w:rFonts w:ascii="Book Antiqua" w:eastAsia="Book Antiqua" w:hAnsi="Book Antiqua" w:cs="Book Antiqua"/>
          <w:color w:val="000000"/>
        </w:rPr>
        <w:t>assay</w:t>
      </w:r>
      <w:proofErr w:type="gramEnd"/>
      <w:r>
        <w:rPr>
          <w:rFonts w:ascii="Book Antiqua" w:eastAsia="Book Antiqua" w:hAnsi="Book Antiqua" w:cs="Book Antiqua"/>
          <w:color w:val="000000"/>
        </w:rPr>
        <w:t xml:space="preserve"> and colony formation assay evaluated cell proliferation ability; D and E: W</w:t>
      </w:r>
      <w:r>
        <w:rPr>
          <w:rFonts w:ascii="Book Antiqua" w:eastAsia="Book Antiqua" w:hAnsi="Book Antiqua" w:cs="Book Antiqua"/>
          <w:color w:val="000000"/>
        </w:rPr>
        <w:t xml:space="preserve">ound healing assay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assays evaluated migration and invasion; F: Western blotting detected epithelial-mesenchymal transition markers (E-cadherin, vimentin, and N-cadherin).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 data were expressed as mean ± standard error of the mean</w:t>
      </w:r>
      <w:r>
        <w:rPr>
          <w:rFonts w:ascii="Book Antiqua" w:hAnsi="Book Antiqua" w:cs="Book Antiqua" w:hint="eastAsia"/>
          <w:color w:val="000000"/>
          <w:lang w:eastAsia="zh-CN"/>
        </w:rPr>
        <w:t>.</w:t>
      </w:r>
    </w:p>
    <w:p w14:paraId="5E4D3A46" w14:textId="77777777" w:rsidR="008B7F41" w:rsidRDefault="004C709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4C34E94" wp14:editId="63AA767B">
            <wp:extent cx="5739765" cy="32918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748997" cy="3297023"/>
                    </a:xfrm>
                    <a:prstGeom prst="rect">
                      <a:avLst/>
                    </a:prstGeom>
                  </pic:spPr>
                </pic:pic>
              </a:graphicData>
            </a:graphic>
          </wp:inline>
        </w:drawing>
      </w:r>
    </w:p>
    <w:p w14:paraId="53C18178" w14:textId="77777777" w:rsidR="008B7F41" w:rsidRDefault="004C7094">
      <w:pPr>
        <w:spacing w:line="360" w:lineRule="auto"/>
        <w:jc w:val="both"/>
        <w:rPr>
          <w:lang w:eastAsia="zh-CN"/>
        </w:rPr>
      </w:pPr>
      <w:r>
        <w:rPr>
          <w:noProof/>
          <w:lang w:eastAsia="zh-CN"/>
        </w:rPr>
        <w:drawing>
          <wp:inline distT="0" distB="0" distL="0" distR="0" wp14:anchorId="1D902A0C" wp14:editId="3EA9CE46">
            <wp:extent cx="5755005" cy="17487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762553" cy="1751443"/>
                    </a:xfrm>
                    <a:prstGeom prst="rect">
                      <a:avLst/>
                    </a:prstGeom>
                  </pic:spPr>
                </pic:pic>
              </a:graphicData>
            </a:graphic>
          </wp:inline>
        </w:drawing>
      </w:r>
    </w:p>
    <w:p w14:paraId="4190C3F7"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Overexpression of ubiquitin-specific protease 15 promotes proliferation, invasion, and </w:t>
      </w:r>
      <w:bookmarkStart w:id="20" w:name="OLE_LINK130"/>
      <w:bookmarkStart w:id="21" w:name="OLE_LINK131"/>
      <w:r>
        <w:rPr>
          <w:rFonts w:ascii="Book Antiqua" w:eastAsia="Book Antiqua" w:hAnsi="Book Antiqua" w:cs="Book Antiqua"/>
          <w:b/>
          <w:bCs/>
          <w:color w:val="000000"/>
        </w:rPr>
        <w:t>epithelial–mesenchymal transition</w:t>
      </w:r>
      <w:bookmarkEnd w:id="20"/>
      <w:bookmarkEnd w:id="21"/>
      <w:r>
        <w:rPr>
          <w:rFonts w:ascii="Book Antiqua" w:eastAsia="Book Antiqua" w:hAnsi="Book Antiqua" w:cs="Book Antiqua"/>
          <w:b/>
          <w:bCs/>
          <w:color w:val="000000"/>
        </w:rPr>
        <w:t xml:space="preserve"> of gastric cancer cells. </w:t>
      </w:r>
      <w:r>
        <w:rPr>
          <w:rFonts w:ascii="Book Antiqua" w:eastAsia="Book Antiqua" w:hAnsi="Book Antiqua" w:cs="Book Antiqua"/>
          <w:color w:val="000000"/>
        </w:rPr>
        <w:t>A: SGC-7901 cells were transfected with ubiquitin-specific protease 15 (USP15) overexpression plasmid, USP15-C269S plasmid (USP15 mutant) or empty vector for 48 h, and the efficiency was detected by Western blotting; B, C: Cell Counting Kit-8 assay and col</w:t>
      </w:r>
      <w:r>
        <w:rPr>
          <w:rFonts w:ascii="Book Antiqua" w:eastAsia="Book Antiqua" w:hAnsi="Book Antiqua" w:cs="Book Antiqua"/>
          <w:color w:val="000000"/>
        </w:rPr>
        <w:t xml:space="preserve">ony formation assay evaluated cell proliferation ability; D, E: Wound healing assay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evaluated migration and invasion; F: Western blotting detected epithelial–mesenchymal transition markers (E-cadherin, vimentin, and N-cadherin).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eastAsia="Book Antiqua" w:hAnsi="Book Antiqua" w:cs="Book Antiqua"/>
          <w:color w:val="000000"/>
        </w:rPr>
        <w:t xml:space="preserve">01, data are expressed as the mean ± standard error of the mean. </w:t>
      </w:r>
      <w:proofErr w:type="spellStart"/>
      <w:r>
        <w:rPr>
          <w:rFonts w:ascii="Book Antiqua" w:hAnsi="Book Antiqua" w:cs="Book Antiqua" w:hint="eastAsia"/>
          <w:color w:val="000000"/>
          <w:lang w:eastAsia="zh-CN"/>
        </w:rPr>
        <w:t>n.s</w:t>
      </w:r>
      <w:proofErr w:type="spellEnd"/>
      <w:r>
        <w:rPr>
          <w:rFonts w:ascii="Book Antiqua" w:hAnsi="Book Antiqua" w:cs="Book Antiqua" w:hint="eastAsia"/>
          <w:color w:val="000000"/>
          <w:lang w:eastAsia="zh-CN"/>
        </w:rPr>
        <w:t>: Not significant.</w:t>
      </w:r>
    </w:p>
    <w:p w14:paraId="69BABFBB" w14:textId="77777777" w:rsidR="008B7F41" w:rsidRDefault="004C709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35B2AF3" wp14:editId="2B8B65C0">
            <wp:extent cx="5486400" cy="39160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486400" cy="3916045"/>
                    </a:xfrm>
                    <a:prstGeom prst="rect">
                      <a:avLst/>
                    </a:prstGeom>
                  </pic:spPr>
                </pic:pic>
              </a:graphicData>
            </a:graphic>
          </wp:inline>
        </w:drawing>
      </w:r>
    </w:p>
    <w:p w14:paraId="3C5A6371" w14:textId="77777777" w:rsidR="008B7F41" w:rsidRDefault="004C7094">
      <w:pPr>
        <w:spacing w:line="360" w:lineRule="auto"/>
        <w:jc w:val="both"/>
        <w:rPr>
          <w:lang w:eastAsia="zh-CN"/>
        </w:rPr>
      </w:pPr>
      <w:r>
        <w:rPr>
          <w:noProof/>
          <w:lang w:eastAsia="zh-CN"/>
        </w:rPr>
        <w:drawing>
          <wp:inline distT="0" distB="0" distL="0" distR="0" wp14:anchorId="1DCB3671" wp14:editId="17F44FAA">
            <wp:extent cx="5486400" cy="21551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486400" cy="2155190"/>
                    </a:xfrm>
                    <a:prstGeom prst="rect">
                      <a:avLst/>
                    </a:prstGeom>
                  </pic:spPr>
                </pic:pic>
              </a:graphicData>
            </a:graphic>
          </wp:inline>
        </w:drawing>
      </w:r>
    </w:p>
    <w:p w14:paraId="72A5BF36"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Ubiquitin-specific protease 15 regulates the </w:t>
      </w:r>
      <w:proofErr w:type="spellStart"/>
      <w:r>
        <w:rPr>
          <w:rFonts w:ascii="Book Antiqua" w:eastAsia="Book Antiqua" w:hAnsi="Book Antiqua" w:cs="Book Antiqua"/>
          <w:b/>
          <w:bCs/>
          <w:color w:val="000000"/>
        </w:rPr>
        <w:t>Wnt</w:t>
      </w:r>
      <w:proofErr w:type="spellEnd"/>
      <w:r>
        <w:rPr>
          <w:rFonts w:ascii="Book Antiqua" w:eastAsia="Book Antiqua" w:hAnsi="Book Antiqua" w:cs="Book Antiqua"/>
          <w:b/>
          <w:bCs/>
          <w:color w:val="000000"/>
        </w:rPr>
        <w:t>/β-catenin pathway in gastric cancer</w:t>
      </w:r>
      <w:r>
        <w:rPr>
          <w:rFonts w:ascii="Book Antiqua" w:eastAsia="Book Antiqua" w:hAnsi="Book Antiqua" w:cs="Book Antiqua"/>
          <w:color w:val="000000"/>
        </w:rPr>
        <w:t>. A: Western blotting confirmed the transfection efficiency of ubiquiti</w:t>
      </w:r>
      <w:r>
        <w:rPr>
          <w:rFonts w:ascii="Book Antiqua" w:eastAsia="Book Antiqua" w:hAnsi="Book Antiqua" w:cs="Book Antiqua"/>
          <w:color w:val="000000"/>
        </w:rPr>
        <w:t>n-specific protease 15 (USP15) knockdown in BGC-823 cell lines before RNA sequencing analysis; B: Heat map and hierarchical clustering based on the most differentially expressed genes (5739); C: Volcano plot illustrated differentially regulated gene expres</w:t>
      </w:r>
      <w:r>
        <w:rPr>
          <w:rFonts w:ascii="Book Antiqua" w:eastAsia="Book Antiqua" w:hAnsi="Book Antiqua" w:cs="Book Antiqua"/>
          <w:color w:val="000000"/>
        </w:rPr>
        <w:t xml:space="preserve">sion. 1134 upregulated genes (red) and 1209 downregulated genes (green); D: Gene Ontology enrichment analyses of targets associated with USP15 for biological process, cellular component, and molecular function (top 10 most signiﬁcantly affected categories </w:t>
      </w:r>
      <w:r>
        <w:rPr>
          <w:rFonts w:ascii="Book Antiqua" w:eastAsia="Book Antiqua" w:hAnsi="Book Antiqua" w:cs="Book Antiqua"/>
          <w:color w:val="000000"/>
        </w:rPr>
        <w:t xml:space="preserve">are shown); E: Expression levels </w:t>
      </w:r>
      <w:r>
        <w:rPr>
          <w:rFonts w:ascii="Book Antiqua" w:eastAsia="Book Antiqua" w:hAnsi="Book Antiqua" w:cs="Book Antiqua"/>
          <w:color w:val="000000"/>
        </w:rPr>
        <w:lastRenderedPageBreak/>
        <w:t>of USP15, β-catenin,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and cyclin D1 in BGC-823 and MKN-45 cell lines transfected with USP15 knockdown or SGC-7901 cell lines transfected with USP15 overexpression; F: Immunofluorescence staining of β-catenin in BGC-82</w:t>
      </w:r>
      <w:r>
        <w:rPr>
          <w:rFonts w:ascii="Book Antiqua" w:eastAsia="Book Antiqua" w:hAnsi="Book Antiqua" w:cs="Book Antiqua"/>
          <w:color w:val="000000"/>
        </w:rPr>
        <w:t xml:space="preserve">3 and MKN-45 cell lines transfected with USP15 knockdown. Blue: DAPI; Red: β-catenin. Bar =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
    <w:p w14:paraId="5BA580AA" w14:textId="77777777" w:rsidR="008B7F41" w:rsidRDefault="004C7094">
      <w:pPr>
        <w:spacing w:line="360" w:lineRule="auto"/>
        <w:jc w:val="both"/>
      </w:pPr>
      <w:r>
        <w:br w:type="page"/>
      </w:r>
      <w:r>
        <w:rPr>
          <w:noProof/>
          <w:lang w:eastAsia="zh-CN"/>
        </w:rPr>
        <w:lastRenderedPageBreak/>
        <w:drawing>
          <wp:inline distT="0" distB="0" distL="0" distR="0" wp14:anchorId="12A0F298" wp14:editId="43876FC9">
            <wp:extent cx="5701030" cy="35299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703765" cy="3531845"/>
                    </a:xfrm>
                    <a:prstGeom prst="rect">
                      <a:avLst/>
                    </a:prstGeom>
                  </pic:spPr>
                </pic:pic>
              </a:graphicData>
            </a:graphic>
          </wp:inline>
        </w:drawing>
      </w:r>
    </w:p>
    <w:p w14:paraId="7745D1F2"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Lithium chloride partly reverses the effects of ubiquitin-specific protease 15 knockdown on gastric cancer progression. </w:t>
      </w:r>
      <w:r>
        <w:rPr>
          <w:rFonts w:ascii="Book Antiqua" w:eastAsia="Book Antiqua" w:hAnsi="Book Antiqua" w:cs="Book Antiqua"/>
          <w:color w:val="000000"/>
        </w:rPr>
        <w:t>BGC-823 and MKN-45 cells</w:t>
      </w:r>
      <w:r>
        <w:rPr>
          <w:rFonts w:ascii="Book Antiqua" w:eastAsia="Book Antiqua" w:hAnsi="Book Antiqua" w:cs="Book Antiqua"/>
          <w:color w:val="000000"/>
        </w:rPr>
        <w:t xml:space="preserve"> transfected with ubiquitin-specific protease 15 (USP15) small interfering RNA-1 or negative control were incubated with or without lithium chloride (LiCl) (20 mmol/L). A, B: The Cell Counting Kit-8 (CCK-8) assay and colony formation assay evaluated cell p</w:t>
      </w:r>
      <w:r>
        <w:rPr>
          <w:rFonts w:ascii="Book Antiqua" w:eastAsia="Book Antiqua" w:hAnsi="Book Antiqua" w:cs="Book Antiqua"/>
          <w:color w:val="000000"/>
        </w:rPr>
        <w:t xml:space="preserve">roliferation ability; C: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evaluated cell invasion ability; D: Western blotting detected the protein expression of β-catenin,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cyclin D1.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data are expressed as the mean ± standard error of the mean. </w:t>
      </w:r>
    </w:p>
    <w:p w14:paraId="4C942919" w14:textId="77777777" w:rsidR="008B7F41" w:rsidRDefault="004C7094">
      <w:pPr>
        <w:spacing w:line="360" w:lineRule="auto"/>
        <w:jc w:val="both"/>
      </w:pPr>
      <w:r>
        <w:br w:type="page"/>
      </w:r>
      <w:r>
        <w:rPr>
          <w:noProof/>
          <w:lang w:eastAsia="zh-CN"/>
        </w:rPr>
        <w:lastRenderedPageBreak/>
        <w:drawing>
          <wp:inline distT="0" distB="0" distL="0" distR="0" wp14:anchorId="3DD83F32" wp14:editId="2BFD3E74">
            <wp:extent cx="5716270" cy="37604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726612" cy="3767368"/>
                    </a:xfrm>
                    <a:prstGeom prst="rect">
                      <a:avLst/>
                    </a:prstGeom>
                  </pic:spPr>
                </pic:pic>
              </a:graphicData>
            </a:graphic>
          </wp:inline>
        </w:drawing>
      </w:r>
    </w:p>
    <w:p w14:paraId="6AF98B68" w14:textId="77777777" w:rsidR="008B7F41" w:rsidRDefault="004C70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 Ubiquiti</w:t>
      </w:r>
      <w:r>
        <w:rPr>
          <w:rFonts w:ascii="Book Antiqua" w:eastAsia="Book Antiqua" w:hAnsi="Book Antiqua" w:cs="Book Antiqua"/>
          <w:b/>
          <w:bCs/>
          <w:color w:val="000000"/>
        </w:rPr>
        <w:t xml:space="preserve">n-specific protease 15 silencing inhibits tumor growth </w:t>
      </w:r>
      <w:r>
        <w:rPr>
          <w:rFonts w:ascii="Book Antiqua" w:eastAsia="Book Antiqua" w:hAnsi="Book Antiqua" w:cs="Book Antiqua"/>
          <w:b/>
          <w:bCs/>
          <w:i/>
          <w:iCs/>
          <w:color w:val="000000"/>
        </w:rPr>
        <w:t>in vivo</w:t>
      </w:r>
      <w:r>
        <w:rPr>
          <w:rFonts w:ascii="Book Antiqua" w:eastAsia="Book Antiqua" w:hAnsi="Book Antiqua" w:cs="Book Antiqua"/>
          <w:b/>
          <w:bCs/>
          <w:color w:val="000000"/>
        </w:rPr>
        <w:t xml:space="preserve">. </w:t>
      </w:r>
      <w:r>
        <w:rPr>
          <w:rFonts w:ascii="Book Antiqua" w:eastAsia="Book Antiqua" w:hAnsi="Book Antiqua" w:cs="Book Antiqua"/>
          <w:color w:val="000000"/>
        </w:rPr>
        <w:t>A: Cervical dislocation was used to sacrifice nude mice on day 29 and representative images of xenograft mouse samples were obtained (</w:t>
      </w:r>
      <w:r>
        <w:rPr>
          <w:rFonts w:ascii="Book Antiqua" w:eastAsia="Book Antiqua" w:hAnsi="Book Antiqua" w:cs="Book Antiqua"/>
          <w:i/>
          <w:iCs/>
          <w:color w:val="000000"/>
        </w:rPr>
        <w:t>n</w:t>
      </w:r>
      <w:r>
        <w:rPr>
          <w:rFonts w:ascii="Book Antiqua" w:eastAsia="Book Antiqua" w:hAnsi="Book Antiqua" w:cs="Book Antiqua"/>
          <w:color w:val="000000"/>
        </w:rPr>
        <w:t> = 6)</w:t>
      </w:r>
      <w:r>
        <w:rPr>
          <w:rFonts w:ascii="Book Antiqua" w:hAnsi="Book Antiqua" w:cs="Book Antiqua" w:hint="eastAsia"/>
          <w:color w:val="000000"/>
          <w:lang w:eastAsia="zh-CN"/>
        </w:rPr>
        <w:t>;</w:t>
      </w:r>
      <w:r>
        <w:rPr>
          <w:rFonts w:ascii="Book Antiqua" w:eastAsia="Book Antiqua" w:hAnsi="Book Antiqua" w:cs="Book Antiqua"/>
          <w:color w:val="000000"/>
        </w:rPr>
        <w:t xml:space="preserve"> B: Tumor volume was measured every 3 d and a growth curve was drawn; C: Tumor weight was measured when mice were sacrificed; D: Western blotting detected the protein expression of ubiquitin-specific protease 15, β-catenin,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and cyclin D1 in tumor sa</w:t>
      </w:r>
      <w:r>
        <w:rPr>
          <w:rFonts w:ascii="Book Antiqua" w:eastAsia="Book Antiqua" w:hAnsi="Book Antiqua" w:cs="Book Antiqua"/>
          <w:color w:val="000000"/>
        </w:rPr>
        <w:t xml:space="preserve">mples of two groups. </w:t>
      </w:r>
      <w:proofErr w:type="spellStart"/>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 data are expressed as the mean ± standard error of the mean. USP15: Ubiquitin-specific protease 15</w:t>
      </w:r>
      <w:r>
        <w:rPr>
          <w:rFonts w:ascii="Book Antiqua" w:hAnsi="Book Antiqua" w:cs="Book Antiqua" w:hint="eastAsia"/>
          <w:color w:val="000000"/>
          <w:lang w:eastAsia="zh-CN"/>
        </w:rPr>
        <w:t>.</w:t>
      </w:r>
    </w:p>
    <w:p w14:paraId="02660122" w14:textId="77777777" w:rsidR="008B7F41" w:rsidRDefault="004C7094">
      <w:pPr>
        <w:pageBreakBefore/>
        <w:adjustRightInd w:val="0"/>
        <w:snapToGrid w:val="0"/>
        <w:spacing w:line="360" w:lineRule="auto"/>
        <w:jc w:val="both"/>
        <w:rPr>
          <w:rFonts w:ascii="Book Antiqua" w:hAnsi="Book Antiqua" w:cs="Book Antiqua"/>
          <w:b/>
          <w:bCs/>
        </w:rPr>
      </w:pPr>
      <w:r>
        <w:rPr>
          <w:rFonts w:ascii="Book Antiqua" w:hAnsi="Book Antiqua" w:cs="Book Antiqua"/>
          <w:b/>
          <w:bCs/>
        </w:rPr>
        <w:lastRenderedPageBreak/>
        <w:t>Table 1</w:t>
      </w:r>
      <w:r>
        <w:rPr>
          <w:rFonts w:ascii="Book Antiqua" w:hAnsi="Book Antiqua" w:cs="Book Antiqua"/>
          <w:b/>
          <w:bCs/>
          <w:lang w:eastAsia="zh-CN"/>
        </w:rPr>
        <w:t xml:space="preserve"> </w:t>
      </w:r>
      <w:r>
        <w:rPr>
          <w:rFonts w:ascii="Book Antiqua" w:hAnsi="Book Antiqua" w:cs="Book Antiqua"/>
          <w:b/>
          <w:bCs/>
        </w:rPr>
        <w:t>Ubiquitin-specific protease 15 expression and clinicopathological characteristics of gastric cancer patients</w:t>
      </w:r>
    </w:p>
    <w:tbl>
      <w:tblPr>
        <w:tblStyle w:val="TableGrid"/>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12"/>
        <w:gridCol w:w="1580"/>
        <w:gridCol w:w="1708"/>
        <w:gridCol w:w="1715"/>
        <w:gridCol w:w="1712"/>
      </w:tblGrid>
      <w:tr w:rsidR="008B7F41" w14:paraId="2665F245" w14:textId="77777777">
        <w:trPr>
          <w:jc w:val="center"/>
        </w:trPr>
        <w:tc>
          <w:tcPr>
            <w:tcW w:w="1281" w:type="pct"/>
            <w:vMerge w:val="restart"/>
            <w:tcBorders>
              <w:top w:val="single" w:sz="4" w:space="0" w:color="auto"/>
              <w:left w:val="nil"/>
              <w:right w:val="nil"/>
            </w:tcBorders>
            <w:shd w:val="clear" w:color="auto" w:fill="auto"/>
          </w:tcPr>
          <w:p w14:paraId="1E461BA4" w14:textId="77777777" w:rsidR="008B7F41" w:rsidRDefault="004C7094">
            <w:pPr>
              <w:adjustRightInd w:val="0"/>
              <w:snapToGrid w:val="0"/>
              <w:spacing w:line="360" w:lineRule="auto"/>
              <w:jc w:val="left"/>
              <w:rPr>
                <w:rFonts w:ascii="Book Antiqua" w:eastAsia="SimSun" w:hAnsi="Book Antiqua" w:cs="Book Antiqua"/>
                <w:b/>
                <w:lang w:eastAsia="zh-CN"/>
              </w:rPr>
            </w:pPr>
            <w:r>
              <w:rPr>
                <w:rFonts w:ascii="Book Antiqua" w:eastAsia="Lato" w:hAnsi="Book Antiqua" w:cs="Book Antiqua"/>
                <w:b/>
                <w:lang w:eastAsia="zh-CN"/>
              </w:rPr>
              <w:t>Paramet</w:t>
            </w:r>
            <w:r>
              <w:rPr>
                <w:rFonts w:ascii="Book Antiqua" w:eastAsia="Lato" w:hAnsi="Book Antiqua" w:cs="Book Antiqua"/>
                <w:b/>
                <w:lang w:eastAsia="zh-CN"/>
              </w:rPr>
              <w:t>ers</w:t>
            </w:r>
          </w:p>
        </w:tc>
        <w:tc>
          <w:tcPr>
            <w:tcW w:w="875" w:type="pct"/>
            <w:vMerge w:val="restart"/>
            <w:tcBorders>
              <w:top w:val="single" w:sz="4" w:space="0" w:color="auto"/>
              <w:left w:val="nil"/>
              <w:right w:val="nil"/>
            </w:tcBorders>
            <w:shd w:val="clear" w:color="auto" w:fill="auto"/>
          </w:tcPr>
          <w:p w14:paraId="029F3575" w14:textId="77777777" w:rsidR="008B7F41" w:rsidRDefault="004C7094">
            <w:pPr>
              <w:adjustRightInd w:val="0"/>
              <w:snapToGrid w:val="0"/>
              <w:spacing w:line="360" w:lineRule="auto"/>
              <w:jc w:val="center"/>
              <w:rPr>
                <w:rFonts w:ascii="Book Antiqua" w:hAnsi="Book Antiqua" w:cs="Book Antiqua"/>
                <w:b/>
                <w:lang w:eastAsia="zh-CN"/>
              </w:rPr>
            </w:pPr>
            <w:r>
              <w:rPr>
                <w:rFonts w:ascii="Book Antiqua" w:hAnsi="Book Antiqua" w:cs="Book Antiqua"/>
                <w:b/>
                <w:i/>
                <w:lang w:eastAsia="zh-CN"/>
              </w:rPr>
              <w:t>n</w:t>
            </w:r>
          </w:p>
        </w:tc>
        <w:tc>
          <w:tcPr>
            <w:tcW w:w="1896" w:type="pct"/>
            <w:gridSpan w:val="2"/>
            <w:tcBorders>
              <w:top w:val="single" w:sz="4" w:space="0" w:color="auto"/>
              <w:left w:val="nil"/>
              <w:bottom w:val="single" w:sz="4" w:space="0" w:color="auto"/>
              <w:right w:val="nil"/>
            </w:tcBorders>
            <w:shd w:val="clear" w:color="auto" w:fill="auto"/>
          </w:tcPr>
          <w:p w14:paraId="30D26993" w14:textId="77777777" w:rsidR="008B7F41" w:rsidRDefault="004C7094">
            <w:pPr>
              <w:widowControl/>
              <w:adjustRightInd w:val="0"/>
              <w:snapToGrid w:val="0"/>
              <w:spacing w:line="360" w:lineRule="auto"/>
              <w:jc w:val="center"/>
              <w:rPr>
                <w:rFonts w:ascii="Book Antiqua" w:hAnsi="Book Antiqua" w:cs="Book Antiqua"/>
                <w:b/>
                <w:lang w:eastAsia="zh-CN"/>
              </w:rPr>
            </w:pPr>
            <w:r>
              <w:rPr>
                <w:rFonts w:ascii="Book Antiqua" w:hAnsi="Book Antiqua" w:cs="Book Antiqua"/>
                <w:b/>
                <w:lang w:eastAsia="zh-CN"/>
              </w:rPr>
              <w:t>USP15 </w:t>
            </w:r>
            <w:r>
              <w:rPr>
                <w:rFonts w:ascii="Book Antiqua" w:eastAsia="Lato" w:hAnsi="Book Antiqua" w:cs="Book Antiqua"/>
                <w:b/>
                <w:lang w:eastAsia="zh-CN"/>
              </w:rPr>
              <w:t>expression</w:t>
            </w:r>
          </w:p>
        </w:tc>
        <w:tc>
          <w:tcPr>
            <w:tcW w:w="948" w:type="pct"/>
            <w:tcBorders>
              <w:top w:val="single" w:sz="4" w:space="0" w:color="auto"/>
              <w:left w:val="nil"/>
              <w:bottom w:val="nil"/>
              <w:right w:val="nil"/>
            </w:tcBorders>
            <w:shd w:val="clear" w:color="auto" w:fill="auto"/>
          </w:tcPr>
          <w:p w14:paraId="1328FC5B" w14:textId="77777777" w:rsidR="008B7F41" w:rsidRDefault="008B7F41">
            <w:pPr>
              <w:adjustRightInd w:val="0"/>
              <w:snapToGrid w:val="0"/>
              <w:spacing w:line="360" w:lineRule="auto"/>
              <w:rPr>
                <w:rFonts w:ascii="Book Antiqua" w:hAnsi="Book Antiqua" w:cs="Book Antiqua"/>
                <w:b/>
                <w:lang w:eastAsia="zh-CN"/>
              </w:rPr>
            </w:pPr>
          </w:p>
        </w:tc>
      </w:tr>
      <w:tr w:rsidR="008B7F41" w14:paraId="08081810" w14:textId="77777777">
        <w:trPr>
          <w:jc w:val="center"/>
        </w:trPr>
        <w:tc>
          <w:tcPr>
            <w:tcW w:w="1281" w:type="pct"/>
            <w:vMerge/>
            <w:tcBorders>
              <w:left w:val="nil"/>
              <w:bottom w:val="single" w:sz="4" w:space="0" w:color="auto"/>
              <w:right w:val="nil"/>
            </w:tcBorders>
            <w:shd w:val="clear" w:color="auto" w:fill="auto"/>
          </w:tcPr>
          <w:p w14:paraId="300C1849" w14:textId="77777777" w:rsidR="008B7F41" w:rsidRDefault="008B7F41">
            <w:pPr>
              <w:widowControl/>
              <w:adjustRightInd w:val="0"/>
              <w:snapToGrid w:val="0"/>
              <w:spacing w:line="360" w:lineRule="auto"/>
              <w:jc w:val="left"/>
              <w:rPr>
                <w:rFonts w:ascii="Book Antiqua" w:hAnsi="Book Antiqua" w:cs="Book Antiqua"/>
                <w:b/>
                <w:lang w:eastAsia="zh-CN"/>
              </w:rPr>
            </w:pPr>
          </w:p>
        </w:tc>
        <w:tc>
          <w:tcPr>
            <w:tcW w:w="875" w:type="pct"/>
            <w:vMerge/>
            <w:tcBorders>
              <w:left w:val="nil"/>
              <w:bottom w:val="single" w:sz="4" w:space="0" w:color="auto"/>
              <w:right w:val="nil"/>
            </w:tcBorders>
            <w:shd w:val="clear" w:color="auto" w:fill="auto"/>
          </w:tcPr>
          <w:p w14:paraId="5B0C6C7A" w14:textId="77777777" w:rsidR="008B7F41" w:rsidRDefault="008B7F41">
            <w:pPr>
              <w:adjustRightInd w:val="0"/>
              <w:snapToGrid w:val="0"/>
              <w:spacing w:line="360" w:lineRule="auto"/>
              <w:jc w:val="center"/>
              <w:rPr>
                <w:rFonts w:ascii="Book Antiqua" w:hAnsi="Book Antiqua" w:cs="Book Antiqua"/>
                <w:b/>
                <w:i/>
                <w:lang w:eastAsia="zh-CN"/>
              </w:rPr>
            </w:pPr>
          </w:p>
        </w:tc>
        <w:tc>
          <w:tcPr>
            <w:tcW w:w="946" w:type="pct"/>
            <w:tcBorders>
              <w:top w:val="single" w:sz="4" w:space="0" w:color="auto"/>
              <w:left w:val="nil"/>
              <w:bottom w:val="single" w:sz="4" w:space="0" w:color="auto"/>
              <w:right w:val="nil"/>
            </w:tcBorders>
            <w:shd w:val="clear" w:color="auto" w:fill="auto"/>
          </w:tcPr>
          <w:p w14:paraId="06AA7ADC" w14:textId="77777777" w:rsidR="008B7F41" w:rsidRDefault="004C7094">
            <w:pPr>
              <w:adjustRightInd w:val="0"/>
              <w:snapToGrid w:val="0"/>
              <w:spacing w:line="360" w:lineRule="auto"/>
              <w:jc w:val="center"/>
              <w:rPr>
                <w:rFonts w:ascii="Book Antiqua" w:hAnsi="Book Antiqua" w:cs="Book Antiqua"/>
                <w:b/>
                <w:lang w:eastAsia="zh-CN"/>
              </w:rPr>
            </w:pPr>
            <w:r>
              <w:rPr>
                <w:rFonts w:ascii="Book Antiqua" w:hAnsi="Book Antiqua" w:cs="Book Antiqua"/>
                <w:b/>
                <w:lang w:eastAsia="zh-CN"/>
              </w:rPr>
              <w:t>low</w:t>
            </w:r>
          </w:p>
        </w:tc>
        <w:tc>
          <w:tcPr>
            <w:tcW w:w="950" w:type="pct"/>
            <w:tcBorders>
              <w:top w:val="single" w:sz="4" w:space="0" w:color="auto"/>
              <w:left w:val="nil"/>
              <w:bottom w:val="single" w:sz="4" w:space="0" w:color="auto"/>
              <w:right w:val="nil"/>
            </w:tcBorders>
            <w:shd w:val="clear" w:color="auto" w:fill="auto"/>
          </w:tcPr>
          <w:p w14:paraId="55380B09" w14:textId="77777777" w:rsidR="008B7F41" w:rsidRDefault="004C7094">
            <w:pPr>
              <w:adjustRightInd w:val="0"/>
              <w:snapToGrid w:val="0"/>
              <w:spacing w:line="360" w:lineRule="auto"/>
              <w:jc w:val="center"/>
              <w:rPr>
                <w:rFonts w:ascii="Book Antiqua" w:hAnsi="Book Antiqua" w:cs="Book Antiqua"/>
                <w:b/>
                <w:lang w:eastAsia="zh-CN"/>
              </w:rPr>
            </w:pPr>
            <w:r>
              <w:rPr>
                <w:rFonts w:ascii="Book Antiqua" w:hAnsi="Book Antiqua" w:cs="Book Antiqua"/>
                <w:b/>
                <w:lang w:eastAsia="zh-CN"/>
              </w:rPr>
              <w:t>High</w:t>
            </w:r>
          </w:p>
        </w:tc>
        <w:tc>
          <w:tcPr>
            <w:tcW w:w="948" w:type="pct"/>
            <w:tcBorders>
              <w:top w:val="nil"/>
              <w:left w:val="nil"/>
              <w:bottom w:val="single" w:sz="4" w:space="0" w:color="auto"/>
              <w:right w:val="nil"/>
            </w:tcBorders>
            <w:shd w:val="clear" w:color="auto" w:fill="auto"/>
          </w:tcPr>
          <w:p w14:paraId="620C2C30" w14:textId="77777777" w:rsidR="008B7F41" w:rsidRDefault="004C7094">
            <w:pPr>
              <w:adjustRightInd w:val="0"/>
              <w:snapToGrid w:val="0"/>
              <w:spacing w:line="360" w:lineRule="auto"/>
              <w:jc w:val="center"/>
              <w:rPr>
                <w:rFonts w:ascii="Book Antiqua" w:hAnsi="Book Antiqua" w:cs="Book Antiqua"/>
                <w:b/>
                <w:lang w:eastAsia="zh-CN"/>
              </w:rPr>
            </w:pPr>
            <w:r>
              <w:rPr>
                <w:rFonts w:ascii="Book Antiqua" w:hAnsi="Book Antiqua" w:cs="Book Antiqua"/>
                <w:b/>
                <w:i/>
                <w:lang w:eastAsia="zh-CN"/>
              </w:rPr>
              <w:t>P</w:t>
            </w:r>
            <w:r>
              <w:rPr>
                <w:rFonts w:ascii="Book Antiqua" w:hAnsi="Book Antiqua" w:cs="Book Antiqua"/>
                <w:b/>
                <w:lang w:eastAsia="zh-CN"/>
              </w:rPr>
              <w:t xml:space="preserve"> value</w:t>
            </w:r>
          </w:p>
        </w:tc>
      </w:tr>
      <w:tr w:rsidR="008B7F41" w14:paraId="089370BA" w14:textId="77777777">
        <w:trPr>
          <w:jc w:val="center"/>
        </w:trPr>
        <w:tc>
          <w:tcPr>
            <w:tcW w:w="1281" w:type="pct"/>
            <w:tcBorders>
              <w:top w:val="single" w:sz="4" w:space="0" w:color="auto"/>
              <w:left w:val="nil"/>
              <w:bottom w:val="nil"/>
              <w:right w:val="nil"/>
            </w:tcBorders>
            <w:shd w:val="clear" w:color="auto" w:fill="auto"/>
          </w:tcPr>
          <w:p w14:paraId="398FE37F" w14:textId="77777777" w:rsidR="008B7F41" w:rsidRDefault="004C7094">
            <w:pPr>
              <w:adjustRightInd w:val="0"/>
              <w:snapToGrid w:val="0"/>
              <w:spacing w:line="360" w:lineRule="auto"/>
              <w:jc w:val="left"/>
              <w:rPr>
                <w:rFonts w:ascii="Book Antiqua" w:hAnsi="Book Antiqua" w:cs="Book Antiqua"/>
                <w:lang w:eastAsia="zh-CN"/>
              </w:rPr>
            </w:pPr>
            <w:r>
              <w:rPr>
                <w:rFonts w:ascii="Book Antiqua" w:hAnsi="Book Antiqua" w:cs="Book Antiqua"/>
                <w:lang w:eastAsia="zh-CN"/>
              </w:rPr>
              <w:t>Gender</w:t>
            </w:r>
          </w:p>
        </w:tc>
        <w:tc>
          <w:tcPr>
            <w:tcW w:w="875" w:type="pct"/>
            <w:tcBorders>
              <w:top w:val="single" w:sz="4" w:space="0" w:color="auto"/>
              <w:left w:val="nil"/>
              <w:bottom w:val="nil"/>
              <w:right w:val="nil"/>
            </w:tcBorders>
            <w:shd w:val="clear" w:color="auto" w:fill="auto"/>
          </w:tcPr>
          <w:p w14:paraId="60175620"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single" w:sz="4" w:space="0" w:color="auto"/>
              <w:left w:val="nil"/>
              <w:bottom w:val="nil"/>
              <w:right w:val="nil"/>
            </w:tcBorders>
            <w:shd w:val="clear" w:color="auto" w:fill="auto"/>
          </w:tcPr>
          <w:p w14:paraId="7A500567" w14:textId="77777777" w:rsidR="008B7F41" w:rsidRDefault="008B7F41">
            <w:pPr>
              <w:adjustRightInd w:val="0"/>
              <w:snapToGrid w:val="0"/>
              <w:spacing w:line="360" w:lineRule="auto"/>
              <w:rPr>
                <w:rFonts w:ascii="Book Antiqua" w:hAnsi="Book Antiqua" w:cs="Book Antiqua"/>
                <w:lang w:eastAsia="zh-CN"/>
              </w:rPr>
            </w:pPr>
          </w:p>
        </w:tc>
        <w:tc>
          <w:tcPr>
            <w:tcW w:w="950" w:type="pct"/>
            <w:tcBorders>
              <w:top w:val="single" w:sz="4" w:space="0" w:color="auto"/>
              <w:left w:val="nil"/>
              <w:bottom w:val="nil"/>
              <w:right w:val="nil"/>
            </w:tcBorders>
            <w:shd w:val="clear" w:color="auto" w:fill="auto"/>
          </w:tcPr>
          <w:p w14:paraId="6AEC4351" w14:textId="77777777" w:rsidR="008B7F41" w:rsidRDefault="008B7F41">
            <w:pPr>
              <w:adjustRightInd w:val="0"/>
              <w:snapToGrid w:val="0"/>
              <w:spacing w:line="360" w:lineRule="auto"/>
              <w:rPr>
                <w:rFonts w:ascii="Book Antiqua" w:hAnsi="Book Antiqua" w:cs="Book Antiqua"/>
                <w:lang w:eastAsia="zh-CN"/>
              </w:rPr>
            </w:pPr>
          </w:p>
        </w:tc>
        <w:tc>
          <w:tcPr>
            <w:tcW w:w="948" w:type="pct"/>
            <w:tcBorders>
              <w:top w:val="single" w:sz="4" w:space="0" w:color="auto"/>
              <w:left w:val="nil"/>
              <w:bottom w:val="nil"/>
              <w:right w:val="nil"/>
            </w:tcBorders>
            <w:shd w:val="clear" w:color="auto" w:fill="auto"/>
          </w:tcPr>
          <w:p w14:paraId="04DF60DB" w14:textId="77777777" w:rsidR="008B7F41" w:rsidRDefault="008B7F41">
            <w:pPr>
              <w:adjustRightInd w:val="0"/>
              <w:snapToGrid w:val="0"/>
              <w:spacing w:line="360" w:lineRule="auto"/>
              <w:rPr>
                <w:rFonts w:ascii="Book Antiqua" w:hAnsi="Book Antiqua" w:cs="Book Antiqua"/>
                <w:lang w:eastAsia="zh-CN"/>
              </w:rPr>
            </w:pPr>
          </w:p>
        </w:tc>
      </w:tr>
      <w:tr w:rsidR="008B7F41" w14:paraId="6EA14E5E" w14:textId="77777777">
        <w:trPr>
          <w:jc w:val="center"/>
        </w:trPr>
        <w:tc>
          <w:tcPr>
            <w:tcW w:w="1281" w:type="pct"/>
            <w:tcBorders>
              <w:top w:val="nil"/>
              <w:left w:val="nil"/>
              <w:bottom w:val="nil"/>
              <w:right w:val="nil"/>
            </w:tcBorders>
            <w:shd w:val="clear" w:color="auto" w:fill="auto"/>
          </w:tcPr>
          <w:p w14:paraId="1B5847C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Male</w:t>
            </w:r>
          </w:p>
        </w:tc>
        <w:tc>
          <w:tcPr>
            <w:tcW w:w="875" w:type="pct"/>
            <w:tcBorders>
              <w:top w:val="nil"/>
              <w:left w:val="nil"/>
              <w:bottom w:val="nil"/>
              <w:right w:val="nil"/>
            </w:tcBorders>
            <w:shd w:val="clear" w:color="auto" w:fill="auto"/>
          </w:tcPr>
          <w:p w14:paraId="24C60CE3"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62</w:t>
            </w:r>
          </w:p>
        </w:tc>
        <w:tc>
          <w:tcPr>
            <w:tcW w:w="946" w:type="pct"/>
            <w:tcBorders>
              <w:top w:val="nil"/>
              <w:left w:val="nil"/>
              <w:bottom w:val="nil"/>
              <w:right w:val="nil"/>
            </w:tcBorders>
            <w:shd w:val="clear" w:color="auto" w:fill="auto"/>
          </w:tcPr>
          <w:p w14:paraId="5CE91C6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20</w:t>
            </w:r>
          </w:p>
        </w:tc>
        <w:tc>
          <w:tcPr>
            <w:tcW w:w="950" w:type="pct"/>
            <w:tcBorders>
              <w:top w:val="nil"/>
              <w:left w:val="nil"/>
              <w:bottom w:val="nil"/>
              <w:right w:val="nil"/>
            </w:tcBorders>
            <w:shd w:val="clear" w:color="auto" w:fill="auto"/>
          </w:tcPr>
          <w:p w14:paraId="75F3A79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42</w:t>
            </w:r>
          </w:p>
        </w:tc>
        <w:tc>
          <w:tcPr>
            <w:tcW w:w="948" w:type="pct"/>
            <w:vMerge w:val="restart"/>
            <w:tcBorders>
              <w:top w:val="nil"/>
              <w:left w:val="nil"/>
              <w:bottom w:val="nil"/>
              <w:right w:val="nil"/>
            </w:tcBorders>
            <w:shd w:val="clear" w:color="auto" w:fill="auto"/>
          </w:tcPr>
          <w:p w14:paraId="1F71DFB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0.218</w:t>
            </w:r>
          </w:p>
        </w:tc>
      </w:tr>
      <w:tr w:rsidR="008B7F41" w14:paraId="404F9A1F" w14:textId="77777777">
        <w:trPr>
          <w:jc w:val="center"/>
        </w:trPr>
        <w:tc>
          <w:tcPr>
            <w:tcW w:w="1281" w:type="pct"/>
            <w:tcBorders>
              <w:top w:val="nil"/>
              <w:left w:val="nil"/>
              <w:bottom w:val="nil"/>
              <w:right w:val="nil"/>
            </w:tcBorders>
            <w:shd w:val="clear" w:color="auto" w:fill="auto"/>
          </w:tcPr>
          <w:p w14:paraId="3D485DE4"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Female</w:t>
            </w:r>
          </w:p>
        </w:tc>
        <w:tc>
          <w:tcPr>
            <w:tcW w:w="875" w:type="pct"/>
            <w:tcBorders>
              <w:top w:val="nil"/>
              <w:left w:val="nil"/>
              <w:bottom w:val="nil"/>
              <w:right w:val="nil"/>
            </w:tcBorders>
            <w:shd w:val="clear" w:color="auto" w:fill="auto"/>
          </w:tcPr>
          <w:p w14:paraId="1C46C37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53</w:t>
            </w:r>
          </w:p>
        </w:tc>
        <w:tc>
          <w:tcPr>
            <w:tcW w:w="946" w:type="pct"/>
            <w:tcBorders>
              <w:top w:val="nil"/>
              <w:left w:val="nil"/>
              <w:bottom w:val="nil"/>
              <w:right w:val="nil"/>
            </w:tcBorders>
            <w:shd w:val="clear" w:color="auto" w:fill="auto"/>
          </w:tcPr>
          <w:p w14:paraId="61C5FC6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23</w:t>
            </w:r>
          </w:p>
        </w:tc>
        <w:tc>
          <w:tcPr>
            <w:tcW w:w="950" w:type="pct"/>
            <w:tcBorders>
              <w:top w:val="nil"/>
              <w:left w:val="nil"/>
              <w:bottom w:val="nil"/>
              <w:right w:val="nil"/>
            </w:tcBorders>
            <w:shd w:val="clear" w:color="auto" w:fill="auto"/>
          </w:tcPr>
          <w:p w14:paraId="03700602"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30</w:t>
            </w:r>
          </w:p>
        </w:tc>
        <w:tc>
          <w:tcPr>
            <w:tcW w:w="0" w:type="auto"/>
            <w:vMerge/>
            <w:tcBorders>
              <w:top w:val="nil"/>
              <w:left w:val="nil"/>
              <w:bottom w:val="nil"/>
              <w:right w:val="nil"/>
            </w:tcBorders>
            <w:shd w:val="clear" w:color="auto" w:fill="auto"/>
            <w:vAlign w:val="center"/>
          </w:tcPr>
          <w:p w14:paraId="7BA33C5C" w14:textId="77777777" w:rsidR="008B7F41" w:rsidRDefault="008B7F41">
            <w:pPr>
              <w:adjustRightInd w:val="0"/>
              <w:snapToGrid w:val="0"/>
              <w:spacing w:line="360" w:lineRule="auto"/>
              <w:rPr>
                <w:rFonts w:ascii="Book Antiqua" w:eastAsia="SimSun" w:hAnsi="Book Antiqua" w:cs="Book Antiqua"/>
                <w:lang w:eastAsia="zh-CN"/>
              </w:rPr>
            </w:pPr>
          </w:p>
        </w:tc>
      </w:tr>
      <w:tr w:rsidR="008B7F41" w14:paraId="7A8DF10B" w14:textId="77777777">
        <w:trPr>
          <w:jc w:val="center"/>
        </w:trPr>
        <w:tc>
          <w:tcPr>
            <w:tcW w:w="1281" w:type="pct"/>
            <w:tcBorders>
              <w:top w:val="nil"/>
              <w:left w:val="nil"/>
              <w:bottom w:val="nil"/>
              <w:right w:val="nil"/>
            </w:tcBorders>
            <w:shd w:val="clear" w:color="auto" w:fill="auto"/>
          </w:tcPr>
          <w:p w14:paraId="48D8651D" w14:textId="77777777" w:rsidR="008B7F41" w:rsidRDefault="004C7094">
            <w:pPr>
              <w:adjustRightInd w:val="0"/>
              <w:snapToGrid w:val="0"/>
              <w:spacing w:line="360" w:lineRule="auto"/>
              <w:jc w:val="left"/>
              <w:rPr>
                <w:rFonts w:ascii="Book Antiqua" w:hAnsi="Book Antiqua" w:cs="Book Antiqua"/>
                <w:lang w:eastAsia="zh-CN"/>
              </w:rPr>
            </w:pPr>
            <w:r>
              <w:rPr>
                <w:rFonts w:ascii="Book Antiqua" w:hAnsi="Book Antiqua" w:cs="Book Antiqua"/>
                <w:lang w:eastAsia="zh-CN"/>
              </w:rPr>
              <w:t xml:space="preserve">Age in </w:t>
            </w:r>
            <w:proofErr w:type="spellStart"/>
            <w:r>
              <w:rPr>
                <w:rFonts w:ascii="Book Antiqua" w:hAnsi="Book Antiqua" w:cs="Book Antiqua"/>
                <w:lang w:eastAsia="zh-CN"/>
              </w:rPr>
              <w:t>yr</w:t>
            </w:r>
            <w:proofErr w:type="spellEnd"/>
          </w:p>
        </w:tc>
        <w:tc>
          <w:tcPr>
            <w:tcW w:w="875" w:type="pct"/>
            <w:tcBorders>
              <w:top w:val="nil"/>
              <w:left w:val="nil"/>
              <w:bottom w:val="nil"/>
              <w:right w:val="nil"/>
            </w:tcBorders>
            <w:shd w:val="clear" w:color="auto" w:fill="auto"/>
          </w:tcPr>
          <w:p w14:paraId="30ABD8D0"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4BA95DC8" w14:textId="77777777" w:rsidR="008B7F41" w:rsidRDefault="008B7F41">
            <w:pPr>
              <w:adjustRightInd w:val="0"/>
              <w:snapToGrid w:val="0"/>
              <w:spacing w:line="360" w:lineRule="auto"/>
              <w:rPr>
                <w:rFonts w:ascii="Book Antiqua" w:hAnsi="Book Antiqua" w:cs="Book Antiqua"/>
                <w:lang w:eastAsia="zh-CN"/>
              </w:rPr>
            </w:pPr>
          </w:p>
        </w:tc>
        <w:tc>
          <w:tcPr>
            <w:tcW w:w="950" w:type="pct"/>
            <w:tcBorders>
              <w:top w:val="nil"/>
              <w:left w:val="nil"/>
              <w:bottom w:val="nil"/>
              <w:right w:val="nil"/>
            </w:tcBorders>
            <w:shd w:val="clear" w:color="auto" w:fill="auto"/>
          </w:tcPr>
          <w:p w14:paraId="3B7FA0AA" w14:textId="77777777" w:rsidR="008B7F41" w:rsidRDefault="008B7F41">
            <w:pPr>
              <w:adjustRightInd w:val="0"/>
              <w:snapToGrid w:val="0"/>
              <w:spacing w:line="360" w:lineRule="auto"/>
              <w:rPr>
                <w:rFonts w:ascii="Book Antiqua" w:hAnsi="Book Antiqua" w:cs="Book Antiqua"/>
                <w:lang w:eastAsia="zh-CN"/>
              </w:rPr>
            </w:pPr>
          </w:p>
        </w:tc>
        <w:tc>
          <w:tcPr>
            <w:tcW w:w="948" w:type="pct"/>
            <w:tcBorders>
              <w:top w:val="nil"/>
              <w:left w:val="nil"/>
              <w:bottom w:val="nil"/>
              <w:right w:val="nil"/>
            </w:tcBorders>
            <w:shd w:val="clear" w:color="auto" w:fill="auto"/>
          </w:tcPr>
          <w:p w14:paraId="2A437FE3" w14:textId="77777777" w:rsidR="008B7F41" w:rsidRDefault="008B7F41">
            <w:pPr>
              <w:adjustRightInd w:val="0"/>
              <w:snapToGrid w:val="0"/>
              <w:spacing w:line="360" w:lineRule="auto"/>
              <w:rPr>
                <w:rFonts w:ascii="Book Antiqua" w:hAnsi="Book Antiqua" w:cs="Book Antiqua"/>
                <w:lang w:eastAsia="zh-CN"/>
              </w:rPr>
            </w:pPr>
          </w:p>
        </w:tc>
      </w:tr>
      <w:tr w:rsidR="008B7F41" w14:paraId="0C507EB8" w14:textId="77777777">
        <w:trPr>
          <w:jc w:val="center"/>
        </w:trPr>
        <w:tc>
          <w:tcPr>
            <w:tcW w:w="1281" w:type="pct"/>
            <w:tcBorders>
              <w:top w:val="nil"/>
              <w:left w:val="nil"/>
              <w:bottom w:val="nil"/>
              <w:right w:val="nil"/>
            </w:tcBorders>
            <w:shd w:val="clear" w:color="auto" w:fill="auto"/>
          </w:tcPr>
          <w:p w14:paraId="32651B13"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w:t>
            </w:r>
            <w:r>
              <w:rPr>
                <w:rFonts w:ascii="Book Antiqua" w:hAnsi="Book Antiqua" w:cs="Book Antiqua"/>
                <w:color w:val="231F20"/>
                <w:lang w:eastAsia="zh-CN"/>
              </w:rPr>
              <w:t xml:space="preserve"> </w:t>
            </w:r>
            <w:r>
              <w:rPr>
                <w:rFonts w:ascii="Book Antiqua" w:eastAsia="Lato" w:hAnsi="Book Antiqua" w:cs="Book Antiqua"/>
                <w:color w:val="231F20"/>
                <w:lang w:eastAsia="zh-CN"/>
              </w:rPr>
              <w:t>60</w:t>
            </w:r>
          </w:p>
        </w:tc>
        <w:tc>
          <w:tcPr>
            <w:tcW w:w="875" w:type="pct"/>
            <w:tcBorders>
              <w:top w:val="nil"/>
              <w:left w:val="nil"/>
              <w:bottom w:val="nil"/>
              <w:right w:val="nil"/>
            </w:tcBorders>
            <w:shd w:val="clear" w:color="auto" w:fill="auto"/>
          </w:tcPr>
          <w:p w14:paraId="6BCC66E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63</w:t>
            </w:r>
          </w:p>
        </w:tc>
        <w:tc>
          <w:tcPr>
            <w:tcW w:w="946" w:type="pct"/>
            <w:tcBorders>
              <w:top w:val="nil"/>
              <w:left w:val="nil"/>
              <w:bottom w:val="nil"/>
              <w:right w:val="nil"/>
            </w:tcBorders>
            <w:shd w:val="clear" w:color="auto" w:fill="auto"/>
          </w:tcPr>
          <w:p w14:paraId="1B9515F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18</w:t>
            </w:r>
          </w:p>
        </w:tc>
        <w:tc>
          <w:tcPr>
            <w:tcW w:w="950" w:type="pct"/>
            <w:tcBorders>
              <w:top w:val="nil"/>
              <w:left w:val="nil"/>
              <w:bottom w:val="nil"/>
              <w:right w:val="nil"/>
            </w:tcBorders>
            <w:shd w:val="clear" w:color="auto" w:fill="auto"/>
          </w:tcPr>
          <w:p w14:paraId="41799C32"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35</w:t>
            </w:r>
          </w:p>
        </w:tc>
        <w:tc>
          <w:tcPr>
            <w:tcW w:w="948" w:type="pct"/>
            <w:vMerge w:val="restart"/>
            <w:tcBorders>
              <w:top w:val="nil"/>
              <w:left w:val="nil"/>
              <w:bottom w:val="nil"/>
              <w:right w:val="nil"/>
            </w:tcBorders>
            <w:shd w:val="clear" w:color="auto" w:fill="auto"/>
          </w:tcPr>
          <w:p w14:paraId="716A0BB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0.141</w:t>
            </w:r>
          </w:p>
        </w:tc>
      </w:tr>
      <w:tr w:rsidR="008B7F41" w14:paraId="0413A67A" w14:textId="77777777">
        <w:trPr>
          <w:trHeight w:val="342"/>
          <w:jc w:val="center"/>
        </w:trPr>
        <w:tc>
          <w:tcPr>
            <w:tcW w:w="1281" w:type="pct"/>
            <w:tcBorders>
              <w:top w:val="nil"/>
              <w:left w:val="nil"/>
              <w:bottom w:val="nil"/>
              <w:right w:val="nil"/>
            </w:tcBorders>
            <w:shd w:val="clear" w:color="auto" w:fill="auto"/>
          </w:tcPr>
          <w:p w14:paraId="071A097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&gt; 60</w:t>
            </w:r>
          </w:p>
        </w:tc>
        <w:tc>
          <w:tcPr>
            <w:tcW w:w="875" w:type="pct"/>
            <w:tcBorders>
              <w:top w:val="nil"/>
              <w:left w:val="nil"/>
              <w:bottom w:val="nil"/>
              <w:right w:val="nil"/>
            </w:tcBorders>
            <w:shd w:val="clear" w:color="auto" w:fill="auto"/>
          </w:tcPr>
          <w:p w14:paraId="0CEA3C6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52</w:t>
            </w:r>
          </w:p>
        </w:tc>
        <w:tc>
          <w:tcPr>
            <w:tcW w:w="946" w:type="pct"/>
            <w:tcBorders>
              <w:top w:val="nil"/>
              <w:left w:val="nil"/>
              <w:bottom w:val="nil"/>
              <w:right w:val="nil"/>
            </w:tcBorders>
            <w:shd w:val="clear" w:color="auto" w:fill="auto"/>
          </w:tcPr>
          <w:p w14:paraId="111B0B6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25</w:t>
            </w:r>
          </w:p>
        </w:tc>
        <w:tc>
          <w:tcPr>
            <w:tcW w:w="950" w:type="pct"/>
            <w:tcBorders>
              <w:top w:val="nil"/>
              <w:left w:val="nil"/>
              <w:bottom w:val="nil"/>
              <w:right w:val="nil"/>
            </w:tcBorders>
            <w:shd w:val="clear" w:color="auto" w:fill="auto"/>
          </w:tcPr>
          <w:p w14:paraId="5591A17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27</w:t>
            </w:r>
          </w:p>
        </w:tc>
        <w:tc>
          <w:tcPr>
            <w:tcW w:w="0" w:type="auto"/>
            <w:vMerge/>
            <w:tcBorders>
              <w:top w:val="nil"/>
              <w:left w:val="nil"/>
              <w:bottom w:val="nil"/>
              <w:right w:val="nil"/>
            </w:tcBorders>
            <w:shd w:val="clear" w:color="auto" w:fill="auto"/>
            <w:vAlign w:val="center"/>
          </w:tcPr>
          <w:p w14:paraId="4EED639F" w14:textId="77777777" w:rsidR="008B7F41" w:rsidRDefault="008B7F41">
            <w:pPr>
              <w:adjustRightInd w:val="0"/>
              <w:snapToGrid w:val="0"/>
              <w:spacing w:line="360" w:lineRule="auto"/>
              <w:rPr>
                <w:rFonts w:ascii="Book Antiqua" w:eastAsia="SimSun" w:hAnsi="Book Antiqua" w:cs="Book Antiqua"/>
                <w:lang w:eastAsia="zh-CN"/>
              </w:rPr>
            </w:pPr>
          </w:p>
        </w:tc>
      </w:tr>
      <w:tr w:rsidR="008B7F41" w14:paraId="67BDED4C" w14:textId="77777777">
        <w:trPr>
          <w:jc w:val="center"/>
        </w:trPr>
        <w:tc>
          <w:tcPr>
            <w:tcW w:w="1281" w:type="pct"/>
            <w:tcBorders>
              <w:top w:val="nil"/>
              <w:left w:val="nil"/>
              <w:bottom w:val="nil"/>
              <w:right w:val="nil"/>
            </w:tcBorders>
            <w:shd w:val="clear" w:color="auto" w:fill="auto"/>
          </w:tcPr>
          <w:p w14:paraId="00E65663"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hAnsi="Book Antiqua" w:cs="Book Antiqua"/>
                <w:color w:val="231F20"/>
                <w:lang w:eastAsia="zh-CN"/>
              </w:rPr>
              <w:t>Differentiation</w:t>
            </w:r>
          </w:p>
        </w:tc>
        <w:tc>
          <w:tcPr>
            <w:tcW w:w="875" w:type="pct"/>
            <w:tcBorders>
              <w:top w:val="nil"/>
              <w:left w:val="nil"/>
              <w:bottom w:val="nil"/>
              <w:right w:val="nil"/>
            </w:tcBorders>
            <w:shd w:val="clear" w:color="auto" w:fill="auto"/>
          </w:tcPr>
          <w:p w14:paraId="1F8CD30F"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788997AD"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518CBA26"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1ECE346D" w14:textId="77777777" w:rsidR="008B7F41" w:rsidRDefault="008B7F41">
            <w:pPr>
              <w:adjustRightInd w:val="0"/>
              <w:snapToGrid w:val="0"/>
              <w:spacing w:line="360" w:lineRule="auto"/>
              <w:rPr>
                <w:rFonts w:ascii="Book Antiqua" w:hAnsi="Book Antiqua" w:cs="Book Antiqua"/>
                <w:lang w:eastAsia="zh-CN"/>
              </w:rPr>
            </w:pPr>
          </w:p>
        </w:tc>
      </w:tr>
      <w:tr w:rsidR="008B7F41" w14:paraId="5E1BDF90" w14:textId="77777777">
        <w:trPr>
          <w:trHeight w:val="301"/>
          <w:jc w:val="center"/>
        </w:trPr>
        <w:tc>
          <w:tcPr>
            <w:tcW w:w="1281" w:type="pct"/>
            <w:tcBorders>
              <w:top w:val="nil"/>
              <w:left w:val="nil"/>
              <w:bottom w:val="nil"/>
              <w:right w:val="nil"/>
            </w:tcBorders>
            <w:shd w:val="clear" w:color="auto" w:fill="auto"/>
          </w:tcPr>
          <w:p w14:paraId="7C45632F" w14:textId="77777777" w:rsidR="008B7F41" w:rsidRDefault="004C7094">
            <w:pPr>
              <w:widowControl/>
              <w:adjustRightInd w:val="0"/>
              <w:snapToGrid w:val="0"/>
              <w:spacing w:line="360" w:lineRule="auto"/>
              <w:jc w:val="center"/>
              <w:rPr>
                <w:rFonts w:ascii="Book Antiqua" w:eastAsia="Lato" w:hAnsi="Book Antiqua" w:cs="Book Antiqua"/>
                <w:color w:val="231F20"/>
                <w:lang w:eastAsia="zh-CN"/>
              </w:rPr>
            </w:pPr>
            <w:r>
              <w:rPr>
                <w:rFonts w:ascii="Book Antiqua" w:hAnsi="Book Antiqua" w:cs="Book Antiqua"/>
                <w:color w:val="231F20"/>
                <w:lang w:eastAsia="zh-CN"/>
              </w:rPr>
              <w:t>Poor</w:t>
            </w:r>
          </w:p>
        </w:tc>
        <w:tc>
          <w:tcPr>
            <w:tcW w:w="875" w:type="pct"/>
            <w:tcBorders>
              <w:top w:val="nil"/>
              <w:left w:val="nil"/>
              <w:bottom w:val="nil"/>
              <w:right w:val="nil"/>
            </w:tcBorders>
            <w:shd w:val="clear" w:color="auto" w:fill="auto"/>
          </w:tcPr>
          <w:p w14:paraId="0CFAF578" w14:textId="77777777" w:rsidR="008B7F41" w:rsidRDefault="004C7094">
            <w:pPr>
              <w:adjustRightInd w:val="0"/>
              <w:snapToGrid w:val="0"/>
              <w:spacing w:line="360" w:lineRule="auto"/>
              <w:jc w:val="center"/>
              <w:rPr>
                <w:rFonts w:ascii="Book Antiqua" w:eastAsia="SimSun" w:hAnsi="Book Antiqua" w:cs="Book Antiqua"/>
                <w:lang w:eastAsia="zh-CN"/>
              </w:rPr>
            </w:pPr>
            <w:r>
              <w:rPr>
                <w:rFonts w:ascii="Book Antiqua" w:hAnsi="Book Antiqua" w:cs="Book Antiqua"/>
                <w:lang w:eastAsia="zh-CN"/>
              </w:rPr>
              <w:t>69</w:t>
            </w:r>
          </w:p>
        </w:tc>
        <w:tc>
          <w:tcPr>
            <w:tcW w:w="946" w:type="pct"/>
            <w:tcBorders>
              <w:top w:val="nil"/>
              <w:left w:val="nil"/>
              <w:bottom w:val="nil"/>
              <w:right w:val="nil"/>
            </w:tcBorders>
            <w:shd w:val="clear" w:color="auto" w:fill="auto"/>
          </w:tcPr>
          <w:p w14:paraId="12A7A59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25</w:t>
            </w:r>
          </w:p>
        </w:tc>
        <w:tc>
          <w:tcPr>
            <w:tcW w:w="950" w:type="pct"/>
            <w:tcBorders>
              <w:top w:val="nil"/>
              <w:left w:val="nil"/>
              <w:bottom w:val="nil"/>
              <w:right w:val="nil"/>
            </w:tcBorders>
            <w:shd w:val="clear" w:color="auto" w:fill="auto"/>
          </w:tcPr>
          <w:p w14:paraId="4488065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44</w:t>
            </w:r>
          </w:p>
        </w:tc>
        <w:tc>
          <w:tcPr>
            <w:tcW w:w="948" w:type="pct"/>
            <w:vMerge w:val="restart"/>
            <w:tcBorders>
              <w:top w:val="nil"/>
              <w:left w:val="nil"/>
              <w:bottom w:val="nil"/>
              <w:right w:val="nil"/>
            </w:tcBorders>
            <w:shd w:val="clear" w:color="auto" w:fill="auto"/>
          </w:tcPr>
          <w:p w14:paraId="31672C5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0.753</w:t>
            </w:r>
          </w:p>
        </w:tc>
      </w:tr>
      <w:tr w:rsidR="008B7F41" w14:paraId="537B355A" w14:textId="77777777">
        <w:trPr>
          <w:trHeight w:val="318"/>
          <w:jc w:val="center"/>
        </w:trPr>
        <w:tc>
          <w:tcPr>
            <w:tcW w:w="1281" w:type="pct"/>
            <w:tcBorders>
              <w:top w:val="nil"/>
              <w:left w:val="nil"/>
              <w:bottom w:val="nil"/>
              <w:right w:val="nil"/>
            </w:tcBorders>
            <w:shd w:val="clear" w:color="auto" w:fill="auto"/>
          </w:tcPr>
          <w:p w14:paraId="6E5C83BB"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 xml:space="preserve"> Moderate</w:t>
            </w:r>
            <w:r>
              <w:rPr>
                <w:rFonts w:ascii="Book Antiqua" w:hAnsi="Book Antiqua" w:cs="Book Antiqua"/>
                <w:color w:val="231F20"/>
                <w:lang w:eastAsia="zh-CN"/>
              </w:rPr>
              <w:t>/well</w:t>
            </w:r>
          </w:p>
        </w:tc>
        <w:tc>
          <w:tcPr>
            <w:tcW w:w="875" w:type="pct"/>
            <w:tcBorders>
              <w:top w:val="nil"/>
              <w:left w:val="nil"/>
              <w:bottom w:val="nil"/>
              <w:right w:val="nil"/>
            </w:tcBorders>
            <w:shd w:val="clear" w:color="auto" w:fill="auto"/>
          </w:tcPr>
          <w:p w14:paraId="6E3696C4"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46</w:t>
            </w:r>
          </w:p>
        </w:tc>
        <w:tc>
          <w:tcPr>
            <w:tcW w:w="946" w:type="pct"/>
            <w:tcBorders>
              <w:top w:val="nil"/>
              <w:left w:val="nil"/>
              <w:bottom w:val="nil"/>
              <w:right w:val="nil"/>
            </w:tcBorders>
            <w:shd w:val="clear" w:color="auto" w:fill="auto"/>
          </w:tcPr>
          <w:p w14:paraId="3F42C48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18</w:t>
            </w:r>
          </w:p>
        </w:tc>
        <w:tc>
          <w:tcPr>
            <w:tcW w:w="950" w:type="pct"/>
            <w:tcBorders>
              <w:top w:val="nil"/>
              <w:left w:val="nil"/>
              <w:bottom w:val="nil"/>
              <w:right w:val="nil"/>
            </w:tcBorders>
            <w:shd w:val="clear" w:color="auto" w:fill="auto"/>
          </w:tcPr>
          <w:p w14:paraId="7F7A5B76"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28</w:t>
            </w:r>
          </w:p>
        </w:tc>
        <w:tc>
          <w:tcPr>
            <w:tcW w:w="0" w:type="auto"/>
            <w:vMerge/>
            <w:tcBorders>
              <w:top w:val="nil"/>
              <w:left w:val="nil"/>
              <w:bottom w:val="nil"/>
              <w:right w:val="nil"/>
            </w:tcBorders>
            <w:shd w:val="clear" w:color="auto" w:fill="auto"/>
            <w:vAlign w:val="center"/>
          </w:tcPr>
          <w:p w14:paraId="1413B7B4" w14:textId="77777777" w:rsidR="008B7F41" w:rsidRDefault="008B7F41">
            <w:pPr>
              <w:adjustRightInd w:val="0"/>
              <w:snapToGrid w:val="0"/>
              <w:spacing w:line="360" w:lineRule="auto"/>
              <w:rPr>
                <w:rFonts w:ascii="Book Antiqua" w:eastAsia="SimSun" w:hAnsi="Book Antiqua" w:cs="Book Antiqua"/>
                <w:lang w:eastAsia="zh-CN"/>
              </w:rPr>
            </w:pPr>
          </w:p>
        </w:tc>
      </w:tr>
      <w:tr w:rsidR="008B7F41" w14:paraId="0C2B68BB" w14:textId="77777777">
        <w:trPr>
          <w:jc w:val="center"/>
        </w:trPr>
        <w:tc>
          <w:tcPr>
            <w:tcW w:w="1281" w:type="pct"/>
            <w:tcBorders>
              <w:top w:val="nil"/>
              <w:left w:val="nil"/>
              <w:bottom w:val="nil"/>
              <w:right w:val="nil"/>
            </w:tcBorders>
            <w:shd w:val="clear" w:color="auto" w:fill="auto"/>
          </w:tcPr>
          <w:p w14:paraId="38BAAA0B"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eastAsia="Times-Roman" w:hAnsi="Book Antiqua" w:cs="Book Antiqua"/>
                <w:color w:val="231F20"/>
                <w:lang w:eastAsia="zh-CN"/>
              </w:rPr>
              <w:t>Tumor size in cm</w:t>
            </w:r>
          </w:p>
        </w:tc>
        <w:tc>
          <w:tcPr>
            <w:tcW w:w="875" w:type="pct"/>
            <w:tcBorders>
              <w:top w:val="nil"/>
              <w:left w:val="nil"/>
              <w:bottom w:val="nil"/>
              <w:right w:val="nil"/>
            </w:tcBorders>
            <w:shd w:val="clear" w:color="auto" w:fill="auto"/>
          </w:tcPr>
          <w:p w14:paraId="6C1A347F"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445CD76F"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38C19B5C"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7671F0AF" w14:textId="77777777" w:rsidR="008B7F41" w:rsidRDefault="008B7F41">
            <w:pPr>
              <w:adjustRightInd w:val="0"/>
              <w:snapToGrid w:val="0"/>
              <w:spacing w:line="360" w:lineRule="auto"/>
              <w:rPr>
                <w:rFonts w:ascii="Book Antiqua" w:hAnsi="Book Antiqua" w:cs="Book Antiqua"/>
                <w:lang w:eastAsia="zh-CN"/>
              </w:rPr>
            </w:pPr>
          </w:p>
        </w:tc>
      </w:tr>
      <w:tr w:rsidR="008B7F41" w14:paraId="37A8CD80" w14:textId="77777777">
        <w:trPr>
          <w:jc w:val="center"/>
        </w:trPr>
        <w:tc>
          <w:tcPr>
            <w:tcW w:w="1281" w:type="pct"/>
            <w:tcBorders>
              <w:top w:val="nil"/>
              <w:left w:val="nil"/>
              <w:bottom w:val="nil"/>
              <w:right w:val="nil"/>
            </w:tcBorders>
            <w:shd w:val="clear" w:color="auto" w:fill="auto"/>
          </w:tcPr>
          <w:p w14:paraId="785D8AD9"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w:t>
            </w:r>
            <w:r>
              <w:rPr>
                <w:rFonts w:ascii="Book Antiqua" w:hAnsi="Book Antiqua" w:cs="Book Antiqua"/>
                <w:color w:val="231F20"/>
                <w:lang w:eastAsia="zh-CN"/>
              </w:rPr>
              <w:t xml:space="preserve"> 4</w:t>
            </w:r>
          </w:p>
        </w:tc>
        <w:tc>
          <w:tcPr>
            <w:tcW w:w="875" w:type="pct"/>
            <w:tcBorders>
              <w:top w:val="nil"/>
              <w:left w:val="nil"/>
              <w:bottom w:val="nil"/>
              <w:right w:val="nil"/>
            </w:tcBorders>
            <w:shd w:val="clear" w:color="auto" w:fill="auto"/>
          </w:tcPr>
          <w:p w14:paraId="37A49A86"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66</w:t>
            </w:r>
          </w:p>
        </w:tc>
        <w:tc>
          <w:tcPr>
            <w:tcW w:w="946" w:type="pct"/>
            <w:tcBorders>
              <w:top w:val="nil"/>
              <w:left w:val="nil"/>
              <w:bottom w:val="nil"/>
              <w:right w:val="nil"/>
            </w:tcBorders>
            <w:shd w:val="clear" w:color="auto" w:fill="auto"/>
          </w:tcPr>
          <w:p w14:paraId="40C8CB8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32</w:t>
            </w:r>
          </w:p>
        </w:tc>
        <w:tc>
          <w:tcPr>
            <w:tcW w:w="950" w:type="pct"/>
            <w:tcBorders>
              <w:top w:val="nil"/>
              <w:left w:val="nil"/>
              <w:bottom w:val="nil"/>
              <w:right w:val="nil"/>
            </w:tcBorders>
            <w:shd w:val="clear" w:color="auto" w:fill="auto"/>
          </w:tcPr>
          <w:p w14:paraId="72354432"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34</w:t>
            </w:r>
          </w:p>
        </w:tc>
        <w:tc>
          <w:tcPr>
            <w:tcW w:w="948" w:type="pct"/>
            <w:vMerge w:val="restart"/>
            <w:tcBorders>
              <w:top w:val="nil"/>
              <w:left w:val="nil"/>
              <w:bottom w:val="nil"/>
              <w:right w:val="nil"/>
            </w:tcBorders>
            <w:shd w:val="clear" w:color="auto" w:fill="auto"/>
          </w:tcPr>
          <w:p w14:paraId="008634E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0.004</w:t>
            </w:r>
          </w:p>
        </w:tc>
      </w:tr>
      <w:tr w:rsidR="008B7F41" w14:paraId="630E2A00" w14:textId="77777777">
        <w:trPr>
          <w:jc w:val="center"/>
        </w:trPr>
        <w:tc>
          <w:tcPr>
            <w:tcW w:w="1281" w:type="pct"/>
            <w:tcBorders>
              <w:top w:val="nil"/>
              <w:left w:val="nil"/>
              <w:bottom w:val="nil"/>
              <w:right w:val="nil"/>
            </w:tcBorders>
            <w:shd w:val="clear" w:color="auto" w:fill="auto"/>
          </w:tcPr>
          <w:p w14:paraId="61E06ED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&gt; 4</w:t>
            </w:r>
          </w:p>
        </w:tc>
        <w:tc>
          <w:tcPr>
            <w:tcW w:w="875" w:type="pct"/>
            <w:tcBorders>
              <w:top w:val="nil"/>
              <w:left w:val="nil"/>
              <w:bottom w:val="nil"/>
              <w:right w:val="nil"/>
            </w:tcBorders>
            <w:shd w:val="clear" w:color="auto" w:fill="auto"/>
          </w:tcPr>
          <w:p w14:paraId="7A08C3A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49</w:t>
            </w:r>
          </w:p>
        </w:tc>
        <w:tc>
          <w:tcPr>
            <w:tcW w:w="946" w:type="pct"/>
            <w:tcBorders>
              <w:top w:val="nil"/>
              <w:left w:val="nil"/>
              <w:bottom w:val="nil"/>
              <w:right w:val="nil"/>
            </w:tcBorders>
            <w:shd w:val="clear" w:color="auto" w:fill="auto"/>
          </w:tcPr>
          <w:p w14:paraId="3D47F667"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11</w:t>
            </w:r>
          </w:p>
        </w:tc>
        <w:tc>
          <w:tcPr>
            <w:tcW w:w="950" w:type="pct"/>
            <w:tcBorders>
              <w:top w:val="nil"/>
              <w:left w:val="nil"/>
              <w:bottom w:val="nil"/>
              <w:right w:val="nil"/>
            </w:tcBorders>
            <w:shd w:val="clear" w:color="auto" w:fill="auto"/>
          </w:tcPr>
          <w:p w14:paraId="0CC4A19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38</w:t>
            </w:r>
          </w:p>
        </w:tc>
        <w:tc>
          <w:tcPr>
            <w:tcW w:w="0" w:type="auto"/>
            <w:vMerge/>
            <w:tcBorders>
              <w:top w:val="nil"/>
              <w:left w:val="nil"/>
              <w:bottom w:val="nil"/>
              <w:right w:val="nil"/>
            </w:tcBorders>
            <w:shd w:val="clear" w:color="auto" w:fill="auto"/>
            <w:vAlign w:val="center"/>
          </w:tcPr>
          <w:p w14:paraId="6E76EA7A" w14:textId="77777777" w:rsidR="008B7F41" w:rsidRDefault="008B7F41">
            <w:pPr>
              <w:adjustRightInd w:val="0"/>
              <w:snapToGrid w:val="0"/>
              <w:spacing w:line="360" w:lineRule="auto"/>
              <w:rPr>
                <w:rFonts w:ascii="Book Antiqua" w:eastAsia="SimSun" w:hAnsi="Book Antiqua" w:cs="Book Antiqua"/>
                <w:lang w:eastAsia="zh-CN"/>
              </w:rPr>
            </w:pPr>
          </w:p>
        </w:tc>
      </w:tr>
      <w:tr w:rsidR="008B7F41" w14:paraId="01E4F8F8" w14:textId="77777777">
        <w:trPr>
          <w:jc w:val="center"/>
        </w:trPr>
        <w:tc>
          <w:tcPr>
            <w:tcW w:w="1281" w:type="pct"/>
            <w:tcBorders>
              <w:top w:val="nil"/>
              <w:left w:val="nil"/>
              <w:bottom w:val="nil"/>
              <w:right w:val="nil"/>
            </w:tcBorders>
            <w:shd w:val="clear" w:color="auto" w:fill="auto"/>
          </w:tcPr>
          <w:p w14:paraId="316E408E"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eastAsia="Lato" w:hAnsi="Book Antiqua" w:cs="Book Antiqua"/>
                <w:color w:val="231F20"/>
                <w:lang w:eastAsia="zh-CN"/>
              </w:rPr>
              <w:t>TNM stage</w:t>
            </w:r>
          </w:p>
        </w:tc>
        <w:tc>
          <w:tcPr>
            <w:tcW w:w="875" w:type="pct"/>
            <w:tcBorders>
              <w:top w:val="nil"/>
              <w:left w:val="nil"/>
              <w:bottom w:val="nil"/>
              <w:right w:val="nil"/>
            </w:tcBorders>
            <w:shd w:val="clear" w:color="auto" w:fill="auto"/>
          </w:tcPr>
          <w:p w14:paraId="6DAF5968"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7B05D21B"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295A423B"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06ABA4FC" w14:textId="77777777" w:rsidR="008B7F41" w:rsidRDefault="008B7F41">
            <w:pPr>
              <w:adjustRightInd w:val="0"/>
              <w:snapToGrid w:val="0"/>
              <w:spacing w:line="360" w:lineRule="auto"/>
              <w:rPr>
                <w:rFonts w:ascii="Book Antiqua" w:hAnsi="Book Antiqua" w:cs="Book Antiqua"/>
                <w:lang w:eastAsia="zh-CN"/>
              </w:rPr>
            </w:pPr>
          </w:p>
        </w:tc>
      </w:tr>
      <w:tr w:rsidR="008B7F41" w14:paraId="68CC18A3" w14:textId="77777777">
        <w:trPr>
          <w:jc w:val="center"/>
        </w:trPr>
        <w:tc>
          <w:tcPr>
            <w:tcW w:w="1281" w:type="pct"/>
            <w:tcBorders>
              <w:top w:val="nil"/>
              <w:left w:val="nil"/>
              <w:bottom w:val="nil"/>
              <w:right w:val="nil"/>
            </w:tcBorders>
            <w:shd w:val="clear" w:color="auto" w:fill="auto"/>
          </w:tcPr>
          <w:p w14:paraId="482FF605"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Regular" w:hAnsi="Book Antiqua" w:cs="Book Antiqua"/>
                <w:color w:val="231F20"/>
                <w:lang w:eastAsia="zh-CN"/>
              </w:rPr>
              <w:t>I + II</w:t>
            </w:r>
          </w:p>
        </w:tc>
        <w:tc>
          <w:tcPr>
            <w:tcW w:w="875" w:type="pct"/>
            <w:tcBorders>
              <w:top w:val="nil"/>
              <w:left w:val="nil"/>
              <w:bottom w:val="nil"/>
              <w:right w:val="nil"/>
            </w:tcBorders>
            <w:shd w:val="clear" w:color="auto" w:fill="auto"/>
          </w:tcPr>
          <w:p w14:paraId="72FDF2E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58</w:t>
            </w:r>
          </w:p>
        </w:tc>
        <w:tc>
          <w:tcPr>
            <w:tcW w:w="946" w:type="pct"/>
            <w:tcBorders>
              <w:top w:val="nil"/>
              <w:left w:val="nil"/>
              <w:bottom w:val="nil"/>
              <w:right w:val="nil"/>
            </w:tcBorders>
            <w:shd w:val="clear" w:color="auto" w:fill="auto"/>
          </w:tcPr>
          <w:p w14:paraId="135DB8D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28</w:t>
            </w:r>
          </w:p>
        </w:tc>
        <w:tc>
          <w:tcPr>
            <w:tcW w:w="950" w:type="pct"/>
            <w:tcBorders>
              <w:top w:val="nil"/>
              <w:left w:val="nil"/>
              <w:bottom w:val="nil"/>
              <w:right w:val="nil"/>
            </w:tcBorders>
            <w:shd w:val="clear" w:color="auto" w:fill="auto"/>
          </w:tcPr>
          <w:p w14:paraId="0D89711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30</w:t>
            </w:r>
          </w:p>
        </w:tc>
        <w:tc>
          <w:tcPr>
            <w:tcW w:w="948" w:type="pct"/>
            <w:vMerge w:val="restart"/>
            <w:tcBorders>
              <w:top w:val="nil"/>
              <w:left w:val="nil"/>
              <w:bottom w:val="nil"/>
              <w:right w:val="nil"/>
            </w:tcBorders>
            <w:shd w:val="clear" w:color="auto" w:fill="auto"/>
          </w:tcPr>
          <w:p w14:paraId="6CC5514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0.015</w:t>
            </w:r>
          </w:p>
        </w:tc>
      </w:tr>
      <w:tr w:rsidR="008B7F41" w14:paraId="10B5B3E3" w14:textId="77777777">
        <w:trPr>
          <w:jc w:val="center"/>
        </w:trPr>
        <w:tc>
          <w:tcPr>
            <w:tcW w:w="1281" w:type="pct"/>
            <w:tcBorders>
              <w:top w:val="nil"/>
              <w:left w:val="nil"/>
              <w:bottom w:val="nil"/>
              <w:right w:val="nil"/>
            </w:tcBorders>
            <w:shd w:val="clear" w:color="auto" w:fill="auto"/>
          </w:tcPr>
          <w:p w14:paraId="78DA0B30"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III + IV</w:t>
            </w:r>
          </w:p>
        </w:tc>
        <w:tc>
          <w:tcPr>
            <w:tcW w:w="875" w:type="pct"/>
            <w:tcBorders>
              <w:top w:val="nil"/>
              <w:left w:val="nil"/>
              <w:bottom w:val="nil"/>
              <w:right w:val="nil"/>
            </w:tcBorders>
            <w:shd w:val="clear" w:color="auto" w:fill="auto"/>
          </w:tcPr>
          <w:p w14:paraId="5FEC38C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57</w:t>
            </w:r>
          </w:p>
        </w:tc>
        <w:tc>
          <w:tcPr>
            <w:tcW w:w="946" w:type="pct"/>
            <w:tcBorders>
              <w:top w:val="nil"/>
              <w:left w:val="nil"/>
              <w:bottom w:val="nil"/>
              <w:right w:val="nil"/>
            </w:tcBorders>
            <w:shd w:val="clear" w:color="auto" w:fill="auto"/>
          </w:tcPr>
          <w:p w14:paraId="044C272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15</w:t>
            </w:r>
          </w:p>
        </w:tc>
        <w:tc>
          <w:tcPr>
            <w:tcW w:w="950" w:type="pct"/>
            <w:tcBorders>
              <w:top w:val="nil"/>
              <w:left w:val="nil"/>
              <w:bottom w:val="nil"/>
              <w:right w:val="nil"/>
            </w:tcBorders>
            <w:shd w:val="clear" w:color="auto" w:fill="auto"/>
          </w:tcPr>
          <w:p w14:paraId="7886E7B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42</w:t>
            </w:r>
          </w:p>
        </w:tc>
        <w:tc>
          <w:tcPr>
            <w:tcW w:w="0" w:type="auto"/>
            <w:vMerge/>
            <w:tcBorders>
              <w:top w:val="nil"/>
              <w:left w:val="nil"/>
              <w:bottom w:val="nil"/>
              <w:right w:val="nil"/>
            </w:tcBorders>
            <w:shd w:val="clear" w:color="auto" w:fill="auto"/>
            <w:vAlign w:val="center"/>
          </w:tcPr>
          <w:p w14:paraId="6A7474E7" w14:textId="77777777" w:rsidR="008B7F41" w:rsidRDefault="008B7F41">
            <w:pPr>
              <w:adjustRightInd w:val="0"/>
              <w:snapToGrid w:val="0"/>
              <w:spacing w:line="360" w:lineRule="auto"/>
              <w:rPr>
                <w:rFonts w:ascii="Book Antiqua" w:eastAsia="SimSun" w:hAnsi="Book Antiqua" w:cs="Book Antiqua"/>
                <w:lang w:eastAsia="zh-CN"/>
              </w:rPr>
            </w:pPr>
          </w:p>
        </w:tc>
      </w:tr>
      <w:tr w:rsidR="008B7F41" w14:paraId="30008FED" w14:textId="77777777">
        <w:trPr>
          <w:jc w:val="center"/>
        </w:trPr>
        <w:tc>
          <w:tcPr>
            <w:tcW w:w="1281" w:type="pct"/>
            <w:tcBorders>
              <w:top w:val="nil"/>
              <w:left w:val="nil"/>
              <w:bottom w:val="nil"/>
              <w:right w:val="nil"/>
            </w:tcBorders>
            <w:shd w:val="clear" w:color="auto" w:fill="auto"/>
          </w:tcPr>
          <w:p w14:paraId="25C2C982"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eastAsia="Lato" w:hAnsi="Book Antiqua" w:cs="Book Antiqua"/>
                <w:color w:val="231F20"/>
                <w:lang w:eastAsia="zh-CN"/>
              </w:rPr>
              <w:t>Depth of invasion</w:t>
            </w:r>
          </w:p>
        </w:tc>
        <w:tc>
          <w:tcPr>
            <w:tcW w:w="875" w:type="pct"/>
            <w:tcBorders>
              <w:top w:val="nil"/>
              <w:left w:val="nil"/>
              <w:bottom w:val="nil"/>
              <w:right w:val="nil"/>
            </w:tcBorders>
            <w:shd w:val="clear" w:color="auto" w:fill="auto"/>
          </w:tcPr>
          <w:p w14:paraId="3CB942FD"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2A4BB7AE"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35D26AE6"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645BC77A" w14:textId="77777777" w:rsidR="008B7F41" w:rsidRDefault="008B7F41">
            <w:pPr>
              <w:adjustRightInd w:val="0"/>
              <w:snapToGrid w:val="0"/>
              <w:spacing w:line="360" w:lineRule="auto"/>
              <w:rPr>
                <w:rFonts w:ascii="Book Antiqua" w:hAnsi="Book Antiqua" w:cs="Book Antiqua"/>
                <w:lang w:eastAsia="zh-CN"/>
              </w:rPr>
            </w:pPr>
          </w:p>
        </w:tc>
      </w:tr>
      <w:tr w:rsidR="008B7F41" w14:paraId="2C7B28CA" w14:textId="77777777">
        <w:trPr>
          <w:jc w:val="center"/>
        </w:trPr>
        <w:tc>
          <w:tcPr>
            <w:tcW w:w="1281" w:type="pct"/>
            <w:tcBorders>
              <w:top w:val="nil"/>
              <w:left w:val="nil"/>
              <w:bottom w:val="nil"/>
              <w:right w:val="nil"/>
            </w:tcBorders>
            <w:shd w:val="clear" w:color="auto" w:fill="auto"/>
          </w:tcPr>
          <w:p w14:paraId="209E5390"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T1 + T2</w:t>
            </w:r>
          </w:p>
        </w:tc>
        <w:tc>
          <w:tcPr>
            <w:tcW w:w="875" w:type="pct"/>
            <w:tcBorders>
              <w:top w:val="nil"/>
              <w:left w:val="nil"/>
              <w:bottom w:val="nil"/>
              <w:right w:val="nil"/>
            </w:tcBorders>
            <w:shd w:val="clear" w:color="auto" w:fill="auto"/>
          </w:tcPr>
          <w:p w14:paraId="74F87454"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54</w:t>
            </w:r>
          </w:p>
        </w:tc>
        <w:tc>
          <w:tcPr>
            <w:tcW w:w="946" w:type="pct"/>
            <w:tcBorders>
              <w:top w:val="nil"/>
              <w:left w:val="nil"/>
              <w:bottom w:val="nil"/>
              <w:right w:val="nil"/>
            </w:tcBorders>
            <w:shd w:val="clear" w:color="auto" w:fill="auto"/>
          </w:tcPr>
          <w:p w14:paraId="7A93C37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27</w:t>
            </w:r>
          </w:p>
        </w:tc>
        <w:tc>
          <w:tcPr>
            <w:tcW w:w="950" w:type="pct"/>
            <w:tcBorders>
              <w:top w:val="nil"/>
              <w:left w:val="nil"/>
              <w:bottom w:val="nil"/>
              <w:right w:val="nil"/>
            </w:tcBorders>
            <w:shd w:val="clear" w:color="auto" w:fill="auto"/>
          </w:tcPr>
          <w:p w14:paraId="11BF4763"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27</w:t>
            </w:r>
          </w:p>
        </w:tc>
        <w:tc>
          <w:tcPr>
            <w:tcW w:w="948" w:type="pct"/>
            <w:vMerge w:val="restart"/>
            <w:tcBorders>
              <w:top w:val="nil"/>
              <w:left w:val="nil"/>
              <w:bottom w:val="nil"/>
              <w:right w:val="nil"/>
            </w:tcBorders>
            <w:shd w:val="clear" w:color="auto" w:fill="auto"/>
          </w:tcPr>
          <w:p w14:paraId="7222649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0.009</w:t>
            </w:r>
          </w:p>
        </w:tc>
      </w:tr>
      <w:tr w:rsidR="008B7F41" w14:paraId="065666F5" w14:textId="77777777">
        <w:trPr>
          <w:jc w:val="center"/>
        </w:trPr>
        <w:tc>
          <w:tcPr>
            <w:tcW w:w="1281" w:type="pct"/>
            <w:tcBorders>
              <w:top w:val="nil"/>
              <w:left w:val="nil"/>
              <w:bottom w:val="nil"/>
              <w:right w:val="nil"/>
            </w:tcBorders>
            <w:shd w:val="clear" w:color="auto" w:fill="auto"/>
          </w:tcPr>
          <w:p w14:paraId="0BD89F22"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T3 + T4</w:t>
            </w:r>
          </w:p>
        </w:tc>
        <w:tc>
          <w:tcPr>
            <w:tcW w:w="875" w:type="pct"/>
            <w:tcBorders>
              <w:top w:val="nil"/>
              <w:left w:val="nil"/>
              <w:bottom w:val="nil"/>
              <w:right w:val="nil"/>
            </w:tcBorders>
            <w:shd w:val="clear" w:color="auto" w:fill="auto"/>
          </w:tcPr>
          <w:p w14:paraId="105D9559"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61</w:t>
            </w:r>
          </w:p>
        </w:tc>
        <w:tc>
          <w:tcPr>
            <w:tcW w:w="946" w:type="pct"/>
            <w:tcBorders>
              <w:top w:val="nil"/>
              <w:left w:val="nil"/>
              <w:bottom w:val="nil"/>
              <w:right w:val="nil"/>
            </w:tcBorders>
            <w:shd w:val="clear" w:color="auto" w:fill="auto"/>
          </w:tcPr>
          <w:p w14:paraId="7137416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16</w:t>
            </w:r>
          </w:p>
        </w:tc>
        <w:tc>
          <w:tcPr>
            <w:tcW w:w="950" w:type="pct"/>
            <w:tcBorders>
              <w:top w:val="nil"/>
              <w:left w:val="nil"/>
              <w:bottom w:val="nil"/>
              <w:right w:val="nil"/>
            </w:tcBorders>
            <w:shd w:val="clear" w:color="auto" w:fill="auto"/>
          </w:tcPr>
          <w:p w14:paraId="6FD631D0"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45</w:t>
            </w:r>
          </w:p>
        </w:tc>
        <w:tc>
          <w:tcPr>
            <w:tcW w:w="0" w:type="auto"/>
            <w:vMerge/>
            <w:tcBorders>
              <w:top w:val="nil"/>
              <w:left w:val="nil"/>
              <w:bottom w:val="nil"/>
              <w:right w:val="nil"/>
            </w:tcBorders>
            <w:shd w:val="clear" w:color="auto" w:fill="auto"/>
            <w:vAlign w:val="center"/>
          </w:tcPr>
          <w:p w14:paraId="0741E763" w14:textId="77777777" w:rsidR="008B7F41" w:rsidRDefault="008B7F41">
            <w:pPr>
              <w:adjustRightInd w:val="0"/>
              <w:snapToGrid w:val="0"/>
              <w:spacing w:line="360" w:lineRule="auto"/>
              <w:rPr>
                <w:rFonts w:ascii="Book Antiqua" w:eastAsia="SimSun" w:hAnsi="Book Antiqua" w:cs="Book Antiqua"/>
                <w:lang w:eastAsia="zh-CN"/>
              </w:rPr>
            </w:pPr>
          </w:p>
        </w:tc>
      </w:tr>
      <w:tr w:rsidR="008B7F41" w14:paraId="0900FB5A" w14:textId="77777777">
        <w:trPr>
          <w:jc w:val="center"/>
        </w:trPr>
        <w:tc>
          <w:tcPr>
            <w:tcW w:w="1281" w:type="pct"/>
            <w:tcBorders>
              <w:top w:val="nil"/>
              <w:left w:val="nil"/>
              <w:bottom w:val="nil"/>
              <w:right w:val="nil"/>
            </w:tcBorders>
            <w:shd w:val="clear" w:color="auto" w:fill="auto"/>
          </w:tcPr>
          <w:p w14:paraId="3BB87C00"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SimSun" w:hAnsi="Book Antiqua" w:cs="Book Antiqua"/>
                <w:color w:val="231F20"/>
                <w:lang w:eastAsia="zh-CN"/>
              </w:rPr>
              <w:t>LNI</w:t>
            </w:r>
          </w:p>
        </w:tc>
        <w:tc>
          <w:tcPr>
            <w:tcW w:w="875" w:type="pct"/>
            <w:tcBorders>
              <w:top w:val="nil"/>
              <w:left w:val="nil"/>
              <w:bottom w:val="nil"/>
              <w:right w:val="nil"/>
            </w:tcBorders>
            <w:shd w:val="clear" w:color="auto" w:fill="auto"/>
          </w:tcPr>
          <w:p w14:paraId="2F79F247"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7450654E"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4B4B6788"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26CFB289" w14:textId="77777777" w:rsidR="008B7F41" w:rsidRDefault="008B7F41">
            <w:pPr>
              <w:adjustRightInd w:val="0"/>
              <w:snapToGrid w:val="0"/>
              <w:spacing w:line="360" w:lineRule="auto"/>
              <w:rPr>
                <w:rFonts w:ascii="Book Antiqua" w:hAnsi="Book Antiqua" w:cs="Book Antiqua"/>
                <w:lang w:eastAsia="zh-CN"/>
              </w:rPr>
            </w:pPr>
          </w:p>
        </w:tc>
      </w:tr>
      <w:tr w:rsidR="008B7F41" w14:paraId="69D108F6" w14:textId="77777777">
        <w:trPr>
          <w:jc w:val="center"/>
        </w:trPr>
        <w:tc>
          <w:tcPr>
            <w:tcW w:w="1281" w:type="pct"/>
            <w:tcBorders>
              <w:top w:val="nil"/>
              <w:left w:val="nil"/>
              <w:bottom w:val="nil"/>
              <w:right w:val="nil"/>
            </w:tcBorders>
            <w:shd w:val="clear" w:color="auto" w:fill="auto"/>
          </w:tcPr>
          <w:p w14:paraId="05B76D69"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N0</w:t>
            </w:r>
          </w:p>
        </w:tc>
        <w:tc>
          <w:tcPr>
            <w:tcW w:w="875" w:type="pct"/>
            <w:tcBorders>
              <w:top w:val="nil"/>
              <w:left w:val="nil"/>
              <w:bottom w:val="nil"/>
              <w:right w:val="nil"/>
            </w:tcBorders>
            <w:shd w:val="clear" w:color="auto" w:fill="auto"/>
          </w:tcPr>
          <w:p w14:paraId="68ED141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43</w:t>
            </w:r>
          </w:p>
        </w:tc>
        <w:tc>
          <w:tcPr>
            <w:tcW w:w="946" w:type="pct"/>
            <w:tcBorders>
              <w:top w:val="nil"/>
              <w:left w:val="nil"/>
              <w:bottom w:val="nil"/>
              <w:right w:val="nil"/>
            </w:tcBorders>
            <w:shd w:val="clear" w:color="auto" w:fill="auto"/>
          </w:tcPr>
          <w:p w14:paraId="6A2859A5"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24</w:t>
            </w:r>
          </w:p>
        </w:tc>
        <w:tc>
          <w:tcPr>
            <w:tcW w:w="950" w:type="pct"/>
            <w:tcBorders>
              <w:top w:val="nil"/>
              <w:left w:val="nil"/>
              <w:bottom w:val="nil"/>
              <w:right w:val="nil"/>
            </w:tcBorders>
            <w:shd w:val="clear" w:color="auto" w:fill="auto"/>
          </w:tcPr>
          <w:p w14:paraId="2903FDFD"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19</w:t>
            </w:r>
          </w:p>
        </w:tc>
        <w:tc>
          <w:tcPr>
            <w:tcW w:w="948" w:type="pct"/>
            <w:vMerge w:val="restart"/>
            <w:tcBorders>
              <w:top w:val="nil"/>
              <w:left w:val="nil"/>
              <w:bottom w:val="nil"/>
              <w:right w:val="nil"/>
            </w:tcBorders>
            <w:shd w:val="clear" w:color="auto" w:fill="auto"/>
          </w:tcPr>
          <w:p w14:paraId="19338DB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0.002</w:t>
            </w:r>
          </w:p>
        </w:tc>
      </w:tr>
      <w:tr w:rsidR="008B7F41" w14:paraId="1A22F2FE" w14:textId="77777777">
        <w:trPr>
          <w:jc w:val="center"/>
        </w:trPr>
        <w:tc>
          <w:tcPr>
            <w:tcW w:w="1281" w:type="pct"/>
            <w:tcBorders>
              <w:top w:val="nil"/>
              <w:left w:val="nil"/>
              <w:bottom w:val="nil"/>
              <w:right w:val="nil"/>
            </w:tcBorders>
            <w:shd w:val="clear" w:color="auto" w:fill="auto"/>
          </w:tcPr>
          <w:p w14:paraId="1351B0E4"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N</w:t>
            </w:r>
            <w:r>
              <w:rPr>
                <w:rFonts w:ascii="Book Antiqua" w:hAnsi="Book Antiqua" w:cs="Book Antiqua"/>
                <w:color w:val="231F20"/>
                <w:lang w:eastAsia="zh-CN"/>
              </w:rPr>
              <w:t>1</w:t>
            </w:r>
            <w:r>
              <w:rPr>
                <w:rFonts w:ascii="Book Antiqua" w:eastAsia="Lato" w:hAnsi="Book Antiqua" w:cs="Book Antiqua"/>
                <w:color w:val="231F20"/>
                <w:lang w:eastAsia="zh-CN"/>
              </w:rPr>
              <w:t xml:space="preserve"> + N</w:t>
            </w:r>
            <w:r>
              <w:rPr>
                <w:rFonts w:ascii="Book Antiqua" w:hAnsi="Book Antiqua" w:cs="Book Antiqua"/>
                <w:color w:val="231F20"/>
                <w:lang w:eastAsia="zh-CN"/>
              </w:rPr>
              <w:t>2+N3</w:t>
            </w:r>
          </w:p>
        </w:tc>
        <w:tc>
          <w:tcPr>
            <w:tcW w:w="875" w:type="pct"/>
            <w:tcBorders>
              <w:top w:val="nil"/>
              <w:left w:val="nil"/>
              <w:bottom w:val="nil"/>
              <w:right w:val="nil"/>
            </w:tcBorders>
            <w:shd w:val="clear" w:color="auto" w:fill="auto"/>
          </w:tcPr>
          <w:p w14:paraId="3FFBE76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72</w:t>
            </w:r>
          </w:p>
        </w:tc>
        <w:tc>
          <w:tcPr>
            <w:tcW w:w="946" w:type="pct"/>
            <w:tcBorders>
              <w:top w:val="nil"/>
              <w:left w:val="nil"/>
              <w:bottom w:val="nil"/>
              <w:right w:val="nil"/>
            </w:tcBorders>
            <w:shd w:val="clear" w:color="auto" w:fill="auto"/>
          </w:tcPr>
          <w:p w14:paraId="3DE94CA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19</w:t>
            </w:r>
          </w:p>
        </w:tc>
        <w:tc>
          <w:tcPr>
            <w:tcW w:w="950" w:type="pct"/>
            <w:tcBorders>
              <w:top w:val="nil"/>
              <w:left w:val="nil"/>
              <w:bottom w:val="nil"/>
              <w:right w:val="nil"/>
            </w:tcBorders>
            <w:shd w:val="clear" w:color="auto" w:fill="auto"/>
          </w:tcPr>
          <w:p w14:paraId="3A2FAF7D"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53</w:t>
            </w:r>
          </w:p>
        </w:tc>
        <w:tc>
          <w:tcPr>
            <w:tcW w:w="0" w:type="auto"/>
            <w:vMerge/>
            <w:tcBorders>
              <w:top w:val="nil"/>
              <w:left w:val="nil"/>
              <w:bottom w:val="nil"/>
              <w:right w:val="nil"/>
            </w:tcBorders>
            <w:shd w:val="clear" w:color="auto" w:fill="auto"/>
            <w:vAlign w:val="center"/>
          </w:tcPr>
          <w:p w14:paraId="526C270D" w14:textId="77777777" w:rsidR="008B7F41" w:rsidRDefault="008B7F41">
            <w:pPr>
              <w:adjustRightInd w:val="0"/>
              <w:snapToGrid w:val="0"/>
              <w:spacing w:line="360" w:lineRule="auto"/>
              <w:rPr>
                <w:rFonts w:ascii="Book Antiqua" w:eastAsia="SimSun" w:hAnsi="Book Antiqua" w:cs="Book Antiqua"/>
                <w:lang w:eastAsia="zh-CN"/>
              </w:rPr>
            </w:pPr>
          </w:p>
        </w:tc>
      </w:tr>
      <w:tr w:rsidR="008B7F41" w14:paraId="2C406BE3" w14:textId="77777777">
        <w:trPr>
          <w:jc w:val="center"/>
        </w:trPr>
        <w:tc>
          <w:tcPr>
            <w:tcW w:w="1281" w:type="pct"/>
            <w:tcBorders>
              <w:top w:val="nil"/>
              <w:left w:val="nil"/>
              <w:bottom w:val="nil"/>
              <w:right w:val="nil"/>
            </w:tcBorders>
            <w:shd w:val="clear" w:color="auto" w:fill="auto"/>
          </w:tcPr>
          <w:p w14:paraId="49D0C8DF" w14:textId="77777777" w:rsidR="008B7F41" w:rsidRDefault="004C7094">
            <w:pPr>
              <w:widowControl/>
              <w:adjustRightInd w:val="0"/>
              <w:snapToGrid w:val="0"/>
              <w:spacing w:line="360" w:lineRule="auto"/>
              <w:jc w:val="center"/>
              <w:rPr>
                <w:rFonts w:ascii="Book Antiqua" w:hAnsi="Book Antiqua" w:cs="Book Antiqua"/>
                <w:lang w:eastAsia="zh-CN"/>
              </w:rPr>
            </w:pPr>
            <w:r>
              <w:rPr>
                <w:rFonts w:ascii="Book Antiqua" w:eastAsia="Lato" w:hAnsi="Book Antiqua" w:cs="Book Antiqua"/>
                <w:color w:val="231F20"/>
                <w:lang w:eastAsia="zh-CN"/>
              </w:rPr>
              <w:t>Perineural invasion</w:t>
            </w:r>
          </w:p>
        </w:tc>
        <w:tc>
          <w:tcPr>
            <w:tcW w:w="875" w:type="pct"/>
            <w:tcBorders>
              <w:top w:val="nil"/>
              <w:left w:val="nil"/>
              <w:bottom w:val="nil"/>
              <w:right w:val="nil"/>
            </w:tcBorders>
            <w:shd w:val="clear" w:color="auto" w:fill="auto"/>
          </w:tcPr>
          <w:p w14:paraId="69B7019B"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2CC5750C"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2E2809C1"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510AF406" w14:textId="77777777" w:rsidR="008B7F41" w:rsidRDefault="008B7F41">
            <w:pPr>
              <w:adjustRightInd w:val="0"/>
              <w:snapToGrid w:val="0"/>
              <w:spacing w:line="360" w:lineRule="auto"/>
              <w:rPr>
                <w:rFonts w:ascii="Book Antiqua" w:hAnsi="Book Antiqua" w:cs="Book Antiqua"/>
                <w:lang w:eastAsia="zh-CN"/>
              </w:rPr>
            </w:pPr>
          </w:p>
        </w:tc>
      </w:tr>
      <w:tr w:rsidR="008B7F41" w14:paraId="3D7CACF4" w14:textId="77777777">
        <w:trPr>
          <w:trHeight w:val="300"/>
          <w:jc w:val="center"/>
        </w:trPr>
        <w:tc>
          <w:tcPr>
            <w:tcW w:w="1281" w:type="pct"/>
            <w:tcBorders>
              <w:top w:val="nil"/>
              <w:left w:val="nil"/>
              <w:bottom w:val="nil"/>
              <w:right w:val="nil"/>
            </w:tcBorders>
            <w:shd w:val="clear" w:color="auto" w:fill="auto"/>
          </w:tcPr>
          <w:p w14:paraId="3E77B7E9"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caps/>
                <w:lang w:eastAsia="zh-CN"/>
              </w:rPr>
              <w:t>n</w:t>
            </w:r>
            <w:r>
              <w:rPr>
                <w:rFonts w:ascii="Book Antiqua" w:hAnsi="Book Antiqua" w:cs="Book Antiqua"/>
                <w:lang w:eastAsia="zh-CN"/>
              </w:rPr>
              <w:t>o</w:t>
            </w:r>
          </w:p>
        </w:tc>
        <w:tc>
          <w:tcPr>
            <w:tcW w:w="875" w:type="pct"/>
            <w:tcBorders>
              <w:top w:val="nil"/>
              <w:left w:val="nil"/>
              <w:bottom w:val="nil"/>
              <w:right w:val="nil"/>
            </w:tcBorders>
            <w:shd w:val="clear" w:color="auto" w:fill="auto"/>
          </w:tcPr>
          <w:p w14:paraId="11D73453"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51</w:t>
            </w:r>
          </w:p>
        </w:tc>
        <w:tc>
          <w:tcPr>
            <w:tcW w:w="946" w:type="pct"/>
            <w:tcBorders>
              <w:top w:val="nil"/>
              <w:left w:val="nil"/>
              <w:bottom w:val="nil"/>
              <w:right w:val="nil"/>
            </w:tcBorders>
            <w:shd w:val="clear" w:color="auto" w:fill="auto"/>
          </w:tcPr>
          <w:p w14:paraId="07FEFCF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25</w:t>
            </w:r>
          </w:p>
        </w:tc>
        <w:tc>
          <w:tcPr>
            <w:tcW w:w="950" w:type="pct"/>
            <w:tcBorders>
              <w:top w:val="nil"/>
              <w:left w:val="nil"/>
              <w:bottom w:val="nil"/>
              <w:right w:val="nil"/>
            </w:tcBorders>
            <w:shd w:val="clear" w:color="auto" w:fill="auto"/>
          </w:tcPr>
          <w:p w14:paraId="5C3C4F86"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26</w:t>
            </w:r>
          </w:p>
        </w:tc>
        <w:tc>
          <w:tcPr>
            <w:tcW w:w="948" w:type="pct"/>
            <w:vMerge w:val="restart"/>
            <w:tcBorders>
              <w:top w:val="nil"/>
              <w:left w:val="nil"/>
              <w:bottom w:val="nil"/>
              <w:right w:val="nil"/>
            </w:tcBorders>
            <w:shd w:val="clear" w:color="auto" w:fill="auto"/>
          </w:tcPr>
          <w:p w14:paraId="10C3AAD0"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0.021</w:t>
            </w:r>
          </w:p>
        </w:tc>
      </w:tr>
      <w:tr w:rsidR="008B7F41" w14:paraId="7232A4AB" w14:textId="77777777">
        <w:trPr>
          <w:jc w:val="center"/>
        </w:trPr>
        <w:tc>
          <w:tcPr>
            <w:tcW w:w="1281" w:type="pct"/>
            <w:tcBorders>
              <w:top w:val="nil"/>
              <w:left w:val="nil"/>
              <w:bottom w:val="nil"/>
              <w:right w:val="nil"/>
            </w:tcBorders>
            <w:shd w:val="clear" w:color="auto" w:fill="auto"/>
          </w:tcPr>
          <w:p w14:paraId="7303D9BD"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caps/>
                <w:lang w:eastAsia="zh-CN"/>
              </w:rPr>
              <w:t>y</w:t>
            </w:r>
            <w:r>
              <w:rPr>
                <w:rFonts w:ascii="Book Antiqua" w:hAnsi="Book Antiqua" w:cs="Book Antiqua"/>
                <w:lang w:eastAsia="zh-CN"/>
              </w:rPr>
              <w:t>es</w:t>
            </w:r>
          </w:p>
        </w:tc>
        <w:tc>
          <w:tcPr>
            <w:tcW w:w="875" w:type="pct"/>
            <w:tcBorders>
              <w:top w:val="nil"/>
              <w:left w:val="nil"/>
              <w:bottom w:val="nil"/>
              <w:right w:val="nil"/>
            </w:tcBorders>
            <w:shd w:val="clear" w:color="auto" w:fill="auto"/>
          </w:tcPr>
          <w:p w14:paraId="75C52456"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64</w:t>
            </w:r>
          </w:p>
        </w:tc>
        <w:tc>
          <w:tcPr>
            <w:tcW w:w="946" w:type="pct"/>
            <w:tcBorders>
              <w:top w:val="nil"/>
              <w:left w:val="nil"/>
              <w:bottom w:val="nil"/>
              <w:right w:val="nil"/>
            </w:tcBorders>
            <w:shd w:val="clear" w:color="auto" w:fill="auto"/>
          </w:tcPr>
          <w:p w14:paraId="2710010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18</w:t>
            </w:r>
          </w:p>
        </w:tc>
        <w:tc>
          <w:tcPr>
            <w:tcW w:w="950" w:type="pct"/>
            <w:tcBorders>
              <w:top w:val="nil"/>
              <w:left w:val="nil"/>
              <w:bottom w:val="nil"/>
              <w:right w:val="nil"/>
            </w:tcBorders>
            <w:shd w:val="clear" w:color="auto" w:fill="auto"/>
          </w:tcPr>
          <w:p w14:paraId="2C04919C"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46</w:t>
            </w:r>
          </w:p>
        </w:tc>
        <w:tc>
          <w:tcPr>
            <w:tcW w:w="0" w:type="auto"/>
            <w:vMerge/>
            <w:tcBorders>
              <w:top w:val="nil"/>
              <w:left w:val="nil"/>
              <w:bottom w:val="nil"/>
              <w:right w:val="nil"/>
            </w:tcBorders>
            <w:shd w:val="clear" w:color="auto" w:fill="auto"/>
            <w:vAlign w:val="center"/>
          </w:tcPr>
          <w:p w14:paraId="4652D142" w14:textId="77777777" w:rsidR="008B7F41" w:rsidRDefault="008B7F41">
            <w:pPr>
              <w:adjustRightInd w:val="0"/>
              <w:snapToGrid w:val="0"/>
              <w:spacing w:line="360" w:lineRule="auto"/>
              <w:rPr>
                <w:rFonts w:ascii="Book Antiqua" w:eastAsia="SimSun" w:hAnsi="Book Antiqua" w:cs="Book Antiqua"/>
                <w:lang w:eastAsia="zh-CN"/>
              </w:rPr>
            </w:pPr>
          </w:p>
        </w:tc>
      </w:tr>
      <w:tr w:rsidR="008B7F41" w14:paraId="5B7EF9FD" w14:textId="77777777">
        <w:trPr>
          <w:jc w:val="center"/>
        </w:trPr>
        <w:tc>
          <w:tcPr>
            <w:tcW w:w="1281" w:type="pct"/>
            <w:tcBorders>
              <w:top w:val="nil"/>
              <w:left w:val="nil"/>
              <w:bottom w:val="nil"/>
              <w:right w:val="nil"/>
            </w:tcBorders>
            <w:shd w:val="clear" w:color="auto" w:fill="auto"/>
          </w:tcPr>
          <w:p w14:paraId="1BE43034" w14:textId="77777777" w:rsidR="008B7F41" w:rsidRDefault="004C7094">
            <w:pPr>
              <w:widowControl/>
              <w:adjustRightInd w:val="0"/>
              <w:snapToGrid w:val="0"/>
              <w:spacing w:line="360" w:lineRule="auto"/>
              <w:jc w:val="left"/>
              <w:rPr>
                <w:rFonts w:ascii="Book Antiqua" w:hAnsi="Book Antiqua" w:cs="Book Antiqua"/>
                <w:lang w:eastAsia="zh-CN"/>
              </w:rPr>
            </w:pPr>
            <w:r>
              <w:rPr>
                <w:rFonts w:ascii="Book Antiqua" w:eastAsia="Lato" w:hAnsi="Book Antiqua" w:cs="Book Antiqua"/>
                <w:color w:val="231F20"/>
                <w:lang w:eastAsia="zh-CN"/>
              </w:rPr>
              <w:t>Vascular invasion</w:t>
            </w:r>
          </w:p>
        </w:tc>
        <w:tc>
          <w:tcPr>
            <w:tcW w:w="875" w:type="pct"/>
            <w:tcBorders>
              <w:top w:val="nil"/>
              <w:left w:val="nil"/>
              <w:bottom w:val="nil"/>
              <w:right w:val="nil"/>
            </w:tcBorders>
            <w:shd w:val="clear" w:color="auto" w:fill="auto"/>
          </w:tcPr>
          <w:p w14:paraId="1C1A0CF1" w14:textId="77777777" w:rsidR="008B7F41" w:rsidRDefault="008B7F41">
            <w:pPr>
              <w:adjustRightInd w:val="0"/>
              <w:snapToGrid w:val="0"/>
              <w:spacing w:line="360" w:lineRule="auto"/>
              <w:jc w:val="center"/>
              <w:rPr>
                <w:rFonts w:ascii="Book Antiqua" w:hAnsi="Book Antiqua" w:cs="Book Antiqua"/>
                <w:lang w:eastAsia="zh-CN"/>
              </w:rPr>
            </w:pPr>
          </w:p>
        </w:tc>
        <w:tc>
          <w:tcPr>
            <w:tcW w:w="946" w:type="pct"/>
            <w:tcBorders>
              <w:top w:val="nil"/>
              <w:left w:val="nil"/>
              <w:bottom w:val="nil"/>
              <w:right w:val="nil"/>
            </w:tcBorders>
            <w:shd w:val="clear" w:color="auto" w:fill="auto"/>
          </w:tcPr>
          <w:p w14:paraId="2E6F290F" w14:textId="77777777" w:rsidR="008B7F41" w:rsidRDefault="008B7F41">
            <w:pPr>
              <w:adjustRightInd w:val="0"/>
              <w:snapToGrid w:val="0"/>
              <w:spacing w:line="360" w:lineRule="auto"/>
              <w:jc w:val="center"/>
              <w:rPr>
                <w:rFonts w:ascii="Book Antiqua" w:hAnsi="Book Antiqua" w:cs="Book Antiqua"/>
                <w:lang w:eastAsia="zh-CN"/>
              </w:rPr>
            </w:pPr>
          </w:p>
        </w:tc>
        <w:tc>
          <w:tcPr>
            <w:tcW w:w="950" w:type="pct"/>
            <w:tcBorders>
              <w:top w:val="nil"/>
              <w:left w:val="nil"/>
              <w:bottom w:val="nil"/>
              <w:right w:val="nil"/>
            </w:tcBorders>
            <w:shd w:val="clear" w:color="auto" w:fill="auto"/>
          </w:tcPr>
          <w:p w14:paraId="7986DE11" w14:textId="77777777" w:rsidR="008B7F41" w:rsidRDefault="008B7F41">
            <w:pPr>
              <w:adjustRightInd w:val="0"/>
              <w:snapToGrid w:val="0"/>
              <w:spacing w:line="360" w:lineRule="auto"/>
              <w:jc w:val="center"/>
              <w:rPr>
                <w:rFonts w:ascii="Book Antiqua" w:hAnsi="Book Antiqua" w:cs="Book Antiqua"/>
                <w:lang w:eastAsia="zh-CN"/>
              </w:rPr>
            </w:pPr>
          </w:p>
        </w:tc>
        <w:tc>
          <w:tcPr>
            <w:tcW w:w="948" w:type="pct"/>
            <w:tcBorders>
              <w:top w:val="nil"/>
              <w:left w:val="nil"/>
              <w:bottom w:val="nil"/>
              <w:right w:val="nil"/>
            </w:tcBorders>
            <w:shd w:val="clear" w:color="auto" w:fill="auto"/>
          </w:tcPr>
          <w:p w14:paraId="4602262A" w14:textId="77777777" w:rsidR="008B7F41" w:rsidRDefault="008B7F41">
            <w:pPr>
              <w:adjustRightInd w:val="0"/>
              <w:snapToGrid w:val="0"/>
              <w:spacing w:line="360" w:lineRule="auto"/>
              <w:rPr>
                <w:rFonts w:ascii="Book Antiqua" w:hAnsi="Book Antiqua" w:cs="Book Antiqua"/>
                <w:lang w:eastAsia="zh-CN"/>
              </w:rPr>
            </w:pPr>
          </w:p>
        </w:tc>
      </w:tr>
      <w:tr w:rsidR="008B7F41" w14:paraId="342F23E6" w14:textId="77777777">
        <w:trPr>
          <w:jc w:val="center"/>
        </w:trPr>
        <w:tc>
          <w:tcPr>
            <w:tcW w:w="1281" w:type="pct"/>
            <w:tcBorders>
              <w:top w:val="nil"/>
              <w:left w:val="nil"/>
              <w:bottom w:val="nil"/>
              <w:right w:val="nil"/>
            </w:tcBorders>
            <w:shd w:val="clear" w:color="auto" w:fill="auto"/>
          </w:tcPr>
          <w:p w14:paraId="31494BD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caps/>
                <w:lang w:eastAsia="zh-CN"/>
              </w:rPr>
              <w:t>n</w:t>
            </w:r>
            <w:r>
              <w:rPr>
                <w:rFonts w:ascii="Book Antiqua" w:hAnsi="Book Antiqua" w:cs="Book Antiqua"/>
                <w:lang w:eastAsia="zh-CN"/>
              </w:rPr>
              <w:t>o</w:t>
            </w:r>
          </w:p>
        </w:tc>
        <w:tc>
          <w:tcPr>
            <w:tcW w:w="875" w:type="pct"/>
            <w:tcBorders>
              <w:top w:val="nil"/>
              <w:left w:val="nil"/>
              <w:bottom w:val="nil"/>
              <w:right w:val="nil"/>
            </w:tcBorders>
            <w:shd w:val="clear" w:color="auto" w:fill="auto"/>
          </w:tcPr>
          <w:p w14:paraId="63EFEE71"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50</w:t>
            </w:r>
          </w:p>
        </w:tc>
        <w:tc>
          <w:tcPr>
            <w:tcW w:w="946" w:type="pct"/>
            <w:tcBorders>
              <w:top w:val="nil"/>
              <w:left w:val="nil"/>
              <w:bottom w:val="nil"/>
              <w:right w:val="nil"/>
            </w:tcBorders>
            <w:shd w:val="clear" w:color="auto" w:fill="auto"/>
          </w:tcPr>
          <w:p w14:paraId="069B55B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27</w:t>
            </w:r>
          </w:p>
        </w:tc>
        <w:tc>
          <w:tcPr>
            <w:tcW w:w="950" w:type="pct"/>
            <w:tcBorders>
              <w:top w:val="nil"/>
              <w:left w:val="nil"/>
              <w:bottom w:val="nil"/>
              <w:right w:val="nil"/>
            </w:tcBorders>
            <w:shd w:val="clear" w:color="auto" w:fill="auto"/>
          </w:tcPr>
          <w:p w14:paraId="10353B0F"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23</w:t>
            </w:r>
          </w:p>
        </w:tc>
        <w:tc>
          <w:tcPr>
            <w:tcW w:w="948" w:type="pct"/>
            <w:vMerge w:val="restart"/>
            <w:tcBorders>
              <w:top w:val="nil"/>
              <w:left w:val="nil"/>
              <w:bottom w:val="nil"/>
              <w:right w:val="nil"/>
            </w:tcBorders>
            <w:shd w:val="clear" w:color="auto" w:fill="auto"/>
          </w:tcPr>
          <w:p w14:paraId="65276A8A"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0.001</w:t>
            </w:r>
          </w:p>
        </w:tc>
      </w:tr>
      <w:tr w:rsidR="008B7F41" w14:paraId="70F0E6DF" w14:textId="77777777">
        <w:trPr>
          <w:jc w:val="center"/>
        </w:trPr>
        <w:tc>
          <w:tcPr>
            <w:tcW w:w="1281" w:type="pct"/>
            <w:tcBorders>
              <w:top w:val="nil"/>
              <w:left w:val="nil"/>
              <w:bottom w:val="nil"/>
              <w:right w:val="nil"/>
            </w:tcBorders>
            <w:shd w:val="clear" w:color="auto" w:fill="auto"/>
          </w:tcPr>
          <w:p w14:paraId="0F80FA63"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caps/>
                <w:lang w:eastAsia="zh-CN"/>
              </w:rPr>
              <w:t>y</w:t>
            </w:r>
            <w:r>
              <w:rPr>
                <w:rFonts w:ascii="Book Antiqua" w:hAnsi="Book Antiqua" w:cs="Book Antiqua"/>
                <w:lang w:eastAsia="zh-CN"/>
              </w:rPr>
              <w:t>es</w:t>
            </w:r>
          </w:p>
        </w:tc>
        <w:tc>
          <w:tcPr>
            <w:tcW w:w="875" w:type="pct"/>
            <w:tcBorders>
              <w:top w:val="nil"/>
              <w:left w:val="nil"/>
              <w:bottom w:val="nil"/>
              <w:right w:val="nil"/>
            </w:tcBorders>
            <w:shd w:val="clear" w:color="auto" w:fill="auto"/>
          </w:tcPr>
          <w:p w14:paraId="6212548C"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65</w:t>
            </w:r>
          </w:p>
        </w:tc>
        <w:tc>
          <w:tcPr>
            <w:tcW w:w="946" w:type="pct"/>
            <w:tcBorders>
              <w:top w:val="nil"/>
              <w:left w:val="nil"/>
              <w:bottom w:val="nil"/>
              <w:right w:val="nil"/>
            </w:tcBorders>
            <w:shd w:val="clear" w:color="auto" w:fill="auto"/>
          </w:tcPr>
          <w:p w14:paraId="74425B9E"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16</w:t>
            </w:r>
          </w:p>
        </w:tc>
        <w:tc>
          <w:tcPr>
            <w:tcW w:w="950" w:type="pct"/>
            <w:tcBorders>
              <w:top w:val="nil"/>
              <w:left w:val="nil"/>
              <w:bottom w:val="nil"/>
              <w:right w:val="nil"/>
            </w:tcBorders>
            <w:shd w:val="clear" w:color="auto" w:fill="auto"/>
          </w:tcPr>
          <w:p w14:paraId="30C1B7A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49</w:t>
            </w:r>
          </w:p>
        </w:tc>
        <w:tc>
          <w:tcPr>
            <w:tcW w:w="0" w:type="auto"/>
            <w:vMerge/>
            <w:tcBorders>
              <w:top w:val="nil"/>
              <w:left w:val="nil"/>
              <w:bottom w:val="nil"/>
              <w:right w:val="nil"/>
            </w:tcBorders>
            <w:shd w:val="clear" w:color="auto" w:fill="auto"/>
            <w:vAlign w:val="center"/>
          </w:tcPr>
          <w:p w14:paraId="12AF7A3B" w14:textId="77777777" w:rsidR="008B7F41" w:rsidRDefault="008B7F41">
            <w:pPr>
              <w:adjustRightInd w:val="0"/>
              <w:snapToGrid w:val="0"/>
              <w:spacing w:line="360" w:lineRule="auto"/>
              <w:rPr>
                <w:rFonts w:ascii="Book Antiqua" w:eastAsia="SimSun" w:hAnsi="Book Antiqua" w:cs="Book Antiqua"/>
                <w:lang w:eastAsia="zh-CN"/>
              </w:rPr>
            </w:pPr>
          </w:p>
        </w:tc>
      </w:tr>
      <w:tr w:rsidR="008B7F41" w14:paraId="2CDB4A91" w14:textId="77777777">
        <w:trPr>
          <w:jc w:val="center"/>
        </w:trPr>
        <w:tc>
          <w:tcPr>
            <w:tcW w:w="1281" w:type="pct"/>
            <w:tcBorders>
              <w:top w:val="nil"/>
              <w:left w:val="nil"/>
              <w:bottom w:val="single" w:sz="4" w:space="0" w:color="auto"/>
              <w:right w:val="nil"/>
            </w:tcBorders>
            <w:shd w:val="clear" w:color="auto" w:fill="auto"/>
          </w:tcPr>
          <w:p w14:paraId="64D5F71D" w14:textId="77777777" w:rsidR="008B7F41" w:rsidRDefault="004C7094">
            <w:pPr>
              <w:adjustRightInd w:val="0"/>
              <w:snapToGrid w:val="0"/>
              <w:spacing w:line="360" w:lineRule="auto"/>
              <w:jc w:val="left"/>
              <w:rPr>
                <w:rFonts w:ascii="Book Antiqua" w:hAnsi="Book Antiqua" w:cs="Book Antiqua"/>
                <w:lang w:eastAsia="zh-CN"/>
              </w:rPr>
            </w:pPr>
            <w:r>
              <w:rPr>
                <w:rFonts w:ascii="Book Antiqua" w:hAnsi="Book Antiqua" w:cs="Book Antiqua"/>
                <w:lang w:eastAsia="zh-CN"/>
              </w:rPr>
              <w:t>Total</w:t>
            </w:r>
          </w:p>
        </w:tc>
        <w:tc>
          <w:tcPr>
            <w:tcW w:w="875" w:type="pct"/>
            <w:tcBorders>
              <w:top w:val="nil"/>
              <w:left w:val="nil"/>
              <w:bottom w:val="single" w:sz="4" w:space="0" w:color="auto"/>
              <w:right w:val="nil"/>
            </w:tcBorders>
            <w:shd w:val="clear" w:color="auto" w:fill="auto"/>
          </w:tcPr>
          <w:p w14:paraId="7F760858"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115</w:t>
            </w:r>
          </w:p>
        </w:tc>
        <w:tc>
          <w:tcPr>
            <w:tcW w:w="946" w:type="pct"/>
            <w:tcBorders>
              <w:top w:val="nil"/>
              <w:left w:val="nil"/>
              <w:bottom w:val="single" w:sz="4" w:space="0" w:color="auto"/>
              <w:right w:val="nil"/>
            </w:tcBorders>
            <w:shd w:val="clear" w:color="auto" w:fill="auto"/>
          </w:tcPr>
          <w:p w14:paraId="6E2B1EFD"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43</w:t>
            </w:r>
          </w:p>
        </w:tc>
        <w:tc>
          <w:tcPr>
            <w:tcW w:w="950" w:type="pct"/>
            <w:tcBorders>
              <w:top w:val="nil"/>
              <w:left w:val="nil"/>
              <w:bottom w:val="single" w:sz="4" w:space="0" w:color="auto"/>
              <w:right w:val="nil"/>
            </w:tcBorders>
            <w:shd w:val="clear" w:color="auto" w:fill="auto"/>
          </w:tcPr>
          <w:p w14:paraId="0750B60B" w14:textId="77777777" w:rsidR="008B7F41" w:rsidRDefault="004C7094">
            <w:pPr>
              <w:adjustRightInd w:val="0"/>
              <w:snapToGrid w:val="0"/>
              <w:spacing w:line="360" w:lineRule="auto"/>
              <w:jc w:val="center"/>
              <w:rPr>
                <w:rFonts w:ascii="Book Antiqua" w:hAnsi="Book Antiqua" w:cs="Book Antiqua"/>
                <w:lang w:eastAsia="zh-CN"/>
              </w:rPr>
            </w:pPr>
            <w:r>
              <w:rPr>
                <w:rFonts w:ascii="Book Antiqua" w:hAnsi="Book Antiqua" w:cs="Book Antiqua"/>
                <w:lang w:eastAsia="zh-CN"/>
              </w:rPr>
              <w:t>72</w:t>
            </w:r>
          </w:p>
        </w:tc>
        <w:tc>
          <w:tcPr>
            <w:tcW w:w="948" w:type="pct"/>
            <w:tcBorders>
              <w:top w:val="nil"/>
              <w:left w:val="nil"/>
              <w:bottom w:val="single" w:sz="4" w:space="0" w:color="auto"/>
              <w:right w:val="nil"/>
            </w:tcBorders>
            <w:shd w:val="clear" w:color="auto" w:fill="auto"/>
          </w:tcPr>
          <w:p w14:paraId="3E64674A" w14:textId="77777777" w:rsidR="008B7F41" w:rsidRDefault="008B7F41">
            <w:pPr>
              <w:adjustRightInd w:val="0"/>
              <w:snapToGrid w:val="0"/>
              <w:spacing w:line="360" w:lineRule="auto"/>
              <w:rPr>
                <w:rFonts w:ascii="Book Antiqua" w:hAnsi="Book Antiqua" w:cs="Book Antiqua"/>
                <w:lang w:eastAsia="zh-CN"/>
              </w:rPr>
            </w:pPr>
          </w:p>
        </w:tc>
      </w:tr>
      <w:tr w:rsidR="008B7F41" w14:paraId="67D16D2A" w14:textId="77777777">
        <w:trPr>
          <w:trHeight w:val="404"/>
          <w:jc w:val="center"/>
        </w:trPr>
        <w:tc>
          <w:tcPr>
            <w:tcW w:w="5000" w:type="pct"/>
            <w:gridSpan w:val="5"/>
            <w:tcBorders>
              <w:top w:val="single" w:sz="4" w:space="0" w:color="auto"/>
              <w:left w:val="nil"/>
              <w:bottom w:val="nil"/>
              <w:right w:val="nil"/>
            </w:tcBorders>
            <w:shd w:val="clear" w:color="auto" w:fill="auto"/>
          </w:tcPr>
          <w:p w14:paraId="73C8577E" w14:textId="77777777" w:rsidR="008B7F41" w:rsidRDefault="004C7094">
            <w:pPr>
              <w:widowControl/>
              <w:adjustRightInd w:val="0"/>
              <w:snapToGrid w:val="0"/>
              <w:spacing w:line="360" w:lineRule="auto"/>
              <w:rPr>
                <w:rFonts w:ascii="Book Antiqua" w:hAnsi="Book Antiqua" w:cs="Book Antiqua"/>
                <w:lang w:eastAsia="zh-CN"/>
              </w:rPr>
            </w:pPr>
            <w:r>
              <w:rPr>
                <w:rFonts w:ascii="Book Antiqua" w:eastAsia="SimSun" w:hAnsi="Book Antiqua" w:cs="Book Antiqua"/>
                <w:color w:val="000000"/>
                <w:lang w:eastAsia="zh-CN"/>
              </w:rPr>
              <w:lastRenderedPageBreak/>
              <w:t xml:space="preserve">GC: </w:t>
            </w:r>
            <w:r>
              <w:rPr>
                <w:rFonts w:ascii="Book Antiqua" w:eastAsia="SimSun" w:hAnsi="Book Antiqua" w:cs="Book Antiqua"/>
                <w:caps/>
                <w:color w:val="000000"/>
                <w:lang w:eastAsia="zh-CN"/>
              </w:rPr>
              <w:t>g</w:t>
            </w:r>
            <w:r>
              <w:rPr>
                <w:rFonts w:ascii="Book Antiqua" w:eastAsia="SimSun" w:hAnsi="Book Antiqua" w:cs="Book Antiqua"/>
                <w:color w:val="000000"/>
                <w:lang w:eastAsia="zh-CN"/>
              </w:rPr>
              <w:t xml:space="preserve">astric cancer; LNI: </w:t>
            </w:r>
            <w:r>
              <w:rPr>
                <w:rFonts w:ascii="Book Antiqua" w:eastAsia="SimSun" w:hAnsi="Book Antiqua" w:cs="Book Antiqua"/>
                <w:caps/>
                <w:color w:val="000000"/>
                <w:lang w:eastAsia="zh-CN"/>
              </w:rPr>
              <w:t>l</w:t>
            </w:r>
            <w:r>
              <w:rPr>
                <w:rFonts w:ascii="Book Antiqua" w:eastAsia="SimSun" w:hAnsi="Book Antiqua" w:cs="Book Antiqua"/>
                <w:color w:val="000000"/>
                <w:lang w:eastAsia="zh-CN"/>
              </w:rPr>
              <w:t xml:space="preserve">ymph node </w:t>
            </w:r>
            <w:r>
              <w:rPr>
                <w:rFonts w:ascii="Book Antiqua" w:eastAsia="SimSun" w:hAnsi="Book Antiqua" w:cs="Book Antiqua"/>
                <w:color w:val="000000"/>
                <w:shd w:val="clear" w:color="auto" w:fill="FFFFFF"/>
                <w:lang w:eastAsia="zh-CN"/>
              </w:rPr>
              <w:t xml:space="preserve">involvement; </w:t>
            </w:r>
            <w:r>
              <w:rPr>
                <w:rFonts w:ascii="Book Antiqua" w:eastAsia="SimSun" w:hAnsi="Book Antiqua" w:cs="Book Antiqua"/>
                <w:color w:val="000000"/>
                <w:lang w:eastAsia="zh-CN"/>
              </w:rPr>
              <w:t xml:space="preserve">TNM: </w:t>
            </w:r>
            <w:r>
              <w:rPr>
                <w:rFonts w:ascii="Book Antiqua" w:eastAsia="SimSun" w:hAnsi="Book Antiqua" w:cs="Book Antiqua"/>
                <w:caps/>
                <w:color w:val="000000"/>
                <w:lang w:eastAsia="zh-CN"/>
              </w:rPr>
              <w:t>t</w:t>
            </w:r>
            <w:r>
              <w:rPr>
                <w:rFonts w:ascii="Book Antiqua" w:eastAsia="SimSun" w:hAnsi="Book Antiqua" w:cs="Book Antiqua"/>
                <w:color w:val="000000"/>
                <w:lang w:eastAsia="zh-CN"/>
              </w:rPr>
              <w:t xml:space="preserve">umor-node-metastasis; USP15: </w:t>
            </w:r>
            <w:r>
              <w:rPr>
                <w:rFonts w:ascii="Book Antiqua" w:eastAsia="SimSun" w:hAnsi="Book Antiqua" w:cs="Book Antiqua"/>
                <w:caps/>
                <w:color w:val="000000"/>
                <w:lang w:eastAsia="zh-CN"/>
              </w:rPr>
              <w:t>u</w:t>
            </w:r>
            <w:r>
              <w:rPr>
                <w:rFonts w:ascii="Book Antiqua" w:eastAsia="SimSun" w:hAnsi="Book Antiqua" w:cs="Book Antiqua"/>
                <w:color w:val="000000"/>
                <w:lang w:eastAsia="zh-CN"/>
              </w:rPr>
              <w:t>biquitin-specific protease 15.</w:t>
            </w:r>
          </w:p>
        </w:tc>
      </w:tr>
    </w:tbl>
    <w:p w14:paraId="6855CFC7" w14:textId="77777777" w:rsidR="008B7F41" w:rsidRDefault="008B7F41">
      <w:pPr>
        <w:spacing w:line="360" w:lineRule="auto"/>
        <w:jc w:val="both"/>
        <w:rPr>
          <w:rFonts w:ascii="Book Antiqua" w:hAnsi="Book Antiqua" w:cs="Book Antiqua"/>
          <w:color w:val="000000"/>
          <w:lang w:eastAsia="zh-CN"/>
        </w:rPr>
      </w:pPr>
    </w:p>
    <w:sectPr w:rsidR="008B7F41">
      <w:pgSz w:w="11907"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C7450" w14:textId="77777777" w:rsidR="004C7094" w:rsidRDefault="004C7094">
      <w:r>
        <w:separator/>
      </w:r>
    </w:p>
  </w:endnote>
  <w:endnote w:type="continuationSeparator" w:id="0">
    <w:p w14:paraId="1667FB03" w14:textId="77777777" w:rsidR="004C7094" w:rsidRDefault="004C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4D"/>
    <w:family w:val="decorative"/>
    <w:pitch w:val="variable"/>
    <w:sig w:usb0="00000003" w:usb1="10000000" w:usb2="00000000" w:usb3="00000000" w:csb0="80000001" w:csb1="00000000"/>
  </w:font>
  <w:font w:name="Lato">
    <w:altName w:val="Segoe Print"/>
    <w:panose1 w:val="020B0604020202020204"/>
    <w:charset w:val="00"/>
    <w:family w:val="auto"/>
    <w:pitch w:val="default"/>
  </w:font>
  <w:font w:name="Times-Roman">
    <w:panose1 w:val="00000500000000020000"/>
    <w:charset w:val="00"/>
    <w:family w:val="auto"/>
    <w:pitch w:val="variable"/>
    <w:sig w:usb0="E00002FF" w:usb1="5000205A" w:usb2="00000000" w:usb3="00000000" w:csb0="0000019F" w:csb1="00000000"/>
  </w:font>
  <w:font w:name="Lato-Regular">
    <w:altName w:val="Segoe Print"/>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5801732"/>
    </w:sdtPr>
    <w:sdtEndPr/>
    <w:sdtContent>
      <w:sdt>
        <w:sdtPr>
          <w:id w:val="98381352"/>
        </w:sdtPr>
        <w:sdtEndPr/>
        <w:sdtContent>
          <w:p w14:paraId="665CE3EC" w14:textId="77777777" w:rsidR="008B7F41" w:rsidRDefault="004C7094">
            <w:pPr>
              <w:pStyle w:val="Footer"/>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35</w:t>
            </w:r>
            <w:r>
              <w:rPr>
                <w:rFonts w:ascii="Book Antiqua" w:hAnsi="Book Antiqua"/>
                <w:sz w:val="24"/>
                <w:szCs w:val="24"/>
              </w:rPr>
              <w:fldChar w:fldCharType="end"/>
            </w:r>
          </w:p>
        </w:sdtContent>
      </w:sdt>
    </w:sdtContent>
  </w:sdt>
  <w:p w14:paraId="14A0BFBC" w14:textId="77777777" w:rsidR="008B7F41" w:rsidRDefault="008B7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9B27B" w14:textId="77777777" w:rsidR="004C7094" w:rsidRDefault="004C7094">
      <w:r>
        <w:separator/>
      </w:r>
    </w:p>
  </w:footnote>
  <w:footnote w:type="continuationSeparator" w:id="0">
    <w:p w14:paraId="67C4F175" w14:textId="77777777" w:rsidR="004C7094" w:rsidRDefault="004C7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formatting="1" w:enforcement="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59C"/>
    <w:rsid w:val="000419C6"/>
    <w:rsid w:val="00065882"/>
    <w:rsid w:val="000840E4"/>
    <w:rsid w:val="00094D1D"/>
    <w:rsid w:val="000B29EA"/>
    <w:rsid w:val="000C24C5"/>
    <w:rsid w:val="001133CB"/>
    <w:rsid w:val="001151EA"/>
    <w:rsid w:val="001E615E"/>
    <w:rsid w:val="001F3379"/>
    <w:rsid w:val="002064E2"/>
    <w:rsid w:val="00282191"/>
    <w:rsid w:val="002928C0"/>
    <w:rsid w:val="002931FD"/>
    <w:rsid w:val="002C0F0E"/>
    <w:rsid w:val="002F2A33"/>
    <w:rsid w:val="00300372"/>
    <w:rsid w:val="00322572"/>
    <w:rsid w:val="00354889"/>
    <w:rsid w:val="0044685D"/>
    <w:rsid w:val="0044701A"/>
    <w:rsid w:val="00452C31"/>
    <w:rsid w:val="00493BA7"/>
    <w:rsid w:val="004B74B1"/>
    <w:rsid w:val="004C7094"/>
    <w:rsid w:val="004D1714"/>
    <w:rsid w:val="004E3B90"/>
    <w:rsid w:val="00531792"/>
    <w:rsid w:val="005729FA"/>
    <w:rsid w:val="0057700B"/>
    <w:rsid w:val="00597760"/>
    <w:rsid w:val="005B0DED"/>
    <w:rsid w:val="005B6AB9"/>
    <w:rsid w:val="005E0245"/>
    <w:rsid w:val="005E18B7"/>
    <w:rsid w:val="005F2D86"/>
    <w:rsid w:val="005F662F"/>
    <w:rsid w:val="00635B0C"/>
    <w:rsid w:val="00671CFF"/>
    <w:rsid w:val="0068325F"/>
    <w:rsid w:val="006A1374"/>
    <w:rsid w:val="006A5824"/>
    <w:rsid w:val="006F0221"/>
    <w:rsid w:val="006F3347"/>
    <w:rsid w:val="00736436"/>
    <w:rsid w:val="00741CE4"/>
    <w:rsid w:val="007420A5"/>
    <w:rsid w:val="00757FE6"/>
    <w:rsid w:val="00771E02"/>
    <w:rsid w:val="007B6CE5"/>
    <w:rsid w:val="00807B42"/>
    <w:rsid w:val="00830345"/>
    <w:rsid w:val="00863019"/>
    <w:rsid w:val="008B0D08"/>
    <w:rsid w:val="008B7F41"/>
    <w:rsid w:val="008E3220"/>
    <w:rsid w:val="008F2B6B"/>
    <w:rsid w:val="00924514"/>
    <w:rsid w:val="009402C8"/>
    <w:rsid w:val="0098171C"/>
    <w:rsid w:val="009C5ECD"/>
    <w:rsid w:val="009E2255"/>
    <w:rsid w:val="00A0464C"/>
    <w:rsid w:val="00A77B3E"/>
    <w:rsid w:val="00A861B4"/>
    <w:rsid w:val="00AA481A"/>
    <w:rsid w:val="00AA6659"/>
    <w:rsid w:val="00AB3782"/>
    <w:rsid w:val="00AB61C8"/>
    <w:rsid w:val="00AC4863"/>
    <w:rsid w:val="00B05F27"/>
    <w:rsid w:val="00BC0538"/>
    <w:rsid w:val="00BF2EB3"/>
    <w:rsid w:val="00C12919"/>
    <w:rsid w:val="00C26F0A"/>
    <w:rsid w:val="00C70534"/>
    <w:rsid w:val="00C763DF"/>
    <w:rsid w:val="00C82389"/>
    <w:rsid w:val="00C8391C"/>
    <w:rsid w:val="00C9690D"/>
    <w:rsid w:val="00CA2A55"/>
    <w:rsid w:val="00CE21B1"/>
    <w:rsid w:val="00D040B8"/>
    <w:rsid w:val="00D1014C"/>
    <w:rsid w:val="00D22DDD"/>
    <w:rsid w:val="00D52FD1"/>
    <w:rsid w:val="00D57759"/>
    <w:rsid w:val="00D900BF"/>
    <w:rsid w:val="00D95D85"/>
    <w:rsid w:val="00E37A66"/>
    <w:rsid w:val="00E56128"/>
    <w:rsid w:val="00E754D9"/>
    <w:rsid w:val="00EA499F"/>
    <w:rsid w:val="00F04E81"/>
    <w:rsid w:val="00F30082"/>
    <w:rsid w:val="00FB72F3"/>
    <w:rsid w:val="018F33EE"/>
    <w:rsid w:val="0DDA44E1"/>
    <w:rsid w:val="35B16D2C"/>
    <w:rsid w:val="71924FEE"/>
    <w:rsid w:val="7DCE4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F866106"/>
  <w15:docId w15:val="{622090DA-5809-C04E-B26C-54FC92CA6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Pr>
      <w:sz w:val="20"/>
      <w:szCs w:val="20"/>
    </w:rPr>
  </w:style>
  <w:style w:type="paragraph" w:styleId="BalloonText">
    <w:name w:val="Balloon Text"/>
    <w:basedOn w:val="Normal"/>
    <w:link w:val="BalloonTextChar"/>
    <w:qFormat/>
    <w:rPr>
      <w:rFonts w:eastAsiaTheme="minorEastAsia"/>
      <w:sz w:val="18"/>
      <w:szCs w:val="18"/>
    </w:rPr>
  </w:style>
  <w:style w:type="paragraph" w:styleId="Footer">
    <w:name w:val="footer"/>
    <w:basedOn w:val="Normal"/>
    <w:link w:val="FooterChar"/>
    <w:uiPriority w:val="99"/>
    <w:qFormat/>
    <w:pPr>
      <w:tabs>
        <w:tab w:val="center" w:pos="4153"/>
        <w:tab w:val="right" w:pos="8306"/>
      </w:tabs>
      <w:snapToGrid w:val="0"/>
    </w:pPr>
    <w:rPr>
      <w:rFonts w:eastAsiaTheme="minorEastAsia"/>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rFonts w:eastAsiaTheme="minorEastAsia"/>
      <w:sz w:val="18"/>
      <w:szCs w:val="18"/>
    </w:r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uiPriority w:val="99"/>
    <w:qFormat/>
    <w:pPr>
      <w:widowControl w:val="0"/>
      <w:jc w:val="both"/>
    </w:pPr>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character" w:customStyle="1" w:styleId="BalloonTextChar">
    <w:name w:val="Balloon Text Char"/>
    <w:basedOn w:val="DefaultParagraphFont"/>
    <w:link w:val="BalloonText"/>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rPr>
      <w:rFonts w:eastAsia="Times New Roman"/>
      <w:lang w:eastAsia="en-US"/>
    </w:rPr>
  </w:style>
  <w:style w:type="character" w:customStyle="1" w:styleId="CommentSubjectChar">
    <w:name w:val="Comment Subject Char"/>
    <w:basedOn w:val="CommentTextChar"/>
    <w:link w:val="CommentSubject"/>
    <w:semiHidden/>
    <w:rPr>
      <w:rFonts w:eastAsia="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cbioportal.or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kmplot.com/analysi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ualcan.path.uab.ed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7636</Words>
  <Characters>43530</Characters>
  <Application>Microsoft Office Word</Application>
  <DocSecurity>0</DocSecurity>
  <Lines>362</Lines>
  <Paragraphs>102</Paragraphs>
  <ScaleCrop>false</ScaleCrop>
  <Company>HP</Company>
  <LinksUpToDate>false</LinksUpToDate>
  <CharactersWithSpaces>51064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Donna Fox</cp:lastModifiedBy>
  <cp:revision>2</cp:revision>
  <dcterms:created xsi:type="dcterms:W3CDTF">2021-06-23T04:35:00Z</dcterms:created>
  <dcterms:modified xsi:type="dcterms:W3CDTF">2021-06-23T04:35:00Z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1B5A2D2E0A4E4C6CB219E0EB0B851722</vt:lpwstr>
  </property>
</Properties>
</file>