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65554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color w:val="000000"/>
        </w:rPr>
        <w:t xml:space="preserve">Biliary complications in recipients of living donor liver transplantation: A single-centre study </w:t>
      </w:r>
    </w:p>
    <w:p>
      <w:pPr>
        <w:spacing w:line="360" w:lineRule="auto"/>
        <w:jc w:val="both"/>
      </w:pPr>
    </w:p>
    <w:p>
      <w:pPr>
        <w:spacing w:line="360" w:lineRule="auto"/>
        <w:jc w:val="both"/>
      </w:pPr>
      <w:r>
        <w:rPr>
          <w:rFonts w:ascii="Book Antiqua" w:hAnsi="Book Antiqua" w:eastAsia="Book Antiqua" w:cs="Book Antiqua"/>
          <w:color w:val="000000"/>
        </w:rPr>
        <w:t xml:space="preserve">Guirguis RN </w:t>
      </w:r>
      <w:r>
        <w:rPr>
          <w:rFonts w:ascii="Book Antiqua" w:hAnsi="Book Antiqua" w:eastAsia="Book Antiqua" w:cs="Book Antiqua"/>
          <w:i/>
          <w:iCs/>
          <w:color w:val="000000"/>
        </w:rPr>
        <w:t>et al</w:t>
      </w:r>
      <w:r>
        <w:rPr>
          <w:rFonts w:ascii="Book Antiqua" w:hAnsi="Book Antiqua" w:eastAsia="Book Antiqua" w:cs="Book Antiqua"/>
          <w:color w:val="000000"/>
        </w:rPr>
        <w:t>. Biliary complications following RT-LDLT</w:t>
      </w:r>
    </w:p>
    <w:p>
      <w:pPr>
        <w:spacing w:line="360" w:lineRule="auto"/>
        <w:jc w:val="both"/>
      </w:pPr>
    </w:p>
    <w:p>
      <w:pPr>
        <w:spacing w:line="360" w:lineRule="auto"/>
        <w:jc w:val="both"/>
      </w:pPr>
      <w:r>
        <w:rPr>
          <w:rFonts w:ascii="Book Antiqua" w:hAnsi="Book Antiqua" w:eastAsia="Book Antiqua" w:cs="Book Antiqua"/>
          <w:color w:val="000000"/>
        </w:rPr>
        <w:t>Reginia Nabil Guirguis, Ehab Hasan Nashaat, Azza Emam Yassin, Wesam Ahmed Ibrahim, Shereen A Saleh, Mohamed Bahaa, Mahmoud El-Meteini, Mohamed Fathy, Hany Mansour Dabbous, Iman Fawzy Montasser, Manar Salah, Ghada Abdelrahman Mohamed</w:t>
      </w:r>
    </w:p>
    <w:p>
      <w:pPr>
        <w:spacing w:line="360" w:lineRule="auto"/>
        <w:jc w:val="both"/>
      </w:pPr>
    </w:p>
    <w:p>
      <w:pPr>
        <w:spacing w:line="360" w:lineRule="auto"/>
        <w:jc w:val="both"/>
      </w:pPr>
      <w:r>
        <w:rPr>
          <w:rFonts w:ascii="Book Antiqua" w:hAnsi="Book Antiqua" w:eastAsia="Book Antiqua" w:cs="Book Antiqua"/>
          <w:b/>
          <w:bCs/>
          <w:color w:val="000000"/>
        </w:rPr>
        <w:t xml:space="preserve">Reginia Nabil Guirguis, Ehab Hasan Nashaat, Azza Emam Yassin, Wesam Ahmed Ibrahim, Shereen A Saleh, Ghada Abdelrahman Mohamed, </w:t>
      </w:r>
      <w:r>
        <w:rPr>
          <w:rFonts w:ascii="Book Antiqua" w:hAnsi="Book Antiqua" w:eastAsia="Book Antiqua" w:cs="Book Antiqua"/>
          <w:color w:val="000000"/>
        </w:rPr>
        <w:t>Gastroenterology and Hepatology Unit, Department of Internal Medicine, Faculty of Medicine, Ain Shams University, Cairo 11591, Egypt</w:t>
      </w:r>
    </w:p>
    <w:p>
      <w:pPr>
        <w:spacing w:line="360" w:lineRule="auto"/>
        <w:jc w:val="both"/>
      </w:pPr>
    </w:p>
    <w:p>
      <w:pPr>
        <w:spacing w:line="360" w:lineRule="auto"/>
        <w:jc w:val="both"/>
      </w:pPr>
      <w:r>
        <w:rPr>
          <w:rFonts w:ascii="Book Antiqua" w:hAnsi="Book Antiqua" w:eastAsia="Book Antiqua" w:cs="Book Antiqua"/>
          <w:b/>
          <w:bCs/>
          <w:color w:val="000000"/>
        </w:rPr>
        <w:t xml:space="preserve">Mohamed Bahaa, Mahmoud El-Meteini, Mohamed Fathy, </w:t>
      </w:r>
      <w:r>
        <w:rPr>
          <w:rFonts w:ascii="Book Antiqua" w:hAnsi="Book Antiqua" w:eastAsia="Book Antiqua" w:cs="Book Antiqua"/>
          <w:color w:val="000000"/>
        </w:rPr>
        <w:t>Department of General Surgery, Faculty of Medicine, Ain Shams University, Cairo 11591, Egypt</w:t>
      </w:r>
    </w:p>
    <w:p>
      <w:pPr>
        <w:spacing w:line="360" w:lineRule="auto"/>
        <w:jc w:val="both"/>
      </w:pPr>
    </w:p>
    <w:p>
      <w:pPr>
        <w:spacing w:line="360" w:lineRule="auto"/>
        <w:jc w:val="both"/>
      </w:pPr>
      <w:r>
        <w:rPr>
          <w:rFonts w:ascii="Book Antiqua" w:hAnsi="Book Antiqua" w:eastAsia="Book Antiqua" w:cs="Book Antiqua"/>
          <w:b/>
          <w:bCs/>
          <w:color w:val="000000"/>
        </w:rPr>
        <w:t xml:space="preserve">Hany Mansour Dabbous, Iman Fawzy Montasser, Manar Salah, </w:t>
      </w:r>
      <w:r>
        <w:rPr>
          <w:rFonts w:ascii="Book Antiqua" w:hAnsi="Book Antiqua" w:eastAsia="Book Antiqua" w:cs="Book Antiqua"/>
          <w:color w:val="000000"/>
        </w:rPr>
        <w:t>Department of Tropical Medicine, Faculty of Medicine, Ain Shams University, Cairo 11591, Egypt</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Guirguis RN, Nashaat EH, Yassin AE, Ibrahim WA, Saleh SA, Bahaa MM designed the research; Bahaa MM, El-Meteini M, Fathy M performed the surgical procedures; Guirguis RN, Dabbous HM, Montasser IF, Salah M performed the perioperative management; Guirguis RN participated in the acquisition of data; Guirguis RN, Nashaat EH, Yassin AE, Ibrahim WA, Saleh SA, Mohamed GA participated in the analysis and interpretation of the data; Guirguis RN, Saleh SA, Bahaa MM, Mohamed GA revised the article critically for important intellectual content; Mohamed GA wrote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Ghada Abdelrahman Mohamed, MD, Lecturer, </w:t>
      </w:r>
      <w:r>
        <w:rPr>
          <w:rFonts w:ascii="Book Antiqua" w:hAnsi="Book Antiqua" w:eastAsia="Book Antiqua" w:cs="Book Antiqua"/>
          <w:color w:val="000000"/>
        </w:rPr>
        <w:t>Gastroenterology and Hepatology Unit, Department of Internal Medicine, Faculty of Medicine, Ain Shams University, El-Khalifa El-Maamon Street, Abbassia, Cairo 11591, Egypt. ghadaabdelrahman@med.asu.edu.eg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9,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24,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Biliary complications (BCs) after liver transplantation (LT) remain a considerable cause of morbidity, mortality, increased cost, and graft loss.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investigate the impact of BCs on chronic graft rejection, graft failure and mortality.</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From 2011 to 2016, 215 adult recipients underwent right-lobe living-donor liver transplantation (RT-LDLT) at our centre. We excluded 46 recipients who met the exclusion criteria, and 169 recipients were included in the final analysis. Donors’ and recipients’ demographic data, clinical data, operative details and postoperative course information were collected. We also reviewed the management and outcomes of BCs. Recipients were followed for at least 12 mo post-LT until December 2017 or graft or patient loss.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The overall incidence rate of BCs including biliary leakage, biliary infection and biliary stricture was 57.4%. Twenty-seven (16%) patients experienced chronic graft rejection. Graft failure developed in 20 (11.8%) patients. A total of 28 (16.6%) deaths occurred during follow-up. BCs were a risk factor for the occurrence of chronic graft rejection and failure; however, mortality was determined by recurrent hepatitis C virus infection.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Biliary complications after RT-LDLT represent an independent risk factor for chronic graft rejection and graft failure; nonetheless, effective management of these complications can improve patient and graft survival.</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Key Words: </w:t>
      </w:r>
      <w:r>
        <w:rPr>
          <w:rFonts w:ascii="Book Antiqua" w:hAnsi="Book Antiqua" w:eastAsia="Book Antiqua" w:cs="Book Antiqua"/>
          <w:color w:val="000000"/>
        </w:rPr>
        <w:t xml:space="preserve">Biliary complications; Living donor liver transplantation; Retrospective analysis; Bile leak; Biliary stricture; Risk factors; Mortality; Graft rejection </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bookmarkStart w:id="3" w:name="_GoBack"/>
      <w:bookmarkEnd w:id="3"/>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Guirguis RN, Nashaat EH, Yassin AE, Ibrahim WA, Saleh SA, Bahaa M, El-Meteini M, Fathy M, Dabbous HM, Montasser IF, Salah M, Mohamed GA. Biliary complications in recipients of living donor liver transplantation: A single-centre study.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13(12): </w:t>
      </w:r>
      <w:r>
        <w:rPr>
          <w:rFonts w:hint="default" w:ascii="Book Antiqua" w:hAnsi="Book Antiqua" w:eastAsia="Book Antiqua" w:cs="Book Antiqua"/>
          <w:i w:val="0"/>
          <w:iCs w:val="0"/>
          <w:color w:val="000000"/>
          <w:kern w:val="0"/>
          <w:sz w:val="24"/>
          <w:szCs w:val="24"/>
          <w:u w:val="none"/>
          <w:lang w:val="en-US" w:eastAsia="zh-CN" w:bidi="ar"/>
        </w:rPr>
        <w:t>2081-2103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2081</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https://dx.doi.org/10.4254/wjh.v13.i12.</w:t>
      </w:r>
      <w:r>
        <w:rPr>
          <w:rFonts w:hint="default" w:ascii="Book Antiqua" w:hAnsi="Book Antiqua" w:eastAsia="Book Antiqua" w:cs="Book Antiqua"/>
          <w:i w:val="0"/>
          <w:iCs w:val="0"/>
          <w:color w:val="000000"/>
          <w:kern w:val="0"/>
          <w:sz w:val="24"/>
          <w:szCs w:val="24"/>
          <w:u w:val="none"/>
          <w:lang w:val="en-US" w:eastAsia="zh-CN" w:bidi="ar"/>
        </w:rPr>
        <w:t>2081</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rPr>
        <w:t>We included 169 right lobe living-donor liver transplantation recipients in this retrospective study. The overall incidence rate of biliary complications including biliary leakage, biliary infection and biliary stricture was 57.4%. Twenty-seven (16%) patients experienced chronic graft rejection. Graft failure developed in 20 (11.8%) patients. A total of 28 (16.6%) deaths occurred during follow-up. Biliary complications were an independent risk factor for the occurrence of chronic graft rejection and failure; however, mortality was determined by unresolved recurrent hepatitis C virus infection. In conclusion, biliary complications represent an independent risk factor for chronic graft rejection and graft failure; nonetheless, effective management of these complications can improve patient and graft survival.</w:t>
      </w:r>
    </w:p>
    <w:p>
      <w:pPr>
        <w:spacing w:line="360" w:lineRule="auto"/>
        <w:jc w:val="both"/>
        <w:rPr>
          <w:rFonts w:ascii="Book Antiqua" w:hAnsi="Book Antiqua" w:eastAsia="Book Antiqua" w:cs="Book Antiqua"/>
          <w:b/>
          <w:caps/>
          <w:color w:val="000000"/>
          <w:u w:val="single"/>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Liver transplantation (LT) is a life-saving therapeutic modality for patients with end-stage hepatic disease</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Despite considerable progress in LT surgical performance and peri-operative management, post-LT biliary complications (BCs) remain a considerable cause of morbidity, mortality, increased cost, and graft loss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Living-donor liver transplantation (LDLT) is a well-established substitute to deceased-donor LT (DDLT)</w:t>
      </w:r>
      <w:r>
        <w:rPr>
          <w:rFonts w:ascii="Book Antiqua" w:hAnsi="Book Antiqua" w:eastAsia="Book Antiqua" w:cs="Book Antiqua"/>
          <w:color w:val="000000"/>
          <w:vertAlign w:val="superscript"/>
        </w:rPr>
        <w:t>[4,5]</w:t>
      </w:r>
      <w:r>
        <w:rPr>
          <w:rFonts w:ascii="Book Antiqua" w:hAnsi="Book Antiqua" w:eastAsia="Book Antiqua" w:cs="Book Antiqua"/>
          <w:color w:val="000000"/>
        </w:rPr>
        <w:t>. LDLT has potential advantages over DDLT, such as lower cost, superior graft vitality, shorter cold ischemia time, and lower prevalence of steroid-resistant graft rejection</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However, it has been reported that LDLT is related to higher post-LT morbidity, hospitalization rates and duration of stay. This is mainly referred to the higher incidence rate of BCs in LDLT ranging from 10% to 67% compared to DDLT</w:t>
      </w:r>
      <w:r>
        <w:rPr>
          <w:rFonts w:ascii="Book Antiqua" w:hAnsi="Book Antiqua" w:eastAsia="Book Antiqua" w:cs="Book Antiqua"/>
          <w:color w:val="000000"/>
          <w:vertAlign w:val="superscript"/>
        </w:rPr>
        <w:t>[7-9]</w:t>
      </w:r>
      <w:r>
        <w:rPr>
          <w:rFonts w:ascii="Book Antiqua" w:hAnsi="Book Antiqua" w:eastAsia="Book Antiqua" w:cs="Book Antiqua"/>
          <w:color w:val="000000"/>
        </w:rPr>
        <w:t>, which could be attributed to the technically challenging biliary reconstruction during LDLT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Technical skilfulness is mandatory to reduce the incidence of BCs</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and the most critical key step is to maintain the blood supply to the biliary ducts in donor surgery</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Post-LT BCs include biliary strictures (BSs), biliary leaks (BLs), and biliary infection. There are two types of BLs post-LDLT: Anastomotic and cut surface BLs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vertAlign w:val="superscript"/>
        </w:rPr>
        <w:t>,13]</w:t>
      </w:r>
      <w:r>
        <w:rPr>
          <w:rFonts w:ascii="Book Antiqua" w:hAnsi="Book Antiqua" w:eastAsia="Book Antiqua" w:cs="Book Antiqua"/>
          <w:color w:val="000000"/>
        </w:rPr>
        <w:t>. BLs occur commonly at the T-tube insertion site and less frequently at the anastomosis site</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vertAlign w:val="superscript"/>
        </w:rPr>
        <w:t>14]</w:t>
      </w:r>
      <w:r>
        <w:rPr>
          <w:rFonts w:ascii="Book Antiqua" w:hAnsi="Book Antiqua" w:eastAsia="Book Antiqua" w:cs="Book Antiqua"/>
          <w:color w:val="000000"/>
        </w:rPr>
        <w:t>. Most BLs occur within the first post-transplant month and are mostly related to inadequate surgical skills or biliary duct ischemia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BSs are the most common BC, accounting for 40% of BCs following LT. Like BLs, BSs are more prevalent post-LDLT when compared to DDLT, mostly due to the more technically challenging biliary anastomosis in LDLT due to the small-sized ducts requiring multiple biliary anastomoses</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vertAlign w:val="superscript"/>
        </w:rPr>
        <w:t>6]</w:t>
      </w:r>
      <w:r>
        <w:rPr>
          <w:rFonts w:ascii="Book Antiqua" w:hAnsi="Book Antiqua" w:eastAsia="Book Antiqua" w:cs="Book Antiqua"/>
          <w:color w:val="000000"/>
        </w:rPr>
        <w:t>. BSs typically present after one month post-LT; in addition, they can be anastomotic or non-anastomotic</w:t>
      </w:r>
      <w:r>
        <w:rPr>
          <w:rFonts w:ascii="Book Antiqua" w:hAnsi="Book Antiqua" w:eastAsia="Book Antiqua" w:cs="Book Antiqua"/>
          <w:color w:val="000000"/>
          <w:vertAlign w:val="superscript"/>
        </w:rPr>
        <w:t>[12]</w:t>
      </w:r>
      <w:r>
        <w:rPr>
          <w:rFonts w:ascii="Book Antiqua" w:hAnsi="Book Antiqua" w:eastAsia="Book Antiqua" w:cs="Book Antiqua"/>
          <w:color w:val="000000"/>
        </w:rPr>
        <w:t>. Anastomotic strictures account for approximately 80% of post-LT BSs and commonly occur in LDLT and at the anastomotic site</w:t>
      </w:r>
      <w:r>
        <w:rPr>
          <w:rFonts w:ascii="Book Antiqua" w:hAnsi="Book Antiqua" w:eastAsia="Book Antiqua" w:cs="Book Antiqua"/>
          <w:color w:val="000000"/>
          <w:szCs w:val="30"/>
          <w:vertAlign w:val="superscript"/>
        </w:rPr>
        <w:t>[7,17]</w:t>
      </w:r>
      <w:r>
        <w:rPr>
          <w:rFonts w:ascii="Book Antiqua" w:hAnsi="Book Antiqua" w:eastAsia="Book Antiqua" w:cs="Book Antiqua"/>
          <w:color w:val="000000"/>
        </w:rPr>
        <w:t>. Non-anastomotic strictures account for approximately 10%-25% of post-LT BSs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BSs are mainly linked to surgical skills, patients with small-sized ducts, donor-recipient bile duct size mismatch, longer operative time, total ischemia time, local ischemia, chronic rejection, older donor age, donor and recipient gender matching and initial disease recurrence like primary sclerosing cholangitis (PSC)</w:t>
      </w:r>
      <w:r>
        <w:rPr>
          <w:rFonts w:ascii="Book Antiqua" w:hAnsi="Book Antiqua" w:eastAsia="Book Antiqua" w:cs="Book Antiqua"/>
          <w:color w:val="000000"/>
          <w:szCs w:val="30"/>
          <w:vertAlign w:val="superscript"/>
        </w:rPr>
        <w:t>[2,3,19,20]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Duct-to-duct anastomosis (DDA) has developed into the preferred biliary reconstruction method due to its benefits of a shorter total operative time, less incidence of post-operative infections, more physiological enteric functions and the enablement of access to the biliary tree in case of complications. Roux-en-Y hepaticojejunostomy (RYHJ) is performed in the case of re-transplantation or short or diseased bile ducts</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diversity in the results regarding the superiority of both of the two biliary reconstruction and suturing techniques is still present</w:t>
      </w:r>
      <w:r>
        <w:rPr>
          <w:rFonts w:ascii="Book Antiqua" w:hAnsi="Book Antiqua" w:eastAsia="Book Antiqua" w:cs="Book Antiqua"/>
          <w:color w:val="000000"/>
          <w:szCs w:val="30"/>
          <w:vertAlign w:val="superscript"/>
        </w:rPr>
        <w:t>[3,8,15,22]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Similarly, the use of biliary drainage remains controversial</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The post-LT stent represents a method for biliary tract decompression, as well as the facilitation of postoperative cholangiography</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However, this technique is predisposed to BL at the entry site and thus has become less commonly used</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Also, temporary internal biliary stents may be applied to cross the anastomosis site</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however, it has been reported that the incidence of BCs may increase with this technique</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There is considerable overlap in the diagnostic and therapeutic modalities in patients with post-LT BCs. Frequently used diagnostic modalities include abdominal ultrasonography, computed tomography scan, magnetic retrograde cholangiopancreatography (MRCP), magnetic resonance imaging, percutaneous transhepatic cholangiography (PTC) and endoscopic retrograde cholangiopancreatography (ERCP). Currently, the preferred imaging method for the biliary tract is MRCP; it provides a guide for further interventional approaches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In the case of isolated deranged liver functions post-LT, it is crucial to make an accurate diagnosis of other parenchymal hepatic diseases such as acute or chronic rejection, drug-induced hepatotoxicity, recurrence of primary cholestatic disease or viral hepatitis to further apply the appropriate management plan. Liver biopsy is a conclusive diagnostic procedure for these patients</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The management of BCs depends on a multidisciplinary approach including endoscopic, percutaneous and surgical interventions. Currently, ERCP is the preferable first-line therapeutic modality, especially in cases of DDA</w:t>
      </w:r>
      <w:r>
        <w:rPr>
          <w:rFonts w:ascii="Book Antiqua" w:hAnsi="Book Antiqua" w:eastAsia="Book Antiqua" w:cs="Book Antiqua"/>
          <w:color w:val="000000"/>
          <w:szCs w:val="30"/>
          <w:vertAlign w:val="superscript"/>
        </w:rPr>
        <w:t>[4,17]</w:t>
      </w:r>
      <w:r>
        <w:rPr>
          <w:rFonts w:ascii="Book Antiqua" w:hAnsi="Book Antiqua" w:eastAsia="Book Antiqua" w:cs="Book Antiqua"/>
          <w:color w:val="000000"/>
        </w:rPr>
        <w:t>. The success rate of this technique is variable, ranging from 51% to 100%</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If ERCP fails, PTC can be tried; also, it is the preferred therapeutic modality in cases of RYHJ. Surgical intervention is a last option for BCs management</w:t>
      </w:r>
      <w:r>
        <w:rPr>
          <w:rFonts w:ascii="Book Antiqua" w:hAnsi="Book Antiqua" w:eastAsia="Book Antiqua" w:cs="Book Antiqua"/>
          <w:color w:val="000000"/>
          <w:szCs w:val="30"/>
          <w:vertAlign w:val="superscript"/>
        </w:rPr>
        <w:t>[2,20]</w:t>
      </w:r>
      <w:r>
        <w:rPr>
          <w:rFonts w:ascii="Book Antiqua" w:hAnsi="Book Antiqua" w:eastAsia="Book Antiqua" w:cs="Book Antiqua"/>
          <w:color w:val="000000"/>
        </w:rPr>
        <w:t xml:space="preserve">. However, the optimal strategy for managing post-LT BCs remains undefined. </w:t>
      </w:r>
    </w:p>
    <w:p>
      <w:pPr>
        <w:spacing w:line="360" w:lineRule="auto"/>
        <w:ind w:firstLine="480" w:firstLineChars="200"/>
        <w:jc w:val="both"/>
      </w:pPr>
      <w:r>
        <w:rPr>
          <w:rFonts w:ascii="Book Antiqua" w:hAnsi="Book Antiqua" w:eastAsia="Book Antiqua" w:cs="Book Antiqua"/>
          <w:color w:val="000000"/>
        </w:rPr>
        <w:t>Based on the published literature, BC causes significant morbidity following LDLT. If not managed properly, it leads to cholestasis, progressive bridging fibrosis, secondary biliary cirrhosis and eventually graft failure. Hence, we aimed to investigate its impact on chronic graft rejection, graft failure and mortality.</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iCs/>
        </w:rPr>
      </w:pPr>
      <w:r>
        <w:rPr>
          <w:rFonts w:ascii="Book Antiqua" w:hAnsi="Book Antiqua" w:eastAsia="Book Antiqua" w:cs="Book Antiqua"/>
          <w:b/>
          <w:bCs/>
          <w:i/>
          <w:iCs/>
          <w:color w:val="000000"/>
        </w:rPr>
        <w:t>Study design</w:t>
      </w:r>
    </w:p>
    <w:p>
      <w:pPr>
        <w:spacing w:line="360" w:lineRule="auto"/>
        <w:jc w:val="both"/>
      </w:pPr>
      <w:r>
        <w:rPr>
          <w:rFonts w:ascii="Book Antiqua" w:hAnsi="Book Antiqua" w:eastAsia="Book Antiqua" w:cs="Book Antiqua"/>
          <w:color w:val="000000"/>
        </w:rPr>
        <w:t>This retrospective cohort study was conducted at Ain Shams Centre for Organ Transplantation, Ain Shams Specialized Hospital, Cairo, Egypt, from January 2011 to December 2016. This study was performed according to the ethical guidelines of the Declaration of Helsinki and was approved by the ethical review board of the Faculty of Medicine, Ain Shams University (No. FMASU MD 187/2016), which waived the requisite of informed consent owing to the retrospective nature of the study</w:t>
      </w:r>
      <w:r>
        <w:rPr>
          <w:rFonts w:ascii="Book Antiqua" w:hAnsi="Book Antiqua" w:eastAsia="Book Antiqua" w:cs="Book Antiqua"/>
          <w:color w:val="000000"/>
          <w:shd w:val="clear" w:color="auto" w:fill="FCFCFC"/>
        </w:rPr>
        <w:t xml:space="preserve">. </w:t>
      </w:r>
    </w:p>
    <w:p>
      <w:pPr>
        <w:spacing w:line="360" w:lineRule="auto"/>
        <w:ind w:firstLine="480" w:firstLineChars="200"/>
        <w:jc w:val="both"/>
      </w:pPr>
      <w:r>
        <w:rPr>
          <w:rFonts w:ascii="Book Antiqua" w:hAnsi="Book Antiqua" w:eastAsia="Book Antiqua" w:cs="Book Antiqua"/>
          <w:color w:val="000000"/>
        </w:rPr>
        <w:t>During the study period, 215 adult recipients underwent right lobe-LDLT (RL-LDLT) at our centre. We excluded 46 patients who met the exclusion criteria, and 169 recipients were enrolled in the final analysis. We included cirrhotic patients who met the transplantation criteria of our institution [a Child-Pugh score of ≥ 7 and model for end-stage liver disease (MELD) score of ≥ 15]. Patients with hepatocellular carcinoma (HCC) were enrolled if they met the Milan criteria, defined as a single lesion ≤ 5 cm or up to three lesions of ≤ 3 cm each with the absence of vascular invasion and extra-hepatic metastases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We excluded patients with cholestatic hepatic diseases [primary biliary cirrhosis (PBC) or PSC] and early postoperative mortality and patients lost on follow-up (Figure 1).</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Donors’ and recipients’ demographic data, clinical data, operative details and postoperative course information were collected. We also reviewed the management and outcomes of BCs. Recipients were followed for at least 12 mo post-LT until December 2017 or graft or patient loss.</w:t>
      </w:r>
    </w:p>
    <w:p>
      <w:pPr>
        <w:spacing w:line="360" w:lineRule="auto"/>
        <w:ind w:firstLine="480" w:firstLineChars="200"/>
        <w:jc w:val="both"/>
      </w:pPr>
    </w:p>
    <w:p>
      <w:pPr>
        <w:spacing w:line="360" w:lineRule="auto"/>
        <w:jc w:val="both"/>
        <w:rPr>
          <w:i/>
          <w:iCs/>
        </w:rPr>
      </w:pPr>
      <w:r>
        <w:rPr>
          <w:rFonts w:ascii="Book Antiqua" w:hAnsi="Book Antiqua" w:eastAsia="Book Antiqua" w:cs="Book Antiqua"/>
          <w:b/>
          <w:bCs/>
          <w:i/>
          <w:iCs/>
          <w:color w:val="000000"/>
        </w:rPr>
        <w:t>Study definitions</w:t>
      </w:r>
    </w:p>
    <w:p>
      <w:pPr>
        <w:spacing w:line="360" w:lineRule="auto"/>
        <w:jc w:val="both"/>
      </w:pPr>
      <w:r>
        <w:rPr>
          <w:rFonts w:ascii="Book Antiqua" w:hAnsi="Book Antiqua" w:eastAsia="Book Antiqua" w:cs="Book Antiqua"/>
          <w:color w:val="000000"/>
        </w:rPr>
        <w:t>The following BCs and their management were recorded from data files:</w:t>
      </w:r>
    </w:p>
    <w:p>
      <w:pPr>
        <w:spacing w:line="360" w:lineRule="auto"/>
        <w:jc w:val="both"/>
        <w:rPr>
          <w:rFonts w:ascii="Book Antiqua" w:hAnsi="Book Antiqua" w:eastAsia="Book Antiqua" w:cs="Book Antiqua"/>
          <w:b/>
          <w:bCs/>
          <w:color w:val="000000"/>
        </w:rPr>
      </w:pPr>
    </w:p>
    <w:p>
      <w:pPr>
        <w:spacing w:line="360" w:lineRule="auto"/>
        <w:jc w:val="both"/>
      </w:pPr>
      <w:r>
        <w:rPr>
          <w:rFonts w:ascii="Book Antiqua" w:hAnsi="Book Antiqua" w:eastAsia="Book Antiqua" w:cs="Book Antiqua"/>
          <w:b/>
          <w:bCs/>
          <w:color w:val="000000"/>
        </w:rPr>
        <w:t>BL:</w:t>
      </w:r>
      <w:r>
        <w:rPr>
          <w:rFonts w:ascii="Book Antiqua" w:hAnsi="Book Antiqua" w:eastAsia="Book Antiqua" w:cs="Book Antiqua"/>
          <w:color w:val="000000"/>
        </w:rPr>
        <w:t xml:space="preserve"> Clinically suspected due to the existence of bile in the surgical drains or the presence of an intra-abdominal biloma and confirmed by imaging studies.</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color w:val="000000"/>
        </w:rPr>
        <w:t>Biliary infection:</w:t>
      </w:r>
      <w:r>
        <w:rPr>
          <w:rFonts w:ascii="Book Antiqua" w:hAnsi="Book Antiqua" w:eastAsia="Book Antiqua" w:cs="Book Antiqua"/>
          <w:color w:val="000000"/>
        </w:rPr>
        <w:t xml:space="preserve"> Clinically suspected due to fever, abdominal pain, rigours, biochemical cultures and elevated inflammatory markers, including levels of C-reactive protein.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BS:</w:t>
      </w:r>
      <w:r>
        <w:rPr>
          <w:rFonts w:ascii="Book Antiqua" w:hAnsi="Book Antiqua" w:eastAsia="Book Antiqua" w:cs="Book Antiqua"/>
          <w:color w:val="000000"/>
        </w:rPr>
        <w:t xml:space="preserve"> Clinically suspected due to jaundice, pruritus, and elevated levels of serum bilirubin and/or alkaline phosphatase and confirmed by imaging studies as a narrowing at any site of the biliary tree whether at an anastomotic or non-anastomotic site with proximal dilatation.</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Diagnosis of other clinical outcomes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Graft failure:</w:t>
      </w:r>
      <w:r>
        <w:rPr>
          <w:rFonts w:ascii="Book Antiqua" w:hAnsi="Book Antiqua" w:eastAsia="Book Antiqua" w:cs="Book Antiqua"/>
          <w:color w:val="000000"/>
        </w:rPr>
        <w:t xml:space="preserve"> Confirmed by histological evidence as graft cirrhosis, the need for re-transplantation because of graft failure and/or allograft-associated mortality. </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Chronic ductopenic graft rejection:</w:t>
      </w:r>
      <w:r>
        <w:rPr>
          <w:rFonts w:ascii="Book Antiqua" w:hAnsi="Book Antiqua" w:eastAsia="Book Antiqua" w:cs="Book Antiqua"/>
          <w:color w:val="000000"/>
        </w:rPr>
        <w:t xml:space="preserve"> Proven by liver biopsy.</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Recurrent hepatitis C virus (HCV) infection:</w:t>
      </w:r>
      <w:r>
        <w:rPr>
          <w:rFonts w:ascii="Book Antiqua" w:hAnsi="Book Antiqua" w:eastAsia="Book Antiqua" w:cs="Book Antiqua"/>
          <w:color w:val="000000"/>
        </w:rPr>
        <w:t xml:space="preserve"> Proven by high viral load, elevated transaminases and liver biopsy.</w:t>
      </w:r>
    </w:p>
    <w:p>
      <w:pPr>
        <w:spacing w:line="360" w:lineRule="auto"/>
        <w:jc w:val="both"/>
      </w:pPr>
    </w:p>
    <w:p>
      <w:pPr>
        <w:spacing w:line="360" w:lineRule="auto"/>
        <w:jc w:val="both"/>
        <w:rPr>
          <w:i/>
          <w:iCs/>
        </w:rPr>
      </w:pPr>
      <w:r>
        <w:rPr>
          <w:rFonts w:ascii="Book Antiqua" w:hAnsi="Book Antiqua" w:eastAsia="Book Antiqua" w:cs="Book Antiqua"/>
          <w:b/>
          <w:bCs/>
          <w:i/>
          <w:iCs/>
          <w:color w:val="000000"/>
        </w:rPr>
        <w:t xml:space="preserve">Institutional surgical technique for right lobe living donor liver transplantation </w:t>
      </w:r>
    </w:p>
    <w:p>
      <w:pPr>
        <w:spacing w:line="360" w:lineRule="auto"/>
        <w:jc w:val="both"/>
      </w:pPr>
      <w:r>
        <w:rPr>
          <w:rFonts w:ascii="Book Antiqua" w:hAnsi="Book Antiqua" w:eastAsia="Book Antiqua" w:cs="Book Antiqua"/>
          <w:color w:val="000000"/>
        </w:rPr>
        <w:t>A right-lobe graft was used without the middle hepatic vein by the piggyback technique. Biliary anastomosis was done by DDA with an end-to-end interrupted style using absorbable polydioxanone (PDS-II; Ethicon) 6-0 sutures</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A ductoplasty was conducted if one duct was approximately twice the size of the other. A routine external biliary stent was inserted for three months post-operation. Three drains were placed postoperatively: in the right subphrenic space, the right Morrison’s pouch and at the cut surface of the graft. Internal biliary stents were used selectively if indicated. Arterial reconstruction was described previously</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The ratio of graft weight to recipient body weight was used to assess the relation of the graft size for recipients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The accepted ratio was 1.2 ± 0.2%. All recipients had the same ABO blood group as the donors.</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rPr>
        <w:t>Statistical methods</w:t>
      </w:r>
    </w:p>
    <w:p>
      <w:pPr>
        <w:spacing w:line="360" w:lineRule="auto"/>
        <w:jc w:val="both"/>
      </w:pPr>
      <w:r>
        <w:rPr>
          <w:rFonts w:ascii="Book Antiqua" w:hAnsi="Book Antiqua" w:eastAsia="Book Antiqua" w:cs="Book Antiqua"/>
          <w:color w:val="000000"/>
        </w:rPr>
        <w:t>Data were analysed using IBM</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SPSS</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Statistics version 23 (IBM</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Corp., Armonk, NY) and MedCalc</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version 18.2.1 (MedCalc</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Software bv, Ostend, Belgium). Non-parametric numerical variables were presented as medians and interquartile ranges, whereas between-group differences were analysed using the Mann-Whitney test and, in the case of paired data, the Wilcoxon signed-rank test. Parametric numerical data were shown as mean ± standard deviation, and between-group differences were analysed using a </w:t>
      </w:r>
      <w:r>
        <w:rPr>
          <w:rFonts w:ascii="Book Antiqua" w:hAnsi="Book Antiqua" w:eastAsia="Book Antiqua" w:cs="Book Antiqua"/>
          <w:i/>
          <w:iCs/>
          <w:color w:val="000000"/>
        </w:rPr>
        <w:t>t</w:t>
      </w:r>
      <w:r>
        <w:rPr>
          <w:rFonts w:ascii="Book Antiqua" w:hAnsi="Book Antiqua" w:eastAsia="Book Antiqua" w:cs="Book Antiqua"/>
          <w:color w:val="000000"/>
        </w:rPr>
        <w:t xml:space="preserve">-test and, in the case of paired data, a paired </w:t>
      </w:r>
      <w:r>
        <w:rPr>
          <w:rFonts w:ascii="Book Antiqua" w:hAnsi="Book Antiqua" w:eastAsia="Book Antiqua" w:cs="Book Antiqua"/>
          <w:i/>
          <w:iCs/>
          <w:color w:val="000000"/>
        </w:rPr>
        <w:t>t</w:t>
      </w:r>
      <w:r>
        <w:rPr>
          <w:rFonts w:ascii="Book Antiqua" w:hAnsi="Book Antiqua" w:eastAsia="Book Antiqua" w:cs="Book Antiqua"/>
          <w:color w:val="000000"/>
        </w:rPr>
        <w:t xml:space="preserve">-test. Nominal variables were shown as number and percentage, and differences were analysed using Pearson’s chi-squared test or Fisher’s exact test. Ordinal data were analysed using the chi-squared test for trend. Multivariable binary logistic regression analysis was used to define the independent risk factors. Univariable time-to-event analysis was done using the Kaplan-Meier method. Cox proportional hazard regression analysis was used for multivariable time-to-event analysis. Two-sided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of &lt; 0.05 were considered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 xml:space="preserve">This study included 169 adult RL-LDLT recipients. At the time of operation, the mean age of the recipient was 50 ± 8 years, and 150 (88.8%) were male. The indications for LT were HCC [60 (35.5%)] and liver cirrhosis because of HCV [148 (87.6%)], hepatitis B virus (HBV) [5 (3%)], HCV and HBV coinfection [4 (2.4%)], and other aetiologies including vascular, autoimmune, and cryptogenic cirrhosis [12 (7.1%); Tables 1,2]. </w:t>
      </w:r>
    </w:p>
    <w:p>
      <w:pPr>
        <w:spacing w:line="360" w:lineRule="auto"/>
        <w:ind w:firstLine="480" w:firstLineChars="200"/>
        <w:jc w:val="both"/>
      </w:pPr>
      <w:r>
        <w:rPr>
          <w:rFonts w:ascii="Book Antiqua" w:hAnsi="Book Antiqua" w:eastAsia="Book Antiqua" w:cs="Book Antiqua"/>
          <w:color w:val="000000"/>
        </w:rPr>
        <w:t>Prior to LT, 33 (19.52%) patients were HCV RNA negative, and 136 (80.46%) were HCV RNA positive. Thirty-one (18.3%) patients received antiviral treatment prior to LT. Forty-one (24.3%) patients experienced recurrent HCV infection, which was resolved in 37 (90.2%) patients (Table 1). Before the direct-acting antivirals (DAA) era, a Peg-interferon alfa-2a/Ribavirin (Peg-IFN/RBV) regimen was used for eligible patients, whereas after the availability of DAA therapy, sofosbuvir/daclatasvir ± RBV,  sofosbuvir/simeprevir and</w:t>
      </w:r>
      <w:r>
        <w:rPr>
          <w:rFonts w:ascii="Book Antiqua" w:hAnsi="Book Antiqua" w:eastAsia="Book Antiqua" w:cs="Book Antiqua"/>
          <w:color w:val="000000"/>
          <w:szCs w:val="21"/>
          <w:shd w:val="clear" w:color="auto" w:fill="FFFFFF"/>
        </w:rPr>
        <w:t xml:space="preserve"> </w:t>
      </w:r>
      <w:r>
        <w:rPr>
          <w:rFonts w:ascii="Book Antiqua" w:hAnsi="Book Antiqua" w:eastAsia="Book Antiqua" w:cs="Book Antiqua"/>
          <w:color w:val="000000"/>
        </w:rPr>
        <w:t>ledipasvir/sofosbuvir regimens were used.</w:t>
      </w:r>
    </w:p>
    <w:p>
      <w:pPr>
        <w:spacing w:line="360" w:lineRule="auto"/>
        <w:ind w:firstLine="480" w:firstLineChars="200"/>
        <w:jc w:val="both"/>
      </w:pPr>
      <w:r>
        <w:rPr>
          <w:rFonts w:ascii="Book Antiqua" w:hAnsi="Book Antiqua" w:eastAsia="Book Antiqua" w:cs="Book Antiqua"/>
          <w:color w:val="000000"/>
        </w:rPr>
        <w:t xml:space="preserve">The majority of grafts had one or two ducts [both </w:t>
      </w:r>
      <w:r>
        <w:rPr>
          <w:rFonts w:ascii="Book Antiqua" w:hAnsi="Book Antiqua" w:eastAsia="Book Antiqua" w:cs="Book Antiqua"/>
          <w:i/>
          <w:iCs/>
          <w:color w:val="000000"/>
        </w:rPr>
        <w:t>n</w:t>
      </w:r>
      <w:r>
        <w:rPr>
          <w:rFonts w:ascii="Book Antiqua" w:hAnsi="Book Antiqua" w:eastAsia="Book Antiqua" w:cs="Book Antiqua"/>
          <w:color w:val="000000"/>
        </w:rPr>
        <w:t xml:space="preserve"> = 78 (46.2%)], and the majority of patients needed one anastomosis [109 (64.5%)]. One to two stents were used in the majority of grafts [71 (42%) and 79 (46.7%), respectively; Table 1].</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Fourteen (8.3%) patients experienced arterial complications; 12 patients had hepatic artery thrombosis (HAT), and two patients had hepatic artery stenosis (HAS; Table 1). In case HAT was detected not beyond two weeks post-LT, re-exploration was done, and after implementing inflow from the hepatic artery as well as backflow from the graft artery by embolectomy, re-anastomosis was conducted. In case of late presented HAT, interventional radiology and anticoagulation were done. In the case of HAS, a stent was inserted. </w:t>
      </w:r>
    </w:p>
    <w:p>
      <w:pPr>
        <w:spacing w:line="360" w:lineRule="auto"/>
        <w:ind w:firstLine="480" w:firstLineChars="200"/>
        <w:jc w:val="both"/>
      </w:pPr>
    </w:p>
    <w:p>
      <w:pPr>
        <w:spacing w:line="360" w:lineRule="auto"/>
        <w:jc w:val="both"/>
        <w:rPr>
          <w:i/>
          <w:iCs/>
        </w:rPr>
      </w:pPr>
      <w:r>
        <w:rPr>
          <w:rFonts w:ascii="Book Antiqua" w:hAnsi="Book Antiqua" w:eastAsia="Book Antiqua" w:cs="Book Antiqua"/>
          <w:b/>
          <w:bCs/>
          <w:i/>
          <w:iCs/>
          <w:color w:val="000000"/>
        </w:rPr>
        <w:t>Development and management of BCs</w:t>
      </w:r>
    </w:p>
    <w:p>
      <w:pPr>
        <w:spacing w:line="360" w:lineRule="auto"/>
        <w:jc w:val="both"/>
      </w:pPr>
      <w:r>
        <w:rPr>
          <w:rFonts w:ascii="Book Antiqua" w:hAnsi="Book Antiqua" w:eastAsia="Book Antiqua" w:cs="Book Antiqua"/>
          <w:color w:val="000000"/>
        </w:rPr>
        <w:t xml:space="preserve">Among the 169 RT-LDLT recipients included in this study, minor BLs occurred in 55 patients (32.5%) and stopped spontaneously without further management. Only in nine (16.4%) patients were pigtail insertion and further interventional management needed. Ninety-seven (57.4%) patients suffered from biliary infection; it mostly occurred early [91 (93.81%)], and 13 (7.7%) patients had three or more episodes (Table 1).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Sixty (35.5%) patients developed BS, most of which were anastomotic [59 (98.33%)], presented late [45 (75%)] and in one to two episodes [43 (25.4%)]. Most patients [45/60 (75%)] were HCV PCR positive during the occurrence of BS. Twenty-seven (45%) patients were not eligible for HCV antiviral treatment, while 14 (23.3%), 13 (21.7%) and 6 (10%) patients were treated before, during, and after the occurrence of BS, respectively (Table 1). Risk factors for BS were BL, biliary infection (especially if early or frequent), chronic graft rejection and longer graft arterialization time (Tables 3, 4 and Figure 2). In the multivariate analysis, graft arterialisation time &gt; 130 min and biliary infection were the two determinants of BS (Table 5).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With respect to the management of BCs, ERCP with stenting ± dilatation was done for 60 (35.5%) patients, with 18 (10.7%) patients needing ≥ 3 ERCP sessions. PTC was attempted only in 8 (4.7%) patients, with one patient needing another session. These methods only failed in one patient who needed surgical reconstruction of BSs (Table 1).</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rPr>
        <w:t>Chronic graft rejection</w:t>
      </w:r>
    </w:p>
    <w:p>
      <w:pPr>
        <w:spacing w:line="360" w:lineRule="auto"/>
        <w:jc w:val="both"/>
      </w:pPr>
      <w:r>
        <w:rPr>
          <w:rFonts w:ascii="Book Antiqua" w:hAnsi="Book Antiqua" w:eastAsia="Book Antiqua" w:cs="Book Antiqua"/>
          <w:color w:val="000000"/>
        </w:rPr>
        <w:t>Twenty-seven (16%) patients experienced chronic graft rejection. It was determined by biliary infection (especially if early or frequent), BS (especially if early or frequent), the need of ERCP (especially if multiple sessions), the number of stents used for BS treatment, hospital admission (especially if frequent) and recurrent HCV infection (Tables 1, 6 and Figure 3). The impact of these parameters on graft rejection was further demonstrated by multivariate analysis and Kaplan-Meier analysis (Table 7, Figure 4, and Supplementary material).</w:t>
      </w:r>
    </w:p>
    <w:p>
      <w:pPr>
        <w:spacing w:line="360" w:lineRule="auto"/>
        <w:jc w:val="both"/>
        <w:rPr>
          <w:rFonts w:ascii="Book Antiqua" w:hAnsi="Book Antiqua" w:eastAsia="Book Antiqua" w:cs="Book Antiqua"/>
          <w:b/>
          <w:bCs/>
          <w:color w:val="000000"/>
        </w:rPr>
      </w:pPr>
    </w:p>
    <w:p>
      <w:pPr>
        <w:spacing w:line="360" w:lineRule="auto"/>
        <w:jc w:val="both"/>
        <w:rPr>
          <w:i/>
          <w:iCs/>
        </w:rPr>
      </w:pPr>
      <w:r>
        <w:rPr>
          <w:rFonts w:ascii="Book Antiqua" w:hAnsi="Book Antiqua" w:eastAsia="Book Antiqua" w:cs="Book Antiqua"/>
          <w:b/>
          <w:bCs/>
          <w:i/>
          <w:iCs/>
          <w:color w:val="000000"/>
        </w:rPr>
        <w:t>Graft failure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Graft failure developed in 20 (11.8%) patients; the causes were chronic graft rejection [6 (30%)], biliary infection [5 (25%)], recurrent HCV infection [3 (15%)], and other causes [6 (30%); Table 1]. BL, the need for pigtail catheter insertion, biliary infection (especially if frequent), recurrent HCV infection and non-response to HCV therapy were the risk factors of graft failure (Tables 8, 9 and Figure 5). Kaplan-Meier survival analysis further proved the impact of major BL and biliary infection on graft survival (Figure 6).</w:t>
      </w:r>
    </w:p>
    <w:p>
      <w:pPr>
        <w:spacing w:line="360" w:lineRule="auto"/>
        <w:jc w:val="both"/>
      </w:pPr>
    </w:p>
    <w:p>
      <w:pPr>
        <w:spacing w:line="360" w:lineRule="auto"/>
        <w:jc w:val="both"/>
        <w:rPr>
          <w:i/>
          <w:iCs/>
        </w:rPr>
      </w:pPr>
      <w:r>
        <w:rPr>
          <w:rFonts w:ascii="Book Antiqua" w:hAnsi="Book Antiqua" w:eastAsia="Book Antiqua" w:cs="Book Antiqua"/>
          <w:b/>
          <w:bCs/>
          <w:i/>
          <w:iCs/>
          <w:color w:val="000000"/>
        </w:rPr>
        <w:t>Mortality</w:t>
      </w:r>
    </w:p>
    <w:p>
      <w:pPr>
        <w:spacing w:line="360" w:lineRule="auto"/>
        <w:jc w:val="both"/>
      </w:pPr>
      <w:r>
        <w:rPr>
          <w:rFonts w:ascii="Book Antiqua" w:hAnsi="Book Antiqua" w:eastAsia="Book Antiqua" w:cs="Book Antiqua"/>
          <w:color w:val="000000"/>
        </w:rPr>
        <w:t>A total of 28 (16.6%) deaths occurred during follow-up. The aetiologies of mortality were biliary infection [5 (17.9%)], chronic graft rejection [4 (14.3%)], recurrent HCV infection [3 (10.7%)], and other causes [16 (57.1%); Table 1]. Unresolved recurrent HCV infection was the only risk factor for mortality (Table 10 and Figure 7). This was further proved by Kaplan-Meier survival analysis (Figure 8).</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LT is considered the only curative therapeutic option for patients with end-stage hepatic disease. Several complications, especially BC, still endanger its short and long-term outcomes</w:t>
      </w:r>
      <w:r>
        <w:rPr>
          <w:rFonts w:ascii="Book Antiqua" w:hAnsi="Book Antiqua" w:eastAsia="Book Antiqua" w:cs="Book Antiqua"/>
          <w:color w:val="000000"/>
          <w:szCs w:val="30"/>
          <w:vertAlign w:val="superscript"/>
        </w:rPr>
        <w:t>[21,28,29]</w:t>
      </w:r>
      <w:r>
        <w:rPr>
          <w:rFonts w:ascii="Book Antiqua" w:hAnsi="Book Antiqua" w:eastAsia="Book Antiqua" w:cs="Book Antiqua"/>
          <w:color w:val="000000"/>
        </w:rPr>
        <w:t>. Many studies have focused on BC to improve care for transplanted recipients; however, data on long-term outcomes remains scarce</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The BC incidence rate is extremely diverse between centres. The overall incidence of BC, including BL, biliary infection and BS, in our study was 57.4%. This rate is comparable to previous reports</w:t>
      </w:r>
      <w:r>
        <w:rPr>
          <w:rFonts w:ascii="Book Antiqua" w:hAnsi="Book Antiqua" w:eastAsia="Book Antiqua" w:cs="Book Antiqua"/>
          <w:color w:val="000000"/>
          <w:szCs w:val="30"/>
          <w:vertAlign w:val="superscript"/>
        </w:rPr>
        <w:t>[17,30-33]</w:t>
      </w:r>
      <w:r>
        <w:rPr>
          <w:rFonts w:ascii="Book Antiqua" w:hAnsi="Book Antiqua" w:eastAsia="Book Antiqua" w:cs="Book Antiqua"/>
          <w:color w:val="000000"/>
        </w:rPr>
        <w:t>; however, it is higher than other published data</w:t>
      </w:r>
      <w:r>
        <w:rPr>
          <w:rFonts w:ascii="Book Antiqua" w:hAnsi="Book Antiqua" w:eastAsia="Book Antiqua" w:cs="Book Antiqua"/>
          <w:color w:val="000000"/>
          <w:szCs w:val="30"/>
          <w:vertAlign w:val="superscript"/>
        </w:rPr>
        <w:t>[8,15,21,34,35]</w:t>
      </w:r>
      <w:r>
        <w:rPr>
          <w:rFonts w:ascii="Book Antiqua" w:hAnsi="Book Antiqua" w:eastAsia="Book Antiqua" w:cs="Book Antiqua"/>
          <w:color w:val="000000"/>
        </w:rPr>
        <w:t>. This difference can be attributed to the heterogeneous structure between the different studies regarding the type of graft, surgical techniques and the inconsistent inclusion of biliary infection and bile stones as a part of BC.</w:t>
      </w:r>
    </w:p>
    <w:p>
      <w:pPr>
        <w:spacing w:line="360" w:lineRule="auto"/>
        <w:ind w:firstLine="480" w:firstLineChars="200"/>
        <w:jc w:val="both"/>
      </w:pPr>
      <w:r>
        <w:rPr>
          <w:rFonts w:ascii="Book Antiqua" w:hAnsi="Book Antiqua" w:eastAsia="Book Antiqua" w:cs="Book Antiqua"/>
          <w:color w:val="000000"/>
        </w:rPr>
        <w:t>In addition to surgical techniques, several risk factors for BC have been defined in the published literature</w:t>
      </w:r>
      <w:r>
        <w:rPr>
          <w:rFonts w:ascii="Book Antiqua" w:hAnsi="Book Antiqua" w:eastAsia="Book Antiqua" w:cs="Book Antiqua"/>
          <w:color w:val="000000"/>
          <w:szCs w:val="30"/>
          <w:vertAlign w:val="superscript"/>
        </w:rPr>
        <w:t>[3,7,14,21,36]</w:t>
      </w:r>
      <w:r>
        <w:rPr>
          <w:rFonts w:ascii="Book Antiqua" w:hAnsi="Book Antiqua" w:eastAsia="Book Antiqua" w:cs="Book Antiqua"/>
          <w:color w:val="000000"/>
        </w:rPr>
        <w:t>, such as older recipients and donors, female recipients and recipients of female donors, ABO mismatch, a prolonged anhepatic phase and prolonged ischemia times. However, the current study and other investigators</w:t>
      </w:r>
      <w:r>
        <w:rPr>
          <w:rFonts w:ascii="Book Antiqua" w:hAnsi="Book Antiqua" w:eastAsia="Book Antiqua" w:cs="Book Antiqua"/>
          <w:color w:val="000000"/>
          <w:szCs w:val="30"/>
          <w:vertAlign w:val="superscript"/>
        </w:rPr>
        <w:t>[15,22,34]</w:t>
      </w:r>
      <w:r>
        <w:rPr>
          <w:rFonts w:ascii="Book Antiqua" w:hAnsi="Book Antiqua" w:eastAsia="Book Antiqua" w:cs="Book Antiqua"/>
          <w:color w:val="000000"/>
        </w:rPr>
        <w:t xml:space="preserve"> were unable to establish any of these conditions as risk factors for BC. This may be attributed to the inclusion of only ABO-matched living grafts, the younger age of our donors and recipients and the male predominance in our cohort. </w:t>
      </w:r>
    </w:p>
    <w:p>
      <w:pPr>
        <w:spacing w:line="360" w:lineRule="auto"/>
        <w:ind w:firstLine="480" w:firstLineChars="200"/>
        <w:jc w:val="both"/>
      </w:pPr>
      <w:r>
        <w:rPr>
          <w:rFonts w:ascii="Book Antiqua" w:hAnsi="Book Antiqua" w:eastAsia="Book Antiqua" w:cs="Book Antiqua"/>
          <w:color w:val="000000"/>
        </w:rPr>
        <w:t>Additionally, cholestatic liver diseases and the use of RYHJ technique were independent risk factors for BS in previous reports</w:t>
      </w:r>
      <w:r>
        <w:rPr>
          <w:rFonts w:ascii="Book Antiqua" w:hAnsi="Book Antiqua" w:eastAsia="Book Antiqua" w:cs="Book Antiqua"/>
          <w:color w:val="000000"/>
          <w:szCs w:val="30"/>
          <w:vertAlign w:val="superscript"/>
        </w:rPr>
        <w:t>[15,37]</w:t>
      </w:r>
      <w:r>
        <w:rPr>
          <w:rFonts w:ascii="Book Antiqua" w:hAnsi="Book Antiqua" w:eastAsia="Book Antiqua" w:cs="Book Antiqua"/>
          <w:color w:val="000000"/>
        </w:rPr>
        <w:t>. However, this is not the case in our study because DDA was used in all the grafts; besides, we excluded patients with PBC and PSC from the final analysis to avoid the bias of primary disease recurrence as a confounding factor during analysis of BC.</w:t>
      </w:r>
    </w:p>
    <w:p>
      <w:pPr>
        <w:spacing w:line="360" w:lineRule="auto"/>
        <w:ind w:firstLine="480" w:firstLineChars="200"/>
        <w:jc w:val="both"/>
      </w:pPr>
      <w:r>
        <w:rPr>
          <w:rFonts w:ascii="Book Antiqua" w:hAnsi="Book Antiqua" w:eastAsia="Book Antiqua" w:cs="Book Antiqua"/>
          <w:color w:val="000000"/>
        </w:rPr>
        <w:t>In accordance with published data</w:t>
      </w:r>
      <w:r>
        <w:rPr>
          <w:rFonts w:ascii="Book Antiqua" w:hAnsi="Book Antiqua" w:eastAsia="Book Antiqua" w:cs="Book Antiqua"/>
          <w:color w:val="000000"/>
          <w:szCs w:val="30"/>
          <w:vertAlign w:val="superscript"/>
        </w:rPr>
        <w:t>[15,17]</w:t>
      </w:r>
      <w:r>
        <w:rPr>
          <w:rFonts w:ascii="Book Antiqua" w:hAnsi="Book Antiqua" w:eastAsia="Book Antiqua" w:cs="Book Antiqua"/>
          <w:color w:val="000000"/>
        </w:rPr>
        <w:t>, no association between BC and MELD score was observed. This result differs from studies recognizing a higher MELD score as a risk factor for BC</w:t>
      </w:r>
      <w:r>
        <w:rPr>
          <w:rFonts w:ascii="Book Antiqua" w:hAnsi="Book Antiqua" w:eastAsia="Book Antiqua" w:cs="Book Antiqua"/>
          <w:color w:val="000000"/>
          <w:szCs w:val="30"/>
          <w:vertAlign w:val="superscript"/>
        </w:rPr>
        <w:t>[3,28,34]</w:t>
      </w:r>
      <w:r>
        <w:rPr>
          <w:rFonts w:ascii="Book Antiqua" w:hAnsi="Book Antiqua" w:eastAsia="Book Antiqua" w:cs="Book Antiqua"/>
          <w:color w:val="000000"/>
        </w:rPr>
        <w:t>. This can be explained by the lower MELD scores in our patients. Also, these conflicting results may reflect the well-established limits of the MELD score in predicting post-LT outcomes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 xml:space="preserve">The ideal material and style of sutures in biliary reconstruction has been argued since the early development of LT. Kaldas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reported that the use of non-absorbable sutures for biliary reconstruction was an independent risk factor for BC. However, this was not the case in the present study due to the different suture material.</w:t>
      </w:r>
    </w:p>
    <w:p>
      <w:pPr>
        <w:spacing w:line="360" w:lineRule="auto"/>
        <w:jc w:val="both"/>
      </w:pPr>
      <w:r>
        <w:rPr>
          <w:rFonts w:ascii="Book Antiqua" w:hAnsi="Book Antiqua" w:eastAsia="Book Antiqua" w:cs="Book Antiqua"/>
          <w:color w:val="000000"/>
        </w:rPr>
        <w:t>In accordance with previous results</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we observed that the occurrence of BS was not related to the number of bile ducts or stent insertion. In contrast, Miyagi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and Ogiso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identified the number of bile ducts as a risk factor for BC. Furthermore, Senter-Zapata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reported that internal biliary stents and T-tube insertion were risk factors for BC post-LT. However, in our centre, we prefer external drainage for easy accessibility of biliary ducts for postoperative cholangiography to manage any strictures</w:t>
      </w:r>
      <w:r>
        <w:rPr>
          <w:rFonts w:ascii="Book Antiqua" w:hAnsi="Book Antiqua" w:eastAsia="Book Antiqua" w:cs="Book Antiqua"/>
          <w:color w:val="000000"/>
          <w:vertAlign w:val="superscript"/>
        </w:rPr>
        <w:t>[22]</w:t>
      </w:r>
      <w:r>
        <w:rPr>
          <w:rFonts w:ascii="Book Antiqua" w:hAnsi="Book Antiqua" w:eastAsia="Book Antiqua" w:cs="Book Antiqua"/>
          <w:color w:val="000000"/>
        </w:rPr>
        <w:t>; on the contrary, other centres do not prefer this due to the higher incidence of postoperative BL and biliary infections</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BCs are mostly identified in the first three to 12 mo post-LT</w:t>
      </w:r>
      <w:r>
        <w:rPr>
          <w:rFonts w:ascii="Book Antiqua" w:hAnsi="Book Antiqua" w:eastAsia="Book Antiqua" w:cs="Book Antiqua"/>
          <w:color w:val="000000"/>
          <w:szCs w:val="30"/>
          <w:vertAlign w:val="superscript"/>
        </w:rPr>
        <w:t>[8,17]</w:t>
      </w:r>
      <w:r>
        <w:rPr>
          <w:rFonts w:ascii="Book Antiqua" w:hAnsi="Book Antiqua" w:eastAsia="Book Antiqua" w:cs="Book Antiqua"/>
          <w:color w:val="000000"/>
        </w:rPr>
        <w:t>. Similarly, in consistence with other reports</w:t>
      </w:r>
      <w:r>
        <w:rPr>
          <w:rFonts w:ascii="Book Antiqua" w:hAnsi="Book Antiqua" w:eastAsia="Book Antiqua" w:cs="Book Antiqua"/>
          <w:color w:val="000000"/>
          <w:szCs w:val="30"/>
          <w:vertAlign w:val="superscript"/>
        </w:rPr>
        <w:t>[7,15,17,30,31,33]</w:t>
      </w:r>
      <w:r>
        <w:rPr>
          <w:rFonts w:ascii="Book Antiqua" w:hAnsi="Book Antiqua" w:eastAsia="Book Antiqua" w:cs="Book Antiqua"/>
          <w:color w:val="000000"/>
        </w:rPr>
        <w:t xml:space="preserve">, we detected BL early in 55/169 (32.5%) patients, and BS in 60/169 (35.5%) patients. The majority of BSs were anastomotic and presented late. </w:t>
      </w:r>
    </w:p>
    <w:p>
      <w:pPr>
        <w:spacing w:line="360" w:lineRule="auto"/>
        <w:ind w:firstLine="480" w:firstLineChars="200"/>
        <w:jc w:val="both"/>
      </w:pPr>
      <w:r>
        <w:rPr>
          <w:rFonts w:ascii="Book Antiqua" w:hAnsi="Book Antiqua" w:eastAsia="Book Antiqua" w:cs="Book Antiqua"/>
          <w:color w:val="000000"/>
        </w:rPr>
        <w:t>In a similar management plan as other centres</w:t>
      </w:r>
      <w:r>
        <w:rPr>
          <w:rFonts w:ascii="Book Antiqua" w:hAnsi="Book Antiqua" w:eastAsia="Book Antiqua" w:cs="Book Antiqua"/>
          <w:color w:val="000000"/>
          <w:szCs w:val="30"/>
          <w:vertAlign w:val="superscript"/>
        </w:rPr>
        <w:t>[22,24,29,30,34]</w:t>
      </w:r>
      <w:r>
        <w:rPr>
          <w:rFonts w:ascii="Book Antiqua" w:hAnsi="Book Antiqua" w:eastAsia="Book Antiqua" w:cs="Book Antiqua"/>
          <w:color w:val="000000"/>
        </w:rPr>
        <w:t xml:space="preserve">, minor BLs were treated conservatively; nonetheless, major BL required percutaneous drainage and/or stenting. ERCP was the treatment of choice for all patients. PTC was the treatment option if ERCP failed, and surgical intervention was performed as a last option. </w:t>
      </w:r>
    </w:p>
    <w:p>
      <w:pPr>
        <w:spacing w:line="360" w:lineRule="auto"/>
        <w:ind w:firstLine="480" w:firstLineChars="200"/>
        <w:jc w:val="both"/>
      </w:pPr>
      <w:r>
        <w:rPr>
          <w:rFonts w:ascii="Book Antiqua" w:hAnsi="Book Antiqua" w:eastAsia="Book Antiqua" w:cs="Book Antiqua"/>
          <w:color w:val="000000"/>
        </w:rPr>
        <w:t>In consistence with our results, other investigators</w:t>
      </w:r>
      <w:r>
        <w:rPr>
          <w:rFonts w:ascii="Book Antiqua" w:hAnsi="Book Antiqua" w:eastAsia="Book Antiqua" w:cs="Book Antiqua"/>
          <w:color w:val="000000"/>
          <w:szCs w:val="30"/>
          <w:vertAlign w:val="superscript"/>
        </w:rPr>
        <w:t>[7,8,21,39]</w:t>
      </w:r>
      <w:r>
        <w:rPr>
          <w:rFonts w:ascii="Book Antiqua" w:hAnsi="Book Antiqua" w:eastAsia="Book Antiqua" w:cs="Book Antiqua"/>
          <w:color w:val="000000"/>
        </w:rPr>
        <w:t xml:space="preserve"> observed that BL and cholangitis were risk factors for the development of BS. This can be explained by the inflammatory process with the resultant progression of fibrosis and stricture formation</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In agreement with Rammohan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we identified longer arterialization time as a risk factor for BS. This finding is predictable because biliary tract vascularization is supplied exclusively by the hepatic artery</w:t>
      </w:r>
      <w:r>
        <w:rPr>
          <w:rFonts w:ascii="Book Antiqua" w:hAnsi="Book Antiqua" w:eastAsia="Book Antiqua" w:cs="Book Antiqua"/>
          <w:color w:val="000000"/>
          <w:szCs w:val="30"/>
          <w:vertAlign w:val="superscript"/>
        </w:rPr>
        <w:t>[41-43]</w:t>
      </w:r>
      <w:r>
        <w:rPr>
          <w:rFonts w:ascii="Book Antiqua" w:hAnsi="Book Antiqua" w:eastAsia="Book Antiqua" w:cs="Book Antiqua"/>
          <w:color w:val="000000"/>
        </w:rPr>
        <w:t>, and a longer arterialization time of the graft may cause biliary ischemia and subsequently BS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 xml:space="preserve">In contrast to the present and Ogiso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studies, other investigators</w:t>
      </w:r>
      <w:r>
        <w:rPr>
          <w:rFonts w:ascii="Book Antiqua" w:hAnsi="Book Antiqua" w:eastAsia="Book Antiqua" w:cs="Book Antiqua"/>
          <w:color w:val="000000"/>
          <w:szCs w:val="30"/>
          <w:vertAlign w:val="superscript"/>
        </w:rPr>
        <w:t>[15,17,28,29,41]</w:t>
      </w:r>
      <w:r>
        <w:rPr>
          <w:rFonts w:ascii="Book Antiqua" w:hAnsi="Book Antiqua" w:eastAsia="Book Antiqua" w:cs="Book Antiqua"/>
          <w:color w:val="000000"/>
        </w:rPr>
        <w:t xml:space="preserve"> reported that hepatic artery complications were linked to the incidence of BC. This conflicting result can be attributed to the low incidence of arterial complications in our cohort as well as the early effective intervention for such complications.</w:t>
      </w:r>
    </w:p>
    <w:p>
      <w:pPr>
        <w:spacing w:line="360" w:lineRule="auto"/>
        <w:ind w:firstLine="480" w:firstLineChars="200"/>
        <w:jc w:val="both"/>
      </w:pPr>
      <w:r>
        <w:rPr>
          <w:rFonts w:ascii="Book Antiqua" w:hAnsi="Book Antiqua" w:eastAsia="Book Antiqua" w:cs="Book Antiqua"/>
          <w:color w:val="000000"/>
        </w:rPr>
        <w:t>It was previously reported that graft rejection and BC are interrelated conditions</w:t>
      </w:r>
      <w:r>
        <w:rPr>
          <w:rFonts w:ascii="Book Antiqua" w:hAnsi="Book Antiqua" w:eastAsia="Book Antiqua" w:cs="Book Antiqua"/>
          <w:color w:val="000000"/>
          <w:szCs w:val="30"/>
          <w:vertAlign w:val="superscript"/>
        </w:rPr>
        <w:t>[15,35]</w:t>
      </w:r>
      <w:r>
        <w:rPr>
          <w:rFonts w:ascii="Book Antiqua" w:hAnsi="Book Antiqua" w:eastAsia="Book Antiqua" w:cs="Book Antiqua"/>
          <w:color w:val="000000"/>
        </w:rPr>
        <w:t>; however, there are limited data concerning the impact of BC on chronic graft rejection. The incidence rate of chronic ductopenic rejection in our study was 27 (16%) patients; 23 (85.18%),17 (63%) and 13 (48.1%) of them had biliary infection, BS and BL, respectively. Additionally, chronic graft rejection was a risk factor for BS.  Similar findings were reported by other investigators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This is consistent with the histopathological findings of chronic ductopenic rejection where ductal inflammation and proliferation are seen in early stages and biliary duct fibrosis with progressive ductopenia is seen in late stages, which is manifested as intrahepatic BS by MRCP</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Biliary infection was a risk factor for chronic graft rejection and graft failure, which is explained by interrupted immunosuppressive therapy during times of sepsis</w:t>
      </w:r>
      <w:r>
        <w:rPr>
          <w:rFonts w:ascii="Book Antiqua" w:hAnsi="Book Antiqua" w:eastAsia="Book Antiqua" w:cs="Book Antiqua"/>
          <w:color w:val="000000"/>
          <w:szCs w:val="30"/>
          <w:vertAlign w:val="superscript"/>
        </w:rPr>
        <w:t>[46,47]</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In agreement with previous results</w:t>
      </w:r>
      <w:r>
        <w:rPr>
          <w:rFonts w:ascii="Book Antiqua" w:hAnsi="Book Antiqua" w:eastAsia="Book Antiqua" w:cs="Book Antiqua"/>
          <w:color w:val="000000"/>
          <w:szCs w:val="30"/>
          <w:vertAlign w:val="superscript"/>
        </w:rPr>
        <w:t>[15,17,34,48]</w:t>
      </w:r>
      <w:r>
        <w:rPr>
          <w:rFonts w:ascii="Book Antiqua" w:hAnsi="Book Antiqua" w:eastAsia="Book Antiqua" w:cs="Book Antiqua"/>
          <w:color w:val="000000"/>
        </w:rPr>
        <w:t xml:space="preserve">, we found that the main reasons for graft failure were chronic ductopenic rejection, biliary infection, BL, and recurrent HCV infection, while Egeli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xml:space="preserve"> reported that HCC recurrence was the main cause of graft failure. This is justified by the inclusion of many patients beyond Milan criteria in their study. </w:t>
      </w:r>
    </w:p>
    <w:p>
      <w:pPr>
        <w:spacing w:line="360" w:lineRule="auto"/>
        <w:ind w:firstLine="480" w:firstLineChars="200"/>
        <w:jc w:val="both"/>
      </w:pPr>
      <w:r>
        <w:rPr>
          <w:rFonts w:ascii="Book Antiqua" w:hAnsi="Book Antiqua" w:eastAsia="Book Antiqua" w:cs="Book Antiqua"/>
          <w:color w:val="000000"/>
        </w:rPr>
        <w:t xml:space="preserve">In contrast to Mathur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xml:space="preserve"> and in consistence with other investigators</w:t>
      </w:r>
      <w:r>
        <w:rPr>
          <w:rFonts w:ascii="Book Antiqua" w:hAnsi="Book Antiqua" w:eastAsia="Book Antiqua" w:cs="Book Antiqua"/>
          <w:color w:val="000000"/>
          <w:szCs w:val="30"/>
          <w:vertAlign w:val="superscript"/>
        </w:rPr>
        <w:t>[8,17,34,41]</w:t>
      </w:r>
      <w:r>
        <w:rPr>
          <w:rFonts w:ascii="Book Antiqua" w:hAnsi="Book Antiqua" w:eastAsia="Book Antiqua" w:cs="Book Antiqua"/>
          <w:color w:val="000000"/>
        </w:rPr>
        <w:t>, there was no association between BS and graft failure. This proves that early detection and efficient management of BS can prevent graft loss.</w:t>
      </w:r>
    </w:p>
    <w:p>
      <w:pPr>
        <w:spacing w:line="360" w:lineRule="auto"/>
        <w:ind w:firstLine="480" w:firstLineChars="200"/>
        <w:jc w:val="both"/>
      </w:pPr>
      <w:r>
        <w:rPr>
          <w:rFonts w:ascii="Book Antiqua" w:hAnsi="Book Antiqua" w:eastAsia="Book Antiqua" w:cs="Book Antiqua"/>
          <w:color w:val="000000"/>
        </w:rPr>
        <w:t>In the current study, recurrent HCV infection was a risk factor for chronic graft rejection, graft failure and mortality. This is predictable due to the aggressive course of HCV recurrence in LT recipients through direct cytotoxic effects on the graft, resulting in graft failure</w:t>
      </w:r>
      <w:r>
        <w:rPr>
          <w:rFonts w:ascii="Book Antiqua" w:hAnsi="Book Antiqua" w:eastAsia="Book Antiqua" w:cs="Book Antiqua"/>
          <w:color w:val="000000"/>
          <w:szCs w:val="30"/>
          <w:vertAlign w:val="superscript"/>
        </w:rPr>
        <w:t>[48,49,51-53]</w:t>
      </w:r>
      <w:r>
        <w:rPr>
          <w:rFonts w:ascii="Book Antiqua" w:hAnsi="Book Antiqua" w:eastAsia="Book Antiqua" w:cs="Book Antiqua"/>
          <w:color w:val="000000"/>
        </w:rPr>
        <w:t>. It is noteworthy that DAA were not FDA approved during the first three years of the study duration; thus, many patients were ineligible for the Peg-IFN/RBV regimen at that time.</w:t>
      </w:r>
    </w:p>
    <w:p>
      <w:pPr>
        <w:spacing w:line="360" w:lineRule="auto"/>
        <w:ind w:firstLine="480" w:firstLineChars="200"/>
        <w:jc w:val="both"/>
      </w:pPr>
      <w:r>
        <w:rPr>
          <w:rFonts w:ascii="Book Antiqua" w:hAnsi="Book Antiqua" w:eastAsia="Book Antiqua" w:cs="Book Antiqua"/>
          <w:color w:val="000000"/>
        </w:rPr>
        <w:t xml:space="preserve">Similar to Takagi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xml:space="preserve"> study, the overall mortality rate for recipients was 28 (16.56%). Unresolved HCV recurrence was the only significant risk factor for mortality, while BC had no impact on recipients’ survival in the present study. This is similar to previous results</w:t>
      </w:r>
      <w:r>
        <w:rPr>
          <w:rFonts w:ascii="Book Antiqua" w:hAnsi="Book Antiqua" w:eastAsia="Book Antiqua" w:cs="Book Antiqua"/>
          <w:color w:val="000000"/>
          <w:szCs w:val="30"/>
          <w:vertAlign w:val="superscript"/>
        </w:rPr>
        <w:t>[17,21,39,41,49]</w:t>
      </w:r>
      <w:r>
        <w:rPr>
          <w:rFonts w:ascii="Book Antiqua" w:hAnsi="Book Antiqua" w:eastAsia="Book Antiqua" w:cs="Book Antiqua"/>
          <w:color w:val="000000"/>
        </w:rPr>
        <w:t>. In contrast, other investigators</w:t>
      </w:r>
      <w:r>
        <w:rPr>
          <w:rFonts w:ascii="Book Antiqua" w:hAnsi="Book Antiqua" w:eastAsia="Book Antiqua" w:cs="Book Antiqua"/>
          <w:color w:val="000000"/>
          <w:szCs w:val="30"/>
          <w:vertAlign w:val="superscript"/>
        </w:rPr>
        <w:t>[15,33]</w:t>
      </w:r>
      <w:r>
        <w:rPr>
          <w:rFonts w:ascii="Book Antiqua" w:hAnsi="Book Antiqua" w:eastAsia="Book Antiqua" w:cs="Book Antiqua"/>
          <w:color w:val="000000"/>
        </w:rPr>
        <w:t xml:space="preserve"> observed a worse survival rate in recipients with BC. This indicates that early detection and effective management of BC can improve recipients’ survival</w:t>
      </w:r>
      <w:r>
        <w:rPr>
          <w:rFonts w:ascii="Book Antiqua" w:hAnsi="Book Antiqua" w:eastAsia="Book Antiqua" w:cs="Book Antiqua"/>
          <w:color w:val="000000"/>
          <w:szCs w:val="30"/>
          <w:vertAlign w:val="superscript"/>
        </w:rPr>
        <w:t>[2,17]</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 xml:space="preserve">This study has the strength of being large volume with a long duration of follow-up, as well as the exclusion of LDLT recipients because of cholestatic hepatic diseases; however, it is limited by being a single-centre retrospective study. Multi-centre large-scale studies are required to comprehensively investigate the risk factors for the occurrence and impacts of BC.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biliary complications after RT-LDLT represent an independent risk factor for chronic graft rejection and graft failure; nonetheless, effective management of these complications can improve patient and graft survival.</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Despite considerable progress in liver transplantation (LT) surgical performance and peri-operative management, post-LT biliary complications (BCs) remain a considerable cause of morbidity, mortality, increased cost, and graft loss.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Many studies have focused on biliary complications to improve care for transplanted recipients; however, data on long-term outcomes remain scarce.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We aimed to investigate the impact of BCs after right lobe-LDLT (RL-LDLT) on chronic graft rejection, graft failure and mortality.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From 2011 to 2016, 215 adult recipients underwent RL-LDLT at our centre. We excluded 46 recipients who met the exclusion criteria, and 169 recipients were included in the final analysis. Donors’ and recipients’ demographic data, clinical data, operative details and postoperative course information were collected. We also reviewed the management and outcomes of BCs. Recipients were followed for at least 12 mo post-LT until December 2017 or graft or patient loss.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The overall incidence rate of BCs including biliary leakage, biliary infection and biliary stricture was 57.4%. Twenty-seven (16%) patients experienced chronic graft rejection. Graft failure developed in 20 (11.8%) patients. A total of 28 (16.6%) deaths occurred during follow-up. BCs were a risk factor for the occurrence of chronic graft rejection and failure; however, mortality was determined by recurrent hepatitis C virus infection. </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Biliary complications after RT-LDLT represent an independent risk factor for chronic graft rejection and graft failure; nonetheless, effective management of these complications can improve patient and graft survival.</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 xml:space="preserve">Multi-centre large-scale studies are required to comprehensively investigate the risk factors for the occurrence and impacts of BC.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Jadlowiec CC</w:t>
      </w:r>
      <w:r>
        <w:rPr>
          <w:rFonts w:ascii="Book Antiqua" w:hAnsi="Book Antiqua"/>
        </w:rPr>
        <w:t xml:space="preserve">, Taner T. Liver transplantation: Current status and challenges.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4438-4445 [PMID: 27182155 DOI: 10.3748/wjg.v22.i18.4438]</w:t>
      </w:r>
    </w:p>
    <w:p>
      <w:pPr>
        <w:spacing w:line="360" w:lineRule="auto"/>
        <w:jc w:val="both"/>
        <w:rPr>
          <w:rFonts w:ascii="Book Antiqua" w:hAnsi="Book Antiqua"/>
        </w:rPr>
      </w:pPr>
      <w:r>
        <w:rPr>
          <w:rFonts w:ascii="Book Antiqua" w:hAnsi="Book Antiqua"/>
        </w:rPr>
        <w:t xml:space="preserve">2 </w:t>
      </w:r>
      <w:r>
        <w:rPr>
          <w:rFonts w:ascii="Book Antiqua" w:hAnsi="Book Antiqua"/>
          <w:b/>
          <w:bCs/>
        </w:rPr>
        <w:t>Chang JH</w:t>
      </w:r>
      <w:r>
        <w:rPr>
          <w:rFonts w:ascii="Book Antiqua" w:hAnsi="Book Antiqua"/>
        </w:rPr>
        <w:t xml:space="preserve">, Lee I, Choi MG, Han SW. Current diagnosis and treatment of benign biliary strictures after living donor liver transplantation.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1593-1606 [PMID: 26819525 DOI: 10.3748/wjg.v22.i4.1593]</w:t>
      </w:r>
    </w:p>
    <w:p>
      <w:pPr>
        <w:spacing w:line="360" w:lineRule="auto"/>
        <w:jc w:val="both"/>
        <w:rPr>
          <w:rFonts w:ascii="Book Antiqua" w:hAnsi="Book Antiqua"/>
        </w:rPr>
      </w:pPr>
      <w:r>
        <w:rPr>
          <w:rFonts w:ascii="Book Antiqua" w:hAnsi="Book Antiqua"/>
        </w:rPr>
        <w:t xml:space="preserve">3 </w:t>
      </w:r>
      <w:r>
        <w:rPr>
          <w:rFonts w:ascii="Book Antiqua" w:hAnsi="Book Antiqua"/>
          <w:b/>
          <w:bCs/>
        </w:rPr>
        <w:t>Nemes B</w:t>
      </w:r>
      <w:r>
        <w:rPr>
          <w:rFonts w:ascii="Book Antiqua" w:hAnsi="Book Antiqua"/>
        </w:rPr>
        <w:t xml:space="preserve">, Gámán G, Doros A. Biliary complications after liver transplantation. </w:t>
      </w:r>
      <w:r>
        <w:rPr>
          <w:rFonts w:ascii="Book Antiqua" w:hAnsi="Book Antiqua"/>
          <w:i/>
          <w:iCs/>
        </w:rPr>
        <w:t>Expert Rev Gastroenterol Hepatol</w:t>
      </w:r>
      <w:r>
        <w:rPr>
          <w:rFonts w:ascii="Book Antiqua" w:hAnsi="Book Antiqua"/>
        </w:rPr>
        <w:t xml:space="preserve"> 2015; </w:t>
      </w:r>
      <w:r>
        <w:rPr>
          <w:rFonts w:ascii="Book Antiqua" w:hAnsi="Book Antiqua"/>
          <w:b/>
          <w:bCs/>
        </w:rPr>
        <w:t>9</w:t>
      </w:r>
      <w:r>
        <w:rPr>
          <w:rFonts w:ascii="Book Antiqua" w:hAnsi="Book Antiqua"/>
        </w:rPr>
        <w:t>: 447-466 [PMID: 25331256 DOI: 10.1586/17474124.2015.967761]</w:t>
      </w:r>
    </w:p>
    <w:p>
      <w:pPr>
        <w:spacing w:line="360" w:lineRule="auto"/>
        <w:jc w:val="both"/>
        <w:rPr>
          <w:rFonts w:ascii="Book Antiqua" w:hAnsi="Book Antiqua"/>
        </w:rPr>
      </w:pPr>
      <w:r>
        <w:rPr>
          <w:rFonts w:ascii="Book Antiqua" w:hAnsi="Book Antiqua"/>
        </w:rPr>
        <w:t xml:space="preserve">4 </w:t>
      </w:r>
      <w:r>
        <w:rPr>
          <w:rFonts w:ascii="Book Antiqua" w:hAnsi="Book Antiqua"/>
          <w:b/>
          <w:bCs/>
        </w:rPr>
        <w:t>Tsujino T</w:t>
      </w:r>
      <w:r>
        <w:rPr>
          <w:rFonts w:ascii="Book Antiqua" w:hAnsi="Book Antiqua"/>
        </w:rPr>
        <w:t xml:space="preserve">, Isayama H, Kogure H, Sato T, Nakai Y, Koike K. Endoscopic management of biliary strictures after living donor liver transplantation. </w:t>
      </w:r>
      <w:r>
        <w:rPr>
          <w:rFonts w:ascii="Book Antiqua" w:hAnsi="Book Antiqua"/>
          <w:i/>
          <w:iCs/>
        </w:rPr>
        <w:t>Clin J Gastroenterol</w:t>
      </w:r>
      <w:r>
        <w:rPr>
          <w:rFonts w:ascii="Book Antiqua" w:hAnsi="Book Antiqua"/>
        </w:rPr>
        <w:t xml:space="preserve"> 2017; </w:t>
      </w:r>
      <w:r>
        <w:rPr>
          <w:rFonts w:ascii="Book Antiqua" w:hAnsi="Book Antiqua"/>
          <w:b/>
          <w:bCs/>
        </w:rPr>
        <w:t>10</w:t>
      </w:r>
      <w:r>
        <w:rPr>
          <w:rFonts w:ascii="Book Antiqua" w:hAnsi="Book Antiqua"/>
        </w:rPr>
        <w:t>: 297-311 [PMID: 28600688 DOI: 10.1007/s12328-017-0754-z]</w:t>
      </w:r>
    </w:p>
    <w:p>
      <w:pPr>
        <w:spacing w:line="360" w:lineRule="auto"/>
        <w:jc w:val="both"/>
        <w:rPr>
          <w:rFonts w:ascii="Book Antiqua" w:hAnsi="Book Antiqua"/>
        </w:rPr>
      </w:pPr>
      <w:r>
        <w:rPr>
          <w:rFonts w:ascii="Book Antiqua" w:hAnsi="Book Antiqua"/>
        </w:rPr>
        <w:t xml:space="preserve">5 </w:t>
      </w:r>
      <w:r>
        <w:rPr>
          <w:rFonts w:ascii="Book Antiqua" w:hAnsi="Book Antiqua"/>
          <w:b/>
          <w:bCs/>
        </w:rPr>
        <w:t>Rela M</w:t>
      </w:r>
      <w:r>
        <w:rPr>
          <w:rFonts w:ascii="Book Antiqua" w:hAnsi="Book Antiqua"/>
        </w:rPr>
        <w:t xml:space="preserve">, Reddy MS. Living donor liver transplant (LDLT) is the way forward in Asia. </w:t>
      </w:r>
      <w:r>
        <w:rPr>
          <w:rFonts w:ascii="Book Antiqua" w:hAnsi="Book Antiqua"/>
          <w:i/>
          <w:iCs/>
        </w:rPr>
        <w:t>Hepatol Int</w:t>
      </w:r>
      <w:r>
        <w:rPr>
          <w:rFonts w:ascii="Book Antiqua" w:hAnsi="Book Antiqua"/>
        </w:rPr>
        <w:t xml:space="preserve"> 2017; </w:t>
      </w:r>
      <w:r>
        <w:rPr>
          <w:rFonts w:ascii="Book Antiqua" w:hAnsi="Book Antiqua"/>
          <w:b/>
          <w:bCs/>
        </w:rPr>
        <w:t>11</w:t>
      </w:r>
      <w:r>
        <w:rPr>
          <w:rFonts w:ascii="Book Antiqua" w:hAnsi="Book Antiqua"/>
        </w:rPr>
        <w:t>: 148-151 [PMID: 28097531 DOI: 10.1007/s12072-016-9780-z]</w:t>
      </w:r>
    </w:p>
    <w:p>
      <w:pPr>
        <w:spacing w:line="360" w:lineRule="auto"/>
        <w:jc w:val="both"/>
        <w:rPr>
          <w:rFonts w:ascii="Book Antiqua" w:hAnsi="Book Antiqua"/>
        </w:rPr>
      </w:pPr>
      <w:r>
        <w:rPr>
          <w:rFonts w:ascii="Book Antiqua" w:hAnsi="Book Antiqua"/>
        </w:rPr>
        <w:t xml:space="preserve">6 </w:t>
      </w:r>
      <w:r>
        <w:rPr>
          <w:rFonts w:ascii="Book Antiqua" w:hAnsi="Book Antiqua"/>
          <w:b/>
          <w:bCs/>
        </w:rPr>
        <w:t>Doyle MB</w:t>
      </w:r>
      <w:r>
        <w:rPr>
          <w:rFonts w:ascii="Book Antiqua" w:hAnsi="Book Antiqua"/>
        </w:rPr>
        <w:t xml:space="preserve">, Maynard E, Lin Y, Vachharajani N, Shenoy S, Anderson C, Earl M, Lowell JA, Chapman WC. Outcomes with split liver transplantation are equivalent to those with whole organ transplantation. </w:t>
      </w:r>
      <w:r>
        <w:rPr>
          <w:rFonts w:ascii="Book Antiqua" w:hAnsi="Book Antiqua"/>
          <w:i/>
          <w:iCs/>
        </w:rPr>
        <w:t>J Am Coll Surg</w:t>
      </w:r>
      <w:r>
        <w:rPr>
          <w:rFonts w:ascii="Book Antiqua" w:hAnsi="Book Antiqua"/>
        </w:rPr>
        <w:t xml:space="preserve"> 2013; </w:t>
      </w:r>
      <w:r>
        <w:rPr>
          <w:rFonts w:ascii="Book Antiqua" w:hAnsi="Book Antiqua"/>
          <w:b/>
          <w:bCs/>
        </w:rPr>
        <w:t>217</w:t>
      </w:r>
      <w:r>
        <w:rPr>
          <w:rFonts w:ascii="Book Antiqua" w:hAnsi="Book Antiqua"/>
        </w:rPr>
        <w:t>: 102-12; discussion 113-4 [PMID: 23639200 DOI: 10.1016/j.jamcollsurg.2013.03.003]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Rao HB</w:t>
      </w:r>
      <w:r>
        <w:rPr>
          <w:rFonts w:ascii="Book Antiqua" w:hAnsi="Book Antiqua"/>
        </w:rPr>
        <w:t xml:space="preserve">, Prakash A, Sudhindran S, Venu RP. Biliary strictures complicating living donor liver transplantation: Problems, novel insights and solutions.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2061-2072 [PMID: 29785075 DOI: 10.3748/wjg.v24.i19.2061]</w:t>
      </w:r>
    </w:p>
    <w:p>
      <w:pPr>
        <w:spacing w:line="360" w:lineRule="auto"/>
        <w:jc w:val="both"/>
        <w:rPr>
          <w:rFonts w:ascii="Book Antiqua" w:hAnsi="Book Antiqua"/>
        </w:rPr>
      </w:pPr>
      <w:r>
        <w:rPr>
          <w:rFonts w:ascii="Book Antiqua" w:hAnsi="Book Antiqua"/>
        </w:rPr>
        <w:t xml:space="preserve">8 </w:t>
      </w:r>
      <w:r>
        <w:rPr>
          <w:rFonts w:ascii="Book Antiqua" w:hAnsi="Book Antiqua"/>
          <w:b/>
          <w:bCs/>
        </w:rPr>
        <w:t>Miyagi S</w:t>
      </w:r>
      <w:r>
        <w:rPr>
          <w:rFonts w:ascii="Book Antiqua" w:hAnsi="Book Antiqua"/>
        </w:rPr>
        <w:t xml:space="preserve">, Kakizaki Y, Shimizu K, Miyazawa K, Nakanishi W, Hara Y, Tokodai K, Nakanishi C, Kamei T, Ohuchi N, Satomi S. Arterial and biliary complications after living donor liver transplantation: a single-center retrospective study and literature review. </w:t>
      </w:r>
      <w:r>
        <w:rPr>
          <w:rFonts w:ascii="Book Antiqua" w:hAnsi="Book Antiqua"/>
          <w:i/>
          <w:iCs/>
        </w:rPr>
        <w:t>Surg Today</w:t>
      </w:r>
      <w:r>
        <w:rPr>
          <w:rFonts w:ascii="Book Antiqua" w:hAnsi="Book Antiqua"/>
        </w:rPr>
        <w:t xml:space="preserve"> 2018; </w:t>
      </w:r>
      <w:r>
        <w:rPr>
          <w:rFonts w:ascii="Book Antiqua" w:hAnsi="Book Antiqua"/>
          <w:b/>
          <w:bCs/>
        </w:rPr>
        <w:t>48</w:t>
      </w:r>
      <w:r>
        <w:rPr>
          <w:rFonts w:ascii="Book Antiqua" w:hAnsi="Book Antiqua"/>
        </w:rPr>
        <w:t>: 131-139 [PMID: 28439714 DOI: 10.1007/s00595-017-1515-9]</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Baker TB</w:t>
      </w:r>
      <w:r>
        <w:rPr>
          <w:rFonts w:ascii="Book Antiqua" w:hAnsi="Book Antiqua"/>
        </w:rPr>
        <w:t xml:space="preserve">, Zimmerman MA, Goodrich NP, Samstein B, Pomfret EA, Pomposelli JJ, Gillespie BW, Berg CL, Emond JC, Merion RM. Biliary reconstructive techniques and associated anatomic variants in adult living donor liver transplantations: The adult-to-adult living donor liver transplantation cohort study experience. </w:t>
      </w:r>
      <w:r>
        <w:rPr>
          <w:rFonts w:ascii="Book Antiqua" w:hAnsi="Book Antiqua"/>
          <w:i/>
          <w:iCs/>
        </w:rPr>
        <w:t>Liver Transpl</w:t>
      </w:r>
      <w:r>
        <w:rPr>
          <w:rFonts w:ascii="Book Antiqua" w:hAnsi="Book Antiqua"/>
        </w:rPr>
        <w:t xml:space="preserve"> 2017; </w:t>
      </w:r>
      <w:r>
        <w:rPr>
          <w:rFonts w:ascii="Book Antiqua" w:hAnsi="Book Antiqua"/>
          <w:b/>
          <w:bCs/>
        </w:rPr>
        <w:t>23</w:t>
      </w:r>
      <w:r>
        <w:rPr>
          <w:rFonts w:ascii="Book Antiqua" w:hAnsi="Book Antiqua"/>
        </w:rPr>
        <w:t>: 1519-1530 [PMID: 28926171 DOI: 10.1002/lt.24872]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Lee SG</w:t>
      </w:r>
      <w:r>
        <w:rPr>
          <w:rFonts w:ascii="Book Antiqua" w:hAnsi="Book Antiqua"/>
        </w:rPr>
        <w:t xml:space="preserve">. A complete treatment of adult living donor liver transplantation: a review of surgical technique and current challenges to expand indication of patients. </w:t>
      </w:r>
      <w:r>
        <w:rPr>
          <w:rFonts w:ascii="Book Antiqua" w:hAnsi="Book Antiqua"/>
          <w:i/>
          <w:iCs/>
        </w:rPr>
        <w:t>Am J Transplant</w:t>
      </w:r>
      <w:r>
        <w:rPr>
          <w:rFonts w:ascii="Book Antiqua" w:hAnsi="Book Antiqua"/>
        </w:rPr>
        <w:t xml:space="preserve"> 2015; </w:t>
      </w:r>
      <w:r>
        <w:rPr>
          <w:rFonts w:ascii="Book Antiqua" w:hAnsi="Book Antiqua"/>
          <w:b/>
          <w:bCs/>
        </w:rPr>
        <w:t>15</w:t>
      </w:r>
      <w:r>
        <w:rPr>
          <w:rFonts w:ascii="Book Antiqua" w:hAnsi="Book Antiqua"/>
        </w:rPr>
        <w:t>: 17-38 [PMID: 25358749 DOI: 10.1111/ajt.12907]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Chok KS</w:t>
      </w:r>
      <w:r>
        <w:rPr>
          <w:rFonts w:ascii="Book Antiqua" w:hAnsi="Book Antiqua"/>
        </w:rPr>
        <w:t xml:space="preserve">, Lo CM. Prevention and management of biliary anastomotic stricture in right-lobe living-donor liver transplantation.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1756-1763 [PMID: 24909190 DOI: 10.1111/jgh.12648]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Samstein B</w:t>
      </w:r>
      <w:r>
        <w:rPr>
          <w:rFonts w:ascii="Book Antiqua" w:hAnsi="Book Antiqua"/>
        </w:rPr>
        <w:t xml:space="preserve">, Smith AR, Freise CE, Zimmerman MA, Baker T, Olthoff KM, Fisher RA, Merion RM. Complications and Their Resolution in Recipients of Deceased and Living Donor Liver Transplants: Findings From the A2ALL Cohort Study. </w:t>
      </w:r>
      <w:r>
        <w:rPr>
          <w:rFonts w:ascii="Book Antiqua" w:hAnsi="Book Antiqua"/>
          <w:i/>
          <w:iCs/>
        </w:rPr>
        <w:t>Am J Transplant</w:t>
      </w:r>
      <w:r>
        <w:rPr>
          <w:rFonts w:ascii="Book Antiqua" w:hAnsi="Book Antiqua"/>
        </w:rPr>
        <w:t xml:space="preserve"> 2016; </w:t>
      </w:r>
      <w:r>
        <w:rPr>
          <w:rFonts w:ascii="Book Antiqua" w:hAnsi="Book Antiqua"/>
          <w:b/>
          <w:bCs/>
        </w:rPr>
        <w:t>16</w:t>
      </w:r>
      <w:r>
        <w:rPr>
          <w:rFonts w:ascii="Book Antiqua" w:hAnsi="Book Antiqua"/>
        </w:rPr>
        <w:t>: 594-602 [PMID: 26461803 DOI: 10.1111/ajt.13479]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Simoes P</w:t>
      </w:r>
      <w:r>
        <w:rPr>
          <w:rFonts w:ascii="Book Antiqua" w:hAnsi="Book Antiqua"/>
        </w:rPr>
        <w:t xml:space="preserve">, Kesar V, Ahmad J. Spectrum of biliary complications following live donor liver transplantation.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1856-1865 [PMID: 26207167 DOI: 10.4254/wjh.v7.i14.1856]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Girometti R</w:t>
      </w:r>
      <w:r>
        <w:rPr>
          <w:rFonts w:ascii="Book Antiqua" w:hAnsi="Book Antiqua"/>
        </w:rPr>
        <w:t xml:space="preserve">, Pancot M, Como G, Zuiani C. Imaging of liver transplantation. </w:t>
      </w:r>
      <w:r>
        <w:rPr>
          <w:rFonts w:ascii="Book Antiqua" w:hAnsi="Book Antiqua"/>
          <w:i/>
          <w:iCs/>
        </w:rPr>
        <w:t>Eur J Radiol</w:t>
      </w:r>
      <w:r>
        <w:rPr>
          <w:rFonts w:ascii="Book Antiqua" w:hAnsi="Book Antiqua"/>
        </w:rPr>
        <w:t xml:space="preserve"> 2017; </w:t>
      </w:r>
      <w:r>
        <w:rPr>
          <w:rFonts w:ascii="Book Antiqua" w:hAnsi="Book Antiqua"/>
          <w:b/>
          <w:bCs/>
        </w:rPr>
        <w:t>93</w:t>
      </w:r>
      <w:r>
        <w:rPr>
          <w:rFonts w:ascii="Book Antiqua" w:hAnsi="Book Antiqua"/>
        </w:rPr>
        <w:t>: 295-307 [PMID: 28545872 DOI: 10.1016/j.ejrad.2017.05.014]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Senter-Zapata M</w:t>
      </w:r>
      <w:r>
        <w:rPr>
          <w:rFonts w:ascii="Book Antiqua" w:hAnsi="Book Antiqua"/>
        </w:rPr>
        <w:t xml:space="preserve">, Khan AS, Subramanian T, Vachharajani N, Dageforde LA, Wellen JR, Shenoy S, Majella Doyle MB, Chapman WC. Patient and Graft Survival: Biliary Complications after Liver Transplantation. </w:t>
      </w:r>
      <w:r>
        <w:rPr>
          <w:rFonts w:ascii="Book Antiqua" w:hAnsi="Book Antiqua"/>
          <w:i/>
          <w:iCs/>
        </w:rPr>
        <w:t>J Am Coll Surg</w:t>
      </w:r>
      <w:r>
        <w:rPr>
          <w:rFonts w:ascii="Book Antiqua" w:hAnsi="Book Antiqua"/>
        </w:rPr>
        <w:t xml:space="preserve"> 2018; </w:t>
      </w:r>
      <w:r>
        <w:rPr>
          <w:rFonts w:ascii="Book Antiqua" w:hAnsi="Book Antiqua"/>
          <w:b/>
          <w:bCs/>
        </w:rPr>
        <w:t>226</w:t>
      </w:r>
      <w:r>
        <w:rPr>
          <w:rFonts w:ascii="Book Antiqua" w:hAnsi="Book Antiqua"/>
        </w:rPr>
        <w:t>: 484-494 [PMID: 29360615 DOI: 10.1016/j.jamcollsurg.2017.12.039]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Oh HC</w:t>
      </w:r>
      <w:r>
        <w:rPr>
          <w:rFonts w:ascii="Book Antiqua" w:hAnsi="Book Antiqua"/>
        </w:rPr>
        <w:t xml:space="preserve">. Percutaneous Transhepatic Cholangioscopy in Bilioenteric Anastomosis Stricture. </w:t>
      </w:r>
      <w:r>
        <w:rPr>
          <w:rFonts w:ascii="Book Antiqua" w:hAnsi="Book Antiqua"/>
          <w:i/>
          <w:iCs/>
        </w:rPr>
        <w:t>Clin Endosc</w:t>
      </w:r>
      <w:r>
        <w:rPr>
          <w:rFonts w:ascii="Book Antiqua" w:hAnsi="Book Antiqua"/>
        </w:rPr>
        <w:t xml:space="preserve"> 2016; </w:t>
      </w:r>
      <w:r>
        <w:rPr>
          <w:rFonts w:ascii="Book Antiqua" w:hAnsi="Book Antiqua"/>
          <w:b/>
          <w:bCs/>
        </w:rPr>
        <w:t>49</w:t>
      </w:r>
      <w:r>
        <w:rPr>
          <w:rFonts w:ascii="Book Antiqua" w:hAnsi="Book Antiqua"/>
        </w:rPr>
        <w:t>: 530-532 [PMID: 27642850 DOI: 10.5946/ce.2016.125]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Kaldas FM</w:t>
      </w:r>
      <w:r>
        <w:rPr>
          <w:rFonts w:ascii="Book Antiqua" w:hAnsi="Book Antiqua"/>
        </w:rPr>
        <w:t xml:space="preserve">, Korayem IM, Russell TA, Agopian VG, Aziz A, DiNorcia J, Farmer DG, Yersiz H, Hiatt JR, Busuttil RW. Assessment of Anastomotic Biliary Complications in Adult Patients Undergoing High-Acuity Liver Transplant. </w:t>
      </w:r>
      <w:r>
        <w:rPr>
          <w:rFonts w:ascii="Book Antiqua" w:hAnsi="Book Antiqua"/>
          <w:i/>
          <w:iCs/>
        </w:rPr>
        <w:t>JAMA Surg</w:t>
      </w:r>
      <w:r>
        <w:rPr>
          <w:rFonts w:ascii="Book Antiqua" w:hAnsi="Book Antiqua"/>
        </w:rPr>
        <w:t xml:space="preserve"> 2019; </w:t>
      </w:r>
      <w:r>
        <w:rPr>
          <w:rFonts w:ascii="Book Antiqua" w:hAnsi="Book Antiqua"/>
          <w:b/>
          <w:bCs/>
        </w:rPr>
        <w:t>154</w:t>
      </w:r>
      <w:r>
        <w:rPr>
          <w:rFonts w:ascii="Book Antiqua" w:hAnsi="Book Antiqua"/>
        </w:rPr>
        <w:t>: 431-439 [PMID: 30758485 DOI: 10.1001/jamasurg.2018.5527]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Lee DW</w:t>
      </w:r>
      <w:r>
        <w:rPr>
          <w:rFonts w:ascii="Book Antiqua" w:hAnsi="Book Antiqua"/>
        </w:rPr>
        <w:t xml:space="preserve">, Jo HH, Abdullah J, Kahaleh M. Endoscopic Management of Anastomotic Strictures after Liver Transplantation. </w:t>
      </w:r>
      <w:r>
        <w:rPr>
          <w:rFonts w:ascii="Book Antiqua" w:hAnsi="Book Antiqua"/>
          <w:i/>
          <w:iCs/>
        </w:rPr>
        <w:t>Clin Endosc</w:t>
      </w:r>
      <w:r>
        <w:rPr>
          <w:rFonts w:ascii="Book Antiqua" w:hAnsi="Book Antiqua"/>
        </w:rPr>
        <w:t xml:space="preserve"> 2016; </w:t>
      </w:r>
      <w:r>
        <w:rPr>
          <w:rFonts w:ascii="Book Antiqua" w:hAnsi="Book Antiqua"/>
          <w:b/>
          <w:bCs/>
        </w:rPr>
        <w:t>49</w:t>
      </w:r>
      <w:r>
        <w:rPr>
          <w:rFonts w:ascii="Book Antiqua" w:hAnsi="Book Antiqua"/>
        </w:rPr>
        <w:t>: 457-461 [PMID: 27744664 DOI: 10.5946/ce.2016.130]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Koo PT</w:t>
      </w:r>
      <w:r>
        <w:rPr>
          <w:rFonts w:ascii="Book Antiqua" w:hAnsi="Book Antiqua"/>
        </w:rPr>
        <w:t xml:space="preserve">, Medici V, Tabibian JH. Anastomotic Biliary Stricture Development after Liver Transplantation in the Setting of Retained Prophylactic Intraductal Pediatric Feeding Tube: Case and Review. </w:t>
      </w:r>
      <w:r>
        <w:rPr>
          <w:rFonts w:ascii="Book Antiqua" w:hAnsi="Book Antiqua"/>
          <w:i/>
          <w:iCs/>
        </w:rPr>
        <w:t>Case Reports Hepatol</w:t>
      </w:r>
      <w:r>
        <w:rPr>
          <w:rFonts w:ascii="Book Antiqua" w:hAnsi="Book Antiqua"/>
        </w:rPr>
        <w:t xml:space="preserve"> 2018; </w:t>
      </w:r>
      <w:r>
        <w:rPr>
          <w:rFonts w:ascii="Book Antiqua" w:hAnsi="Book Antiqua"/>
          <w:b/>
          <w:bCs/>
        </w:rPr>
        <w:t>2018</w:t>
      </w:r>
      <w:r>
        <w:rPr>
          <w:rFonts w:ascii="Book Antiqua" w:hAnsi="Book Antiqua"/>
        </w:rPr>
        <w:t>: 4707389 [PMID: 30363933 DOI: 10.1155/2018/4707389]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Crismale JF</w:t>
      </w:r>
      <w:r>
        <w:rPr>
          <w:rFonts w:ascii="Book Antiqua" w:hAnsi="Book Antiqua"/>
        </w:rPr>
        <w:t xml:space="preserve">, Ahmad J. Endoscopic Management of Biliary Issues in the Liver Transplant Patient. </w:t>
      </w:r>
      <w:r>
        <w:rPr>
          <w:rFonts w:ascii="Book Antiqua" w:hAnsi="Book Antiqua"/>
          <w:i/>
          <w:iCs/>
        </w:rPr>
        <w:t>Gastrointest Endosc Clin N Am</w:t>
      </w:r>
      <w:r>
        <w:rPr>
          <w:rFonts w:ascii="Book Antiqua" w:hAnsi="Book Antiqua"/>
        </w:rPr>
        <w:t xml:space="preserve"> 2019; </w:t>
      </w:r>
      <w:r>
        <w:rPr>
          <w:rFonts w:ascii="Book Antiqua" w:hAnsi="Book Antiqua"/>
          <w:b/>
          <w:bCs/>
        </w:rPr>
        <w:t>29</w:t>
      </w:r>
      <w:r>
        <w:rPr>
          <w:rFonts w:ascii="Book Antiqua" w:hAnsi="Book Antiqua"/>
        </w:rPr>
        <w:t>: 237-256 [PMID: 30846151 DOI: 10.1016/j.giec.2018.11.003]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Hong SY</w:t>
      </w:r>
      <w:r>
        <w:rPr>
          <w:rFonts w:ascii="Book Antiqua" w:hAnsi="Book Antiqua"/>
        </w:rPr>
        <w:t xml:space="preserve">, Hu XG, Lee HY, Won JH, Kim JW, Shen XY, Wang HJ, Kim BW. Longterm Analysis of Biliary Complications After Duct-to-Duct Biliary Reconstruction in Living Donor Liver Transplantations. </w:t>
      </w:r>
      <w:r>
        <w:rPr>
          <w:rFonts w:ascii="Book Antiqua" w:hAnsi="Book Antiqua"/>
          <w:i/>
          <w:iCs/>
        </w:rPr>
        <w:t>Liver Transpl</w:t>
      </w:r>
      <w:r>
        <w:rPr>
          <w:rFonts w:ascii="Book Antiqua" w:hAnsi="Book Antiqua"/>
        </w:rPr>
        <w:t xml:space="preserve"> 2018; </w:t>
      </w:r>
      <w:r>
        <w:rPr>
          <w:rFonts w:ascii="Book Antiqua" w:hAnsi="Book Antiqua"/>
          <w:b/>
          <w:bCs/>
        </w:rPr>
        <w:t>24</w:t>
      </w:r>
      <w:r>
        <w:rPr>
          <w:rFonts w:ascii="Book Antiqua" w:hAnsi="Book Antiqua"/>
        </w:rPr>
        <w:t>: 1050-1061 [PMID: 29633539 DOI: 10.1002/lt.25074]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Azzam AZ</w:t>
      </w:r>
      <w:r>
        <w:rPr>
          <w:rFonts w:ascii="Book Antiqua" w:hAnsi="Book Antiqua"/>
        </w:rPr>
        <w:t xml:space="preserve">, Tanaka K. Biliary complications after living donor liver transplantation: A retrospective analysis of the Kyoto experience 1999-2004. </w:t>
      </w:r>
      <w:r>
        <w:rPr>
          <w:rFonts w:ascii="Book Antiqua" w:hAnsi="Book Antiqua"/>
          <w:i/>
          <w:iCs/>
        </w:rPr>
        <w:t>Indian J Gastroenterol</w:t>
      </w:r>
      <w:r>
        <w:rPr>
          <w:rFonts w:ascii="Book Antiqua" w:hAnsi="Book Antiqua"/>
        </w:rPr>
        <w:t xml:space="preserve"> 2017; </w:t>
      </w:r>
      <w:r>
        <w:rPr>
          <w:rFonts w:ascii="Book Antiqua" w:hAnsi="Book Antiqua"/>
          <w:b/>
          <w:bCs/>
        </w:rPr>
        <w:t>36</w:t>
      </w:r>
      <w:r>
        <w:rPr>
          <w:rFonts w:ascii="Book Antiqua" w:hAnsi="Book Antiqua"/>
        </w:rPr>
        <w:t>: 296-304 [PMID: 28744748 DOI: 10.1007/s12664-017-0771-3]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Santosh Kumar KY</w:t>
      </w:r>
      <w:r>
        <w:rPr>
          <w:rFonts w:ascii="Book Antiqua" w:hAnsi="Book Antiqua"/>
        </w:rPr>
        <w:t xml:space="preserve">, Mathew JS, Balakrishnan D, Bharathan VK, Thankamony Amma BSP, Gopalakrishnan U, Narayana Menon R, Dhar P, Vayoth SO, Sudhindran S. Intraductal Transanastomotic Stenting in Duct-to-Duct Biliary Reconstruction after Living-Donor Liver Transplantation: A Randomized Trial. </w:t>
      </w:r>
      <w:r>
        <w:rPr>
          <w:rFonts w:ascii="Book Antiqua" w:hAnsi="Book Antiqua"/>
          <w:i/>
          <w:iCs/>
        </w:rPr>
        <w:t>J Am Coll Surg</w:t>
      </w:r>
      <w:r>
        <w:rPr>
          <w:rFonts w:ascii="Book Antiqua" w:hAnsi="Book Antiqua"/>
        </w:rPr>
        <w:t xml:space="preserve"> 2017; </w:t>
      </w:r>
      <w:r>
        <w:rPr>
          <w:rFonts w:ascii="Book Antiqua" w:hAnsi="Book Antiqua"/>
          <w:b/>
          <w:bCs/>
        </w:rPr>
        <w:t>225</w:t>
      </w:r>
      <w:r>
        <w:rPr>
          <w:rFonts w:ascii="Book Antiqua" w:hAnsi="Book Antiqua"/>
        </w:rPr>
        <w:t>: 747-754 [PMID: 28916322 DOI: 10.1016/j.jamcollsurg.2017.08.024]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Elwir S</w:t>
      </w:r>
      <w:r>
        <w:rPr>
          <w:rFonts w:ascii="Book Antiqua" w:hAnsi="Book Antiqua"/>
        </w:rPr>
        <w:t xml:space="preserve">, Thompson J, Amateau SK, Trikudanathan G, Attam R, Hassan M, Kandaswamy R, Pruett T, Lake J, Chinnakotla S, Freeman ML, Arain MA. Endoscopic Management of Biliary Leaks and Strictures After Living Donor Liver Transplantation: Optimizing Techniques for Successful Management. </w:t>
      </w:r>
      <w:r>
        <w:rPr>
          <w:rFonts w:ascii="Book Antiqua" w:hAnsi="Book Antiqua"/>
          <w:i/>
          <w:iCs/>
        </w:rPr>
        <w:t>Dig Dis Sci</w:t>
      </w:r>
      <w:r>
        <w:rPr>
          <w:rFonts w:ascii="Book Antiqua" w:hAnsi="Book Antiqua"/>
        </w:rPr>
        <w:t xml:space="preserve"> 2017; </w:t>
      </w:r>
      <w:r>
        <w:rPr>
          <w:rFonts w:ascii="Book Antiqua" w:hAnsi="Book Antiqua"/>
          <w:b/>
          <w:bCs/>
        </w:rPr>
        <w:t>62</w:t>
      </w:r>
      <w:r>
        <w:rPr>
          <w:rFonts w:ascii="Book Antiqua" w:hAnsi="Book Antiqua"/>
        </w:rPr>
        <w:t>: 244-252 [PMID: 27866300 DOI: 10.1007/s10620-016-4367-z]</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Mazzaferro V</w:t>
      </w:r>
      <w:r>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Pr>
          <w:rFonts w:ascii="Book Antiqua" w:hAnsi="Book Antiqua"/>
          <w:i/>
          <w:iCs/>
        </w:rPr>
        <w:t>N Engl J Med</w:t>
      </w:r>
      <w:r>
        <w:rPr>
          <w:rFonts w:ascii="Book Antiqua" w:hAnsi="Book Antiqua"/>
        </w:rPr>
        <w:t xml:space="preserve"> 1996; </w:t>
      </w:r>
      <w:r>
        <w:rPr>
          <w:rFonts w:ascii="Book Antiqua" w:hAnsi="Book Antiqua"/>
          <w:b/>
          <w:bCs/>
        </w:rPr>
        <w:t>334</w:t>
      </w:r>
      <w:r>
        <w:rPr>
          <w:rFonts w:ascii="Book Antiqua" w:hAnsi="Book Antiqua"/>
        </w:rPr>
        <w:t>: 693-699 [PMID: 8594428 DOI: 10.1056/NEJM199603143341104]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Ishiko T</w:t>
      </w:r>
      <w:r>
        <w:rPr>
          <w:rFonts w:ascii="Book Antiqua" w:hAnsi="Book Antiqua"/>
        </w:rPr>
        <w:t xml:space="preserve">, Egawa H, Kasahara M, Nakamura T, Oike F, Kaihara S, Kiuchi T, Uemoto S, Inomata Y, Tanaka K. Duct-to-duct biliary reconstruction in living donor liver transplantation utilizing right lobe graft. </w:t>
      </w:r>
      <w:r>
        <w:rPr>
          <w:rFonts w:ascii="Book Antiqua" w:hAnsi="Book Antiqua"/>
          <w:i/>
          <w:iCs/>
        </w:rPr>
        <w:t>Ann Surg</w:t>
      </w:r>
      <w:r>
        <w:rPr>
          <w:rFonts w:ascii="Book Antiqua" w:hAnsi="Book Antiqua"/>
        </w:rPr>
        <w:t xml:space="preserve"> 2002; </w:t>
      </w:r>
      <w:r>
        <w:rPr>
          <w:rFonts w:ascii="Book Antiqua" w:hAnsi="Book Antiqua"/>
          <w:b/>
          <w:bCs/>
        </w:rPr>
        <w:t>236</w:t>
      </w:r>
      <w:r>
        <w:rPr>
          <w:rFonts w:ascii="Book Antiqua" w:hAnsi="Book Antiqua"/>
        </w:rPr>
        <w:t>: 235-240 [PMID: 12170029 DOI: 10.1097/00000658-200208000-00012]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Tanaka K</w:t>
      </w:r>
      <w:r>
        <w:rPr>
          <w:rFonts w:ascii="Book Antiqua" w:hAnsi="Book Antiqua"/>
        </w:rPr>
        <w:t xml:space="preserve">, Uemoto S, Tokunaga Y, Fujita S, Sano K, Nishizawa T, Sawada H, Shirahase I, Kim HJ, Yamaoka Y. Surgical techniques and innovations in living related liver transplantation. </w:t>
      </w:r>
      <w:r>
        <w:rPr>
          <w:rFonts w:ascii="Book Antiqua" w:hAnsi="Book Antiqua"/>
          <w:i/>
          <w:iCs/>
        </w:rPr>
        <w:t>Ann Surg</w:t>
      </w:r>
      <w:r>
        <w:rPr>
          <w:rFonts w:ascii="Book Antiqua" w:hAnsi="Book Antiqua"/>
        </w:rPr>
        <w:t xml:space="preserve"> 1993; </w:t>
      </w:r>
      <w:r>
        <w:rPr>
          <w:rFonts w:ascii="Book Antiqua" w:hAnsi="Book Antiqua"/>
          <w:b/>
          <w:bCs/>
        </w:rPr>
        <w:t>217</w:t>
      </w:r>
      <w:r>
        <w:rPr>
          <w:rFonts w:ascii="Book Antiqua" w:hAnsi="Book Antiqua"/>
        </w:rPr>
        <w:t>: 82-91 [PMID: 8424706 DOI: 10.1097/00000658-199301000-00014]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Kaltenborn A</w:t>
      </w:r>
      <w:r>
        <w:rPr>
          <w:rFonts w:ascii="Book Antiqua" w:hAnsi="Book Antiqua"/>
        </w:rPr>
        <w:t xml:space="preserve">, Gutcke A, Gwiasda J, Klempnauer J, Schrem H. Biliary complications following liver transplantation: Single-center experience over three decades and recent risk factors. </w:t>
      </w:r>
      <w:r>
        <w:rPr>
          <w:rFonts w:ascii="Book Antiqua" w:hAnsi="Book Antiqua"/>
          <w:i/>
          <w:iCs/>
        </w:rPr>
        <w:t>World J Hepatol</w:t>
      </w:r>
      <w:r>
        <w:rPr>
          <w:rFonts w:ascii="Book Antiqua" w:hAnsi="Book Antiqua"/>
        </w:rPr>
        <w:t xml:space="preserve"> 2017; </w:t>
      </w:r>
      <w:r>
        <w:rPr>
          <w:rFonts w:ascii="Book Antiqua" w:hAnsi="Book Antiqua"/>
          <w:b/>
          <w:bCs/>
        </w:rPr>
        <w:t>9</w:t>
      </w:r>
      <w:r>
        <w:rPr>
          <w:rFonts w:ascii="Book Antiqua" w:hAnsi="Book Antiqua"/>
        </w:rPr>
        <w:t>: 147-154 [PMID: 28217251 DOI: 10.4254/wjh.v9.i3.147]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Coelho JCU</w:t>
      </w:r>
      <w:r>
        <w:rPr>
          <w:rFonts w:ascii="Book Antiqua" w:hAnsi="Book Antiqua"/>
        </w:rPr>
        <w:t xml:space="preserve">, Leite LO, Molena A, Freitas ACT, Matias JEF. BILIARY COMPLICATIONS AFTER LIVER TRANSPLANTATION. </w:t>
      </w:r>
      <w:r>
        <w:rPr>
          <w:rFonts w:ascii="Book Antiqua" w:hAnsi="Book Antiqua"/>
          <w:i/>
          <w:iCs/>
        </w:rPr>
        <w:t>Arq Bras Cir Dig</w:t>
      </w:r>
      <w:r>
        <w:rPr>
          <w:rFonts w:ascii="Book Antiqua" w:hAnsi="Book Antiqua"/>
        </w:rPr>
        <w:t xml:space="preserve"> 2017; </w:t>
      </w:r>
      <w:r>
        <w:rPr>
          <w:rFonts w:ascii="Book Antiqua" w:hAnsi="Book Antiqua"/>
          <w:b/>
          <w:bCs/>
        </w:rPr>
        <w:t>30</w:t>
      </w:r>
      <w:r>
        <w:rPr>
          <w:rFonts w:ascii="Book Antiqua" w:hAnsi="Book Antiqua"/>
        </w:rPr>
        <w:t>: 127-131 [PMID: 29257849 DOI: 10.1590/0102-6720201700020011]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Rao HB</w:t>
      </w:r>
      <w:r>
        <w:rPr>
          <w:rFonts w:ascii="Book Antiqua" w:hAnsi="Book Antiqua"/>
        </w:rPr>
        <w:t xml:space="preserve">, Koshy AK, Sudhindran S, Prabhu NK, Venu RP. Paradigm shift in the management of bile duct strictures complicating living donor liver transplantation. </w:t>
      </w:r>
      <w:r>
        <w:rPr>
          <w:rFonts w:ascii="Book Antiqua" w:hAnsi="Book Antiqua"/>
          <w:i/>
          <w:iCs/>
        </w:rPr>
        <w:t>Indian J Gastroenterol</w:t>
      </w:r>
      <w:r>
        <w:rPr>
          <w:rFonts w:ascii="Book Antiqua" w:hAnsi="Book Antiqua"/>
        </w:rPr>
        <w:t xml:space="preserve"> 2019; </w:t>
      </w:r>
      <w:r>
        <w:rPr>
          <w:rFonts w:ascii="Book Antiqua" w:hAnsi="Book Antiqua"/>
          <w:b/>
          <w:bCs/>
        </w:rPr>
        <w:t>38</w:t>
      </w:r>
      <w:r>
        <w:rPr>
          <w:rFonts w:ascii="Book Antiqua" w:hAnsi="Book Antiqua"/>
        </w:rPr>
        <w:t>: 488-497 [PMID: 32065353 DOI: 10.1007/s12664-019-01000-2]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Iesari S</w:t>
      </w:r>
      <w:r>
        <w:rPr>
          <w:rFonts w:ascii="Book Antiqua" w:hAnsi="Book Antiqua"/>
        </w:rPr>
        <w:t xml:space="preserve">, Inostroza Núñez ME, Rico Juri JM, Ciccarelli O, Bonaccorsi-Riani E, Coubeau L, Laterre PF, Goffette P, De Reyck C, Lengelé B, Gianello P, Lerut J. Adult-to-adult living-donor liver transplantation: The experience of the Université catholique de Louvain. </w:t>
      </w:r>
      <w:r>
        <w:rPr>
          <w:rFonts w:ascii="Book Antiqua" w:hAnsi="Book Antiqua"/>
          <w:i/>
          <w:iCs/>
        </w:rPr>
        <w:t>Hepatobiliary Pancreat Dis Int</w:t>
      </w:r>
      <w:r>
        <w:rPr>
          <w:rFonts w:ascii="Book Antiqua" w:hAnsi="Book Antiqua"/>
        </w:rPr>
        <w:t xml:space="preserve"> 2019; </w:t>
      </w:r>
      <w:r>
        <w:rPr>
          <w:rFonts w:ascii="Book Antiqua" w:hAnsi="Book Antiqua"/>
          <w:b/>
          <w:bCs/>
        </w:rPr>
        <w:t>18</w:t>
      </w:r>
      <w:r>
        <w:rPr>
          <w:rFonts w:ascii="Book Antiqua" w:hAnsi="Book Antiqua"/>
        </w:rPr>
        <w:t>: 132-142 [PMID: 30850341 DOI: 10.1016/j.hbpd.2019.02.007]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Boraschi P</w:t>
      </w:r>
      <w:r>
        <w:rPr>
          <w:rFonts w:ascii="Book Antiqua" w:hAnsi="Book Antiqua"/>
        </w:rPr>
        <w:t xml:space="preserve">, Donati F, Pacciardi F, Ghinolfi D, Falaschi F. Biliary complications after liver transplantation: Assessment with MR cholangiopancreatography and MR imaging at 3T device. </w:t>
      </w:r>
      <w:r>
        <w:rPr>
          <w:rFonts w:ascii="Book Antiqua" w:hAnsi="Book Antiqua"/>
          <w:i/>
          <w:iCs/>
        </w:rPr>
        <w:t>Eur J Radiol</w:t>
      </w:r>
      <w:r>
        <w:rPr>
          <w:rFonts w:ascii="Book Antiqua" w:hAnsi="Book Antiqua"/>
        </w:rPr>
        <w:t xml:space="preserve"> 2018; </w:t>
      </w:r>
      <w:r>
        <w:rPr>
          <w:rFonts w:ascii="Book Antiqua" w:hAnsi="Book Antiqua"/>
          <w:b/>
          <w:bCs/>
        </w:rPr>
        <w:t>106</w:t>
      </w:r>
      <w:r>
        <w:rPr>
          <w:rFonts w:ascii="Book Antiqua" w:hAnsi="Book Antiqua"/>
        </w:rPr>
        <w:t>: 46-55 [PMID: 30150050 DOI: 10.1016/j.ejrad.2018.07.009]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Hafeez Bhatti AB</w:t>
      </w:r>
      <w:r>
        <w:rPr>
          <w:rFonts w:ascii="Book Antiqua" w:hAnsi="Book Antiqua"/>
        </w:rPr>
        <w:t xml:space="preserve">, Dar FS, Qureshi AI, Khan NY, Zia HH, Khan EUD, Khan NA, Salih M, Shah NH. Failure to rescue in living donor liver transplantation: Patterns and predictors. </w:t>
      </w:r>
      <w:r>
        <w:rPr>
          <w:rFonts w:ascii="Book Antiqua" w:hAnsi="Book Antiqua"/>
          <w:i/>
          <w:iCs/>
        </w:rPr>
        <w:t>Int J Surg</w:t>
      </w:r>
      <w:r>
        <w:rPr>
          <w:rFonts w:ascii="Book Antiqua" w:hAnsi="Book Antiqua"/>
        </w:rPr>
        <w:t xml:space="preserve"> 2017; </w:t>
      </w:r>
      <w:r>
        <w:rPr>
          <w:rFonts w:ascii="Book Antiqua" w:hAnsi="Book Antiqua"/>
          <w:b/>
          <w:bCs/>
        </w:rPr>
        <w:t>44</w:t>
      </w:r>
      <w:r>
        <w:rPr>
          <w:rFonts w:ascii="Book Antiqua" w:hAnsi="Book Antiqua"/>
        </w:rPr>
        <w:t>: 281-286 [PMID: 28694002 DOI: 10.1016/j.ijsu.2017.07.026]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Ogiso S</w:t>
      </w:r>
      <w:r>
        <w:rPr>
          <w:rFonts w:ascii="Book Antiqua" w:hAnsi="Book Antiqua"/>
        </w:rPr>
        <w:t xml:space="preserve">, Kamei H, Onishi Y, Kurata N, Jobara K, Kawashima H, Ogura Y. Decreased long-term graft survival in persistent biliary complications after right-lobe living-donor liver transplantation. </w:t>
      </w:r>
      <w:r>
        <w:rPr>
          <w:rFonts w:ascii="Book Antiqua" w:hAnsi="Book Antiqua"/>
          <w:i/>
          <w:iCs/>
        </w:rPr>
        <w:t>Clin Transplant</w:t>
      </w:r>
      <w:r>
        <w:rPr>
          <w:rFonts w:ascii="Book Antiqua" w:hAnsi="Book Antiqua"/>
        </w:rPr>
        <w:t xml:space="preserve"> 2020; </w:t>
      </w:r>
      <w:r>
        <w:rPr>
          <w:rFonts w:ascii="Book Antiqua" w:hAnsi="Book Antiqua"/>
          <w:b/>
          <w:bCs/>
        </w:rPr>
        <w:t>34</w:t>
      </w:r>
      <w:r>
        <w:rPr>
          <w:rFonts w:ascii="Book Antiqua" w:hAnsi="Book Antiqua"/>
        </w:rPr>
        <w:t>: e13771 [PMID: 31846118 DOI: 10.1111/ctr.13771]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Dogan N</w:t>
      </w:r>
      <w:r>
        <w:rPr>
          <w:rFonts w:ascii="Book Antiqua" w:hAnsi="Book Antiqua"/>
        </w:rPr>
        <w:t xml:space="preserve">, Hüsing-Kabar A, Schmidt HH, Cicinnati VR, Beckebaum S, Kabar I. Acute allograft rejection in liver transplant recipients: Incidence, risk factors, treatment success, and impact on graft failure. </w:t>
      </w:r>
      <w:r>
        <w:rPr>
          <w:rFonts w:ascii="Book Antiqua" w:hAnsi="Book Antiqua"/>
          <w:i/>
          <w:iCs/>
        </w:rPr>
        <w:t>J Int Med Res</w:t>
      </w:r>
      <w:r>
        <w:rPr>
          <w:rFonts w:ascii="Book Antiqua" w:hAnsi="Book Antiqua"/>
        </w:rPr>
        <w:t xml:space="preserve"> 2018; </w:t>
      </w:r>
      <w:r>
        <w:rPr>
          <w:rFonts w:ascii="Book Antiqua" w:hAnsi="Book Antiqua"/>
          <w:b/>
          <w:bCs/>
        </w:rPr>
        <w:t>46</w:t>
      </w:r>
      <w:r>
        <w:rPr>
          <w:rFonts w:ascii="Book Antiqua" w:hAnsi="Book Antiqua"/>
        </w:rPr>
        <w:t>: 3979-3990 [PMID: 29996675 DOI: 10.1177/0300060518785543]</w:t>
      </w:r>
    </w:p>
    <w:p>
      <w:pPr>
        <w:spacing w:line="360" w:lineRule="auto"/>
        <w:jc w:val="both"/>
        <w:rPr>
          <w:rFonts w:ascii="Book Antiqua" w:hAnsi="Book Antiqua"/>
        </w:rPr>
      </w:pPr>
      <w:r>
        <w:rPr>
          <w:rFonts w:ascii="Book Antiqua" w:hAnsi="Book Antiqua"/>
        </w:rPr>
        <w:t xml:space="preserve">36 </w:t>
      </w:r>
      <w:r>
        <w:rPr>
          <w:rFonts w:ascii="Book Antiqua" w:hAnsi="Book Antiqua"/>
          <w:b/>
          <w:bCs/>
        </w:rPr>
        <w:t>Memeo R</w:t>
      </w:r>
      <w:r>
        <w:rPr>
          <w:rFonts w:ascii="Book Antiqua" w:hAnsi="Book Antiqua"/>
        </w:rPr>
        <w:t xml:space="preserve">, Piardi T, Sangiuolo F, Sommacale D, Pessaux P. Management of biliary complications after liver transplantation.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2890-2895 [PMID: 26689137 DOI: 10.4254/wjh.v7.i29.2890]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Pena Polanco NA</w:t>
      </w:r>
      <w:r>
        <w:rPr>
          <w:rFonts w:ascii="Book Antiqua" w:hAnsi="Book Antiqua"/>
        </w:rPr>
        <w:t xml:space="preserve">, Levy C, Martin EF. Cholestatic Liver Diseases After Liver Transplant. </w:t>
      </w:r>
      <w:r>
        <w:rPr>
          <w:rFonts w:ascii="Book Antiqua" w:hAnsi="Book Antiqua"/>
          <w:i/>
          <w:iCs/>
        </w:rPr>
        <w:t>Clin Liver Dis</w:t>
      </w:r>
      <w:r>
        <w:rPr>
          <w:rFonts w:ascii="Book Antiqua" w:hAnsi="Book Antiqua"/>
        </w:rPr>
        <w:t xml:space="preserve"> 2017; </w:t>
      </w:r>
      <w:r>
        <w:rPr>
          <w:rFonts w:ascii="Book Antiqua" w:hAnsi="Book Antiqua"/>
          <w:b/>
          <w:bCs/>
        </w:rPr>
        <w:t>21</w:t>
      </w:r>
      <w:r>
        <w:rPr>
          <w:rFonts w:ascii="Book Antiqua" w:hAnsi="Book Antiqua"/>
        </w:rPr>
        <w:t>: 403-420 [PMID: 28364821 DOI: 10.1016/j.cld.2016.12.011]</w:t>
      </w:r>
    </w:p>
    <w:p>
      <w:pPr>
        <w:spacing w:line="360" w:lineRule="auto"/>
        <w:jc w:val="both"/>
        <w:rPr>
          <w:rFonts w:ascii="Book Antiqua" w:hAnsi="Book Antiqua"/>
        </w:rPr>
      </w:pPr>
      <w:r>
        <w:rPr>
          <w:rFonts w:ascii="Book Antiqua" w:hAnsi="Book Antiqua"/>
        </w:rPr>
        <w:t xml:space="preserve">38 </w:t>
      </w:r>
      <w:r>
        <w:rPr>
          <w:rFonts w:ascii="Book Antiqua" w:hAnsi="Book Antiqua"/>
          <w:b/>
          <w:bCs/>
        </w:rPr>
        <w:t>Rana A</w:t>
      </w:r>
      <w:r>
        <w:rPr>
          <w:rFonts w:ascii="Book Antiqua" w:hAnsi="Book Antiqua"/>
        </w:rPr>
        <w:t xml:space="preserve">, Hardy MA, Halazun KJ, Woodland DC, Ratner LE, Samstein B, Guarrera JV, Brown RS Jr, Emond JC. Survival outcomes following liver transplantation (SOFT) score: a novel method to predict patient survival following liver transplantation. </w:t>
      </w:r>
      <w:r>
        <w:rPr>
          <w:rFonts w:ascii="Book Antiqua" w:hAnsi="Book Antiqua"/>
          <w:i/>
          <w:iCs/>
        </w:rPr>
        <w:t>Am J Transplant</w:t>
      </w:r>
      <w:r>
        <w:rPr>
          <w:rFonts w:ascii="Book Antiqua" w:hAnsi="Book Antiqua"/>
        </w:rPr>
        <w:t xml:space="preserve"> 2008; </w:t>
      </w:r>
      <w:r>
        <w:rPr>
          <w:rFonts w:ascii="Book Antiqua" w:hAnsi="Book Antiqua"/>
          <w:b/>
          <w:bCs/>
        </w:rPr>
        <w:t>8</w:t>
      </w:r>
      <w:r>
        <w:rPr>
          <w:rFonts w:ascii="Book Antiqua" w:hAnsi="Book Antiqua"/>
        </w:rPr>
        <w:t>: 2537-2546 [PMID: 18945283 DOI: 10.1111/j.1600-6143.2008.02400.x]</w:t>
      </w:r>
    </w:p>
    <w:p>
      <w:pPr>
        <w:spacing w:line="360" w:lineRule="auto"/>
        <w:jc w:val="both"/>
        <w:rPr>
          <w:rFonts w:ascii="Book Antiqua" w:hAnsi="Book Antiqua"/>
        </w:rPr>
      </w:pPr>
      <w:r>
        <w:rPr>
          <w:rFonts w:ascii="Book Antiqua" w:hAnsi="Book Antiqua"/>
        </w:rPr>
        <w:t xml:space="preserve">39 </w:t>
      </w:r>
      <w:r>
        <w:rPr>
          <w:rFonts w:ascii="Book Antiqua" w:hAnsi="Book Antiqua"/>
          <w:b/>
          <w:bCs/>
        </w:rPr>
        <w:t>Rammohan A</w:t>
      </w:r>
      <w:r>
        <w:rPr>
          <w:rFonts w:ascii="Book Antiqua" w:hAnsi="Book Antiqua"/>
        </w:rPr>
        <w:t xml:space="preserve">, Govil S, Vargese J, Kota V, Reddy MS, Rela M. Changing pattern of biliary complications in an evolving liver transplant unit. </w:t>
      </w:r>
      <w:r>
        <w:rPr>
          <w:rFonts w:ascii="Book Antiqua" w:hAnsi="Book Antiqua"/>
          <w:i/>
          <w:iCs/>
        </w:rPr>
        <w:t>Liver Transpl</w:t>
      </w:r>
      <w:r>
        <w:rPr>
          <w:rFonts w:ascii="Book Antiqua" w:hAnsi="Book Antiqua"/>
        </w:rPr>
        <w:t xml:space="preserve"> 2017; </w:t>
      </w:r>
      <w:r>
        <w:rPr>
          <w:rFonts w:ascii="Book Antiqua" w:hAnsi="Book Antiqua"/>
          <w:b/>
          <w:bCs/>
        </w:rPr>
        <w:t>23</w:t>
      </w:r>
      <w:r>
        <w:rPr>
          <w:rFonts w:ascii="Book Antiqua" w:hAnsi="Book Antiqua"/>
        </w:rPr>
        <w:t>: 478-486 [PMID: 28152569 DOI: 10.1002/lt.24736]</w:t>
      </w:r>
    </w:p>
    <w:p>
      <w:pPr>
        <w:spacing w:line="360" w:lineRule="auto"/>
        <w:jc w:val="both"/>
        <w:rPr>
          <w:rFonts w:ascii="Book Antiqua" w:hAnsi="Book Antiqua"/>
        </w:rPr>
      </w:pPr>
      <w:r>
        <w:rPr>
          <w:rFonts w:ascii="Book Antiqua" w:hAnsi="Book Antiqua"/>
        </w:rPr>
        <w:t xml:space="preserve">40 </w:t>
      </w:r>
      <w:r>
        <w:rPr>
          <w:rFonts w:ascii="Book Antiqua" w:hAnsi="Book Antiqua"/>
          <w:b/>
          <w:bCs/>
        </w:rPr>
        <w:t>Daniel K</w:t>
      </w:r>
      <w:r>
        <w:rPr>
          <w:rFonts w:ascii="Book Antiqua" w:hAnsi="Book Antiqua"/>
        </w:rPr>
        <w:t xml:space="preserve">, Said A. Early Biliary complications after liver transplantation. </w:t>
      </w:r>
      <w:r>
        <w:rPr>
          <w:rFonts w:ascii="Book Antiqua" w:hAnsi="Book Antiqua"/>
          <w:i/>
          <w:iCs/>
        </w:rPr>
        <w:t>Clin Liver Dis (Hoboken)</w:t>
      </w:r>
      <w:r>
        <w:rPr>
          <w:rFonts w:ascii="Book Antiqua" w:hAnsi="Book Antiqua"/>
        </w:rPr>
        <w:t xml:space="preserve"> 2017; </w:t>
      </w:r>
      <w:r>
        <w:rPr>
          <w:rFonts w:ascii="Book Antiqua" w:hAnsi="Book Antiqua"/>
          <w:b/>
          <w:bCs/>
        </w:rPr>
        <w:t>10</w:t>
      </w:r>
      <w:r>
        <w:rPr>
          <w:rFonts w:ascii="Book Antiqua" w:hAnsi="Book Antiqua"/>
        </w:rPr>
        <w:t>: 63-67 [PMID: 30992762 DOI: 10.1002/cld.654]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Jeong S</w:t>
      </w:r>
      <w:r>
        <w:rPr>
          <w:rFonts w:ascii="Book Antiqua" w:hAnsi="Book Antiqua"/>
        </w:rPr>
        <w:t xml:space="preserve">, Wang X, Wan P, Sha M, Zhang J, Xia L, Tong Y, Luo Y, Xia Q. Risk factors and survival outcomes of biliary complications after adult-to-adult living donor liver transplantation. </w:t>
      </w:r>
      <w:r>
        <w:rPr>
          <w:rFonts w:ascii="Book Antiqua" w:hAnsi="Book Antiqua"/>
          <w:i/>
          <w:iCs/>
        </w:rPr>
        <w:t>United European Gastroenterol J</w:t>
      </w:r>
      <w:r>
        <w:rPr>
          <w:rFonts w:ascii="Book Antiqua" w:hAnsi="Book Antiqua"/>
        </w:rPr>
        <w:t xml:space="preserve"> 2017; </w:t>
      </w:r>
      <w:r>
        <w:rPr>
          <w:rFonts w:ascii="Book Antiqua" w:hAnsi="Book Antiqua"/>
          <w:b/>
          <w:bCs/>
        </w:rPr>
        <w:t>5</w:t>
      </w:r>
      <w:r>
        <w:rPr>
          <w:rFonts w:ascii="Book Antiqua" w:hAnsi="Book Antiqua"/>
        </w:rPr>
        <w:t>: 997-1006 [PMID: 29163966 DOI: 10.1177/2050640616688994]</w:t>
      </w:r>
    </w:p>
    <w:p>
      <w:pPr>
        <w:spacing w:line="360" w:lineRule="auto"/>
        <w:jc w:val="both"/>
        <w:rPr>
          <w:rFonts w:ascii="Book Antiqua" w:hAnsi="Book Antiqua"/>
        </w:rPr>
      </w:pPr>
      <w:r>
        <w:rPr>
          <w:rFonts w:ascii="Book Antiqua" w:hAnsi="Book Antiqua"/>
        </w:rPr>
        <w:t xml:space="preserve">42 </w:t>
      </w:r>
      <w:r>
        <w:rPr>
          <w:rFonts w:ascii="Book Antiqua" w:hAnsi="Book Antiqua"/>
          <w:b/>
          <w:bCs/>
        </w:rPr>
        <w:t>Kim PT</w:t>
      </w:r>
      <w:r>
        <w:rPr>
          <w:rFonts w:ascii="Book Antiqua" w:hAnsi="Book Antiqua"/>
        </w:rPr>
        <w:t xml:space="preserve">, Fernandez H, Gupta A, Saracino G, Ramsay M, McKenna GJ, Testa G, Anthony T, Onaca N, Ruiz RM, Klintmalm GB. Low Measured Hepatic Artery Flow Increases Rate of Biliary Strictures in Deceased Donor Liver Transplantation: An Age-Dependent Phenomenon. </w:t>
      </w:r>
      <w:r>
        <w:rPr>
          <w:rFonts w:ascii="Book Antiqua" w:hAnsi="Book Antiqua"/>
          <w:i/>
          <w:iCs/>
        </w:rPr>
        <w:t>Transplantation</w:t>
      </w:r>
      <w:r>
        <w:rPr>
          <w:rFonts w:ascii="Book Antiqua" w:hAnsi="Book Antiqua"/>
        </w:rPr>
        <w:t xml:space="preserve"> 2017; </w:t>
      </w:r>
      <w:r>
        <w:rPr>
          <w:rFonts w:ascii="Book Antiqua" w:hAnsi="Book Antiqua"/>
          <w:b/>
          <w:bCs/>
        </w:rPr>
        <w:t>101</w:t>
      </w:r>
      <w:r>
        <w:rPr>
          <w:rFonts w:ascii="Book Antiqua" w:hAnsi="Book Antiqua"/>
        </w:rPr>
        <w:t>: 332-340 [PMID: 27941438 DOI: 10.1097/TP.0000000000001564]</w:t>
      </w:r>
    </w:p>
    <w:p>
      <w:pPr>
        <w:spacing w:line="360" w:lineRule="auto"/>
        <w:jc w:val="both"/>
        <w:rPr>
          <w:rFonts w:ascii="Book Antiqua" w:hAnsi="Book Antiqua"/>
        </w:rPr>
      </w:pPr>
      <w:r>
        <w:rPr>
          <w:rFonts w:ascii="Book Antiqua" w:hAnsi="Book Antiqua"/>
        </w:rPr>
        <w:t xml:space="preserve">43 </w:t>
      </w:r>
      <w:r>
        <w:rPr>
          <w:rFonts w:ascii="Book Antiqua" w:hAnsi="Book Antiqua"/>
          <w:b/>
          <w:bCs/>
        </w:rPr>
        <w:t>Nacif LS,</w:t>
      </w:r>
      <w:r>
        <w:rPr>
          <w:rFonts w:ascii="Book Antiqua" w:hAnsi="Book Antiqua"/>
        </w:rPr>
        <w:t xml:space="preserve"> Ducatti L, Andraus W, D’Albuquerque LC. Hepatic Artery Thrombosis after Orthotopic Liver Transplantation. </w:t>
      </w:r>
      <w:r>
        <w:rPr>
          <w:rFonts w:ascii="Book Antiqua" w:hAnsi="Book Antiqua"/>
          <w:i/>
          <w:iCs/>
        </w:rPr>
        <w:t>Adv Res Gastroentero Hepatol</w:t>
      </w:r>
      <w:r>
        <w:rPr>
          <w:rFonts w:ascii="Book Antiqua" w:hAnsi="Book Antiqua"/>
        </w:rPr>
        <w:t xml:space="preserve"> 2015;</w:t>
      </w:r>
      <w:r>
        <w:rPr>
          <w:rFonts w:ascii="Book Antiqua" w:hAnsi="Book Antiqua"/>
          <w:b/>
          <w:bCs/>
        </w:rPr>
        <w:t xml:space="preserve"> 1</w:t>
      </w:r>
      <w:r>
        <w:rPr>
          <w:rFonts w:ascii="Book Antiqua" w:hAnsi="Book Antiqua"/>
        </w:rPr>
        <w:t>: 555560 [DOI: 10.19080/ARGH.2015.01.555560]</w:t>
      </w:r>
    </w:p>
    <w:p>
      <w:pPr>
        <w:spacing w:line="360" w:lineRule="auto"/>
        <w:jc w:val="both"/>
        <w:rPr>
          <w:rFonts w:ascii="Book Antiqua" w:hAnsi="Book Antiqua"/>
        </w:rPr>
      </w:pPr>
      <w:r>
        <w:rPr>
          <w:rFonts w:ascii="Book Antiqua" w:hAnsi="Book Antiqua"/>
        </w:rPr>
        <w:t xml:space="preserve">44 </w:t>
      </w:r>
      <w:r>
        <w:rPr>
          <w:rFonts w:ascii="Book Antiqua" w:hAnsi="Book Antiqua"/>
          <w:b/>
          <w:bCs/>
        </w:rPr>
        <w:t>Mocchegiani F</w:t>
      </w:r>
      <w:r>
        <w:rPr>
          <w:rFonts w:ascii="Book Antiqua" w:hAnsi="Book Antiqua"/>
        </w:rPr>
        <w:t xml:space="preserve">, Vincenzi P, Lanari J, Montalti R, Nicolini D, Svegliati Baroni G, Risaliti A, Vivarelli M. Immunological risk factors in biliary strictures after liver transplantation. </w:t>
      </w:r>
      <w:r>
        <w:rPr>
          <w:rFonts w:ascii="Book Antiqua" w:hAnsi="Book Antiqua"/>
          <w:i/>
          <w:iCs/>
        </w:rPr>
        <w:t>Ann Transplant</w:t>
      </w:r>
      <w:r>
        <w:rPr>
          <w:rFonts w:ascii="Book Antiqua" w:hAnsi="Book Antiqua"/>
        </w:rPr>
        <w:t xml:space="preserve"> 2015; </w:t>
      </w:r>
      <w:r>
        <w:rPr>
          <w:rFonts w:ascii="Book Antiqua" w:hAnsi="Book Antiqua"/>
          <w:b/>
          <w:bCs/>
        </w:rPr>
        <w:t>20</w:t>
      </w:r>
      <w:r>
        <w:rPr>
          <w:rFonts w:ascii="Book Antiqua" w:hAnsi="Book Antiqua"/>
        </w:rPr>
        <w:t>: 218-224 [PMID: 25892243 DOI: 10.12659/AOT.892393]</w:t>
      </w:r>
    </w:p>
    <w:p>
      <w:pPr>
        <w:spacing w:line="360" w:lineRule="auto"/>
        <w:jc w:val="both"/>
        <w:rPr>
          <w:rFonts w:ascii="Book Antiqua" w:hAnsi="Book Antiqua"/>
        </w:rPr>
      </w:pPr>
      <w:r>
        <w:rPr>
          <w:rFonts w:ascii="Book Antiqua" w:hAnsi="Book Antiqua"/>
        </w:rPr>
        <w:t xml:space="preserve">45 </w:t>
      </w:r>
      <w:r>
        <w:rPr>
          <w:rFonts w:ascii="Book Antiqua" w:hAnsi="Book Antiqua"/>
          <w:b/>
          <w:bCs/>
        </w:rPr>
        <w:t>Koukoulis GK</w:t>
      </w:r>
      <w:r>
        <w:rPr>
          <w:rFonts w:ascii="Book Antiqua" w:hAnsi="Book Antiqua"/>
        </w:rPr>
        <w:t xml:space="preserve">, Shen J, Karademir S, Jensen D, Williams J. Cholangiocytic apoptosis in chronic ductopenic rejection. </w:t>
      </w:r>
      <w:r>
        <w:rPr>
          <w:rFonts w:ascii="Book Antiqua" w:hAnsi="Book Antiqua"/>
          <w:i/>
          <w:iCs/>
        </w:rPr>
        <w:t>Hum Pathol</w:t>
      </w:r>
      <w:r>
        <w:rPr>
          <w:rFonts w:ascii="Book Antiqua" w:hAnsi="Book Antiqua"/>
        </w:rPr>
        <w:t xml:space="preserve"> 2001; </w:t>
      </w:r>
      <w:r>
        <w:rPr>
          <w:rFonts w:ascii="Book Antiqua" w:hAnsi="Book Antiqua"/>
          <w:b/>
          <w:bCs/>
        </w:rPr>
        <w:t>32</w:t>
      </w:r>
      <w:r>
        <w:rPr>
          <w:rFonts w:ascii="Book Antiqua" w:hAnsi="Book Antiqua"/>
        </w:rPr>
        <w:t>: 823-827 [PMID: 11521226 DOI: 10.1053/hupa.2001.26465]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Tannuri AC</w:t>
      </w:r>
      <w:r>
        <w:rPr>
          <w:rFonts w:ascii="Book Antiqua" w:hAnsi="Book Antiqua"/>
        </w:rPr>
        <w:t xml:space="preserve">, Lima F, Mello ES, Tanigawa RY, Tannuri U. Prognostic factors for the evolution and reversibility of chronic rejection in pediatric liver transplantation. </w:t>
      </w:r>
      <w:r>
        <w:rPr>
          <w:rFonts w:ascii="Book Antiqua" w:hAnsi="Book Antiqua"/>
          <w:i/>
          <w:iCs/>
        </w:rPr>
        <w:t>Clinics (Sao Paulo)</w:t>
      </w:r>
      <w:r>
        <w:rPr>
          <w:rFonts w:ascii="Book Antiqua" w:hAnsi="Book Antiqua"/>
        </w:rPr>
        <w:t xml:space="preserve"> 2016; </w:t>
      </w:r>
      <w:r>
        <w:rPr>
          <w:rFonts w:ascii="Book Antiqua" w:hAnsi="Book Antiqua"/>
          <w:b/>
          <w:bCs/>
        </w:rPr>
        <w:t>71</w:t>
      </w:r>
      <w:r>
        <w:rPr>
          <w:rFonts w:ascii="Book Antiqua" w:hAnsi="Book Antiqua"/>
        </w:rPr>
        <w:t>: 216-220 [PMID: 27166772 DOI: 10.6061/clinics/2016(04)07]</w:t>
      </w:r>
    </w:p>
    <w:p>
      <w:pPr>
        <w:spacing w:line="360" w:lineRule="auto"/>
        <w:jc w:val="both"/>
        <w:rPr>
          <w:rFonts w:ascii="Book Antiqua" w:hAnsi="Book Antiqua"/>
        </w:rPr>
      </w:pPr>
      <w:r>
        <w:rPr>
          <w:rFonts w:ascii="Book Antiqua" w:hAnsi="Book Antiqua"/>
        </w:rPr>
        <w:t xml:space="preserve">47 </w:t>
      </w:r>
      <w:r>
        <w:rPr>
          <w:rFonts w:ascii="Book Antiqua" w:hAnsi="Book Antiqua"/>
          <w:b/>
          <w:bCs/>
        </w:rPr>
        <w:t>Horster S</w:t>
      </w:r>
      <w:r>
        <w:rPr>
          <w:rFonts w:ascii="Book Antiqua" w:hAnsi="Book Antiqua"/>
        </w:rPr>
        <w:t xml:space="preserve">, Bäuerlein FJ, Mandel P, Raziorrouh B, Hopf C, Stemmler HJ, Guba M, Angele M, Stangl M, Rentsch M, Frey L, Kaspar M, Kaczmarek I, Eberle J, Nickel T, Gruener N, Zachoval R, Diepolder H. Influence of hepatitis C virus infection and high virus serum load on biliary complications in liver transplantation. </w:t>
      </w:r>
      <w:r>
        <w:rPr>
          <w:rFonts w:ascii="Book Antiqua" w:hAnsi="Book Antiqua"/>
          <w:i/>
          <w:iCs/>
        </w:rPr>
        <w:t>Transpl Infect Dis</w:t>
      </w:r>
      <w:r>
        <w:rPr>
          <w:rFonts w:ascii="Book Antiqua" w:hAnsi="Book Antiqua"/>
        </w:rPr>
        <w:t xml:space="preserve"> 2013; </w:t>
      </w:r>
      <w:r>
        <w:rPr>
          <w:rFonts w:ascii="Book Antiqua" w:hAnsi="Book Antiqua"/>
          <w:b/>
          <w:bCs/>
        </w:rPr>
        <w:t>15</w:t>
      </w:r>
      <w:r>
        <w:rPr>
          <w:rFonts w:ascii="Book Antiqua" w:hAnsi="Book Antiqua"/>
        </w:rPr>
        <w:t>: 306-313 [PMID: 23489913 DOI: 10.1111/tid.12069]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Huesing-Kabar A</w:t>
      </w:r>
      <w:r>
        <w:rPr>
          <w:rFonts w:ascii="Book Antiqua" w:hAnsi="Book Antiqua"/>
        </w:rPr>
        <w:t xml:space="preserve">, Dohna CZ, Heinzow H, Cicinnati VR, Beckebaum S, Schmidt M, Gerth HU, Pohlen M, Wilms C, Palmes D, Schmidt HH, Kabar I. Risk factors for allograft failure in liver transplant recipients. </w:t>
      </w:r>
      <w:r>
        <w:rPr>
          <w:rFonts w:ascii="Book Antiqua" w:hAnsi="Book Antiqua"/>
          <w:i/>
          <w:iCs/>
        </w:rPr>
        <w:t>Z Gastroenterol</w:t>
      </w:r>
      <w:r>
        <w:rPr>
          <w:rFonts w:ascii="Book Antiqua" w:hAnsi="Book Antiqua"/>
        </w:rPr>
        <w:t xml:space="preserve"> 2018; </w:t>
      </w:r>
      <w:r>
        <w:rPr>
          <w:rFonts w:ascii="Book Antiqua" w:hAnsi="Book Antiqua"/>
          <w:b/>
          <w:bCs/>
        </w:rPr>
        <w:t>56</w:t>
      </w:r>
      <w:r>
        <w:rPr>
          <w:rFonts w:ascii="Book Antiqua" w:hAnsi="Book Antiqua"/>
        </w:rPr>
        <w:t>: 745-751 [PMID: 29341040 DOI: 10.1055/s-0043-125225]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Egeli T</w:t>
      </w:r>
      <w:r>
        <w:rPr>
          <w:rFonts w:ascii="Book Antiqua" w:hAnsi="Book Antiqua"/>
        </w:rPr>
        <w:t xml:space="preserve">, Unek T, Ağalar C, Derici S, Ozbilgin M, Akarasu M, Bacakoglu A, Ellidokuz H, Astarcıoglu I. Analysis of Causes and Risk Factors for Late Mortality After Liver Transplant: How Can We Obtain Better Long-Term Survival? </w:t>
      </w:r>
      <w:r>
        <w:rPr>
          <w:rFonts w:ascii="Book Antiqua" w:hAnsi="Book Antiqua"/>
          <w:i/>
          <w:iCs/>
        </w:rPr>
        <w:t>Exp Clin Transplant</w:t>
      </w:r>
      <w:r>
        <w:rPr>
          <w:rFonts w:ascii="Book Antiqua" w:hAnsi="Book Antiqua"/>
        </w:rPr>
        <w:t xml:space="preserve"> 2020; </w:t>
      </w:r>
      <w:r>
        <w:rPr>
          <w:rFonts w:ascii="Book Antiqua" w:hAnsi="Book Antiqua"/>
          <w:b/>
          <w:bCs/>
        </w:rPr>
        <w:t>18</w:t>
      </w:r>
      <w:r>
        <w:rPr>
          <w:rFonts w:ascii="Book Antiqua" w:hAnsi="Book Antiqua"/>
        </w:rPr>
        <w:t>: 182-187 [PMID: 29863452 DOI: 10.6002/ect.2017.0346]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Mathur AK</w:t>
      </w:r>
      <w:r>
        <w:rPr>
          <w:rFonts w:ascii="Book Antiqua" w:hAnsi="Book Antiqua"/>
        </w:rPr>
        <w:t xml:space="preserve">, Nadig SN, Kingman S, Lee D, Kinkade K, Sonnenday CJ, Welling TH. Internal biliary stenting during orthotopic liver transplantation: anastomotic complications, post-transplant biliary interventions, and survival. </w:t>
      </w:r>
      <w:r>
        <w:rPr>
          <w:rFonts w:ascii="Book Antiqua" w:hAnsi="Book Antiqua"/>
          <w:i/>
          <w:iCs/>
        </w:rPr>
        <w:t>Clin Transplant</w:t>
      </w:r>
      <w:r>
        <w:rPr>
          <w:rFonts w:ascii="Book Antiqua" w:hAnsi="Book Antiqua"/>
        </w:rPr>
        <w:t xml:space="preserve"> 2015; </w:t>
      </w:r>
      <w:r>
        <w:rPr>
          <w:rFonts w:ascii="Book Antiqua" w:hAnsi="Book Antiqua"/>
          <w:b/>
          <w:bCs/>
        </w:rPr>
        <w:t>29</w:t>
      </w:r>
      <w:r>
        <w:rPr>
          <w:rFonts w:ascii="Book Antiqua" w:hAnsi="Book Antiqua"/>
        </w:rPr>
        <w:t>: 327-335 [PMID: 25604635 DOI: 10.1111/ctr.12518]</w:t>
      </w:r>
    </w:p>
    <w:p>
      <w:pPr>
        <w:spacing w:line="360" w:lineRule="auto"/>
        <w:jc w:val="both"/>
        <w:rPr>
          <w:rFonts w:ascii="Book Antiqua" w:hAnsi="Book Antiqua"/>
        </w:rPr>
      </w:pPr>
      <w:r>
        <w:rPr>
          <w:rFonts w:ascii="Book Antiqua" w:hAnsi="Book Antiqua"/>
        </w:rPr>
        <w:t xml:space="preserve">51 </w:t>
      </w:r>
      <w:r>
        <w:rPr>
          <w:rFonts w:ascii="Book Antiqua" w:hAnsi="Book Antiqua"/>
          <w:b/>
          <w:bCs/>
        </w:rPr>
        <w:t>Berge E</w:t>
      </w:r>
      <w:r>
        <w:rPr>
          <w:rFonts w:ascii="Book Antiqua" w:hAnsi="Book Antiqua"/>
        </w:rPr>
        <w:t xml:space="preserve">, Otón E, Reina Z, Díaz L, Márquez A, Cejas L, Acosta S, Pérez F. Predictors of Poor Prognosis in Recurrent Hepatitis C After Liver Transplantation. </w:t>
      </w:r>
      <w:r>
        <w:rPr>
          <w:rFonts w:ascii="Book Antiqua" w:hAnsi="Book Antiqua"/>
          <w:i/>
          <w:iCs/>
        </w:rPr>
        <w:t>Transplant Proc</w:t>
      </w:r>
      <w:r>
        <w:rPr>
          <w:rFonts w:ascii="Book Antiqua" w:hAnsi="Book Antiqua"/>
        </w:rPr>
        <w:t xml:space="preserve"> 2016; </w:t>
      </w:r>
      <w:r>
        <w:rPr>
          <w:rFonts w:ascii="Book Antiqua" w:hAnsi="Book Antiqua"/>
          <w:b/>
          <w:bCs/>
        </w:rPr>
        <w:t>48</w:t>
      </w:r>
      <w:r>
        <w:rPr>
          <w:rFonts w:ascii="Book Antiqua" w:hAnsi="Book Antiqua"/>
        </w:rPr>
        <w:t>: 2997-2999 [PMID: 27932129 DOI: 10.1016/j.transproceed.2016.07.043]</w:t>
      </w:r>
    </w:p>
    <w:p>
      <w:pPr>
        <w:spacing w:line="360" w:lineRule="auto"/>
        <w:jc w:val="both"/>
        <w:rPr>
          <w:rFonts w:ascii="Book Antiqua" w:hAnsi="Book Antiqua"/>
        </w:rPr>
      </w:pPr>
      <w:r>
        <w:rPr>
          <w:rFonts w:ascii="Book Antiqua" w:hAnsi="Book Antiqua"/>
        </w:rPr>
        <w:t xml:space="preserve">52 </w:t>
      </w:r>
      <w:r>
        <w:rPr>
          <w:rFonts w:ascii="Book Antiqua" w:hAnsi="Book Antiqua"/>
          <w:b/>
          <w:bCs/>
        </w:rPr>
        <w:t>Shiba H</w:t>
      </w:r>
      <w:r>
        <w:rPr>
          <w:rFonts w:ascii="Book Antiqua" w:hAnsi="Book Antiqua"/>
        </w:rPr>
        <w:t xml:space="preserve">, Hashimoto K, Kelly D, Fujiki M, Quintini C, Aucejo F, Uso TD, Yerian L, Yanaga K, Matsushima M, Eghtesad B, Fung J, Miller C. Risk stratification of allograft failure secondary to hepatitis C recurrence after liver transplantation.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1099-1106 [PMID: 26833562 DOI: 10.1111/hepr.12661]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Llovet LP</w:t>
      </w:r>
      <w:r>
        <w:rPr>
          <w:rFonts w:ascii="Book Antiqua" w:hAnsi="Book Antiqua"/>
        </w:rPr>
        <w:t xml:space="preserve">, Sciarrone S, Rodríguez-Tajes S, Montironi C, Mescoli C, Rugge M, Crespo G, Burra P, Forns X, Diaz A, Londoño MC. Ductular reaction and hepatocyte ballooning identify patients with fibrosing cholestatic hepatitits after liver transplantation. </w:t>
      </w:r>
      <w:r>
        <w:rPr>
          <w:rFonts w:ascii="Book Antiqua" w:hAnsi="Book Antiqua"/>
          <w:i/>
          <w:iCs/>
        </w:rPr>
        <w:t>Gastroenterol Hepatol</w:t>
      </w:r>
      <w:r>
        <w:rPr>
          <w:rFonts w:ascii="Book Antiqua" w:hAnsi="Book Antiqua"/>
        </w:rPr>
        <w:t xml:space="preserve"> 2020; </w:t>
      </w:r>
      <w:r>
        <w:rPr>
          <w:rFonts w:ascii="Book Antiqua" w:hAnsi="Book Antiqua"/>
          <w:b/>
          <w:bCs/>
        </w:rPr>
        <w:t>43</w:t>
      </w:r>
      <w:r>
        <w:rPr>
          <w:rFonts w:ascii="Book Antiqua" w:hAnsi="Book Antiqua"/>
        </w:rPr>
        <w:t>: 14-21 [PMID: 31495536 DOI: 10.1016/j.gastrohep.2019.07.006]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Takagi K</w:t>
      </w:r>
      <w:r>
        <w:rPr>
          <w:rFonts w:ascii="Book Antiqua" w:hAnsi="Book Antiqua"/>
        </w:rPr>
        <w:t xml:space="preserve">, Domagala P, Polak WG, Ijzermans JNM, Boehnert MU. Right posterior segment graft for living donor liver transplantation: A systematic review. </w:t>
      </w:r>
      <w:r>
        <w:rPr>
          <w:rFonts w:ascii="Book Antiqua" w:hAnsi="Book Antiqua"/>
          <w:i/>
          <w:iCs/>
        </w:rPr>
        <w:t>Transplant Rev (Orlando)</w:t>
      </w:r>
      <w:r>
        <w:rPr>
          <w:rFonts w:ascii="Book Antiqua" w:hAnsi="Book Antiqua"/>
        </w:rPr>
        <w:t xml:space="preserve"> 2020; </w:t>
      </w:r>
      <w:r>
        <w:rPr>
          <w:rFonts w:ascii="Book Antiqua" w:hAnsi="Book Antiqua"/>
          <w:b/>
          <w:bCs/>
        </w:rPr>
        <w:t>34</w:t>
      </w:r>
      <w:r>
        <w:rPr>
          <w:rFonts w:ascii="Book Antiqua" w:hAnsi="Book Antiqua"/>
        </w:rPr>
        <w:t>: 100510 [PMID: 31495539 DOI: 10.1016/j.trre.2019.100510]</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Institutional review board statement: </w:t>
      </w:r>
      <w:r>
        <w:rPr>
          <w:rFonts w:ascii="Book Antiqua" w:hAnsi="Book Antiqua" w:eastAsia="Book Antiqua" w:cs="Book Antiqua"/>
          <w:color w:val="000000"/>
        </w:rPr>
        <w:t xml:space="preserve">The study was reviewed and approved by the institutional review board of Faculty of Medicine, Ain Shams University, Cairo, Egypt. </w:t>
      </w:r>
    </w:p>
    <w:p>
      <w:pPr>
        <w:spacing w:line="360" w:lineRule="auto"/>
        <w:jc w:val="both"/>
      </w:pPr>
    </w:p>
    <w:p>
      <w:pPr>
        <w:spacing w:line="360" w:lineRule="auto"/>
        <w:jc w:val="both"/>
      </w:pPr>
      <w:r>
        <w:rPr>
          <w:rFonts w:ascii="Book Antiqua" w:hAnsi="Book Antiqua" w:eastAsia="Book Antiqua" w:cs="Book Antiqua"/>
          <w:b/>
          <w:bCs/>
          <w:color w:val="000000"/>
          <w:szCs w:val="22"/>
        </w:rPr>
        <w:t>Informed consent statement:</w:t>
      </w:r>
      <w:r>
        <w:rPr>
          <w:rFonts w:ascii="Book Antiqua" w:hAnsi="Book Antiqua" w:eastAsia="Book Antiqua" w:cs="Book Antiqua"/>
          <w:color w:val="000000"/>
          <w:szCs w:val="22"/>
        </w:rPr>
        <w:t xml:space="preserve"> Informed consent statement w</w:t>
      </w:r>
      <w:r>
        <w:rPr>
          <w:rFonts w:ascii="Book Antiqua" w:hAnsi="Book Antiqua" w:eastAsia="Book Antiqua" w:cs="Book Antiqua"/>
          <w:color w:val="000000"/>
        </w:rPr>
        <w:t xml:space="preserve">as waived due to the retrospective nature of the study. </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have nothing to disclose.</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Data sharing statement: </w:t>
      </w:r>
      <w:r>
        <w:rPr>
          <w:rFonts w:ascii="Book Antiqua" w:hAnsi="Book Antiqua" w:eastAsia="Book Antiqua" w:cs="Book Antiqua"/>
          <w:color w:val="000000"/>
        </w:rPr>
        <w:t>The statistical code and dataset are available from the corresponding author at ghadaabdelrahman@med.asu.edu.eg</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9,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24,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Egypt</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lee Y, Ou HY, zhang W</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color w:val="000000"/>
        </w:rPr>
        <w:t>Wu YXJ</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drawing>
          <wp:inline distT="0" distB="0" distL="0" distR="0">
            <wp:extent cx="5264785" cy="23647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4825" cy="2365130"/>
                    </a:xfrm>
                    <a:prstGeom prst="rect">
                      <a:avLst/>
                    </a:prstGeom>
                    <a:noFill/>
                    <a:ln>
                      <a:noFill/>
                    </a:ln>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Flow chart of study cohort</w:t>
      </w:r>
      <w:r>
        <w:rPr>
          <w:rFonts w:hint="eastAsia" w:ascii="Book Antiqua" w:hAnsi="Book Antiqua" w:cs="Book Antiqua"/>
          <w:b/>
          <w:color w:val="000000"/>
          <w:lang w:eastAsia="zh-CN"/>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LT: Liver transplantation; PBC: Primary biliary cholangitis; PSC: Primary sclerosing cholangitis.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3789045" cy="3168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89485" cy="3169104"/>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Forest plot for risk factors for biliary strictures.</w:t>
      </w:r>
      <w:r>
        <w:rPr>
          <w:rFonts w:ascii="Book Antiqua" w:hAnsi="Book Antiqua" w:eastAsia="Book Antiqua" w:cs="Book Antiqua"/>
          <w:color w:val="000000"/>
        </w:rPr>
        <w:t xml:space="preserve"> HCV: Hepatitis C virus.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5943600" cy="2808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943600" cy="280860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w:t>
      </w:r>
      <w:r>
        <w:rPr>
          <w:rFonts w:ascii="Book Antiqua" w:hAnsi="Book Antiqua" w:eastAsia="Book Antiqua" w:cs="Book Antiqua"/>
          <w:b/>
          <w:bCs/>
        </w:rPr>
        <w:t xml:space="preserve">ure 3 </w:t>
      </w:r>
      <w:r>
        <w:rPr>
          <w:rFonts w:ascii="Book Antiqua" w:hAnsi="Book Antiqua" w:eastAsia="Book Antiqua" w:cs="Book Antiqua"/>
          <w:b/>
        </w:rPr>
        <w:t xml:space="preserve">Incidence of chronic graft rejection according to the occurrence of biliary strictures (A) and biliary infections (B).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5943600" cy="1973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943600" cy="197358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drawing>
          <wp:inline distT="0" distB="0" distL="0" distR="0">
            <wp:extent cx="5943600" cy="20148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943600" cy="2014855"/>
                    </a:xfrm>
                    <a:prstGeom prst="rect">
                      <a:avLst/>
                    </a:prstGeom>
                  </pic:spPr>
                </pic:pic>
              </a:graphicData>
            </a:graphic>
          </wp:inline>
        </w:drawing>
      </w:r>
    </w:p>
    <w:p>
      <w:pPr>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Figure 4</w:t>
      </w:r>
      <w:r>
        <w:rPr>
          <w:rFonts w:ascii="Book Antiqua" w:hAnsi="Book Antiqua" w:eastAsia="Book Antiqua" w:cs="Book Antiqua"/>
          <w:b/>
          <w:color w:val="000000"/>
        </w:rPr>
        <w:t xml:space="preserve"> Kaplan-Meier curves. </w:t>
      </w:r>
      <w:r>
        <w:rPr>
          <w:rFonts w:ascii="Book Antiqua" w:hAnsi="Book Antiqua" w:eastAsia="Book Antiqua" w:cs="Book Antiqua"/>
          <w:bCs/>
          <w:color w:val="000000"/>
        </w:rPr>
        <w:t xml:space="preserve">A-C: The curves showing the probability of chronic graft rejection in patients regarding the occurrence (A), timing (B), and frequency (C) of biliary infection; D-F: The curves showing the probability of chronic graft rejection in patients regarding the occurrence (D), timing (E), and frequency (F) of biliary strictures. </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5943600" cy="2819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943600" cy="2819400"/>
                    </a:xfrm>
                    <a:prstGeom prst="rect">
                      <a:avLst/>
                    </a:prstGeom>
                  </pic:spPr>
                </pic:pic>
              </a:graphicData>
            </a:graphic>
          </wp:inline>
        </w:drawing>
      </w:r>
    </w:p>
    <w:p>
      <w:pPr>
        <w:spacing w:line="360" w:lineRule="auto"/>
        <w:jc w:val="both"/>
        <w:rPr>
          <w:rFonts w:ascii="Book Antiqua" w:hAnsi="Book Antiqua" w:eastAsia="Book Antiqua" w:cs="Book Antiqua"/>
          <w:b/>
        </w:rPr>
      </w:pPr>
      <w:r>
        <w:rPr>
          <w:rFonts w:ascii="Book Antiqua" w:hAnsi="Book Antiqua" w:eastAsia="Book Antiqua" w:cs="Book Antiqua"/>
          <w:b/>
          <w:bCs/>
          <w:color w:val="000000"/>
        </w:rPr>
        <w:t>Figu</w:t>
      </w:r>
      <w:r>
        <w:rPr>
          <w:rFonts w:ascii="Book Antiqua" w:hAnsi="Book Antiqua" w:eastAsia="Book Antiqua" w:cs="Book Antiqua"/>
          <w:b/>
          <w:bCs/>
        </w:rPr>
        <w:t xml:space="preserve">re 5 </w:t>
      </w:r>
      <w:r>
        <w:rPr>
          <w:rFonts w:ascii="Book Antiqua" w:hAnsi="Book Antiqua" w:eastAsia="Book Antiqua" w:cs="Book Antiqua"/>
          <w:b/>
        </w:rPr>
        <w:t xml:space="preserve">Incidence of graft failure according to the occurrence of biliary infections (A) and biliary leakage (B). </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5943600" cy="23698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943600" cy="2369820"/>
                    </a:xfrm>
                    <a:prstGeom prst="rect">
                      <a:avLst/>
                    </a:prstGeom>
                  </pic:spPr>
                </pic:pic>
              </a:graphicData>
            </a:graphic>
          </wp:inline>
        </w:drawing>
      </w:r>
    </w:p>
    <w:p>
      <w:pPr>
        <w:spacing w:line="360" w:lineRule="auto"/>
        <w:jc w:val="both"/>
        <w:rPr>
          <w:rFonts w:ascii="Book Antiqua" w:hAnsi="Book Antiqua" w:eastAsia="Book Antiqua" w:cs="Book Antiqua"/>
          <w:bCs/>
          <w:color w:val="000000"/>
        </w:rPr>
      </w:pPr>
      <w:r>
        <w:rPr>
          <w:rFonts w:ascii="Book Antiqua" w:hAnsi="Book Antiqua" w:eastAsia="Book Antiqua" w:cs="Book Antiqua"/>
          <w:b/>
          <w:bCs/>
          <w:color w:val="000000"/>
        </w:rPr>
        <w:t>Figure 6</w:t>
      </w:r>
      <w:r>
        <w:rPr>
          <w:rFonts w:ascii="Book Antiqua" w:hAnsi="Book Antiqua" w:eastAsia="Book Antiqua" w:cs="Book Antiqua"/>
          <w:b/>
          <w:color w:val="000000"/>
        </w:rPr>
        <w:t xml:space="preserve"> Kaplan-Meier curves. </w:t>
      </w:r>
      <w:r>
        <w:rPr>
          <w:rFonts w:ascii="Book Antiqua" w:hAnsi="Book Antiqua" w:eastAsia="Book Antiqua" w:cs="Book Antiqua"/>
          <w:bCs/>
          <w:color w:val="000000"/>
        </w:rPr>
        <w:t>The curves showing the probability of graft failure in patients regarding the occurrence of biliary infection (A) and large bile leaks as indicated by pigtail insertion (B).</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drawing>
          <wp:inline distT="0" distB="0" distL="0" distR="0">
            <wp:extent cx="5177155" cy="27031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177353" cy="2703729"/>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 xml:space="preserve">Figure 7 </w:t>
      </w:r>
      <w:r>
        <w:rPr>
          <w:rFonts w:ascii="Book Antiqua" w:hAnsi="Book Antiqua" w:eastAsia="Book Antiqua" w:cs="Book Antiqua"/>
          <w:b/>
          <w:color w:val="000000"/>
        </w:rPr>
        <w:t xml:space="preserve">Mortality rate in patients with or without resolution of recurrent </w:t>
      </w:r>
      <w:r>
        <w:rPr>
          <w:rFonts w:ascii="Book Antiqua" w:hAnsi="Book Antiqua" w:eastAsia="Book Antiqua" w:cs="Book Antiqua"/>
          <w:b/>
          <w:bCs/>
          <w:color w:val="000000"/>
        </w:rPr>
        <w:t>hepatitis C virus</w:t>
      </w:r>
      <w:r>
        <w:rPr>
          <w:rFonts w:ascii="Book Antiqua" w:hAnsi="Book Antiqua" w:eastAsia="Book Antiqua" w:cs="Book Antiqua"/>
          <w:b/>
          <w:color w:val="000000"/>
        </w:rPr>
        <w:t xml:space="preserve"> in patient with biliary stricture. </w:t>
      </w:r>
      <w:r>
        <w:rPr>
          <w:rFonts w:ascii="Book Antiqua" w:hAnsi="Book Antiqua" w:eastAsia="Book Antiqua" w:cs="Book Antiqua"/>
          <w:bCs/>
          <w:color w:val="000000"/>
        </w:rPr>
        <w:t>HCV: Hepatitis C virus.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drawing>
          <wp:inline distT="0" distB="0" distL="0" distR="0">
            <wp:extent cx="4381500" cy="3390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4381880" cy="3391194"/>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8</w:t>
      </w:r>
      <w:r>
        <w:rPr>
          <w:rFonts w:ascii="Book Antiqua" w:hAnsi="Book Antiqua" w:eastAsia="Book Antiqua" w:cs="Book Antiqua"/>
          <w:b/>
          <w:color w:val="000000"/>
        </w:rPr>
        <w:t xml:space="preserve"> Kaplan-Meier curves showing the survival probability of patients with resolved or unresolved </w:t>
      </w:r>
      <w:r>
        <w:rPr>
          <w:rFonts w:ascii="Book Antiqua" w:hAnsi="Book Antiqua" w:eastAsia="Book Antiqua" w:cs="Book Antiqua"/>
          <w:b/>
          <w:bCs/>
          <w:color w:val="000000"/>
        </w:rPr>
        <w:t>hepatitis C virus.</w:t>
      </w:r>
      <w:r>
        <w:rPr>
          <w:rFonts w:ascii="Book Antiqua" w:hAnsi="Book Antiqua" w:eastAsia="Book Antiqua" w:cs="Book Antiqua"/>
          <w:bCs/>
          <w:color w:val="000000"/>
        </w:rPr>
        <w:t xml:space="preserve"> HCV: Hepatitis C virus.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Times New Roman"/>
          <w:b/>
          <w:bCs/>
          <w:lang w:val="en-US"/>
        </w:rPr>
        <w:t xml:space="preserve">Table 1 </w:t>
      </w:r>
      <w:r>
        <w:rPr>
          <w:rFonts w:ascii="Book Antiqua" w:hAnsi="Book Antiqua" w:eastAsia="Times New Roman"/>
          <w:b/>
          <w:bCs/>
          <w:lang w:val="en-US" w:bidi="ar-EG"/>
        </w:rPr>
        <w:t>Descriptive categorical data for the whole study population</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1"/>
        <w:gridCol w:w="4859"/>
        <w:gridCol w:w="3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tcBorders>
              <w:top w:val="single" w:color="auto" w:sz="4" w:space="0"/>
              <w:bottom w:val="single" w:color="auto" w:sz="4" w:space="0"/>
            </w:tcBorders>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Variable</w:t>
            </w:r>
          </w:p>
        </w:tc>
        <w:tc>
          <w:tcPr>
            <w:tcW w:w="1844" w:type="pct"/>
            <w:tcBorders>
              <w:top w:val="single" w:color="auto" w:sz="4" w:space="0"/>
              <w:bottom w:val="single" w:color="auto" w:sz="4" w:space="0"/>
            </w:tcBorders>
          </w:tcPr>
          <w:p>
            <w:pPr>
              <w:spacing w:line="360" w:lineRule="auto"/>
              <w:jc w:val="both"/>
              <w:rPr>
                <w:rFonts w:ascii="Book Antiqua" w:hAnsi="Book Antiqua" w:eastAsia="Times New Roman" w:cs="Times New Roman"/>
                <w:b/>
                <w:bCs/>
                <w:lang w:bidi="ar-EG"/>
              </w:rPr>
            </w:pPr>
          </w:p>
        </w:tc>
        <w:tc>
          <w:tcPr>
            <w:tcW w:w="1152"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w:t>
            </w:r>
            <w:r>
              <w:rPr>
                <w:rFonts w:ascii="Book Antiqua" w:hAnsi="Book Antiqua" w:eastAsia="Times New Roman" w:cs="Times New Roman"/>
                <w:bCs/>
                <w:lang w:bidi="ar-EG"/>
              </w:rPr>
              <w:t>(%</w:t>
            </w:r>
            <w:r>
              <w:rPr>
                <w:rFonts w:ascii="Book Antiqua" w:hAnsi="Book Antiqua" w:eastAsia="Times New Roman" w:cs="Times New Roman"/>
                <w:b/>
                <w:bCs/>
                <w:lang w:bidi="ar-EG"/>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tcBorders>
              <w:top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Etiology of cirrhosis</w:t>
            </w:r>
          </w:p>
        </w:tc>
        <w:tc>
          <w:tcPr>
            <w:tcW w:w="1844" w:type="pct"/>
            <w:tcBorders>
              <w:top w:val="single" w:color="auto" w:sz="4" w:space="0"/>
            </w:tcBorders>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w:t>
            </w:r>
          </w:p>
        </w:tc>
        <w:tc>
          <w:tcPr>
            <w:tcW w:w="1152" w:type="pct"/>
            <w:tcBorders>
              <w:top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148 (87.6)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HBV</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Combined HCV &amp; HBV</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Others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Hepatocellular carcinoma</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109 (64.5)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 (35.5)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Donors’ gender</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Male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141 (83.4)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Female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Recipients’ gender</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Male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150 (88.8)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Female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 (11.2)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 PCR viremia prior to transplantation</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Negative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33 (19.52)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Below 200 000 IU</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59 (34.91)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200000 to 2 million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69 (40.82)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More than 2 million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Antiviral treatment for HCV prior to transplantation</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138 (81.7)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31 (18.3)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Arterial complications</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155 (91.7)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anastomosis</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Anastomosis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109 (64.5)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Anastomosis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57 (33.7)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Anastomosis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ducts</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Duct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78 (46.2)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Ducts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78 (46.2)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Ducts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Ducts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stents introduced at surgery</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Stent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71 (42)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Stents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79 (46.7)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Stents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 (6.5)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Stents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Immunosuppressant</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xml:space="preserve">Tacrolimus </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118 (69.8)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Cyclosporine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51 (30.2)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leakage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114 (67.5)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55 (32.5)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Need of pigtail catheter for biloma</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46 (83.6)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 (16.4)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xml:space="preserve">Biliary infection </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72 (42.6)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97 (57.4)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biliary infection</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Episodes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84 (49.7)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Episodes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stricture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109 (64.5)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 (35.5)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biliary stricture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Episodes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43 (25.4)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Episodes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 (10.1)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Need for ERCP</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109 (64.5)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 (35.5)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ERCP</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ERCP</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42 (24.9)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ERCP</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18 (10.7)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Need for PTC</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161 (95.3)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PTC</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PTC</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PTC</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Surgical intervention for stricture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168 (99.4)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 PCR during occurrence of stricture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Negative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Below 200 000 IU</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200000 to 2 million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 (31.7)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More than 2 million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 (18.3)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 antiviral treatment in relation to stricture diagnosis</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No treatment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Before stricture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During occurrence of stricture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After stricture</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Admission related to BC</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95 (56.2)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74 (43.8)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Mortality</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141 (83.4)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Cause of mortality (total number: 28)</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sepsis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Graft rejection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Recurrent HCV</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Other causes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 (57.1)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Chronic rejection</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142 (84)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Recurrent HCV infection</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128 (75.7)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41 (24.3)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Resolution of recurrent HCV</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37 (90.2)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Graft failure</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149 (88.2)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Causes of graft failure (total number: 20)</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sepsis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Graft rejection</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Recurrent HCV</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Other causes</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Early biliary infection (total = 97)</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vAlign w:val="center"/>
          </w:tcPr>
          <w:p>
            <w:pPr>
              <w:spacing w:line="360" w:lineRule="auto"/>
              <w:jc w:val="both"/>
              <w:rPr>
                <w:rFonts w:ascii="Book Antiqua" w:hAnsi="Book Antiqua" w:eastAsia="Times New Roman" w:cs="Times New Roman"/>
                <w:bCs/>
                <w:lang w:bidi="ar-EG"/>
              </w:rPr>
            </w:pP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91 (93.81)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restart"/>
            <w:tcBorders>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Early biliary stricture (total = 60)</w:t>
            </w:r>
          </w:p>
        </w:tc>
        <w:tc>
          <w:tcPr>
            <w:tcW w:w="1844"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4" w:type="pct"/>
            <w:vMerge w:val="continue"/>
            <w:tcBorders>
              <w:bottom w:val="single" w:color="auto" w:sz="4" w:space="0"/>
            </w:tcBorders>
          </w:tcPr>
          <w:p>
            <w:pPr>
              <w:spacing w:line="360" w:lineRule="auto"/>
              <w:jc w:val="both"/>
              <w:rPr>
                <w:rFonts w:ascii="Book Antiqua" w:hAnsi="Book Antiqua" w:eastAsia="Times New Roman" w:cs="Times New Roman"/>
                <w:bCs/>
                <w:lang w:bidi="ar-EG"/>
              </w:rPr>
            </w:pPr>
          </w:p>
        </w:tc>
        <w:tc>
          <w:tcPr>
            <w:tcW w:w="1844" w:type="pct"/>
            <w:tcBorders>
              <w:bottom w:val="single" w:color="auto" w:sz="4" w:space="0"/>
            </w:tcBorders>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1152" w:type="pct"/>
            <w:tcBorders>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(25)</w:t>
            </w:r>
          </w:p>
        </w:tc>
      </w:tr>
    </w:tbl>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Data presented in number (</w:t>
      </w:r>
      <w:r>
        <w:rPr>
          <w:rFonts w:ascii="Book Antiqua" w:hAnsi="Book Antiqua" w:eastAsia="Times New Roman"/>
          <w:bCs/>
          <w:i/>
          <w:iCs/>
          <w:lang w:val="en-US" w:bidi="ar-EG"/>
        </w:rPr>
        <w:t>n</w:t>
      </w:r>
      <w:r>
        <w:rPr>
          <w:rFonts w:ascii="Book Antiqua" w:hAnsi="Book Antiqua" w:eastAsia="Times New Roman"/>
          <w:bCs/>
          <w:lang w:val="en-US" w:bidi="ar-EG"/>
        </w:rPr>
        <w:t xml:space="preserve">) and percentage (%). </w:t>
      </w:r>
      <w:r>
        <w:rPr>
          <w:rFonts w:ascii="Book Antiqua" w:hAnsi="Book Antiqua"/>
          <w:bCs/>
          <w:lang w:bidi="ar-EG"/>
        </w:rPr>
        <w:t>HCV: Hepatitis C virus; HBV:</w:t>
      </w:r>
      <w:r>
        <w:t xml:space="preserve"> </w:t>
      </w:r>
      <w:r>
        <w:rPr>
          <w:rFonts w:ascii="Book Antiqua" w:hAnsi="Book Antiqua"/>
          <w:bCs/>
          <w:lang w:bidi="ar-EG"/>
        </w:rPr>
        <w:t xml:space="preserve">Hepatitis B virus; PCR: Polymerase chain reaction; ERCP: </w:t>
      </w:r>
      <w:r>
        <w:rPr>
          <w:rFonts w:ascii="Book Antiqua" w:hAnsi="Book Antiqua" w:eastAsia="Book Antiqua" w:cs="Book Antiqua"/>
          <w:color w:val="000000"/>
        </w:rPr>
        <w:t xml:space="preserve">Endoscopic retrograde cholangiopancreatography; </w:t>
      </w:r>
      <w:r>
        <w:rPr>
          <w:rFonts w:ascii="Book Antiqua" w:hAnsi="Book Antiqua"/>
          <w:bCs/>
          <w:lang w:bidi="ar-EG"/>
        </w:rPr>
        <w:t xml:space="preserve">PTC: </w:t>
      </w:r>
      <w:r>
        <w:rPr>
          <w:rFonts w:ascii="Book Antiqua" w:hAnsi="Book Antiqua" w:eastAsia="Book Antiqua" w:cs="Book Antiqua"/>
          <w:color w:val="000000"/>
        </w:rPr>
        <w:t xml:space="preserve">Percutaneous transhepatic cholangiography; </w:t>
      </w:r>
      <w:r>
        <w:rPr>
          <w:rFonts w:ascii="Book Antiqua" w:hAnsi="Book Antiqua"/>
          <w:bCs/>
          <w:lang w:bidi="ar-EG"/>
        </w:rPr>
        <w:t xml:space="preserve">BC: </w:t>
      </w:r>
      <w:r>
        <w:rPr>
          <w:rFonts w:ascii="Book Antiqua" w:hAnsi="Book Antiqua" w:eastAsia="Book Antiqua" w:cs="Book Antiqua"/>
          <w:color w:val="000000"/>
        </w:rPr>
        <w:t>Biliary complication.</w:t>
      </w:r>
    </w:p>
    <w:p>
      <w:pPr>
        <w:spacing w:line="360" w:lineRule="auto"/>
        <w:jc w:val="both"/>
        <w:rPr>
          <w:rFonts w:ascii="Book Antiqua" w:hAnsi="Book Antiqua" w:eastAsia="Book Antiqua" w:cs="Book Antiqua"/>
          <w:b/>
          <w:color w:val="000000"/>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bookmarkStart w:id="0" w:name="_Toc521675583"/>
      <w:r>
        <w:rPr>
          <w:rFonts w:ascii="Book Antiqua" w:hAnsi="Book Antiqua" w:eastAsia="Times New Roman"/>
          <w:b/>
          <w:bCs/>
          <w:lang w:val="en-US"/>
        </w:rPr>
        <w:t xml:space="preserve">Table 2 </w:t>
      </w:r>
      <w:r>
        <w:rPr>
          <w:rFonts w:ascii="Book Antiqua" w:hAnsi="Book Antiqua" w:eastAsia="Times New Roman"/>
          <w:b/>
          <w:bCs/>
          <w:lang w:val="en-US" w:bidi="ar-EG"/>
        </w:rPr>
        <w:t>Descriptive numerical data for the whole study population</w:t>
      </w:r>
      <w:bookmarkEnd w:id="0"/>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53"/>
        <w:gridCol w:w="5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Borders>
              <w:top w:val="single" w:color="auto" w:sz="4" w:space="0"/>
              <w:bottom w:val="single" w:color="auto" w:sz="4" w:space="0"/>
            </w:tcBorders>
          </w:tcPr>
          <w:p>
            <w:pPr>
              <w:spacing w:line="360" w:lineRule="auto"/>
              <w:jc w:val="both"/>
              <w:rPr>
                <w:rFonts w:ascii="Book Antiqua" w:hAnsi="Book Antiqua" w:eastAsia="Times New Roman"/>
                <w:b/>
                <w:lang w:val="en-US" w:bidi="ar-EG"/>
              </w:rPr>
            </w:pPr>
            <w:r>
              <w:rPr>
                <w:rFonts w:ascii="Book Antiqua" w:hAnsi="Book Antiqua" w:eastAsia="Times New Roman"/>
                <w:b/>
                <w:lang w:val="en-US" w:bidi="ar-EG"/>
              </w:rPr>
              <w:t xml:space="preserve">Variable </w:t>
            </w:r>
          </w:p>
        </w:tc>
        <w:tc>
          <w:tcPr>
            <w:tcW w:w="1944" w:type="pct"/>
            <w:tcBorders>
              <w:top w:val="single" w:color="auto" w:sz="4" w:space="0"/>
              <w:bottom w:val="single" w:color="auto" w:sz="4" w:space="0"/>
            </w:tcBorders>
            <w:vAlign w:val="center"/>
          </w:tcPr>
          <w:p>
            <w:pPr>
              <w:spacing w:line="360" w:lineRule="auto"/>
              <w:jc w:val="both"/>
              <w:rPr>
                <w:rFonts w:ascii="Book Antiqua" w:hAnsi="Book Antiqua" w:eastAsia="Times New Roman"/>
                <w:b/>
                <w:lang w:val="en-US" w:bidi="ar-EG"/>
              </w:rPr>
            </w:pPr>
            <w:r>
              <w:rPr>
                <w:rFonts w:ascii="Book Antiqua" w:hAnsi="Book Antiqua" w:eastAsia="Times New Roman"/>
                <w:b/>
                <w:lang w:val="en-US" w:bidi="ar-EG"/>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Borders>
              <w:top w:val="single" w:color="auto" w:sz="4" w:space="0"/>
            </w:tcBorders>
          </w:tcPr>
          <w:p>
            <w:pPr>
              <w:spacing w:line="360" w:lineRule="auto"/>
              <w:jc w:val="both"/>
              <w:rPr>
                <w:rFonts w:ascii="Book Antiqua" w:hAnsi="Book Antiqua" w:eastAsia="Times New Roman"/>
                <w:bCs/>
                <w:lang w:val="en-US" w:bidi="ar-EG"/>
              </w:rPr>
            </w:pPr>
            <w:bookmarkStart w:id="1" w:name="_Hlk60488633"/>
            <w:r>
              <w:rPr>
                <w:rFonts w:ascii="Book Antiqua" w:hAnsi="Book Antiqua" w:eastAsia="Times New Roman"/>
                <w:bCs/>
                <w:lang w:val="en-US" w:bidi="ar-EG"/>
              </w:rPr>
              <w:t>MELD score</w:t>
            </w:r>
          </w:p>
        </w:tc>
        <w:tc>
          <w:tcPr>
            <w:tcW w:w="1944" w:type="pct"/>
            <w:tcBorders>
              <w:top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 ±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Child score</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Donors’ age (yr)</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27 ±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Donors’ BMI (kg/m</w:t>
            </w:r>
            <w:r>
              <w:rPr>
                <w:rFonts w:ascii="Book Antiqua" w:hAnsi="Book Antiqua" w:eastAsia="Times New Roman"/>
                <w:bCs/>
                <w:vertAlign w:val="superscript"/>
                <w:lang w:val="en-US" w:bidi="ar-EG"/>
              </w:rPr>
              <w:t>2</w:t>
            </w:r>
            <w:r>
              <w:rPr>
                <w:rFonts w:ascii="Book Antiqua" w:hAnsi="Book Antiqua" w:eastAsia="Times New Roman"/>
                <w:bCs/>
                <w:lang w:val="en-US" w:bidi="ar-EG"/>
              </w:rPr>
              <w:t>)</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24 ±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Recipient's age (yr)</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50 ±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Recipient's BMI (kg/m</w:t>
            </w:r>
            <w:r>
              <w:rPr>
                <w:rFonts w:ascii="Book Antiqua" w:hAnsi="Book Antiqua" w:eastAsia="Times New Roman"/>
                <w:bCs/>
                <w:vertAlign w:val="superscript"/>
                <w:lang w:val="en-US" w:bidi="ar-EG"/>
              </w:rPr>
              <w:t>2</w:t>
            </w:r>
            <w:r>
              <w:rPr>
                <w:rFonts w:ascii="Book Antiqua" w:hAnsi="Book Antiqua" w:eastAsia="Times New Roman"/>
                <w:bCs/>
                <w:lang w:val="en-US" w:bidi="ar-EG"/>
              </w:rPr>
              <w:t>)</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28 ±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Total bilirubin (mg/dL)</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2.6 (1.9-3.8)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Direct bilirubin (mg/dL)</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Alkaline phosphatase (IU/L)</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104 ± 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Gamma-glutamyl transferase (IU/L)</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36 (19-61)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Platelets (10</w:t>
            </w:r>
            <w:r>
              <w:rPr>
                <w:rFonts w:ascii="Book Antiqua" w:hAnsi="Book Antiqua" w:eastAsia="Times New Roman"/>
                <w:bCs/>
                <w:vertAlign w:val="superscript"/>
                <w:lang w:val="en-US" w:bidi="ar-EG"/>
              </w:rPr>
              <w:t>9</w:t>
            </w:r>
            <w:r>
              <w:rPr>
                <w:rFonts w:ascii="Book Antiqua" w:hAnsi="Book Antiqua" w:eastAsia="Times New Roman"/>
                <w:bCs/>
                <w:lang w:val="en-US" w:bidi="ar-EG"/>
              </w:rPr>
              <w:t>/L)</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79 ±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Cold ischemia time (min)</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49 ±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Warm ischemia time (min)</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48 ±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Graft arterialization time (min)</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141 ± 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biliary infection (d)</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 (11-30)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biliary stricture (d)</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150 (120-218)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mortality (d)</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285 (55-808)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chronic graft rejection (d)</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490 (230-920)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recurrent HCV (d)</w:t>
            </w:r>
          </w:p>
        </w:tc>
        <w:tc>
          <w:tcPr>
            <w:tcW w:w="1944"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391 (180-714)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Borders>
              <w:bottom w:val="single" w:color="auto" w:sz="4" w:space="0"/>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Time to graft failure (d)</w:t>
            </w:r>
          </w:p>
        </w:tc>
        <w:tc>
          <w:tcPr>
            <w:tcW w:w="1944"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556 (135-1267)</w:t>
            </w:r>
          </w:p>
        </w:tc>
      </w:tr>
      <w:bookmarkEnd w:id="1"/>
    </w:tbl>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Data are presented as mean ± SD or median and range.</w:t>
      </w:r>
      <w:r>
        <w:rPr>
          <w:rFonts w:hint="eastAsia" w:ascii="Book Antiqua" w:hAnsi="Book Antiqua"/>
          <w:bCs/>
          <w:lang w:val="en-US" w:eastAsia="zh-CN" w:bidi="ar-EG"/>
        </w:rPr>
        <w:t xml:space="preserve"> </w:t>
      </w:r>
      <w:r>
        <w:rPr>
          <w:rFonts w:ascii="Book Antiqua" w:hAnsi="Book Antiqua"/>
          <w:bCs/>
          <w:lang w:bidi="ar-EG"/>
        </w:rPr>
        <w:t xml:space="preserve">MELD: </w:t>
      </w:r>
      <w:r>
        <w:rPr>
          <w:rFonts w:ascii="Book Antiqua" w:hAnsi="Book Antiqua" w:eastAsia="Book Antiqua" w:cs="Book Antiqua"/>
          <w:color w:val="000000"/>
        </w:rPr>
        <w:t>Model for end-stage liver disease</w:t>
      </w:r>
      <w:r>
        <w:rPr>
          <w:rFonts w:ascii="Book Antiqua" w:hAnsi="Book Antiqua"/>
          <w:bCs/>
          <w:lang w:bidi="ar-EG"/>
        </w:rPr>
        <w:t xml:space="preserve">; </w:t>
      </w:r>
      <w:r>
        <w:rPr>
          <w:rFonts w:ascii="Book Antiqua" w:hAnsi="Book Antiqua"/>
          <w:bCs/>
          <w:lang w:val="en-US" w:bidi="ar-EG"/>
        </w:rPr>
        <w:t xml:space="preserve">BMI: Body mass index; </w:t>
      </w:r>
      <w:r>
        <w:rPr>
          <w:rFonts w:ascii="Book Antiqua" w:hAnsi="Book Antiqua"/>
          <w:bCs/>
          <w:lang w:bidi="ar-EG"/>
        </w:rPr>
        <w:t>HCV: Hepatitis C virus.</w:t>
      </w:r>
    </w:p>
    <w:p>
      <w:pPr>
        <w:spacing w:line="360" w:lineRule="auto"/>
        <w:jc w:val="both"/>
        <w:rPr>
          <w:rFonts w:ascii="Book Antiqua" w:hAnsi="Book Antiqua" w:eastAsia="Book Antiqua" w:cs="Book Antiqua"/>
          <w:b/>
          <w:color w:val="000000"/>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spacing w:val="-6"/>
          <w:lang w:val="en-US" w:bidi="ar-EG"/>
        </w:rPr>
      </w:pPr>
      <w:r>
        <w:rPr>
          <w:rFonts w:ascii="Book Antiqua" w:hAnsi="Book Antiqua" w:eastAsia="Times New Roman"/>
          <w:b/>
          <w:bCs/>
          <w:spacing w:val="-6"/>
          <w:lang w:val="en-US"/>
        </w:rPr>
        <w:t xml:space="preserve">Table </w:t>
      </w:r>
      <w:r>
        <w:rPr>
          <w:rFonts w:ascii="Book Antiqua" w:hAnsi="Book Antiqua" w:eastAsia="Times New Roman"/>
          <w:b/>
          <w:bCs/>
          <w:spacing w:val="-6"/>
          <w:lang w:val="en-US" w:bidi="ar-EG"/>
        </w:rPr>
        <w:t>3 Risk factors for biliary strictures: Categorical factors</w:t>
      </w: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83"/>
        <w:gridCol w:w="2288"/>
        <w:gridCol w:w="1700"/>
        <w:gridCol w:w="1745"/>
        <w:gridCol w:w="828"/>
        <w:gridCol w:w="949"/>
        <w:gridCol w:w="1001"/>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2114" w:type="pct"/>
            <w:gridSpan w:val="2"/>
            <w:vMerge w:val="restart"/>
            <w:tcBorders>
              <w:top w:val="single" w:color="auto" w:sz="4" w:space="0"/>
              <w:left w:val="nil"/>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Variable</w:t>
            </w:r>
          </w:p>
        </w:tc>
        <w:tc>
          <w:tcPr>
            <w:tcW w:w="1307" w:type="pct"/>
            <w:gridSpan w:val="2"/>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Biliary strictures</w:t>
            </w:r>
          </w:p>
        </w:tc>
        <w:tc>
          <w:tcPr>
            <w:tcW w:w="314"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OR</w:t>
            </w:r>
          </w:p>
        </w:tc>
        <w:tc>
          <w:tcPr>
            <w:tcW w:w="740" w:type="pct"/>
            <w:gridSpan w:val="2"/>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CI</w:t>
            </w:r>
          </w:p>
        </w:tc>
        <w:tc>
          <w:tcPr>
            <w:tcW w:w="525" w:type="pct"/>
            <w:vMerge w:val="restart"/>
            <w:tcBorders>
              <w:top w:val="single" w:color="auto" w:sz="4" w:space="0"/>
              <w:bottom w:val="single" w:color="auto" w:sz="4" w:space="0"/>
              <w:right w:val="nil"/>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i/>
                <w:iCs/>
                <w:lang w:bidi="ar-EG"/>
              </w:rPr>
              <w:t>P</w:t>
            </w:r>
            <w:r>
              <w:rPr>
                <w:rFonts w:ascii="Book Antiqua" w:hAnsi="Book Antiqua" w:eastAsia="Times New Roman" w:cs="Times New Roman"/>
                <w:b/>
                <w:bCs/>
                <w:lang w:bidi="ar-EG"/>
              </w:rPr>
              <w:t xml:space="preserve"> value</w:t>
            </w:r>
            <w:r>
              <w:rPr>
                <w:rFonts w:ascii="Book Antiqua" w:hAnsi="Book Antiqua" w:eastAsia="Times New Roman" w:cs="Times New Roman"/>
                <w:b/>
                <w:bCs/>
                <w:vertAlign w:val="superscript"/>
                <w:lang w:bidi="ar-EG"/>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14" w:type="pct"/>
            <w:gridSpan w:val="2"/>
            <w:vMerge w:val="continue"/>
            <w:tcBorders>
              <w:top w:val="nil"/>
              <w:left w:val="nil"/>
              <w:bottom w:val="single" w:color="auto" w:sz="4" w:space="0"/>
            </w:tcBorders>
          </w:tcPr>
          <w:p>
            <w:pPr>
              <w:spacing w:line="360" w:lineRule="auto"/>
              <w:jc w:val="both"/>
              <w:rPr>
                <w:rFonts w:ascii="Book Antiqua" w:hAnsi="Book Antiqua" w:eastAsia="Times New Roman" w:cs="Times New Roman"/>
                <w:b/>
                <w:bCs/>
                <w:lang w:bidi="ar-EG"/>
              </w:rPr>
            </w:pPr>
          </w:p>
        </w:tc>
        <w:tc>
          <w:tcPr>
            <w:tcW w:w="645"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No stricture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109)</w:t>
            </w:r>
          </w:p>
        </w:tc>
        <w:tc>
          <w:tcPr>
            <w:tcW w:w="662"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Stricture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60)</w:t>
            </w:r>
          </w:p>
        </w:tc>
        <w:tc>
          <w:tcPr>
            <w:tcW w:w="314" w:type="pct"/>
            <w:vMerge w:val="continue"/>
            <w:tcBorders>
              <w:top w:val="nil"/>
              <w:bottom w:val="single" w:color="auto" w:sz="4" w:space="0"/>
            </w:tcBorders>
            <w:noWrap/>
            <w:vAlign w:val="center"/>
          </w:tcPr>
          <w:p>
            <w:pPr>
              <w:spacing w:line="360" w:lineRule="auto"/>
              <w:jc w:val="both"/>
              <w:rPr>
                <w:rFonts w:ascii="Book Antiqua" w:hAnsi="Book Antiqua" w:eastAsia="Times New Roman" w:cs="Times New Roman"/>
                <w:b/>
                <w:bCs/>
                <w:lang w:bidi="ar-EG"/>
              </w:rPr>
            </w:pPr>
          </w:p>
        </w:tc>
        <w:tc>
          <w:tcPr>
            <w:tcW w:w="360"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95% LCL</w:t>
            </w:r>
          </w:p>
        </w:tc>
        <w:tc>
          <w:tcPr>
            <w:tcW w:w="380"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95% UCL</w:t>
            </w:r>
          </w:p>
        </w:tc>
        <w:tc>
          <w:tcPr>
            <w:tcW w:w="525" w:type="pct"/>
            <w:vMerge w:val="continue"/>
            <w:tcBorders>
              <w:top w:val="nil"/>
              <w:bottom w:val="single" w:color="auto" w:sz="4" w:space="0"/>
              <w:right w:val="nil"/>
            </w:tcBorders>
            <w:vAlign w:val="center"/>
          </w:tcPr>
          <w:p>
            <w:pPr>
              <w:spacing w:line="360" w:lineRule="auto"/>
              <w:jc w:val="both"/>
              <w:rPr>
                <w:rFonts w:ascii="Book Antiqua" w:hAnsi="Book Antiqua" w:eastAsia="Times New Roman" w:cs="Times New Roman"/>
                <w:b/>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14" w:type="pct"/>
            <w:gridSpan w:val="2"/>
            <w:vMerge w:val="continue"/>
            <w:tcBorders>
              <w:top w:val="nil"/>
              <w:left w:val="nil"/>
              <w:bottom w:val="single" w:color="auto" w:sz="4" w:space="0"/>
            </w:tcBorders>
          </w:tcPr>
          <w:p>
            <w:pPr>
              <w:spacing w:line="360" w:lineRule="auto"/>
              <w:jc w:val="both"/>
              <w:rPr>
                <w:rFonts w:ascii="Book Antiqua" w:hAnsi="Book Antiqua" w:eastAsia="Times New Roman" w:cs="Times New Roman"/>
                <w:b/>
                <w:bCs/>
                <w:lang w:bidi="ar-EG"/>
              </w:rPr>
            </w:pPr>
          </w:p>
        </w:tc>
        <w:tc>
          <w:tcPr>
            <w:tcW w:w="645"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i/>
                <w:iCs/>
                <w:lang w:bidi="ar-EG"/>
              </w:rPr>
            </w:pPr>
            <w:r>
              <w:rPr>
                <w:rFonts w:ascii="Book Antiqua" w:hAnsi="Book Antiqua" w:eastAsia="Times New Roman" w:cs="Times New Roman"/>
                <w:b/>
                <w:bCs/>
                <w:i/>
                <w:iCs/>
                <w:lang w:bidi="ar-EG"/>
              </w:rPr>
              <w:t xml:space="preserve">n, </w:t>
            </w:r>
            <w:r>
              <w:rPr>
                <w:rFonts w:ascii="Book Antiqua" w:hAnsi="Book Antiqua" w:eastAsia="Times New Roman" w:cs="Times New Roman"/>
                <w:b/>
                <w:bCs/>
                <w:lang w:bidi="ar-EG"/>
              </w:rPr>
              <w:t>Row %</w:t>
            </w:r>
          </w:p>
        </w:tc>
        <w:tc>
          <w:tcPr>
            <w:tcW w:w="662"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i/>
                <w:iCs/>
                <w:lang w:bidi="ar-EG"/>
              </w:rPr>
              <w:t xml:space="preserve">n, </w:t>
            </w:r>
            <w:r>
              <w:rPr>
                <w:rFonts w:ascii="Book Antiqua" w:hAnsi="Book Antiqua" w:eastAsia="Times New Roman" w:cs="Times New Roman"/>
                <w:b/>
                <w:bCs/>
                <w:lang w:bidi="ar-EG"/>
              </w:rPr>
              <w:t>Row %</w:t>
            </w:r>
          </w:p>
        </w:tc>
        <w:tc>
          <w:tcPr>
            <w:tcW w:w="314"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360"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380"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525" w:type="pct"/>
            <w:vMerge w:val="continue"/>
            <w:tcBorders>
              <w:top w:val="nil"/>
              <w:bottom w:val="single" w:color="auto" w:sz="4" w:space="0"/>
              <w:right w:val="nil"/>
            </w:tcBorders>
            <w:vAlign w:val="center"/>
          </w:tcPr>
          <w:p>
            <w:pPr>
              <w:spacing w:line="360" w:lineRule="auto"/>
              <w:jc w:val="both"/>
              <w:rPr>
                <w:rFonts w:ascii="Book Antiqua" w:hAnsi="Book Antiqua" w:eastAsia="Times New Roman" w:cs="Times New Roman"/>
                <w:b/>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single" w:color="auto" w:sz="4" w:space="0"/>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Etiology of cirrhosis</w:t>
            </w:r>
          </w:p>
        </w:tc>
        <w:tc>
          <w:tcPr>
            <w:tcW w:w="868" w:type="pct"/>
            <w:tcBorders>
              <w:top w:val="single" w:color="auto" w:sz="4" w:space="0"/>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w:t>
            </w:r>
          </w:p>
        </w:tc>
        <w:tc>
          <w:tcPr>
            <w:tcW w:w="645" w:type="pc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95 (64.2)</w:t>
            </w:r>
          </w:p>
        </w:tc>
        <w:tc>
          <w:tcPr>
            <w:tcW w:w="662" w:type="pc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53 (35.8)</w:t>
            </w:r>
          </w:p>
        </w:tc>
        <w:tc>
          <w:tcPr>
            <w:tcW w:w="314"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single" w:color="auto" w:sz="4" w:space="0"/>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0.142</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Isolated HBV</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(100)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Combined HCV &amp; HBV</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(25)</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(75)</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Causes other than viral hepatitis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(66.7)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(33.3)</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Donors’ gender</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Male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90 (63.8)</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51 (36.2)</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Female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 (67.9)</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 (32.1)</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Recipients’ gender</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Male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96 (64)</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54 (36)</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0.3</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2.3</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Female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(68.4)</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(31.6)</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 PCR viremia prior to transplantation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Negative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(60.6)</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(39.4)</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0.768</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Below 200000 IU</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41 (69.5)</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18 (30.5)</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200000 to 2 million</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44 (63.8)</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25 (36.2)</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More than 2 million</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(50)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(50)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Antiviral treatment prior to transplantation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92 (66.7)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46 (33.3)</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3.6</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 (54.8)</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(45.2)</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Hepatocellular carcinoma</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71 (65.1)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38 (34.9)</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2.1</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38 (63.3)</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22 (36.7)</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Arterial complications</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102 (65.8)</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53 (34.2)</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5.8</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0.255</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(50)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(50)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anastomoses</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xml:space="preserve">One </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70 (64.2)</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39 (35.8)</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0.910</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xml:space="preserve">Two </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37 (64.9)</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(35.1)</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Three</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(66.7)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(33.3)</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ducts</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Duct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50 (64.1)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(35.9)</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0.857</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Ducts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52 (66.7)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26 (33.3)</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Ducts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(50)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(50)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Ducts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(100)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stents</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(71.4)</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(28.6)</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0.578</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Stent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43 (60.6)</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(39.4)</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Stents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53 (67.1)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26 (32.9)</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Stents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(63.6)</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(36.4)</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Stents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(100)</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Immunosuppressant</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Tacrolimus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81 (68.6)</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37 (31.4)</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1.8</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3.5</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0.087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xml:space="preserve">Cyclosporine </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(54.9)</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23 (45.1)</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leakage</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80 (70.2)</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34 (29.8)</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2.1</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4.1</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bCs/>
                <w:lang w:bidi="ar-EG"/>
              </w:rPr>
              <w:t>0.026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29 (52.7)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26 (47.3)</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infection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62 (86.1)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 (13.9)</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6.6</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3.0</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14.4</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bCs/>
                <w:lang w:bidi="ar-EG"/>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47 (48.5)</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50 (51.5)</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biliary infection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62 (86.1)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 (13.9)</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lang w:bidi="ar-EG"/>
              </w:rPr>
              <w:t>&lt; 0.001</w:t>
            </w:r>
            <w:r>
              <w:rPr>
                <w:rFonts w:ascii="Book Antiqua" w:hAnsi="Book Antiqua" w:eastAsia="Times New Roman" w:cs="Times New Roman"/>
                <w:b/>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Episodes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(53.6)</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39 (46.4)</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Episodes</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(15.4)</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 (84.6)</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Early biliary infection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64 (82.1)</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(17.9)</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4.7</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2.3</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9.5</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bCs/>
                <w:lang w:bidi="ar-EG"/>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(49.5)</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46 (50.5)</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Chronic graft rejection</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99 (69.7)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43 (30.3)</w:t>
            </w:r>
          </w:p>
        </w:tc>
        <w:tc>
          <w:tcPr>
            <w:tcW w:w="31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3.9</w:t>
            </w:r>
          </w:p>
        </w:tc>
        <w:tc>
          <w:tcPr>
            <w:tcW w:w="36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w:t>
            </w:r>
          </w:p>
        </w:tc>
        <w:tc>
          <w:tcPr>
            <w:tcW w:w="380"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9.2</w:t>
            </w:r>
          </w:p>
        </w:tc>
        <w:tc>
          <w:tcPr>
            <w:tcW w:w="525"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bCs/>
                <w:lang w:bidi="ar-EG"/>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 (37)</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 (63)</w:t>
            </w:r>
          </w:p>
        </w:tc>
        <w:tc>
          <w:tcPr>
            <w:tcW w:w="31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restart"/>
            <w:tcBorders>
              <w:top w:val="nil"/>
              <w:left w:val="nil"/>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Recurrent HCV</w:t>
            </w:r>
          </w:p>
        </w:tc>
        <w:tc>
          <w:tcPr>
            <w:tcW w:w="868"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87 (68)</w:t>
            </w:r>
          </w:p>
        </w:tc>
        <w:tc>
          <w:tcPr>
            <w:tcW w:w="662"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41 (32)</w:t>
            </w:r>
          </w:p>
        </w:tc>
        <w:tc>
          <w:tcPr>
            <w:tcW w:w="314"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1.8</w:t>
            </w:r>
          </w:p>
        </w:tc>
        <w:tc>
          <w:tcPr>
            <w:tcW w:w="360"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w:t>
            </w:r>
          </w:p>
        </w:tc>
        <w:tc>
          <w:tcPr>
            <w:tcW w:w="380"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3.8</w:t>
            </w:r>
          </w:p>
        </w:tc>
        <w:tc>
          <w:tcPr>
            <w:tcW w:w="525" w:type="pct"/>
            <w:vMerge w:val="restart"/>
            <w:tcBorders>
              <w:top w:val="nil"/>
              <w:bottom w:val="single" w:color="auto" w:sz="4" w:space="0"/>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6" w:type="pct"/>
            <w:vMerge w:val="continue"/>
            <w:tcBorders>
              <w:top w:val="nil"/>
              <w:left w:val="nil"/>
              <w:bottom w:val="single" w:color="auto" w:sz="4" w:space="0"/>
            </w:tcBorders>
            <w:vAlign w:val="center"/>
          </w:tcPr>
          <w:p>
            <w:pPr>
              <w:spacing w:line="360" w:lineRule="auto"/>
              <w:jc w:val="both"/>
              <w:rPr>
                <w:rFonts w:ascii="Book Antiqua" w:hAnsi="Book Antiqua" w:eastAsia="Times New Roman" w:cs="Times New Roman"/>
                <w:bCs/>
                <w:lang w:bidi="ar-EG"/>
              </w:rPr>
            </w:pPr>
          </w:p>
        </w:tc>
        <w:tc>
          <w:tcPr>
            <w:tcW w:w="868" w:type="pct"/>
            <w:tcBorders>
              <w:top w:val="nil"/>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645" w:type="pc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22 (53.7)</w:t>
            </w:r>
          </w:p>
        </w:tc>
        <w:tc>
          <w:tcPr>
            <w:tcW w:w="662" w:type="pc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 (46.3)</w:t>
            </w:r>
          </w:p>
        </w:tc>
        <w:tc>
          <w:tcPr>
            <w:tcW w:w="314"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360"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380"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525" w:type="pct"/>
            <w:vMerge w:val="continue"/>
            <w:tcBorders>
              <w:top w:val="nil"/>
              <w:bottom w:val="single" w:color="auto" w:sz="4" w:space="0"/>
              <w:right w:val="nil"/>
            </w:tcBorders>
          </w:tcPr>
          <w:p>
            <w:pPr>
              <w:spacing w:line="360" w:lineRule="auto"/>
              <w:jc w:val="both"/>
              <w:rPr>
                <w:rFonts w:ascii="Book Antiqua" w:hAnsi="Book Antiqua" w:eastAsia="Times New Roman" w:cs="Times New Roman"/>
                <w:bCs/>
                <w:lang w:bidi="ar-EG"/>
              </w:rPr>
            </w:pPr>
          </w:p>
        </w:tc>
      </w:tr>
    </w:tbl>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1</w:t>
      </w:r>
      <w:r>
        <w:rPr>
          <w:rFonts w:ascii="Book Antiqua" w:hAnsi="Book Antiqua" w:eastAsia="Times New Roman"/>
          <w:bCs/>
          <w:lang w:val="en-US" w:bidi="ar-EG"/>
        </w:rPr>
        <w:t>Pearson chi-squared test unless otherwise indicated.</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2</w:t>
      </w:r>
      <w:r>
        <w:rPr>
          <w:rFonts w:ascii="Book Antiqua" w:hAnsi="Book Antiqua" w:eastAsia="Times New Roman"/>
          <w:bCs/>
          <w:lang w:val="en-US" w:bidi="ar-EG"/>
        </w:rPr>
        <w:t>Fisher’s exact test.</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3</w:t>
      </w:r>
      <w:r>
        <w:rPr>
          <w:rFonts w:ascii="Book Antiqua" w:hAnsi="Book Antiqua" w:eastAsia="Times New Roman"/>
          <w:bCs/>
          <w:lang w:val="en-US" w:bidi="ar-EG"/>
        </w:rPr>
        <w:t xml:space="preserve">Chi-squared test for trend. </w:t>
      </w:r>
    </w:p>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Data are presented as number (</w:t>
      </w:r>
      <w:r>
        <w:rPr>
          <w:rFonts w:ascii="Book Antiqua" w:hAnsi="Book Antiqua" w:eastAsia="Times New Roman"/>
          <w:bCs/>
          <w:i/>
          <w:iCs/>
          <w:lang w:val="en-US" w:bidi="ar-EG"/>
        </w:rPr>
        <w:t>n</w:t>
      </w:r>
      <w:r>
        <w:rPr>
          <w:rFonts w:ascii="Book Antiqua" w:hAnsi="Book Antiqua" w:eastAsia="Times New Roman"/>
          <w:bCs/>
          <w:lang w:val="en-US" w:bidi="ar-EG"/>
        </w:rPr>
        <w:t xml:space="preserve">) and percentage (%). OR: Odds ratio; LCL: Lower confidence limit; UCL: Lower confidence limit. </w:t>
      </w:r>
      <w:r>
        <w:rPr>
          <w:rFonts w:ascii="Book Antiqua" w:hAnsi="Book Antiqua"/>
          <w:bCs/>
          <w:lang w:bidi="ar-EG"/>
        </w:rPr>
        <w:t>HCV: Hepatitis C virus; HBV:</w:t>
      </w:r>
      <w:r>
        <w:t xml:space="preserve"> </w:t>
      </w:r>
      <w:r>
        <w:rPr>
          <w:rFonts w:ascii="Book Antiqua" w:hAnsi="Book Antiqua"/>
          <w:bCs/>
          <w:lang w:bidi="ar-EG"/>
        </w:rPr>
        <w:t>Hepatitis B virus; PCR: Polymerase chain reaction</w:t>
      </w:r>
      <w:r>
        <w:rPr>
          <w:rFonts w:ascii="Book Antiqua" w:hAnsi="Book Antiqua" w:eastAsia="Book Antiqua" w:cs="Book Antiqua"/>
          <w:color w:val="000000"/>
        </w:rPr>
        <w:t>.</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r>
        <w:rPr>
          <w:rFonts w:ascii="Book Antiqua" w:hAnsi="Book Antiqua" w:eastAsia="Times New Roman"/>
          <w:b/>
          <w:bCs/>
          <w:lang w:val="en-US"/>
        </w:rPr>
        <w:t xml:space="preserve">Table 4 </w:t>
      </w:r>
      <w:r>
        <w:rPr>
          <w:rFonts w:ascii="Book Antiqua" w:hAnsi="Book Antiqua" w:eastAsia="Times New Roman"/>
          <w:b/>
          <w:bCs/>
          <w:lang w:val="en-US" w:bidi="ar-EG"/>
        </w:rPr>
        <w:t>Risk factors for biliary stricture: Numerical factors</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66"/>
        <w:gridCol w:w="2717"/>
        <w:gridCol w:w="3146"/>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2112"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Variable</w:t>
            </w:r>
          </w:p>
        </w:tc>
        <w:tc>
          <w:tcPr>
            <w:tcW w:w="1031"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No biliary stricture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109)</w:t>
            </w:r>
          </w:p>
        </w:tc>
        <w:tc>
          <w:tcPr>
            <w:tcW w:w="1194"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Biliary stricture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60)</w:t>
            </w:r>
          </w:p>
        </w:tc>
        <w:tc>
          <w:tcPr>
            <w:tcW w:w="663"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i/>
                <w:iCs/>
                <w:lang w:bidi="ar-EG"/>
              </w:rPr>
              <w:t xml:space="preserve">P </w:t>
            </w:r>
            <w:r>
              <w:rPr>
                <w:rFonts w:ascii="Book Antiqua" w:hAnsi="Book Antiqua" w:eastAsia="Times New Roman" w:cs="Times New Roman"/>
                <w:b/>
                <w:bCs/>
                <w:lang w:bidi="ar-EG"/>
              </w:rPr>
              <w:t>value</w:t>
            </w:r>
            <w:r>
              <w:rPr>
                <w:rFonts w:ascii="Book Antiqua" w:hAnsi="Book Antiqua" w:eastAsia="Times New Roman" w:cs="Times New Roman"/>
                <w:b/>
                <w:bCs/>
                <w:vertAlign w:val="superscript"/>
                <w:lang w:bidi="ar-EG"/>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Borders>
              <w:top w:val="single" w:color="auto" w:sz="4" w:space="0"/>
            </w:tcBorders>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MELD score</w:t>
            </w:r>
          </w:p>
        </w:tc>
        <w:tc>
          <w:tcPr>
            <w:tcW w:w="1031" w:type="pct"/>
            <w:tcBorders>
              <w:top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(13-18)</w:t>
            </w:r>
          </w:p>
        </w:tc>
        <w:tc>
          <w:tcPr>
            <w:tcW w:w="1194" w:type="pct"/>
            <w:tcBorders>
              <w:top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(13-19)</w:t>
            </w:r>
          </w:p>
        </w:tc>
        <w:tc>
          <w:tcPr>
            <w:tcW w:w="663" w:type="pct"/>
            <w:tcBorders>
              <w:top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CHILD score</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 (9-11)</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 (8-11)</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Donors’ age (yr)</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(23-30)</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25 (24-30)</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Donors’ BMI (kg/m</w:t>
            </w:r>
            <w:r>
              <w:rPr>
                <w:rFonts w:ascii="Book Antiqua" w:hAnsi="Book Antiqua" w:eastAsia="Times New Roman" w:cs="Times New Roman"/>
                <w:bCs/>
                <w:vertAlign w:val="superscript"/>
                <w:lang w:bidi="ar-EG"/>
              </w:rPr>
              <w:t>2</w:t>
            </w:r>
            <w:r>
              <w:rPr>
                <w:rFonts w:ascii="Book Antiqua" w:hAnsi="Book Antiqua" w:eastAsia="Times New Roman" w:cs="Times New Roman"/>
                <w:bCs/>
                <w:lang w:bidi="ar-EG"/>
              </w:rPr>
              <w:t>)</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25 (23-26)</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24 (22-26)</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Recipient's age (yr)</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51 (46-56)</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52 (48-55)</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Recipient's BMI (kg/m</w:t>
            </w:r>
            <w:r>
              <w:rPr>
                <w:rFonts w:ascii="Book Antiqua" w:hAnsi="Book Antiqua" w:eastAsia="Times New Roman" w:cs="Times New Roman"/>
                <w:bCs/>
                <w:vertAlign w:val="superscript"/>
                <w:lang w:bidi="ar-EG"/>
              </w:rPr>
              <w:t>2</w:t>
            </w:r>
            <w:r>
              <w:rPr>
                <w:rFonts w:ascii="Book Antiqua" w:hAnsi="Book Antiqua" w:eastAsia="Times New Roman" w:cs="Times New Roman"/>
                <w:bCs/>
                <w:lang w:bidi="ar-EG"/>
              </w:rPr>
              <w:t>)</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(25-30)</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(26-30)</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Total bilirubin (mg/dL)</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2.6 (1.9-3.7)</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2.5 (1.9-4.1)</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Direct bilirubin (mg/dL)</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(0.8-2.1)</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(0.7-1.9)</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Alkaline phosphatase (IU/L)</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99 (70-118)</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84 (68-143)</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GGT (IU/L)</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36 (19-63)</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34 (22-60)</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Platelets (10</w:t>
            </w:r>
            <w:r>
              <w:rPr>
                <w:rFonts w:ascii="Book Antiqua" w:hAnsi="Book Antiqua" w:eastAsia="Times New Roman" w:cs="Times New Roman"/>
                <w:bCs/>
                <w:vertAlign w:val="superscript"/>
                <w:lang w:bidi="ar-EG"/>
              </w:rPr>
              <w:t>9</w:t>
            </w:r>
            <w:r>
              <w:rPr>
                <w:rFonts w:ascii="Book Antiqua" w:hAnsi="Book Antiqua" w:eastAsia="Times New Roman" w:cs="Times New Roman"/>
                <w:bCs/>
                <w:lang w:bidi="ar-EG"/>
              </w:rPr>
              <w:t>/L)</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70 (51-104)</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68 (51-102)</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Cold ischemia time (min)</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(30-60)</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(30-60)</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Warm ischemia time (min)</w:t>
            </w:r>
          </w:p>
        </w:tc>
        <w:tc>
          <w:tcPr>
            <w:tcW w:w="1031"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(35-60)</w:t>
            </w:r>
          </w:p>
        </w:tc>
        <w:tc>
          <w:tcPr>
            <w:tcW w:w="1194"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45 (35-60)</w:t>
            </w:r>
          </w:p>
        </w:tc>
        <w:tc>
          <w:tcPr>
            <w:tcW w:w="663" w:type="pct"/>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2" w:type="pct"/>
            <w:tcBorders>
              <w:bottom w:val="single" w:color="auto" w:sz="4" w:space="0"/>
            </w:tcBorders>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Graft arterialization time (min)</w:t>
            </w:r>
          </w:p>
        </w:tc>
        <w:tc>
          <w:tcPr>
            <w:tcW w:w="1031" w:type="pct"/>
            <w:tcBorders>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120 (90-150)</w:t>
            </w:r>
          </w:p>
        </w:tc>
        <w:tc>
          <w:tcPr>
            <w:tcW w:w="1194" w:type="pct"/>
            <w:tcBorders>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155 (120-205)</w:t>
            </w:r>
          </w:p>
        </w:tc>
        <w:tc>
          <w:tcPr>
            <w:tcW w:w="663" w:type="pct"/>
            <w:tcBorders>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&lt; 0.001</w:t>
            </w:r>
          </w:p>
        </w:tc>
      </w:tr>
    </w:tbl>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1</w:t>
      </w:r>
      <w:r>
        <w:rPr>
          <w:rFonts w:ascii="Book Antiqua" w:hAnsi="Book Antiqua" w:eastAsia="Times New Roman"/>
          <w:bCs/>
          <w:lang w:val="en-US" w:bidi="ar-EG"/>
        </w:rPr>
        <w:t>Mann-Whitney U test.</w:t>
      </w:r>
    </w:p>
    <w:p>
      <w:pPr>
        <w:spacing w:line="360" w:lineRule="auto"/>
        <w:jc w:val="both"/>
        <w:rPr>
          <w:rFonts w:ascii="Book Antiqua" w:hAnsi="Book Antiqua"/>
          <w:bCs/>
          <w:lang w:val="en-US" w:bidi="ar-EG"/>
        </w:rPr>
        <w:sectPr>
          <w:pgSz w:w="15840" w:h="12240" w:orient="landscape"/>
          <w:pgMar w:top="1440" w:right="1440" w:bottom="1440" w:left="1440" w:header="720" w:footer="720" w:gutter="0"/>
          <w:cols w:space="720" w:num="1"/>
          <w:docGrid w:linePitch="360" w:charSpace="0"/>
        </w:sectPr>
      </w:pPr>
      <w:r>
        <w:rPr>
          <w:rFonts w:ascii="Book Antiqua" w:hAnsi="Book Antiqua" w:eastAsia="Times New Roman"/>
          <w:bCs/>
          <w:lang w:val="en-US" w:bidi="ar-EG"/>
        </w:rPr>
        <w:t xml:space="preserve">Data are presented as median and interquartile range (IQR). </w:t>
      </w:r>
      <w:r>
        <w:rPr>
          <w:rFonts w:ascii="Book Antiqua" w:hAnsi="Book Antiqua"/>
          <w:bCs/>
          <w:lang w:bidi="ar-EG"/>
        </w:rPr>
        <w:t xml:space="preserve">MELD: </w:t>
      </w:r>
      <w:r>
        <w:rPr>
          <w:rFonts w:ascii="Book Antiqua" w:hAnsi="Book Antiqua" w:eastAsia="Book Antiqua" w:cs="Book Antiqua"/>
          <w:color w:val="000000"/>
        </w:rPr>
        <w:t>Model for end-stage liver disease</w:t>
      </w:r>
      <w:r>
        <w:rPr>
          <w:rFonts w:ascii="Book Antiqua" w:hAnsi="Book Antiqua"/>
          <w:bCs/>
          <w:lang w:bidi="ar-EG"/>
        </w:rPr>
        <w:t xml:space="preserve">; </w:t>
      </w:r>
      <w:r>
        <w:rPr>
          <w:rFonts w:ascii="Book Antiqua" w:hAnsi="Book Antiqua"/>
          <w:bCs/>
          <w:lang w:val="en-US" w:bidi="ar-EG"/>
        </w:rPr>
        <w:t>BMI: Body mass index.</w:t>
      </w:r>
    </w:p>
    <w:p>
      <w:pPr>
        <w:spacing w:line="360" w:lineRule="auto"/>
        <w:jc w:val="both"/>
        <w:rPr>
          <w:rFonts w:ascii="Book Antiqua" w:hAnsi="Book Antiqua" w:eastAsia="Times New Roman"/>
          <w:b/>
          <w:bCs/>
          <w:lang w:val="en-US" w:bidi="ar-EG"/>
        </w:rPr>
      </w:pPr>
      <w:r>
        <w:rPr>
          <w:rFonts w:ascii="Book Antiqua" w:hAnsi="Book Antiqua" w:eastAsia="Times New Roman"/>
          <w:b/>
          <w:bCs/>
          <w:lang w:val="en-US"/>
        </w:rPr>
        <w:t xml:space="preserve">Table 5 </w:t>
      </w:r>
      <w:r>
        <w:rPr>
          <w:rFonts w:ascii="Book Antiqua" w:hAnsi="Book Antiqua" w:eastAsia="Times New Roman"/>
          <w:b/>
          <w:bCs/>
          <w:lang w:val="en-US" w:bidi="ar-EG"/>
        </w:rPr>
        <w:t>Multivariable binary logistic regression model for prediction of biliary stricture</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7"/>
        <w:gridCol w:w="1716"/>
        <w:gridCol w:w="2287"/>
        <w:gridCol w:w="2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bottom w:val="single" w:color="auto" w:sz="4" w:space="0"/>
            </w:tcBorders>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Variable</w:t>
            </w:r>
          </w:p>
        </w:tc>
        <w:tc>
          <w:tcPr>
            <w:tcW w:w="651"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i/>
                <w:iCs/>
                <w:lang w:val="en-US" w:bidi="ar-EG"/>
              </w:rPr>
              <w:t>P</w:t>
            </w:r>
            <w:r>
              <w:rPr>
                <w:rFonts w:ascii="Book Antiqua" w:hAnsi="Book Antiqua" w:eastAsia="Times New Roman"/>
                <w:b/>
                <w:bCs/>
                <w:lang w:val="en-US" w:bidi="ar-EG"/>
              </w:rPr>
              <w:t xml:space="preserve"> value</w:t>
            </w:r>
          </w:p>
        </w:tc>
        <w:tc>
          <w:tcPr>
            <w:tcW w:w="868"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Odds ratio</w:t>
            </w:r>
          </w:p>
        </w:tc>
        <w:tc>
          <w:tcPr>
            <w:tcW w:w="989"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Graft arterializations time &gt; 130 min</w:t>
            </w:r>
          </w:p>
        </w:tc>
        <w:tc>
          <w:tcPr>
            <w:tcW w:w="651" w:type="pct"/>
            <w:tcBorders>
              <w:top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0.001</w:t>
            </w:r>
          </w:p>
        </w:tc>
        <w:tc>
          <w:tcPr>
            <w:tcW w:w="868" w:type="pct"/>
            <w:tcBorders>
              <w:top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3.705</w:t>
            </w:r>
          </w:p>
        </w:tc>
        <w:tc>
          <w:tcPr>
            <w:tcW w:w="989" w:type="pct"/>
            <w:tcBorders>
              <w:top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1.669-8.224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leakage</w:t>
            </w:r>
          </w:p>
        </w:tc>
        <w:tc>
          <w:tcPr>
            <w:tcW w:w="651"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0.649</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1.208</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0.536-2.726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&gt; 1 Episode of biliary infection</w:t>
            </w:r>
          </w:p>
        </w:tc>
        <w:tc>
          <w:tcPr>
            <w:tcW w:w="651" w:type="pct"/>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&lt; 0.0001</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9.892</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4.086-23.952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bottom w:val="single" w:color="auto" w:sz="4" w:space="0"/>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Chronic graft rejection</w:t>
            </w:r>
          </w:p>
        </w:tc>
        <w:tc>
          <w:tcPr>
            <w:tcW w:w="651"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0.173</w:t>
            </w:r>
          </w:p>
        </w:tc>
        <w:tc>
          <w:tcPr>
            <w:tcW w:w="868"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2.088</w:t>
            </w:r>
          </w:p>
        </w:tc>
        <w:tc>
          <w:tcPr>
            <w:tcW w:w="989"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0.725-6.014</w:t>
            </w:r>
          </w:p>
        </w:tc>
      </w:tr>
    </w:tbl>
    <w:p>
      <w:pPr>
        <w:spacing w:line="360" w:lineRule="auto"/>
        <w:jc w:val="both"/>
        <w:rPr>
          <w:rFonts w:ascii="Book Antiqua" w:hAnsi="Book Antiqua" w:eastAsia="Times New Roman"/>
          <w:b/>
          <w:bCs/>
          <w:lang w:val="en-US" w:bidi="ar-EG"/>
        </w:rPr>
      </w:pPr>
      <w:r>
        <w:rPr>
          <w:rFonts w:ascii="Book Antiqua" w:hAnsi="Book Antiqua" w:eastAsia="Times New Roman"/>
          <w:bCs/>
          <w:lang w:val="en-US" w:bidi="ar-EG"/>
        </w:rPr>
        <w:t>CI: Confidence interval.</w:t>
      </w:r>
      <w:r>
        <w:rPr>
          <w:rFonts w:ascii="Book Antiqua" w:hAnsi="Book Antiqua" w:eastAsia="Times New Roman"/>
          <w:b/>
          <w:bCs/>
          <w:lang w:val="en-US" w:bidi="ar-EG"/>
        </w:rPr>
        <w:t xml:space="preserve"> </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bookmarkStart w:id="2" w:name="_Toc521675585"/>
      <w:r>
        <w:rPr>
          <w:rFonts w:ascii="Book Antiqua" w:hAnsi="Book Antiqua" w:eastAsia="Times New Roman"/>
          <w:b/>
          <w:bCs/>
          <w:lang w:val="en-US"/>
        </w:rPr>
        <w:t>Table 6</w:t>
      </w:r>
      <w:r>
        <w:rPr>
          <w:rFonts w:ascii="Book Antiqua" w:hAnsi="Book Antiqua" w:eastAsia="Times New Roman"/>
          <w:b/>
          <w:bCs/>
          <w:lang w:val="en-US" w:bidi="ar-EG"/>
        </w:rPr>
        <w:t xml:space="preserve"> Relation between biliary complications and chronic graft rejection</w:t>
      </w:r>
      <w:bookmarkEnd w:id="2"/>
    </w:p>
    <w:tbl>
      <w:tblPr>
        <w:tblStyle w:val="7"/>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630"/>
        <w:gridCol w:w="2029"/>
        <w:gridCol w:w="2092"/>
        <w:gridCol w:w="1918"/>
        <w:gridCol w:w="888"/>
        <w:gridCol w:w="1022"/>
        <w:gridCol w:w="1083"/>
        <w:gridCol w:w="1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8" w:type="pct"/>
            <w:gridSpan w:val="2"/>
            <w:vMerge w:val="restart"/>
            <w:tcBorders>
              <w:top w:val="single" w:color="auto" w:sz="4" w:space="0"/>
              <w:left w:val="nil"/>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Variable</w:t>
            </w:r>
          </w:p>
        </w:tc>
        <w:tc>
          <w:tcPr>
            <w:tcW w:w="794"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No Chronic graft rejection (</w:t>
            </w:r>
            <w:r>
              <w:rPr>
                <w:rFonts w:ascii="Book Antiqua" w:hAnsi="Book Antiqua" w:eastAsia="Times New Roman"/>
                <w:b/>
                <w:bCs/>
                <w:i/>
                <w:iCs/>
                <w:lang w:val="en-US" w:bidi="ar-EG"/>
              </w:rPr>
              <w:t>n</w:t>
            </w:r>
            <w:r>
              <w:rPr>
                <w:rFonts w:ascii="Book Antiqua" w:hAnsi="Book Antiqua" w:eastAsia="Times New Roman"/>
                <w:b/>
                <w:bCs/>
                <w:lang w:val="en-US" w:bidi="ar-EG"/>
              </w:rPr>
              <w:t xml:space="preserve"> = 142), </w:t>
            </w:r>
            <w:r>
              <w:rPr>
                <w:rFonts w:ascii="Book Antiqua" w:hAnsi="Book Antiqua" w:eastAsia="Times New Roman"/>
                <w:b/>
                <w:bCs/>
                <w:i/>
                <w:iCs/>
                <w:lang w:val="en-US" w:bidi="ar-EG"/>
              </w:rPr>
              <w:t>n</w:t>
            </w:r>
            <w:r>
              <w:rPr>
                <w:rFonts w:ascii="Book Antiqua" w:hAnsi="Book Antiqua" w:eastAsia="Times New Roman"/>
                <w:b/>
                <w:bCs/>
                <w:lang w:val="en-US" w:bidi="ar-EG"/>
              </w:rPr>
              <w:t xml:space="preserve"> (%)</w:t>
            </w:r>
          </w:p>
        </w:tc>
        <w:tc>
          <w:tcPr>
            <w:tcW w:w="728"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Chronic graft rejection (</w:t>
            </w:r>
            <w:r>
              <w:rPr>
                <w:rFonts w:ascii="Book Antiqua" w:hAnsi="Book Antiqua" w:eastAsia="Times New Roman"/>
                <w:b/>
                <w:bCs/>
                <w:i/>
                <w:iCs/>
                <w:lang w:val="en-US" w:bidi="ar-EG"/>
              </w:rPr>
              <w:t>n</w:t>
            </w:r>
            <w:r>
              <w:rPr>
                <w:rFonts w:ascii="Book Antiqua" w:hAnsi="Book Antiqua" w:eastAsia="Times New Roman"/>
                <w:b/>
                <w:bCs/>
                <w:lang w:val="en-US" w:bidi="ar-EG"/>
              </w:rPr>
              <w:t xml:space="preserve"> = 27), </w:t>
            </w:r>
            <w:r>
              <w:rPr>
                <w:rFonts w:ascii="Book Antiqua" w:hAnsi="Book Antiqua" w:eastAsia="Times New Roman"/>
                <w:b/>
                <w:bCs/>
                <w:i/>
                <w:iCs/>
                <w:lang w:val="en-US" w:bidi="ar-EG"/>
              </w:rPr>
              <w:t>n</w:t>
            </w:r>
            <w:r>
              <w:rPr>
                <w:rFonts w:ascii="Book Antiqua" w:hAnsi="Book Antiqua" w:eastAsia="Times New Roman"/>
                <w:b/>
                <w:bCs/>
                <w:lang w:val="en-US" w:bidi="ar-EG"/>
              </w:rPr>
              <w:t xml:space="preserve"> (%)</w:t>
            </w:r>
          </w:p>
        </w:tc>
        <w:tc>
          <w:tcPr>
            <w:tcW w:w="337"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OR</w:t>
            </w:r>
          </w:p>
        </w:tc>
        <w:tc>
          <w:tcPr>
            <w:tcW w:w="799" w:type="pct"/>
            <w:gridSpan w:val="2"/>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CI</w:t>
            </w:r>
          </w:p>
        </w:tc>
        <w:tc>
          <w:tcPr>
            <w:tcW w:w="574" w:type="pct"/>
            <w:vMerge w:val="restart"/>
            <w:tcBorders>
              <w:top w:val="single" w:color="auto" w:sz="4" w:space="0"/>
              <w:bottom w:val="single" w:color="auto" w:sz="4" w:space="0"/>
              <w:right w:val="nil"/>
            </w:tcBorders>
            <w:vAlign w:val="center"/>
          </w:tcPr>
          <w:p>
            <w:pPr>
              <w:spacing w:line="360" w:lineRule="auto"/>
              <w:jc w:val="both"/>
              <w:rPr>
                <w:rFonts w:ascii="Book Antiqua" w:hAnsi="Book Antiqua" w:eastAsia="Times New Roman"/>
                <w:b/>
                <w:bCs/>
                <w:i/>
                <w:iCs/>
                <w:lang w:val="en-US" w:bidi="ar-EG"/>
              </w:rPr>
            </w:pPr>
            <w:r>
              <w:rPr>
                <w:rFonts w:ascii="Book Antiqua" w:hAnsi="Book Antiqua" w:eastAsia="Times New Roman"/>
                <w:b/>
                <w:bCs/>
                <w:i/>
                <w:iCs/>
                <w:lang w:val="en-US" w:bidi="ar-EG"/>
              </w:rPr>
              <w:t>P</w:t>
            </w:r>
            <w:r>
              <w:rPr>
                <w:rFonts w:hint="eastAsia" w:ascii="Book Antiqua" w:hAnsi="Book Antiqua" w:eastAsiaTheme="minorEastAsia"/>
                <w:b/>
                <w:bCs/>
                <w:i/>
                <w:iCs/>
                <w:lang w:val="en-US" w:eastAsia="zh-CN" w:bidi="ar-EG"/>
              </w:rPr>
              <w:t xml:space="preserve"> </w:t>
            </w:r>
            <w:r>
              <w:rPr>
                <w:rFonts w:ascii="Book Antiqua" w:hAnsi="Book Antiqua" w:eastAsia="Times New Roman"/>
                <w:b/>
                <w:bCs/>
                <w:lang w:val="en-US" w:bidi="ar-EG"/>
              </w:rPr>
              <w:t>value</w:t>
            </w:r>
            <w:r>
              <w:rPr>
                <w:rFonts w:ascii="Book Antiqua" w:hAnsi="Book Antiqua" w:eastAsia="Times New Roman"/>
                <w:b/>
                <w:bCs/>
                <w:vertAlign w:val="superscript"/>
                <w:lang w:val="en-US" w:bidi="ar-EG"/>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8" w:type="pct"/>
            <w:gridSpan w:val="2"/>
            <w:vMerge w:val="continue"/>
            <w:tcBorders>
              <w:top w:val="nil"/>
              <w:left w:val="nil"/>
              <w:bottom w:val="single" w:color="auto" w:sz="4" w:space="0"/>
            </w:tcBorders>
          </w:tcPr>
          <w:p>
            <w:pPr>
              <w:spacing w:line="360" w:lineRule="auto"/>
              <w:jc w:val="both"/>
              <w:rPr>
                <w:rFonts w:ascii="Book Antiqua" w:hAnsi="Book Antiqua" w:eastAsia="Times New Roman"/>
                <w:b/>
                <w:bCs/>
                <w:lang w:val="en-US" w:bidi="ar-EG"/>
              </w:rPr>
            </w:pPr>
          </w:p>
        </w:tc>
        <w:tc>
          <w:tcPr>
            <w:tcW w:w="794"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728"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337"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388"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 LCL</w:t>
            </w:r>
          </w:p>
        </w:tc>
        <w:tc>
          <w:tcPr>
            <w:tcW w:w="411"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 UCL</w:t>
            </w:r>
          </w:p>
        </w:tc>
        <w:tc>
          <w:tcPr>
            <w:tcW w:w="574" w:type="pct"/>
            <w:vMerge w:val="continue"/>
            <w:tcBorders>
              <w:top w:val="nil"/>
              <w:bottom w:val="single" w:color="auto" w:sz="4" w:space="0"/>
              <w:right w:val="nil"/>
            </w:tcBorders>
            <w:vAlign w:val="center"/>
          </w:tcPr>
          <w:p>
            <w:pPr>
              <w:spacing w:line="360" w:lineRule="auto"/>
              <w:jc w:val="both"/>
              <w:rPr>
                <w:rFonts w:ascii="Book Antiqua" w:hAnsi="Book Antiqua" w:eastAsia="Times New Roman"/>
                <w:b/>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single" w:color="auto" w:sz="4" w:space="0"/>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leakage</w:t>
            </w:r>
          </w:p>
        </w:tc>
        <w:tc>
          <w:tcPr>
            <w:tcW w:w="770" w:type="pct"/>
            <w:tcBorders>
              <w:top w:val="single" w:color="auto" w:sz="4" w:space="0"/>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100 (87.7)</w:t>
            </w:r>
          </w:p>
        </w:tc>
        <w:tc>
          <w:tcPr>
            <w:tcW w:w="728" w:type="pc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 (12.3)</w:t>
            </w:r>
          </w:p>
        </w:tc>
        <w:tc>
          <w:tcPr>
            <w:tcW w:w="337"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2.2</w:t>
            </w:r>
          </w:p>
        </w:tc>
        <w:tc>
          <w:tcPr>
            <w:tcW w:w="388"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w:t>
            </w:r>
          </w:p>
        </w:tc>
        <w:tc>
          <w:tcPr>
            <w:tcW w:w="411"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5.1</w:t>
            </w:r>
          </w:p>
        </w:tc>
        <w:tc>
          <w:tcPr>
            <w:tcW w:w="574" w:type="pct"/>
            <w:vMerge w:val="restart"/>
            <w:tcBorders>
              <w:top w:val="single" w:color="auto" w:sz="4" w:space="0"/>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0.059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42 (76.4)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(23.6)</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Insertion of pigtail catheter for biliary leakage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135 (84.4)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 (15.6)</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7.9</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0.637</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(77.8)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(22.2)</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infection</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68 (94.4)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(5.6)</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5.3</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16.1</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74 (76.3)</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23 (23.7)</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biliary infection</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68 (94.4)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(5.6)</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&lt; 0.001</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68 (81)</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 (19)</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(46.2)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(53.8)</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Early biliary infection</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73 (93.6)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(6.4)</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4.7</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13.0</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69 (75.8)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22 (24.2)</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99 (90.8)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(9.2)</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3.9</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9.2</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43 (71.7)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 (28.3)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biliary strictures</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99 (90.8)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(9.2)</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0.001</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32 (74.4)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(25.6)</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(64.7)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(35.3)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Early biliary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134 (87)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20 (13)</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5.9</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1.9</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17.9</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0.003</w:t>
            </w:r>
            <w:r>
              <w:rPr>
                <w:rFonts w:ascii="Book Antiqua" w:hAnsi="Book Antiqua" w:eastAsia="Times New Roman"/>
                <w:b/>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 (53.3)</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(46.7)</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Need for ERCP</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99 (90.8)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(9.2)</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3.9</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9.2</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43 (71.7)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 (28.3)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ERCP</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99 (90.8)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(9.2)</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0.001</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31 (73.8)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(26.2)</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(66.7)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(33.3)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Number of stents introduced for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102 (91.1)</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(8.9)</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0.002</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stents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 (73.5)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(26.5)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stents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 (65.2)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 (34.8)</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Need for PTC</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136 (84.5)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 (15.5)</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1.8</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9.5</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0.615</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(75)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(25)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PTC</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136 (84.5)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 (15.5)</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0.190</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PTC</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(85.7)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(14.3)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PTC</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(100)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Surgical intervention for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141 (83.9)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27 (16.1)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0.8</w:t>
            </w:r>
          </w:p>
        </w:tc>
        <w:tc>
          <w:tcPr>
            <w:tcW w:w="388"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0.8</w:t>
            </w:r>
          </w:p>
        </w:tc>
        <w:tc>
          <w:tcPr>
            <w:tcW w:w="411"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0.9</w:t>
            </w: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1.000</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(100)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HCV PCR at occurrence of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Negative</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(66.7)</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(33.3)</w:t>
            </w:r>
          </w:p>
        </w:tc>
        <w:tc>
          <w:tcPr>
            <w:tcW w:w="337"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0.660</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Below 200000 IU</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(80)</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(20)</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200000 to 2 million</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 (78.9)</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(21.1)</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More than 2 million</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(54.5)</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(45.5)</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Antiviral treatment in relation to stricture</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Not given</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21 (77.8)</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(22.2)</w:t>
            </w:r>
          </w:p>
        </w:tc>
        <w:tc>
          <w:tcPr>
            <w:tcW w:w="337"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0.536</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spacing w:val="-6"/>
                <w:lang w:val="en-US" w:bidi="ar-EG"/>
              </w:rPr>
            </w:pPr>
            <w:r>
              <w:rPr>
                <w:rFonts w:ascii="Book Antiqua" w:hAnsi="Book Antiqua" w:eastAsia="Times New Roman"/>
                <w:bCs/>
                <w:spacing w:val="-6"/>
                <w:lang w:val="en-US" w:bidi="ar-EG"/>
              </w:rPr>
              <w:t>Before stricture</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(64.3)</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(35.7)</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After stricture</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(66.7)</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(33.3)</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During occurrence of stricture</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(69.2)</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(30.8)</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Admission related to BC</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85 (89.5)</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(10.5)</w:t>
            </w:r>
          </w:p>
        </w:tc>
        <w:tc>
          <w:tcPr>
            <w:tcW w:w="337"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w:t>
            </w:r>
          </w:p>
        </w:tc>
        <w:tc>
          <w:tcPr>
            <w:tcW w:w="388"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w:t>
            </w:r>
          </w:p>
        </w:tc>
        <w:tc>
          <w:tcPr>
            <w:tcW w:w="411"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5.9</w:t>
            </w:r>
          </w:p>
        </w:tc>
        <w:tc>
          <w:tcPr>
            <w:tcW w:w="574" w:type="pct"/>
            <w:vMerge w:val="restart"/>
            <w:tcBorders>
              <w:top w:val="nil"/>
              <w:bottom w:val="nil"/>
              <w:right w:val="nil"/>
            </w:tcBorders>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57 (77)</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 (23)</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admissions related to biliary complications</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85 (89.5)</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(10.5)</w:t>
            </w:r>
          </w:p>
        </w:tc>
        <w:tc>
          <w:tcPr>
            <w:tcW w:w="337"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restart"/>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restart"/>
            <w:tcBorders>
              <w:top w:val="nil"/>
              <w:bottom w:val="nil"/>
              <w:right w:val="nil"/>
            </w:tcBorders>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0.002</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35 (87.5)</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(12.5)</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22 (64.7)</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(35.3)</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Recurrent HCV</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116 (90.6)</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(9.4)</w:t>
            </w:r>
          </w:p>
        </w:tc>
        <w:tc>
          <w:tcPr>
            <w:tcW w:w="337"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5.6</w:t>
            </w:r>
          </w:p>
        </w:tc>
        <w:tc>
          <w:tcPr>
            <w:tcW w:w="388"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2.3</w:t>
            </w:r>
          </w:p>
        </w:tc>
        <w:tc>
          <w:tcPr>
            <w:tcW w:w="411" w:type="pct"/>
            <w:vMerge w:val="restar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13.3</w:t>
            </w:r>
          </w:p>
        </w:tc>
        <w:tc>
          <w:tcPr>
            <w:tcW w:w="574" w:type="pct"/>
            <w:vMerge w:val="restart"/>
            <w:tcBorders>
              <w:top w:val="nil"/>
              <w:bottom w:val="nil"/>
              <w:right w:val="nil"/>
            </w:tcBorders>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26 (63.4)</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 (36.6)</w:t>
            </w:r>
          </w:p>
        </w:tc>
        <w:tc>
          <w:tcPr>
            <w:tcW w:w="337"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nil"/>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nil"/>
              <w:right w:val="nil"/>
            </w:tcBorders>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998" w:type="pct"/>
            <w:vMerge w:val="restart"/>
            <w:tcBorders>
              <w:top w:val="nil"/>
              <w:left w:val="nil"/>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Resolution of recurrent HCV</w:t>
            </w:r>
          </w:p>
        </w:tc>
        <w:tc>
          <w:tcPr>
            <w:tcW w:w="770"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(25)</w:t>
            </w:r>
          </w:p>
        </w:tc>
        <w:tc>
          <w:tcPr>
            <w:tcW w:w="728" w:type="pct"/>
            <w:tcBorders>
              <w:top w:val="nil"/>
              <w:bottom w:val="nil"/>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(75)</w:t>
            </w:r>
          </w:p>
        </w:tc>
        <w:tc>
          <w:tcPr>
            <w:tcW w:w="337" w:type="pct"/>
            <w:vMerge w:val="restart"/>
            <w:tcBorders>
              <w:top w:val="nil"/>
              <w:bottom w:val="single" w:color="auto" w:sz="4" w:space="0"/>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0.2</w:t>
            </w:r>
          </w:p>
        </w:tc>
        <w:tc>
          <w:tcPr>
            <w:tcW w:w="388" w:type="pct"/>
            <w:vMerge w:val="restart"/>
            <w:tcBorders>
              <w:top w:val="nil"/>
              <w:bottom w:val="single" w:color="auto" w:sz="4" w:space="0"/>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0.0</w:t>
            </w:r>
          </w:p>
        </w:tc>
        <w:tc>
          <w:tcPr>
            <w:tcW w:w="411" w:type="pct"/>
            <w:vMerge w:val="restart"/>
            <w:tcBorders>
              <w:top w:val="nil"/>
              <w:bottom w:val="single" w:color="auto" w:sz="4" w:space="0"/>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w:t>
            </w:r>
          </w:p>
        </w:tc>
        <w:tc>
          <w:tcPr>
            <w:tcW w:w="574" w:type="pct"/>
            <w:vMerge w:val="restart"/>
            <w:tcBorders>
              <w:top w:val="nil"/>
              <w:bottom w:val="single" w:color="auto" w:sz="4" w:space="0"/>
              <w:right w:val="nil"/>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0.130</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8" w:type="pct"/>
            <w:vMerge w:val="continue"/>
            <w:tcBorders>
              <w:top w:val="nil"/>
              <w:left w:val="nil"/>
              <w:bottom w:val="single" w:color="auto" w:sz="4" w:space="0"/>
            </w:tcBorders>
            <w:vAlign w:val="center"/>
          </w:tcPr>
          <w:p>
            <w:pPr>
              <w:spacing w:line="360" w:lineRule="auto"/>
              <w:jc w:val="both"/>
              <w:rPr>
                <w:rFonts w:ascii="Book Antiqua" w:hAnsi="Book Antiqua" w:eastAsia="Times New Roman"/>
                <w:bCs/>
                <w:lang w:val="en-US" w:bidi="ar-EG"/>
              </w:rPr>
            </w:pPr>
          </w:p>
        </w:tc>
        <w:tc>
          <w:tcPr>
            <w:tcW w:w="770" w:type="pct"/>
            <w:tcBorders>
              <w:top w:val="nil"/>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single" w:color="auto" w:sz="4" w:space="0"/>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25 (67.6)</w:t>
            </w:r>
          </w:p>
        </w:tc>
        <w:tc>
          <w:tcPr>
            <w:tcW w:w="728" w:type="pct"/>
            <w:tcBorders>
              <w:top w:val="nil"/>
              <w:bottom w:val="single" w:color="auto" w:sz="4" w:space="0"/>
            </w:tcBorders>
            <w:noWrap/>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(32.4)</w:t>
            </w:r>
          </w:p>
        </w:tc>
        <w:tc>
          <w:tcPr>
            <w:tcW w:w="337"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388"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411"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574" w:type="pct"/>
            <w:vMerge w:val="continue"/>
            <w:tcBorders>
              <w:top w:val="nil"/>
              <w:bottom w:val="single" w:color="auto" w:sz="4" w:space="0"/>
              <w:right w:val="nil"/>
            </w:tcBorders>
          </w:tcPr>
          <w:p>
            <w:pPr>
              <w:spacing w:line="360" w:lineRule="auto"/>
              <w:jc w:val="both"/>
              <w:rPr>
                <w:rFonts w:ascii="Book Antiqua" w:hAnsi="Book Antiqua" w:eastAsia="Times New Roman"/>
                <w:bCs/>
                <w:lang w:val="en-US" w:bidi="ar-EG"/>
              </w:rPr>
            </w:pPr>
          </w:p>
        </w:tc>
      </w:tr>
    </w:tbl>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1</w:t>
      </w:r>
      <w:r>
        <w:rPr>
          <w:rFonts w:ascii="Book Antiqua" w:hAnsi="Book Antiqua" w:eastAsia="Times New Roman"/>
          <w:bCs/>
          <w:lang w:val="en-US" w:bidi="ar-EG"/>
        </w:rPr>
        <w:t>Pearson chi-squared test unless otherwise indicated.</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2</w:t>
      </w:r>
      <w:r>
        <w:rPr>
          <w:rFonts w:ascii="Book Antiqua" w:hAnsi="Book Antiqua" w:eastAsia="Times New Roman"/>
          <w:bCs/>
          <w:lang w:val="en-US" w:bidi="ar-EG"/>
        </w:rPr>
        <w:t>Fisher’s exact test.</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3</w:t>
      </w:r>
      <w:r>
        <w:rPr>
          <w:rFonts w:ascii="Book Antiqua" w:hAnsi="Book Antiqua" w:eastAsia="Times New Roman"/>
          <w:bCs/>
          <w:lang w:val="en-US" w:bidi="ar-EG"/>
        </w:rPr>
        <w:t xml:space="preserve">Chi-squared test for trend. </w:t>
      </w:r>
    </w:p>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Data are presented as number (</w:t>
      </w:r>
      <w:r>
        <w:rPr>
          <w:rFonts w:ascii="Book Antiqua" w:hAnsi="Book Antiqua" w:eastAsia="Times New Roman"/>
          <w:bCs/>
          <w:i/>
          <w:iCs/>
          <w:lang w:val="en-US" w:bidi="ar-EG"/>
        </w:rPr>
        <w:t>n</w:t>
      </w:r>
      <w:r>
        <w:rPr>
          <w:rFonts w:ascii="Book Antiqua" w:hAnsi="Book Antiqua" w:eastAsia="Times New Roman"/>
          <w:bCs/>
          <w:lang w:val="en-US" w:bidi="ar-EG"/>
        </w:rPr>
        <w:t xml:space="preserve">) and percentage (%). OR: Odds ratio; LCL: Lower confidence limit; UCL: Lower confidence limit; ERCP: </w:t>
      </w:r>
      <w:r>
        <w:rPr>
          <w:rFonts w:ascii="Book Antiqua" w:hAnsi="Book Antiqua" w:eastAsia="Book Antiqua" w:cs="Book Antiqua"/>
          <w:color w:val="000000"/>
        </w:rPr>
        <w:t>Endoscopic retrograde cholangiopancreatography;</w:t>
      </w:r>
      <w:r>
        <w:rPr>
          <w:rFonts w:ascii="Book Antiqua" w:hAnsi="Book Antiqua"/>
          <w:bCs/>
          <w:lang w:bidi="ar-EG"/>
        </w:rPr>
        <w:t xml:space="preserve"> PTC: </w:t>
      </w:r>
      <w:r>
        <w:rPr>
          <w:rFonts w:ascii="Book Antiqua" w:hAnsi="Book Antiqua" w:eastAsia="Book Antiqua" w:cs="Book Antiqua"/>
          <w:color w:val="000000"/>
        </w:rPr>
        <w:t>Percutaneous transhepatic cholangiography;</w:t>
      </w:r>
      <w:r>
        <w:rPr>
          <w:rFonts w:ascii="Book Antiqua" w:hAnsi="Book Antiqua"/>
          <w:bCs/>
          <w:lang w:bidi="ar-EG"/>
        </w:rPr>
        <w:t xml:space="preserve"> PCR: Polymerase chain reaction; HCV: Hepatitis C virus; BC: </w:t>
      </w:r>
      <w:r>
        <w:rPr>
          <w:rFonts w:ascii="Book Antiqua" w:hAnsi="Book Antiqua" w:eastAsia="Book Antiqua" w:cs="Book Antiqua"/>
          <w:color w:val="000000"/>
        </w:rPr>
        <w:t>Biliary complication.</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r>
        <w:rPr>
          <w:rFonts w:ascii="Book Antiqua" w:hAnsi="Book Antiqua" w:eastAsia="Times New Roman"/>
          <w:b/>
          <w:bCs/>
          <w:lang w:val="en-US"/>
        </w:rPr>
        <w:t xml:space="preserve">Table 7 </w:t>
      </w:r>
      <w:r>
        <w:rPr>
          <w:rFonts w:ascii="Book Antiqua" w:hAnsi="Book Antiqua" w:eastAsia="Times New Roman"/>
          <w:b/>
          <w:bCs/>
          <w:lang w:val="en-US" w:bidi="ar-EG"/>
        </w:rPr>
        <w:t>Multivariable binary logistic regression model for prediction of chronic graft rejection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7"/>
        <w:gridCol w:w="1716"/>
        <w:gridCol w:w="2287"/>
        <w:gridCol w:w="2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bottom w:val="single" w:color="auto" w:sz="4" w:space="0"/>
            </w:tcBorders>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Variable</w:t>
            </w:r>
          </w:p>
        </w:tc>
        <w:tc>
          <w:tcPr>
            <w:tcW w:w="651"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i/>
                <w:iCs/>
                <w:lang w:val="en-US" w:bidi="ar-EG"/>
              </w:rPr>
              <w:t>P</w:t>
            </w:r>
            <w:r>
              <w:rPr>
                <w:rFonts w:ascii="Book Antiqua" w:hAnsi="Book Antiqua" w:eastAsia="Times New Roman"/>
                <w:b/>
                <w:bCs/>
                <w:lang w:val="en-US" w:bidi="ar-EG"/>
              </w:rPr>
              <w:t xml:space="preserve"> value</w:t>
            </w:r>
          </w:p>
        </w:tc>
        <w:tc>
          <w:tcPr>
            <w:tcW w:w="868"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Odds ratio</w:t>
            </w:r>
          </w:p>
        </w:tc>
        <w:tc>
          <w:tcPr>
            <w:tcW w:w="989"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infection</w:t>
            </w:r>
          </w:p>
        </w:tc>
        <w:tc>
          <w:tcPr>
            <w:tcW w:w="651" w:type="pct"/>
            <w:tcBorders>
              <w:top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0.001</w:t>
            </w:r>
          </w:p>
        </w:tc>
        <w:tc>
          <w:tcPr>
            <w:tcW w:w="868" w:type="pct"/>
            <w:tcBorders>
              <w:top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4.301</w:t>
            </w:r>
          </w:p>
        </w:tc>
        <w:tc>
          <w:tcPr>
            <w:tcW w:w="989" w:type="pct"/>
            <w:tcBorders>
              <w:top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1.97-8.224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Early biliary infection</w:t>
            </w:r>
          </w:p>
        </w:tc>
        <w:tc>
          <w:tcPr>
            <w:tcW w:w="651" w:type="pct"/>
            <w:vAlign w:val="center"/>
          </w:tcPr>
          <w:p>
            <w:pPr>
              <w:spacing w:line="360" w:lineRule="auto"/>
              <w:jc w:val="both"/>
              <w:rPr>
                <w:rFonts w:ascii="Book Antiqua" w:hAnsi="Book Antiqua" w:eastAsia="Times New Roman"/>
                <w:lang w:val="en-US" w:bidi="ar-EG"/>
              </w:rPr>
            </w:pPr>
            <w:r>
              <w:rPr>
                <w:rFonts w:ascii="Book Antiqua" w:hAnsi="Book Antiqua" w:eastAsia="Times New Roman"/>
                <w:lang w:val="en-US" w:bidi="ar-EG"/>
              </w:rPr>
              <w:t>0.061</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1.105</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0.89-1.20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biliary infection</w:t>
            </w:r>
          </w:p>
        </w:tc>
        <w:tc>
          <w:tcPr>
            <w:tcW w:w="651" w:type="pct"/>
            <w:vAlign w:val="center"/>
          </w:tcPr>
          <w:p>
            <w:pPr>
              <w:spacing w:line="360" w:lineRule="auto"/>
              <w:jc w:val="both"/>
              <w:rPr>
                <w:rFonts w:ascii="Book Antiqua" w:hAnsi="Book Antiqua" w:eastAsia="Times New Roman"/>
                <w:b/>
                <w:lang w:val="en-US" w:bidi="ar-EG"/>
              </w:rPr>
            </w:pPr>
            <w:r>
              <w:rPr>
                <w:rFonts w:ascii="Book Antiqua" w:hAnsi="Book Antiqua" w:eastAsia="Times New Roman"/>
                <w:b/>
                <w:lang w:val="en-US" w:bidi="ar-EG"/>
              </w:rPr>
              <w:t>0.025</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1.208</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0.536-2.726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stricture</w:t>
            </w:r>
          </w:p>
        </w:tc>
        <w:tc>
          <w:tcPr>
            <w:tcW w:w="651" w:type="pct"/>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&lt; 0.0001</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3.882</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4.056-9.952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Need for ERCP</w:t>
            </w:r>
          </w:p>
        </w:tc>
        <w:tc>
          <w:tcPr>
            <w:tcW w:w="651" w:type="pct"/>
            <w:vAlign w:val="center"/>
          </w:tcPr>
          <w:p>
            <w:pPr>
              <w:spacing w:line="360" w:lineRule="auto"/>
              <w:jc w:val="both"/>
              <w:rPr>
                <w:rFonts w:ascii="Book Antiqua" w:hAnsi="Book Antiqua" w:eastAsia="Times New Roman"/>
                <w:b/>
                <w:lang w:val="en-US" w:bidi="ar-EG"/>
              </w:rPr>
            </w:pPr>
            <w:r>
              <w:rPr>
                <w:rFonts w:ascii="Book Antiqua" w:hAnsi="Book Antiqua" w:eastAsia="Times New Roman"/>
                <w:b/>
                <w:lang w:val="en-US" w:bidi="ar-EG"/>
              </w:rPr>
              <w:t>0.02</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2.91</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1.85-7.97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ERCP</w:t>
            </w:r>
          </w:p>
        </w:tc>
        <w:tc>
          <w:tcPr>
            <w:tcW w:w="651"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0.074</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1.098</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0.99-1.114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Number of stents</w:t>
            </w:r>
          </w:p>
        </w:tc>
        <w:tc>
          <w:tcPr>
            <w:tcW w:w="651"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0.62</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1.22</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0.57-2.42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Admission related to BCs</w:t>
            </w:r>
          </w:p>
        </w:tc>
        <w:tc>
          <w:tcPr>
            <w:tcW w:w="651"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0.082</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1.102</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0.99-1.40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admission</w:t>
            </w:r>
          </w:p>
        </w:tc>
        <w:tc>
          <w:tcPr>
            <w:tcW w:w="651"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0.51</w:t>
            </w:r>
          </w:p>
        </w:tc>
        <w:tc>
          <w:tcPr>
            <w:tcW w:w="868"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1.73</w:t>
            </w:r>
          </w:p>
        </w:tc>
        <w:tc>
          <w:tcPr>
            <w:tcW w:w="989" w:type="pct"/>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bottom w:val="single" w:color="auto" w:sz="4" w:space="0"/>
            </w:tcBorders>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Recurrent HCV</w:t>
            </w:r>
          </w:p>
        </w:tc>
        <w:tc>
          <w:tcPr>
            <w:tcW w:w="651" w:type="pct"/>
            <w:tcBorders>
              <w:bottom w:val="single" w:color="auto" w:sz="4" w:space="0"/>
            </w:tcBorders>
            <w:vAlign w:val="center"/>
          </w:tcPr>
          <w:p>
            <w:pPr>
              <w:spacing w:line="360" w:lineRule="auto"/>
              <w:jc w:val="both"/>
              <w:rPr>
                <w:rFonts w:ascii="Book Antiqua" w:hAnsi="Book Antiqua" w:eastAsia="Times New Roman"/>
                <w:b/>
                <w:lang w:val="en-US" w:bidi="ar-EG"/>
              </w:rPr>
            </w:pPr>
            <w:r>
              <w:rPr>
                <w:rFonts w:ascii="Book Antiqua" w:hAnsi="Book Antiqua" w:eastAsia="Times New Roman"/>
                <w:b/>
                <w:lang w:val="en-US" w:bidi="ar-EG"/>
              </w:rPr>
              <w:t>0.032</w:t>
            </w:r>
          </w:p>
        </w:tc>
        <w:tc>
          <w:tcPr>
            <w:tcW w:w="868"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3.11</w:t>
            </w:r>
          </w:p>
        </w:tc>
        <w:tc>
          <w:tcPr>
            <w:tcW w:w="989" w:type="pct"/>
            <w:tcBorders>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1.97-8.07</w:t>
            </w:r>
          </w:p>
        </w:tc>
      </w:tr>
    </w:tbl>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xml:space="preserve">CI: Confidence interval; ERCP: </w:t>
      </w:r>
      <w:r>
        <w:rPr>
          <w:rFonts w:ascii="Book Antiqua" w:hAnsi="Book Antiqua" w:eastAsia="Book Antiqua" w:cs="Book Antiqua"/>
          <w:color w:val="000000"/>
        </w:rPr>
        <w:t>Endoscopic retrograde cholangiopancreatography;</w:t>
      </w:r>
      <w:r>
        <w:rPr>
          <w:rFonts w:ascii="Book Antiqua" w:hAnsi="Book Antiqua"/>
          <w:bCs/>
          <w:lang w:bidi="ar-EG"/>
        </w:rPr>
        <w:t xml:space="preserve"> HCV: Hepatitis C virus; BC: </w:t>
      </w:r>
      <w:r>
        <w:rPr>
          <w:rFonts w:ascii="Book Antiqua" w:hAnsi="Book Antiqua" w:eastAsia="Book Antiqua" w:cs="Book Antiqua"/>
          <w:color w:val="000000"/>
        </w:rPr>
        <w:t>Biliary complication.</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lang w:val="en-US" w:bidi="ar-EG"/>
        </w:rPr>
      </w:pPr>
      <w:r>
        <w:rPr>
          <w:rFonts w:ascii="Book Antiqua" w:hAnsi="Book Antiqua" w:eastAsia="Times New Roman"/>
          <w:b/>
          <w:bCs/>
          <w:lang w:val="en-US"/>
        </w:rPr>
        <w:t xml:space="preserve">Table 8 </w:t>
      </w:r>
      <w:r>
        <w:rPr>
          <w:rFonts w:ascii="Book Antiqua" w:hAnsi="Book Antiqua" w:eastAsia="Times New Roman"/>
          <w:b/>
          <w:bCs/>
          <w:lang w:val="en-US" w:bidi="ar-EG"/>
        </w:rPr>
        <w:t>Relation between biliary complications and graft failure</w:t>
      </w:r>
    </w:p>
    <w:tbl>
      <w:tblPr>
        <w:tblStyle w:val="7"/>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717"/>
        <w:gridCol w:w="2026"/>
        <w:gridCol w:w="2092"/>
        <w:gridCol w:w="1918"/>
        <w:gridCol w:w="888"/>
        <w:gridCol w:w="1073"/>
        <w:gridCol w:w="1088"/>
        <w:gridCol w:w="13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pct"/>
            <w:gridSpan w:val="2"/>
            <w:vMerge w:val="restart"/>
            <w:tcBorders>
              <w:top w:val="single" w:color="auto" w:sz="4" w:space="0"/>
              <w:left w:val="nil"/>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Variable</w:t>
            </w:r>
          </w:p>
        </w:tc>
        <w:tc>
          <w:tcPr>
            <w:tcW w:w="794"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No graft failure (</w:t>
            </w:r>
            <w:r>
              <w:rPr>
                <w:rFonts w:ascii="Book Antiqua" w:hAnsi="Book Antiqua" w:eastAsia="Times New Roman"/>
                <w:b/>
                <w:bCs/>
                <w:i/>
                <w:iCs/>
                <w:lang w:val="en-US" w:bidi="ar-EG"/>
              </w:rPr>
              <w:t>n</w:t>
            </w:r>
            <w:r>
              <w:rPr>
                <w:rFonts w:ascii="Book Antiqua" w:hAnsi="Book Antiqua" w:eastAsia="Times New Roman"/>
                <w:b/>
                <w:bCs/>
                <w:lang w:val="en-US" w:bidi="ar-EG"/>
              </w:rPr>
              <w:t xml:space="preserve"> = 149), </w:t>
            </w:r>
            <w:r>
              <w:rPr>
                <w:rFonts w:ascii="Book Antiqua" w:hAnsi="Book Antiqua" w:eastAsia="Times New Roman"/>
                <w:b/>
                <w:bCs/>
                <w:i/>
                <w:iCs/>
                <w:lang w:val="en-US" w:bidi="ar-EG"/>
              </w:rPr>
              <w:t>n</w:t>
            </w:r>
            <w:r>
              <w:rPr>
                <w:rFonts w:ascii="Book Antiqua" w:hAnsi="Book Antiqua" w:eastAsia="Times New Roman"/>
                <w:b/>
                <w:bCs/>
                <w:lang w:val="en-US" w:bidi="ar-EG"/>
              </w:rPr>
              <w:t xml:space="preserve"> (%)</w:t>
            </w:r>
          </w:p>
        </w:tc>
        <w:tc>
          <w:tcPr>
            <w:tcW w:w="728"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Graft failure (</w:t>
            </w:r>
            <w:r>
              <w:rPr>
                <w:rFonts w:ascii="Book Antiqua" w:hAnsi="Book Antiqua" w:eastAsia="Times New Roman"/>
                <w:b/>
                <w:bCs/>
                <w:i/>
                <w:iCs/>
                <w:lang w:val="en-US" w:bidi="ar-EG"/>
              </w:rPr>
              <w:t>n</w:t>
            </w:r>
            <w:r>
              <w:rPr>
                <w:rFonts w:ascii="Book Antiqua" w:hAnsi="Book Antiqua" w:eastAsia="Times New Roman"/>
                <w:b/>
                <w:bCs/>
                <w:lang w:val="en-US" w:bidi="ar-EG"/>
              </w:rPr>
              <w:t xml:space="preserve"> = 20), </w:t>
            </w:r>
            <w:r>
              <w:rPr>
                <w:rFonts w:ascii="Book Antiqua" w:hAnsi="Book Antiqua" w:eastAsia="Times New Roman"/>
                <w:b/>
                <w:bCs/>
                <w:i/>
                <w:iCs/>
                <w:lang w:val="en-US" w:bidi="ar-EG"/>
              </w:rPr>
              <w:t>n</w:t>
            </w:r>
            <w:r>
              <w:rPr>
                <w:rFonts w:ascii="Book Antiqua" w:hAnsi="Book Antiqua" w:eastAsia="Times New Roman"/>
                <w:b/>
                <w:bCs/>
                <w:lang w:val="en-US" w:bidi="ar-EG"/>
              </w:rPr>
              <w:t xml:space="preserve"> (%)</w:t>
            </w:r>
          </w:p>
        </w:tc>
        <w:tc>
          <w:tcPr>
            <w:tcW w:w="337"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OR</w:t>
            </w:r>
          </w:p>
        </w:tc>
        <w:tc>
          <w:tcPr>
            <w:tcW w:w="820" w:type="pct"/>
            <w:gridSpan w:val="2"/>
            <w:tcBorders>
              <w:top w:val="single" w:color="auto" w:sz="4" w:space="0"/>
              <w:bottom w:val="single" w:color="auto" w:sz="4" w:space="0"/>
            </w:tcBorders>
            <w:noWrap/>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CI</w:t>
            </w:r>
          </w:p>
        </w:tc>
        <w:tc>
          <w:tcPr>
            <w:tcW w:w="521" w:type="pct"/>
            <w:vMerge w:val="restart"/>
            <w:tcBorders>
              <w:top w:val="single" w:color="auto" w:sz="4" w:space="0"/>
              <w:bottom w:val="single" w:color="auto" w:sz="4" w:space="0"/>
              <w:right w:val="nil"/>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i/>
                <w:iCs/>
                <w:lang w:val="en-US" w:bidi="ar-EG"/>
              </w:rPr>
              <w:t>P</w:t>
            </w:r>
            <w:r>
              <w:rPr>
                <w:rFonts w:ascii="Book Antiqua" w:hAnsi="Book Antiqua" w:eastAsia="Times New Roman"/>
                <w:b/>
                <w:bCs/>
                <w:lang w:val="en-US" w:bidi="ar-EG"/>
              </w:rPr>
              <w:t xml:space="preserve"> value</w:t>
            </w:r>
            <w:r>
              <w:rPr>
                <w:rFonts w:ascii="Book Antiqua" w:hAnsi="Book Antiqua" w:eastAsia="Times New Roman"/>
                <w:b/>
                <w:bCs/>
                <w:vertAlign w:val="superscript"/>
                <w:lang w:val="en-US" w:bidi="ar-EG"/>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pct"/>
            <w:gridSpan w:val="2"/>
            <w:vMerge w:val="continue"/>
            <w:tcBorders>
              <w:top w:val="nil"/>
              <w:left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794"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728"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337" w:type="pct"/>
            <w:vMerge w:val="continue"/>
            <w:tcBorders>
              <w:top w:val="nil"/>
              <w:bottom w:val="single" w:color="auto" w:sz="4" w:space="0"/>
            </w:tcBorders>
            <w:vAlign w:val="center"/>
          </w:tcPr>
          <w:p>
            <w:pPr>
              <w:spacing w:line="360" w:lineRule="auto"/>
              <w:jc w:val="both"/>
              <w:rPr>
                <w:rFonts w:ascii="Book Antiqua" w:hAnsi="Book Antiqua" w:eastAsia="Times New Roman"/>
                <w:b/>
                <w:bCs/>
                <w:lang w:val="en-US" w:bidi="ar-EG"/>
              </w:rPr>
            </w:pPr>
          </w:p>
        </w:tc>
        <w:tc>
          <w:tcPr>
            <w:tcW w:w="407"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 LCL</w:t>
            </w:r>
          </w:p>
        </w:tc>
        <w:tc>
          <w:tcPr>
            <w:tcW w:w="413" w:type="pct"/>
            <w:tcBorders>
              <w:top w:val="single" w:color="auto" w:sz="4" w:space="0"/>
              <w:bottom w:val="single" w:color="auto" w:sz="4" w:space="0"/>
            </w:tcBorders>
            <w:vAlign w:val="center"/>
          </w:tcPr>
          <w:p>
            <w:pPr>
              <w:spacing w:line="360" w:lineRule="auto"/>
              <w:jc w:val="both"/>
              <w:rPr>
                <w:rFonts w:ascii="Book Antiqua" w:hAnsi="Book Antiqua" w:eastAsia="Times New Roman"/>
                <w:b/>
                <w:bCs/>
                <w:lang w:val="en-US" w:bidi="ar-EG"/>
              </w:rPr>
            </w:pPr>
            <w:r>
              <w:rPr>
                <w:rFonts w:ascii="Book Antiqua" w:hAnsi="Book Antiqua" w:eastAsia="Times New Roman"/>
                <w:b/>
                <w:bCs/>
                <w:lang w:val="en-US" w:bidi="ar-EG"/>
              </w:rPr>
              <w:t>95% UCL</w:t>
            </w:r>
          </w:p>
        </w:tc>
        <w:tc>
          <w:tcPr>
            <w:tcW w:w="521" w:type="pct"/>
            <w:vMerge w:val="continue"/>
            <w:tcBorders>
              <w:top w:val="nil"/>
              <w:bottom w:val="single" w:color="auto" w:sz="4" w:space="0"/>
              <w:right w:val="nil"/>
            </w:tcBorders>
            <w:vAlign w:val="center"/>
          </w:tcPr>
          <w:p>
            <w:pPr>
              <w:spacing w:line="360" w:lineRule="auto"/>
              <w:jc w:val="both"/>
              <w:rPr>
                <w:rFonts w:ascii="Book Antiqua" w:hAnsi="Book Antiqua" w:eastAsia="Times New Roman"/>
                <w:b/>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single" w:color="auto" w:sz="4" w:space="0"/>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leakage</w:t>
            </w:r>
          </w:p>
        </w:tc>
        <w:tc>
          <w:tcPr>
            <w:tcW w:w="769" w:type="pct"/>
            <w:tcBorders>
              <w:top w:val="single" w:color="auto" w:sz="4" w:space="0"/>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105 (92.1)</w:t>
            </w:r>
          </w:p>
        </w:tc>
        <w:tc>
          <w:tcPr>
            <w:tcW w:w="728" w:type="pc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(7.9)</w:t>
            </w:r>
          </w:p>
        </w:tc>
        <w:tc>
          <w:tcPr>
            <w:tcW w:w="337"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2.9</w:t>
            </w:r>
          </w:p>
        </w:tc>
        <w:tc>
          <w:tcPr>
            <w:tcW w:w="407"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w:t>
            </w:r>
          </w:p>
        </w:tc>
        <w:tc>
          <w:tcPr>
            <w:tcW w:w="413" w:type="pct"/>
            <w:vMerge w:val="restart"/>
            <w:tcBorders>
              <w:top w:val="single" w:color="auto" w:sz="4" w:space="0"/>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7.5</w:t>
            </w:r>
          </w:p>
        </w:tc>
        <w:tc>
          <w:tcPr>
            <w:tcW w:w="521" w:type="pct"/>
            <w:vMerge w:val="restart"/>
            <w:tcBorders>
              <w:top w:val="single" w:color="auto" w:sz="4" w:space="0"/>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44 (80)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(20)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Insertion of pigtail catheter</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144 (90)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 (10)</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7.2</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1.8</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29.6</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0.012</w:t>
            </w:r>
            <w:r>
              <w:rPr>
                <w:rFonts w:ascii="Book Antiqua" w:hAnsi="Book Antiqua" w:eastAsia="Times New Roman"/>
                <w:b/>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(55.6)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(44.4)</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infection</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68 (94.4)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(5.6)</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3.4</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10.5</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81 (83.5)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 (16.5)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biliary infection</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68 (94.4)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(5.6)</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bCs/>
                <w:lang w:val="en-US" w:bidi="ar-EG"/>
              </w:rPr>
              <w:t>0.021</w:t>
            </w:r>
            <w:r>
              <w:rPr>
                <w:rFonts w:ascii="Book Antiqua" w:hAnsi="Book Antiqua" w:eastAsia="Times New Roman"/>
                <w:b/>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71 (84.5)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(15.5)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(76.9)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(23.1)</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Early biliary infection</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73 (93.6)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(6.4)</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2.9</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8.3</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lang w:val="en-US" w:bidi="ar-EG"/>
              </w:rPr>
              <w:t>0.043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76 (83.5)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 (16.5)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Biliary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98 (89.9)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(10.1)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4.0</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51 (85)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(15)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biliary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98 (89.9)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(10.1)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0.168</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38 (88.4)</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(11.6)</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Episodes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(76.5)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(23.5)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Early biliary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137 (89)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17 (11)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2.0</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7.9</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0.392</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(80)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(20.0)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Need for ERCP</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98 (89.9)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(10.1)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1.6</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0.6</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4.0</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51 (85)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 (15.0)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ERCP</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98 (89.9)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(10.1)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0.188</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37 (88.1)</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(11.9)</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 (77.8)</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(22.2)</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Number of stents introduced for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101 (90.2)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(9.8)</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0.136</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Stents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30 (88.2)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(11.8)</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 3 Stents</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18 (78.3)</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(21.7)</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Need for PTC</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142 (88.2)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19 (11.8)</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9.2</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1.000</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(87.5)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(12.5)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PTC</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142 (88.2)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19 (11.8)</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0.374</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PTC</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(100)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PTC</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(100)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Surgical intervention for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148 (88.1)</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20 (11.9)</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0.9</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0.8</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0.9</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1.000</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(100)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HCV PCR at occurrence of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Negative</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(86.7)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(13.3)</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0.292</w:t>
            </w:r>
            <w:r>
              <w:rPr>
                <w:rFonts w:ascii="Book Antiqua" w:hAnsi="Book Antiqua" w:eastAsia="Times New Roman"/>
                <w:bCs/>
                <w:vertAlign w:val="superscript"/>
                <w:lang w:val="en-US"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Below 200000 IU</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 (86.7)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(13.3)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200000 to 2 million</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18 (94.7)</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(5.3)</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bidi="ar-EG"/>
              </w:rPr>
              <w:t>More than 2 million</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7 (63.6)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(36.4)</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Antiviral treatment in relation to stricture</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Not given</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24 (88.9)</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(11.1)</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0.836</w:t>
            </w:r>
            <w:r>
              <w:rPr>
                <w:rFonts w:ascii="Book Antiqua" w:hAnsi="Book Antiqua" w:eastAsia="Times New Roman"/>
                <w:bCs/>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Before stricture</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(78.6)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(21.4)</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After stricture</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5 (83.3)</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 (16.7)</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During occurrence of stricture</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 (84.6)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(15.4)</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Admission related to BC</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85 (89.5)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(10.5)</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1.3</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3.4</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0.551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64 (86.5)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(13.5)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Frequency of admissions related to BC</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Nil</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85 (89.5)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(10.5)</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38 (95)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 (5)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 ERCP</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26 (76.5)</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8 (23.5)</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Recurrent HCV infection</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118 (92.2)</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(7.8)</w:t>
            </w:r>
          </w:p>
        </w:tc>
        <w:tc>
          <w:tcPr>
            <w:tcW w:w="33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3.8</w:t>
            </w:r>
          </w:p>
        </w:tc>
        <w:tc>
          <w:tcPr>
            <w:tcW w:w="407"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1.5</w:t>
            </w:r>
          </w:p>
        </w:tc>
        <w:tc>
          <w:tcPr>
            <w:tcW w:w="413" w:type="pct"/>
            <w:vMerge w:val="restar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10.0</w:t>
            </w:r>
          </w:p>
        </w:tc>
        <w:tc>
          <w:tcPr>
            <w:tcW w:w="521" w:type="pct"/>
            <w:vMerge w:val="restart"/>
            <w:tcBorders>
              <w:top w:val="nil"/>
              <w:bottom w:val="nil"/>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lang w:val="en-US" w:bidi="ar-EG"/>
              </w:rPr>
              <w:t>0.010</w:t>
            </w:r>
            <w:r>
              <w:rPr>
                <w:rFonts w:ascii="Book Antiqua" w:hAnsi="Book Antiqua" w:eastAsia="Times New Roman"/>
                <w:b/>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nil"/>
            </w:tcBorders>
            <w:vAlign w:val="center"/>
          </w:tcPr>
          <w:p>
            <w:pPr>
              <w:spacing w:line="360" w:lineRule="auto"/>
              <w:jc w:val="both"/>
              <w:rPr>
                <w:rFonts w:ascii="Book Antiqua" w:hAnsi="Book Antiqua" w:eastAsia="Times New Roman"/>
                <w:bCs/>
                <w:lang w:val="en-US" w:bidi="ar-EG"/>
              </w:rPr>
            </w:pP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31 (75.6)</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10 (24.4)</w:t>
            </w:r>
          </w:p>
        </w:tc>
        <w:tc>
          <w:tcPr>
            <w:tcW w:w="33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07"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413" w:type="pct"/>
            <w:vMerge w:val="continue"/>
            <w:tcBorders>
              <w:top w:val="nil"/>
              <w:bottom w:val="nil"/>
            </w:tcBorders>
            <w:noWrap/>
            <w:vAlign w:val="center"/>
          </w:tcPr>
          <w:p>
            <w:pPr>
              <w:spacing w:line="360" w:lineRule="auto"/>
              <w:jc w:val="both"/>
              <w:rPr>
                <w:rFonts w:ascii="Book Antiqua" w:hAnsi="Book Antiqua" w:eastAsia="Times New Roman"/>
                <w:bCs/>
                <w:lang w:val="en-US" w:bidi="ar-EG"/>
              </w:rPr>
            </w:pPr>
          </w:p>
        </w:tc>
        <w:tc>
          <w:tcPr>
            <w:tcW w:w="521" w:type="pct"/>
            <w:vMerge w:val="continue"/>
            <w:tcBorders>
              <w:top w:val="nil"/>
              <w:bottom w:val="nil"/>
              <w:right w:val="nil"/>
            </w:tcBorders>
            <w:vAlign w:val="center"/>
          </w:tcPr>
          <w:p>
            <w:pPr>
              <w:spacing w:line="360" w:lineRule="auto"/>
              <w:jc w:val="both"/>
              <w:rPr>
                <w:rFonts w:ascii="Book Antiqua" w:hAnsi="Book Antiqua" w:eastAsia="Times New Roman"/>
                <w:bCs/>
                <w:lang w:val="en-US"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restart"/>
            <w:tcBorders>
              <w:top w:val="nil"/>
              <w:left w:val="nil"/>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Resolution of recurrent HCV</w:t>
            </w:r>
          </w:p>
        </w:tc>
        <w:tc>
          <w:tcPr>
            <w:tcW w:w="769" w:type="pct"/>
            <w:tcBorders>
              <w:top w:val="nil"/>
              <w:bottom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0 (0)</w:t>
            </w:r>
          </w:p>
        </w:tc>
        <w:tc>
          <w:tcPr>
            <w:tcW w:w="728" w:type="pct"/>
            <w:tcBorders>
              <w:top w:val="nil"/>
              <w:bottom w:val="nil"/>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4 (100)</w:t>
            </w:r>
          </w:p>
        </w:tc>
        <w:tc>
          <w:tcPr>
            <w:tcW w:w="337" w:type="pct"/>
            <w:vMerge w:val="restart"/>
            <w:tcBorders>
              <w:top w:val="nil"/>
              <w:bottom w:val="single" w:color="auto" w:sz="4" w:space="0"/>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6.2</w:t>
            </w:r>
          </w:p>
        </w:tc>
        <w:tc>
          <w:tcPr>
            <w:tcW w:w="407" w:type="pct"/>
            <w:vMerge w:val="restart"/>
            <w:tcBorders>
              <w:top w:val="nil"/>
              <w:bottom w:val="single" w:color="auto" w:sz="4" w:space="0"/>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3.0</w:t>
            </w:r>
          </w:p>
        </w:tc>
        <w:tc>
          <w:tcPr>
            <w:tcW w:w="413" w:type="pct"/>
            <w:vMerge w:val="restart"/>
            <w:tcBorders>
              <w:top w:val="nil"/>
              <w:bottom w:val="single" w:color="auto" w:sz="4" w:space="0"/>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12.8</w:t>
            </w:r>
          </w:p>
        </w:tc>
        <w:tc>
          <w:tcPr>
            <w:tcW w:w="521" w:type="pct"/>
            <w:vMerge w:val="restart"/>
            <w:tcBorders>
              <w:top w:val="nil"/>
              <w:bottom w:val="single" w:color="auto" w:sz="4" w:space="0"/>
              <w:right w:val="nil"/>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
                <w:lang w:val="en-US" w:bidi="ar-EG"/>
              </w:rPr>
              <w:t>0.002</w:t>
            </w:r>
            <w:r>
              <w:rPr>
                <w:rFonts w:ascii="Book Antiqua" w:hAnsi="Book Antiqua" w:eastAsia="Times New Roman"/>
                <w:b/>
                <w:vertAlign w:val="superscript"/>
                <w:lang w:val="en-US"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vMerge w:val="continue"/>
            <w:tcBorders>
              <w:top w:val="nil"/>
              <w:left w:val="nil"/>
              <w:bottom w:val="single" w:color="auto" w:sz="4" w:space="0"/>
            </w:tcBorders>
            <w:vAlign w:val="center"/>
          </w:tcPr>
          <w:p>
            <w:pPr>
              <w:spacing w:line="360" w:lineRule="auto"/>
              <w:jc w:val="both"/>
              <w:rPr>
                <w:rFonts w:ascii="Book Antiqua" w:hAnsi="Book Antiqua" w:eastAsia="Times New Roman"/>
                <w:bCs/>
                <w:lang w:val="en-US" w:bidi="ar-EG"/>
              </w:rPr>
            </w:pPr>
          </w:p>
        </w:tc>
        <w:tc>
          <w:tcPr>
            <w:tcW w:w="769" w:type="pct"/>
            <w:tcBorders>
              <w:top w:val="nil"/>
              <w:bottom w:val="single" w:color="auto" w:sz="4" w:space="0"/>
            </w:tcBorders>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w:t>
            </w:r>
          </w:p>
        </w:tc>
        <w:tc>
          <w:tcPr>
            <w:tcW w:w="794" w:type="pct"/>
            <w:tcBorders>
              <w:top w:val="nil"/>
              <w:bottom w:val="single" w:color="auto" w:sz="4" w:space="0"/>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31 (83.8)</w:t>
            </w:r>
          </w:p>
        </w:tc>
        <w:tc>
          <w:tcPr>
            <w:tcW w:w="728" w:type="pct"/>
            <w:tcBorders>
              <w:top w:val="nil"/>
              <w:bottom w:val="single" w:color="auto" w:sz="4" w:space="0"/>
            </w:tcBorders>
            <w:noWrap/>
            <w:vAlign w:val="center"/>
          </w:tcPr>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6 (16.2)</w:t>
            </w:r>
          </w:p>
        </w:tc>
        <w:tc>
          <w:tcPr>
            <w:tcW w:w="337"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407"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413" w:type="pct"/>
            <w:vMerge w:val="continue"/>
            <w:tcBorders>
              <w:top w:val="nil"/>
              <w:bottom w:val="single" w:color="auto" w:sz="4" w:space="0"/>
            </w:tcBorders>
            <w:noWrap/>
          </w:tcPr>
          <w:p>
            <w:pPr>
              <w:spacing w:line="360" w:lineRule="auto"/>
              <w:jc w:val="both"/>
              <w:rPr>
                <w:rFonts w:ascii="Book Antiqua" w:hAnsi="Book Antiqua" w:eastAsia="Times New Roman"/>
                <w:bCs/>
                <w:lang w:val="en-US" w:bidi="ar-EG"/>
              </w:rPr>
            </w:pPr>
          </w:p>
        </w:tc>
        <w:tc>
          <w:tcPr>
            <w:tcW w:w="521" w:type="pct"/>
            <w:vMerge w:val="continue"/>
            <w:tcBorders>
              <w:top w:val="nil"/>
              <w:bottom w:val="single" w:color="auto" w:sz="4" w:space="0"/>
              <w:right w:val="nil"/>
            </w:tcBorders>
          </w:tcPr>
          <w:p>
            <w:pPr>
              <w:spacing w:line="360" w:lineRule="auto"/>
              <w:jc w:val="both"/>
              <w:rPr>
                <w:rFonts w:ascii="Book Antiqua" w:hAnsi="Book Antiqua" w:eastAsia="Times New Roman"/>
                <w:bCs/>
                <w:lang w:val="en-US" w:bidi="ar-EG"/>
              </w:rPr>
            </w:pPr>
          </w:p>
        </w:tc>
      </w:tr>
    </w:tbl>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1</w:t>
      </w:r>
      <w:r>
        <w:rPr>
          <w:rFonts w:ascii="Book Antiqua" w:hAnsi="Book Antiqua" w:eastAsia="Times New Roman"/>
          <w:bCs/>
          <w:lang w:val="en-US" w:bidi="ar-EG"/>
        </w:rPr>
        <w:t>Pearson chi-squared test unless otherwise indicated.</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2</w:t>
      </w:r>
      <w:r>
        <w:rPr>
          <w:rFonts w:ascii="Book Antiqua" w:hAnsi="Book Antiqua" w:eastAsia="Times New Roman"/>
          <w:bCs/>
          <w:lang w:val="en-US" w:bidi="ar-EG"/>
        </w:rPr>
        <w:t>Fisher’s exact test.</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3</w:t>
      </w:r>
      <w:r>
        <w:rPr>
          <w:rFonts w:ascii="Book Antiqua" w:hAnsi="Book Antiqua" w:eastAsia="Times New Roman"/>
          <w:bCs/>
          <w:lang w:val="en-US" w:bidi="ar-EG"/>
        </w:rPr>
        <w:t xml:space="preserve">Chi-squared test for trend. </w:t>
      </w:r>
    </w:p>
    <w:p>
      <w:pPr>
        <w:spacing w:line="360" w:lineRule="auto"/>
        <w:jc w:val="both"/>
        <w:rPr>
          <w:rFonts w:ascii="Book Antiqua" w:hAnsi="Book Antiqua" w:eastAsia="Times New Roman"/>
          <w:bCs/>
          <w:lang w:val="en-US" w:bidi="ar-EG"/>
        </w:rPr>
      </w:pPr>
      <w:r>
        <w:rPr>
          <w:rFonts w:ascii="Book Antiqua" w:hAnsi="Book Antiqua" w:eastAsia="Times New Roman"/>
          <w:bCs/>
          <w:lang w:val="en-US" w:bidi="ar-EG"/>
        </w:rPr>
        <w:t>Data are presented as number (</w:t>
      </w:r>
      <w:r>
        <w:rPr>
          <w:rFonts w:ascii="Book Antiqua" w:hAnsi="Book Antiqua" w:eastAsia="Times New Roman"/>
          <w:bCs/>
          <w:i/>
          <w:iCs/>
          <w:lang w:val="en-US" w:bidi="ar-EG"/>
        </w:rPr>
        <w:t>n</w:t>
      </w:r>
      <w:r>
        <w:rPr>
          <w:rFonts w:ascii="Book Antiqua" w:hAnsi="Book Antiqua" w:eastAsia="Times New Roman"/>
          <w:bCs/>
          <w:lang w:val="en-US" w:bidi="ar-EG"/>
        </w:rPr>
        <w:t xml:space="preserve">) and percentage (%). OR: Odds ratio; LCL: Lower confidence limit; UCL: Lower confidence limit; ERCP: </w:t>
      </w:r>
      <w:r>
        <w:rPr>
          <w:rFonts w:ascii="Book Antiqua" w:hAnsi="Book Antiqua" w:eastAsia="Book Antiqua" w:cs="Book Antiqua"/>
          <w:color w:val="000000"/>
        </w:rPr>
        <w:t>Endoscopic retrograde cholangiopancreatography;</w:t>
      </w:r>
      <w:r>
        <w:rPr>
          <w:rFonts w:ascii="Book Antiqua" w:hAnsi="Book Antiqua"/>
          <w:bCs/>
          <w:lang w:bidi="ar-EG"/>
        </w:rPr>
        <w:t xml:space="preserve"> PTC: </w:t>
      </w:r>
      <w:r>
        <w:rPr>
          <w:rFonts w:ascii="Book Antiqua" w:hAnsi="Book Antiqua" w:eastAsia="Book Antiqua" w:cs="Book Antiqua"/>
          <w:color w:val="000000"/>
        </w:rPr>
        <w:t>Percutaneous transhepatic cholangiography;</w:t>
      </w:r>
      <w:r>
        <w:rPr>
          <w:rFonts w:ascii="Book Antiqua" w:hAnsi="Book Antiqua"/>
          <w:bCs/>
          <w:lang w:bidi="ar-EG"/>
        </w:rPr>
        <w:t xml:space="preserve"> PCR: Polymerase chain reaction; HCV: Hepatitis C virus; BC: </w:t>
      </w:r>
      <w:r>
        <w:rPr>
          <w:rFonts w:ascii="Book Antiqua" w:hAnsi="Book Antiqua" w:eastAsia="Book Antiqua" w:cs="Book Antiqua"/>
          <w:color w:val="000000"/>
        </w:rPr>
        <w:t>Biliary complication.</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r>
        <w:rPr>
          <w:rFonts w:ascii="Book Antiqua" w:hAnsi="Book Antiqua" w:eastAsia="Times New Roman"/>
          <w:b/>
          <w:bCs/>
          <w:lang w:val="en-US"/>
        </w:rPr>
        <w:t xml:space="preserve">Table 9 </w:t>
      </w:r>
      <w:r>
        <w:rPr>
          <w:rFonts w:ascii="Book Antiqua" w:hAnsi="Book Antiqua" w:eastAsia="Times New Roman"/>
          <w:b/>
          <w:bCs/>
          <w:lang w:val="en-US" w:bidi="ar-EG"/>
        </w:rPr>
        <w:t>Multivariable binary logistic regression model for prediction of graft failure</w:t>
      </w:r>
    </w:p>
    <w:tbl>
      <w:tblPr>
        <w:tblStyle w:val="14"/>
        <w:tblW w:w="500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7"/>
        <w:gridCol w:w="1716"/>
        <w:gridCol w:w="2287"/>
        <w:gridCol w:w="2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bottom w:val="single" w:color="auto" w:sz="4" w:space="0"/>
            </w:tcBorders>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Variable</w:t>
            </w:r>
          </w:p>
        </w:tc>
        <w:tc>
          <w:tcPr>
            <w:tcW w:w="651" w:type="pct"/>
            <w:tcBorders>
              <w:top w:val="single" w:color="auto" w:sz="4" w:space="0"/>
              <w:bottom w:val="single" w:color="auto" w:sz="4" w:space="0"/>
            </w:tcBorders>
          </w:tcPr>
          <w:p>
            <w:pPr>
              <w:spacing w:line="360" w:lineRule="auto"/>
              <w:jc w:val="both"/>
              <w:rPr>
                <w:rFonts w:ascii="Book Antiqua" w:hAnsi="Book Antiqua" w:eastAsia="Times New Roman" w:cs="Arial"/>
                <w:b/>
                <w:bCs/>
                <w:lang w:bidi="ar-EG"/>
              </w:rPr>
            </w:pPr>
            <w:r>
              <w:rPr>
                <w:rFonts w:ascii="Book Antiqua" w:hAnsi="Book Antiqua" w:eastAsia="Times New Roman" w:cs="Arial"/>
                <w:b/>
                <w:bCs/>
                <w:i/>
                <w:iCs/>
                <w:lang w:bidi="ar-EG"/>
              </w:rPr>
              <w:t>P</w:t>
            </w:r>
            <w:r>
              <w:rPr>
                <w:rFonts w:ascii="Book Antiqua" w:hAnsi="Book Antiqua" w:eastAsia="Times New Roman" w:cs="Arial"/>
                <w:b/>
                <w:bCs/>
                <w:lang w:bidi="ar-EG"/>
              </w:rPr>
              <w:t xml:space="preserve"> value</w:t>
            </w:r>
          </w:p>
        </w:tc>
        <w:tc>
          <w:tcPr>
            <w:tcW w:w="868" w:type="pct"/>
            <w:tcBorders>
              <w:top w:val="single" w:color="auto" w:sz="4" w:space="0"/>
              <w:bottom w:val="single" w:color="auto" w:sz="4" w:space="0"/>
            </w:tcBorders>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Odds ratio</w:t>
            </w:r>
          </w:p>
        </w:tc>
        <w:tc>
          <w:tcPr>
            <w:tcW w:w="989" w:type="pct"/>
            <w:tcBorders>
              <w:top w:val="single" w:color="auto" w:sz="4" w:space="0"/>
              <w:bottom w:val="single" w:color="auto" w:sz="4" w:space="0"/>
            </w:tcBorders>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top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Biliary leakage</w:t>
            </w:r>
          </w:p>
        </w:tc>
        <w:tc>
          <w:tcPr>
            <w:tcW w:w="651" w:type="pct"/>
            <w:tcBorders>
              <w:top w:val="single" w:color="auto" w:sz="4" w:space="0"/>
            </w:tcBorders>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0.021</w:t>
            </w:r>
          </w:p>
        </w:tc>
        <w:tc>
          <w:tcPr>
            <w:tcW w:w="868" w:type="pct"/>
            <w:tcBorders>
              <w:top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1.82</w:t>
            </w:r>
          </w:p>
        </w:tc>
        <w:tc>
          <w:tcPr>
            <w:tcW w:w="989" w:type="pct"/>
            <w:tcBorders>
              <w:top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1.34-5.57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 xml:space="preserve">Insertion of pigtail catheter </w:t>
            </w:r>
          </w:p>
        </w:tc>
        <w:tc>
          <w:tcPr>
            <w:tcW w:w="651" w:type="pct"/>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0.010</w:t>
            </w:r>
          </w:p>
        </w:tc>
        <w:tc>
          <w:tcPr>
            <w:tcW w:w="868"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3.76</w:t>
            </w:r>
          </w:p>
        </w:tc>
        <w:tc>
          <w:tcPr>
            <w:tcW w:w="989"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1.45-11.83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Biliary infection</w:t>
            </w:r>
          </w:p>
        </w:tc>
        <w:tc>
          <w:tcPr>
            <w:tcW w:w="651" w:type="pct"/>
          </w:tcPr>
          <w:p>
            <w:pPr>
              <w:spacing w:line="360" w:lineRule="auto"/>
              <w:jc w:val="both"/>
              <w:rPr>
                <w:rFonts w:ascii="Book Antiqua" w:hAnsi="Book Antiqua" w:eastAsia="Times New Roman" w:cs="Arial"/>
                <w:b/>
                <w:bCs/>
                <w:lang w:bidi="ar-EG"/>
              </w:rPr>
            </w:pPr>
            <w:r>
              <w:rPr>
                <w:rFonts w:ascii="Book Antiqua" w:hAnsi="Book Antiqua" w:eastAsia="Times New Roman" w:cs="Arial"/>
                <w:b/>
                <w:bCs/>
                <w:lang w:bidi="ar-EG"/>
              </w:rPr>
              <w:t>0.032</w:t>
            </w:r>
          </w:p>
        </w:tc>
        <w:tc>
          <w:tcPr>
            <w:tcW w:w="868"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3.11</w:t>
            </w:r>
          </w:p>
        </w:tc>
        <w:tc>
          <w:tcPr>
            <w:tcW w:w="989"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1.03-9.06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Early biliary infection</w:t>
            </w:r>
          </w:p>
        </w:tc>
        <w:tc>
          <w:tcPr>
            <w:tcW w:w="651" w:type="pct"/>
          </w:tcPr>
          <w:p>
            <w:pPr>
              <w:spacing w:line="360" w:lineRule="auto"/>
              <w:jc w:val="both"/>
              <w:rPr>
                <w:rFonts w:ascii="Book Antiqua" w:hAnsi="Book Antiqua" w:eastAsia="Times New Roman" w:cs="Arial"/>
                <w:lang w:bidi="ar-EG"/>
              </w:rPr>
            </w:pPr>
            <w:r>
              <w:rPr>
                <w:rFonts w:ascii="Book Antiqua" w:hAnsi="Book Antiqua" w:eastAsia="Times New Roman" w:cs="Arial"/>
                <w:lang w:bidi="ar-EG"/>
              </w:rPr>
              <w:t>0.05</w:t>
            </w:r>
          </w:p>
        </w:tc>
        <w:tc>
          <w:tcPr>
            <w:tcW w:w="868"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1.34</w:t>
            </w:r>
          </w:p>
        </w:tc>
        <w:tc>
          <w:tcPr>
            <w:tcW w:w="989"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0.65-2.86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Frequency of biliary infection</w:t>
            </w:r>
          </w:p>
        </w:tc>
        <w:tc>
          <w:tcPr>
            <w:tcW w:w="651" w:type="pct"/>
          </w:tcPr>
          <w:p>
            <w:pPr>
              <w:spacing w:line="360" w:lineRule="auto"/>
              <w:jc w:val="both"/>
              <w:rPr>
                <w:rFonts w:ascii="Book Antiqua" w:hAnsi="Book Antiqua" w:eastAsia="Times New Roman" w:cs="Arial"/>
                <w:b/>
                <w:lang w:bidi="ar-EG"/>
              </w:rPr>
            </w:pPr>
            <w:r>
              <w:rPr>
                <w:rFonts w:ascii="Book Antiqua" w:hAnsi="Book Antiqua" w:eastAsia="Times New Roman" w:cs="Arial"/>
                <w:b/>
                <w:lang w:bidi="ar-EG"/>
              </w:rPr>
              <w:t>0.001</w:t>
            </w:r>
          </w:p>
        </w:tc>
        <w:tc>
          <w:tcPr>
            <w:tcW w:w="868"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2.52</w:t>
            </w:r>
          </w:p>
        </w:tc>
        <w:tc>
          <w:tcPr>
            <w:tcW w:w="989"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1.28-4.91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Nonresponse to HCV anti-viral therapy</w:t>
            </w:r>
          </w:p>
        </w:tc>
        <w:tc>
          <w:tcPr>
            <w:tcW w:w="651" w:type="pct"/>
          </w:tcPr>
          <w:p>
            <w:pPr>
              <w:spacing w:line="360" w:lineRule="auto"/>
              <w:jc w:val="both"/>
              <w:rPr>
                <w:rFonts w:ascii="Book Antiqua" w:hAnsi="Book Antiqua" w:eastAsia="Times New Roman" w:cs="Arial"/>
                <w:b/>
                <w:lang w:bidi="ar-EG"/>
              </w:rPr>
            </w:pPr>
            <w:r>
              <w:rPr>
                <w:rFonts w:ascii="Book Antiqua" w:hAnsi="Book Antiqua" w:eastAsia="Times New Roman" w:cs="Arial"/>
                <w:b/>
                <w:lang w:bidi="ar-EG"/>
              </w:rPr>
              <w:t>0.001</w:t>
            </w:r>
          </w:p>
        </w:tc>
        <w:tc>
          <w:tcPr>
            <w:tcW w:w="868"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3.6</w:t>
            </w:r>
          </w:p>
        </w:tc>
        <w:tc>
          <w:tcPr>
            <w:tcW w:w="989" w:type="pct"/>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1.8-9.34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492" w:type="pct"/>
            <w:tcBorders>
              <w:bottom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Recurrent HCV</w:t>
            </w:r>
          </w:p>
        </w:tc>
        <w:tc>
          <w:tcPr>
            <w:tcW w:w="651" w:type="pct"/>
            <w:tcBorders>
              <w:bottom w:val="single" w:color="auto" w:sz="4" w:space="0"/>
            </w:tcBorders>
          </w:tcPr>
          <w:p>
            <w:pPr>
              <w:spacing w:line="360" w:lineRule="auto"/>
              <w:jc w:val="both"/>
              <w:rPr>
                <w:rFonts w:ascii="Book Antiqua" w:hAnsi="Book Antiqua" w:eastAsia="Times New Roman" w:cs="Arial"/>
                <w:b/>
                <w:lang w:bidi="ar-EG"/>
              </w:rPr>
            </w:pPr>
            <w:r>
              <w:rPr>
                <w:rFonts w:ascii="Book Antiqua" w:hAnsi="Book Antiqua" w:eastAsia="Times New Roman" w:cs="Arial"/>
                <w:b/>
                <w:lang w:bidi="ar-EG"/>
              </w:rPr>
              <w:t>0.001</w:t>
            </w:r>
          </w:p>
        </w:tc>
        <w:tc>
          <w:tcPr>
            <w:tcW w:w="868" w:type="pct"/>
            <w:tcBorders>
              <w:bottom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3.56</w:t>
            </w:r>
          </w:p>
        </w:tc>
        <w:tc>
          <w:tcPr>
            <w:tcW w:w="989" w:type="pct"/>
            <w:tcBorders>
              <w:bottom w:val="single" w:color="auto" w:sz="4" w:space="0"/>
            </w:tcBorders>
          </w:tcPr>
          <w:p>
            <w:pPr>
              <w:spacing w:line="360" w:lineRule="auto"/>
              <w:jc w:val="both"/>
              <w:rPr>
                <w:rFonts w:ascii="Book Antiqua" w:hAnsi="Book Antiqua" w:eastAsia="Times New Roman" w:cs="Arial"/>
                <w:bCs/>
                <w:lang w:bidi="ar-EG"/>
              </w:rPr>
            </w:pPr>
            <w:r>
              <w:rPr>
                <w:rFonts w:ascii="Book Antiqua" w:hAnsi="Book Antiqua" w:eastAsia="Times New Roman" w:cs="Arial"/>
                <w:bCs/>
                <w:lang w:bidi="ar-EG"/>
              </w:rPr>
              <w:t>1.86-10.71</w:t>
            </w:r>
          </w:p>
        </w:tc>
      </w:tr>
    </w:tbl>
    <w:p>
      <w:pPr>
        <w:spacing w:line="360" w:lineRule="auto"/>
        <w:jc w:val="both"/>
        <w:rPr>
          <w:rFonts w:ascii="Book Antiqua" w:hAnsi="Book Antiqua" w:eastAsia="Times New Roman"/>
          <w:lang w:val="en-US" w:bidi="ar-EG"/>
        </w:rPr>
      </w:pPr>
      <w:r>
        <w:rPr>
          <w:rFonts w:ascii="Book Antiqua" w:hAnsi="Book Antiqua" w:eastAsia="Times New Roman"/>
          <w:bCs/>
          <w:lang w:val="en-US" w:bidi="ar-EG"/>
        </w:rPr>
        <w:t xml:space="preserve">CI: Confidence interval; </w:t>
      </w:r>
      <w:r>
        <w:rPr>
          <w:rFonts w:ascii="Book Antiqua" w:hAnsi="Book Antiqua" w:eastAsia="Times New Roman"/>
          <w:lang w:val="en-US" w:bidi="ar-EG"/>
        </w:rPr>
        <w:t>HCV: Hepatitis C virus.</w:t>
      </w:r>
    </w:p>
    <w:p>
      <w:pPr>
        <w:spacing w:line="360" w:lineRule="auto"/>
        <w:jc w:val="both"/>
        <w:rPr>
          <w:rFonts w:ascii="Book Antiqua" w:hAnsi="Book Antiqua" w:eastAsia="Times New Roman"/>
          <w:bCs/>
          <w:lang w:val="en-US" w:bidi="ar-EG"/>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bCs/>
          <w:lang w:val="en-US" w:bidi="ar-EG"/>
        </w:rPr>
      </w:pPr>
      <w:r>
        <w:rPr>
          <w:rFonts w:ascii="Book Antiqua" w:hAnsi="Book Antiqua" w:eastAsia="Times New Roman"/>
          <w:b/>
          <w:bCs/>
          <w:lang w:val="en-US"/>
        </w:rPr>
        <w:t xml:space="preserve">Table 10 </w:t>
      </w:r>
      <w:r>
        <w:rPr>
          <w:rFonts w:ascii="Book Antiqua" w:hAnsi="Book Antiqua" w:eastAsia="Times New Roman"/>
          <w:b/>
          <w:bCs/>
          <w:lang w:val="en-US" w:bidi="ar-EG"/>
        </w:rPr>
        <w:t>Relation between biliary complications and mortality</w:t>
      </w: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1"/>
        <w:gridCol w:w="2253"/>
        <w:gridCol w:w="2000"/>
        <w:gridCol w:w="2053"/>
        <w:gridCol w:w="938"/>
        <w:gridCol w:w="940"/>
        <w:gridCol w:w="1064"/>
        <w:gridCol w:w="1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92" w:type="pct"/>
            <w:gridSpan w:val="2"/>
            <w:vMerge w:val="restart"/>
            <w:tcBorders>
              <w:top w:val="single" w:color="auto" w:sz="4" w:space="0"/>
              <w:left w:val="nil"/>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Variable</w:t>
            </w:r>
          </w:p>
        </w:tc>
        <w:tc>
          <w:tcPr>
            <w:tcW w:w="759" w:type="pct"/>
            <w:vMerge w:val="restart"/>
            <w:tcBorders>
              <w:top w:val="single" w:color="auto" w:sz="4" w:space="0"/>
              <w:bottom w:val="single" w:color="auto" w:sz="4" w:space="0"/>
            </w:tcBorders>
            <w:vAlign w:val="center"/>
          </w:tcPr>
          <w:p>
            <w:pPr>
              <w:spacing w:line="360" w:lineRule="auto"/>
              <w:jc w:val="both"/>
              <w:rPr>
                <w:rFonts w:ascii="Book Antiqua" w:hAnsi="Book Antiqua" w:cs="Times New Roman" w:eastAsiaTheme="minorEastAsia"/>
                <w:b/>
                <w:bCs/>
                <w:lang w:eastAsia="zh-CN" w:bidi="ar-EG"/>
              </w:rPr>
            </w:pPr>
            <w:r>
              <w:rPr>
                <w:rFonts w:ascii="Book Antiqua" w:hAnsi="Book Antiqua" w:eastAsia="Times New Roman" w:cs="Times New Roman"/>
                <w:b/>
                <w:bCs/>
                <w:lang w:bidi="ar-EG"/>
              </w:rPr>
              <w:t>Survivors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141),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w:t>
            </w:r>
          </w:p>
        </w:tc>
        <w:tc>
          <w:tcPr>
            <w:tcW w:w="779"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Non-survivors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 28), </w:t>
            </w:r>
            <w:r>
              <w:rPr>
                <w:rFonts w:ascii="Book Antiqua" w:hAnsi="Book Antiqua" w:eastAsia="Times New Roman" w:cs="Times New Roman"/>
                <w:b/>
                <w:bCs/>
                <w:i/>
                <w:iCs/>
                <w:lang w:bidi="ar-EG"/>
              </w:rPr>
              <w:t>n</w:t>
            </w:r>
            <w:r>
              <w:rPr>
                <w:rFonts w:ascii="Book Antiqua" w:hAnsi="Book Antiqua" w:eastAsia="Times New Roman" w:cs="Times New Roman"/>
                <w:b/>
                <w:bCs/>
                <w:lang w:bidi="ar-EG"/>
              </w:rPr>
              <w:t xml:space="preserve"> (%)</w:t>
            </w:r>
          </w:p>
        </w:tc>
        <w:tc>
          <w:tcPr>
            <w:tcW w:w="356" w:type="pct"/>
            <w:vMerge w:val="restart"/>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OR</w:t>
            </w:r>
          </w:p>
        </w:tc>
        <w:tc>
          <w:tcPr>
            <w:tcW w:w="761" w:type="pct"/>
            <w:gridSpan w:val="2"/>
            <w:tcBorders>
              <w:top w:val="single" w:color="auto" w:sz="4" w:space="0"/>
              <w:bottom w:val="single" w:color="auto" w:sz="4" w:space="0"/>
            </w:tcBorders>
            <w:noWrap/>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CI</w:t>
            </w:r>
          </w:p>
        </w:tc>
        <w:tc>
          <w:tcPr>
            <w:tcW w:w="553" w:type="pct"/>
            <w:vMerge w:val="restart"/>
            <w:tcBorders>
              <w:top w:val="single" w:color="auto" w:sz="4" w:space="0"/>
              <w:bottom w:val="single" w:color="auto" w:sz="4" w:space="0"/>
              <w:right w:val="nil"/>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i/>
                <w:iCs/>
                <w:lang w:bidi="ar-EG"/>
              </w:rPr>
              <w:t>P</w:t>
            </w:r>
            <w:r>
              <w:rPr>
                <w:rFonts w:ascii="Book Antiqua" w:hAnsi="Book Antiqua" w:eastAsia="Times New Roman" w:cs="Times New Roman"/>
                <w:b/>
                <w:bCs/>
                <w:lang w:bidi="ar-EG"/>
              </w:rPr>
              <w:t xml:space="preserve"> value</w:t>
            </w:r>
            <w:r>
              <w:rPr>
                <w:rFonts w:ascii="Book Antiqua" w:hAnsi="Book Antiqua" w:eastAsia="Times New Roman" w:cs="Times New Roman"/>
                <w:b/>
                <w:bCs/>
                <w:vertAlign w:val="superscript"/>
                <w:lang w:bidi="ar-EG"/>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92" w:type="pct"/>
            <w:gridSpan w:val="2"/>
            <w:vMerge w:val="continue"/>
            <w:tcBorders>
              <w:top w:val="nil"/>
              <w:left w:val="nil"/>
              <w:bottom w:val="single" w:color="auto" w:sz="4" w:space="0"/>
            </w:tcBorders>
          </w:tcPr>
          <w:p>
            <w:pPr>
              <w:spacing w:line="360" w:lineRule="auto"/>
              <w:jc w:val="both"/>
              <w:rPr>
                <w:rFonts w:ascii="Book Antiqua" w:hAnsi="Book Antiqua" w:eastAsia="Times New Roman" w:cs="Times New Roman"/>
                <w:b/>
                <w:bCs/>
                <w:lang w:bidi="ar-EG"/>
              </w:rPr>
            </w:pPr>
          </w:p>
        </w:tc>
        <w:tc>
          <w:tcPr>
            <w:tcW w:w="759"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779"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356" w:type="pct"/>
            <w:vMerge w:val="continue"/>
            <w:tcBorders>
              <w:top w:val="nil"/>
              <w:bottom w:val="single" w:color="auto" w:sz="4" w:space="0"/>
            </w:tcBorders>
            <w:vAlign w:val="center"/>
          </w:tcPr>
          <w:p>
            <w:pPr>
              <w:spacing w:line="360" w:lineRule="auto"/>
              <w:jc w:val="both"/>
              <w:rPr>
                <w:rFonts w:ascii="Book Antiqua" w:hAnsi="Book Antiqua" w:eastAsia="Times New Roman" w:cs="Times New Roman"/>
                <w:b/>
                <w:bCs/>
                <w:lang w:bidi="ar-EG"/>
              </w:rPr>
            </w:pPr>
          </w:p>
        </w:tc>
        <w:tc>
          <w:tcPr>
            <w:tcW w:w="357"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95% LCL</w:t>
            </w:r>
          </w:p>
        </w:tc>
        <w:tc>
          <w:tcPr>
            <w:tcW w:w="404" w:type="pct"/>
            <w:tcBorders>
              <w:top w:val="single" w:color="auto" w:sz="4" w:space="0"/>
              <w:bottom w:val="single" w:color="auto" w:sz="4" w:space="0"/>
            </w:tcBorders>
            <w:vAlign w:val="center"/>
          </w:tcPr>
          <w:p>
            <w:pPr>
              <w:spacing w:line="360" w:lineRule="auto"/>
              <w:jc w:val="both"/>
              <w:rPr>
                <w:rFonts w:ascii="Book Antiqua" w:hAnsi="Book Antiqua" w:eastAsia="Times New Roman" w:cs="Times New Roman"/>
                <w:b/>
                <w:bCs/>
                <w:lang w:bidi="ar-EG"/>
              </w:rPr>
            </w:pPr>
            <w:r>
              <w:rPr>
                <w:rFonts w:ascii="Book Antiqua" w:hAnsi="Book Antiqua" w:eastAsia="Times New Roman" w:cs="Times New Roman"/>
                <w:b/>
                <w:bCs/>
                <w:lang w:bidi="ar-EG"/>
              </w:rPr>
              <w:t>95% UCL</w:t>
            </w:r>
          </w:p>
        </w:tc>
        <w:tc>
          <w:tcPr>
            <w:tcW w:w="553" w:type="pct"/>
            <w:vMerge w:val="continue"/>
            <w:tcBorders>
              <w:top w:val="single" w:color="auto" w:sz="4" w:space="0"/>
              <w:bottom w:val="single" w:color="auto" w:sz="4" w:space="0"/>
              <w:right w:val="nil"/>
            </w:tcBorders>
            <w:vAlign w:val="center"/>
          </w:tcPr>
          <w:p>
            <w:pPr>
              <w:spacing w:line="360" w:lineRule="auto"/>
              <w:jc w:val="both"/>
              <w:rPr>
                <w:rFonts w:ascii="Book Antiqua" w:hAnsi="Book Antiqua" w:eastAsia="Times New Roman" w:cs="Times New Roman"/>
                <w:b/>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single" w:color="auto" w:sz="4" w:space="0"/>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leakage</w:t>
            </w:r>
          </w:p>
        </w:tc>
        <w:tc>
          <w:tcPr>
            <w:tcW w:w="855" w:type="pct"/>
            <w:tcBorders>
              <w:top w:val="single" w:color="auto" w:sz="4" w:space="0"/>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97 (85.1)</w:t>
            </w:r>
          </w:p>
        </w:tc>
        <w:tc>
          <w:tcPr>
            <w:tcW w:w="779" w:type="pc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 (14.9)</w:t>
            </w:r>
          </w:p>
        </w:tc>
        <w:tc>
          <w:tcPr>
            <w:tcW w:w="356"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w:t>
            </w:r>
          </w:p>
        </w:tc>
        <w:tc>
          <w:tcPr>
            <w:tcW w:w="357"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w:t>
            </w:r>
          </w:p>
        </w:tc>
        <w:tc>
          <w:tcPr>
            <w:tcW w:w="404" w:type="pct"/>
            <w:vMerge w:val="restart"/>
            <w:tcBorders>
              <w:top w:val="single" w:color="auto" w:sz="4" w:space="0"/>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3.3</w:t>
            </w:r>
          </w:p>
        </w:tc>
        <w:tc>
          <w:tcPr>
            <w:tcW w:w="553" w:type="pct"/>
            <w:vMerge w:val="restart"/>
            <w:tcBorders>
              <w:top w:val="single" w:color="auto" w:sz="4" w:space="0"/>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44 (80)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 (20)</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infection</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 (83.3)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(16.7)</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2.2</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1.000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81 (83.5)</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 (16.5)</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biliary infection</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 (83.3)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(16.7)</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0.940</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highlight w:val="yellow"/>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Episodes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70 (83.3)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(16.7)</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highlight w:val="yellow"/>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Episodes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 (84.6)</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(15.4)</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Early biliary infection</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64 (82.1)</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(17.9)</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1.9</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0.655</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77 (84.6)</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(15.4)</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Biliary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89 (81.7)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(18.3)</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0.3</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0.401</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52 (86.7)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(13.3)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biliary strictures</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89 (81.7)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(18.3)</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0.396</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Episodes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37 (86)</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(14)</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Episodes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15 (88.2)</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(11.8)</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Early biliary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128 (83.1)</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26 (16.9)</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0.2</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3.6</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1.000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 (86.7)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(13.3)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Need for ERCP</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89 (81.7)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(18.3)</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0.3</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1.7</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0.401</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52 (86.7)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(13.3)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ERCP</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89 (81.7)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(18.3)</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0.375</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ERCP</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36 (85.7)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 (14.3)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ERCP</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16 (88.9)</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(11.1)</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Number of stents introduced for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92 (82.1)</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(17.9)</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0.520</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Stents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29 (85.3)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(14.7)</w:t>
            </w:r>
          </w:p>
        </w:tc>
        <w:tc>
          <w:tcPr>
            <w:tcW w:w="356"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 3 Stents</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(87)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(13)</w:t>
            </w:r>
          </w:p>
        </w:tc>
        <w:tc>
          <w:tcPr>
            <w:tcW w:w="356"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Need for PTC</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134 (83.2)</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(16.8)</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0.7</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0.1</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6.0</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1.000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(87.5)</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(12.5)</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Frequency of PTC </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Nil</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134 (83.2)</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27 (16.8)</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0.674</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PTC</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 (100)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PTC</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(100)</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Surgical intervention for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140 (83.3)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28 (16.7)</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1.000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(100)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HCV PCR at occurrence of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Negative</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(80)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(20)</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0.849</w:t>
            </w:r>
            <w:r>
              <w:rPr>
                <w:rFonts w:ascii="Book Antiqua" w:hAnsi="Book Antiqua" w:eastAsia="Times New Roman" w:cs="Times New Roman"/>
                <w:bCs/>
                <w:vertAlign w:val="superscript"/>
                <w:lang w:bidi="ar-EG"/>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Below 200 000 IU</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14 (93.3)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(6.7)</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200000 to 2 million</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18 (94.7)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(5.3)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More than 2 million</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(72.7)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 (27.3)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Antiviral treatment in relation to stricture</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Not given</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23 (85.2)</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(14.8)</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1.000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Before stricture</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(85.7)</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 (14.3)</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After stricture</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5 (83.3)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(16.7)</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spacing w:val="-6"/>
                <w:lang w:bidi="ar-EG"/>
              </w:rPr>
            </w:pPr>
            <w:r>
              <w:rPr>
                <w:rFonts w:ascii="Book Antiqua" w:hAnsi="Book Antiqua" w:eastAsia="Times New Roman" w:cs="Times New Roman"/>
                <w:bCs/>
                <w:spacing w:val="-6"/>
                <w:lang w:bidi="ar-EG"/>
              </w:rPr>
              <w:t>During occurrence of stricture</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12 (92.3)</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 (7.7)</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Admission related to BC</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75 (78.9)</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(21.1)</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0.2</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1.1</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0.076</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66 (89.2)</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(10.8)</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Recurrent HCV</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108 (84.4)</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20 (15.6)</w:t>
            </w:r>
          </w:p>
        </w:tc>
        <w:tc>
          <w:tcPr>
            <w:tcW w:w="356"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1.3</w:t>
            </w:r>
          </w:p>
        </w:tc>
        <w:tc>
          <w:tcPr>
            <w:tcW w:w="357"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w:t>
            </w:r>
          </w:p>
        </w:tc>
        <w:tc>
          <w:tcPr>
            <w:tcW w:w="404" w:type="pct"/>
            <w:vMerge w:val="restar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3.2</w:t>
            </w:r>
          </w:p>
        </w:tc>
        <w:tc>
          <w:tcPr>
            <w:tcW w:w="553" w:type="pct"/>
            <w:vMerge w:val="restart"/>
            <w:tcBorders>
              <w:top w:val="nil"/>
              <w:bottom w:val="nil"/>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0.560</w:t>
            </w:r>
            <w:r>
              <w:rPr>
                <w:rFonts w:ascii="Book Antiqua" w:hAnsi="Book Antiqua" w:eastAsia="Times New Roman" w:cs="Times New Roman"/>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nil"/>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33 (80.5)</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8 (19.5)</w:t>
            </w:r>
          </w:p>
        </w:tc>
        <w:tc>
          <w:tcPr>
            <w:tcW w:w="356"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nil"/>
            </w:tcBorders>
            <w:noWrap/>
            <w:vAlign w:val="center"/>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nil"/>
              <w:right w:val="nil"/>
            </w:tcBorders>
            <w:vAlign w:val="center"/>
          </w:tcPr>
          <w:p>
            <w:pPr>
              <w:spacing w:line="360" w:lineRule="auto"/>
              <w:jc w:val="both"/>
              <w:rPr>
                <w:rFonts w:ascii="Book Antiqua" w:hAnsi="Book Antiqua" w:eastAsia="Times New Roman" w:cs="Times New Roman"/>
                <w:bCs/>
                <w:lang w:bidi="ar-EG"/>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restart"/>
            <w:tcBorders>
              <w:top w:val="nil"/>
              <w:left w:val="nil"/>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Resolution of recurrent HCV (</w:t>
            </w:r>
            <w:r>
              <w:rPr>
                <w:rFonts w:ascii="Book Antiqua" w:hAnsi="Book Antiqua" w:eastAsia="Times New Roman" w:cs="Times New Roman"/>
                <w:bCs/>
                <w:i/>
                <w:iCs/>
                <w:lang w:bidi="ar-EG"/>
              </w:rPr>
              <w:t>n</w:t>
            </w:r>
            <w:r>
              <w:rPr>
                <w:rFonts w:ascii="Book Antiqua" w:hAnsi="Book Antiqua" w:eastAsia="Times New Roman" w:cs="Times New Roman"/>
                <w:bCs/>
                <w:lang w:bidi="ar-EG"/>
              </w:rPr>
              <w:t xml:space="preserve"> = 41)</w:t>
            </w:r>
          </w:p>
        </w:tc>
        <w:tc>
          <w:tcPr>
            <w:tcW w:w="855" w:type="pct"/>
            <w:tcBorders>
              <w:top w:val="nil"/>
              <w:bottom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0 (0)</w:t>
            </w:r>
          </w:p>
        </w:tc>
        <w:tc>
          <w:tcPr>
            <w:tcW w:w="779" w:type="pct"/>
            <w:tcBorders>
              <w:top w:val="nil"/>
              <w:bottom w:val="nil"/>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(9.7)</w:t>
            </w:r>
          </w:p>
        </w:tc>
        <w:tc>
          <w:tcPr>
            <w:tcW w:w="356"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9.3</w:t>
            </w:r>
          </w:p>
        </w:tc>
        <w:tc>
          <w:tcPr>
            <w:tcW w:w="357"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3.7</w:t>
            </w:r>
          </w:p>
        </w:tc>
        <w:tc>
          <w:tcPr>
            <w:tcW w:w="404" w:type="pct"/>
            <w:vMerge w:val="restar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23.3</w:t>
            </w:r>
          </w:p>
        </w:tc>
        <w:tc>
          <w:tcPr>
            <w:tcW w:w="553" w:type="pct"/>
            <w:vMerge w:val="restart"/>
            <w:tcBorders>
              <w:top w:val="nil"/>
              <w:bottom w:val="single" w:color="auto" w:sz="4" w:space="0"/>
              <w:right w:val="nil"/>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
                <w:bCs/>
                <w:lang w:bidi="ar-EG"/>
              </w:rPr>
              <w:t>0.001</w:t>
            </w:r>
            <w:r>
              <w:rPr>
                <w:rFonts w:ascii="Book Antiqua" w:hAnsi="Book Antiqua" w:eastAsia="Times New Roman" w:cs="Times New Roman"/>
                <w:b/>
                <w:bCs/>
                <w:vertAlign w:val="superscript"/>
                <w:lang w:bidi="ar-EG"/>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7" w:type="pct"/>
            <w:vMerge w:val="continue"/>
            <w:tcBorders>
              <w:top w:val="nil"/>
              <w:left w:val="nil"/>
              <w:bottom w:val="single" w:color="auto" w:sz="4" w:space="0"/>
            </w:tcBorders>
            <w:vAlign w:val="center"/>
          </w:tcPr>
          <w:p>
            <w:pPr>
              <w:spacing w:line="360" w:lineRule="auto"/>
              <w:jc w:val="both"/>
              <w:rPr>
                <w:rFonts w:ascii="Book Antiqua" w:hAnsi="Book Antiqua" w:eastAsia="Times New Roman" w:cs="Times New Roman"/>
                <w:bCs/>
                <w:lang w:bidi="ar-EG"/>
              </w:rPr>
            </w:pPr>
          </w:p>
        </w:tc>
        <w:tc>
          <w:tcPr>
            <w:tcW w:w="855" w:type="pct"/>
            <w:tcBorders>
              <w:top w:val="nil"/>
              <w:bottom w:val="single" w:color="auto" w:sz="4" w:space="0"/>
            </w:tcBorders>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w:t>
            </w:r>
          </w:p>
        </w:tc>
        <w:tc>
          <w:tcPr>
            <w:tcW w:w="759" w:type="pc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33 (80.4)</w:t>
            </w:r>
          </w:p>
        </w:tc>
        <w:tc>
          <w:tcPr>
            <w:tcW w:w="779" w:type="pct"/>
            <w:tcBorders>
              <w:top w:val="nil"/>
              <w:bottom w:val="single" w:color="auto" w:sz="4" w:space="0"/>
            </w:tcBorders>
            <w:noWrap/>
            <w:vAlign w:val="center"/>
          </w:tcPr>
          <w:p>
            <w:pPr>
              <w:spacing w:line="360" w:lineRule="auto"/>
              <w:jc w:val="both"/>
              <w:rPr>
                <w:rFonts w:ascii="Book Antiqua" w:hAnsi="Book Antiqua" w:eastAsia="Times New Roman" w:cs="Times New Roman"/>
                <w:bCs/>
                <w:lang w:bidi="ar-EG"/>
              </w:rPr>
            </w:pPr>
            <w:r>
              <w:rPr>
                <w:rFonts w:ascii="Book Antiqua" w:hAnsi="Book Antiqua" w:eastAsia="Times New Roman" w:cs="Times New Roman"/>
                <w:bCs/>
                <w:lang w:bidi="ar-EG"/>
              </w:rPr>
              <w:t>4 (9.7)</w:t>
            </w:r>
          </w:p>
        </w:tc>
        <w:tc>
          <w:tcPr>
            <w:tcW w:w="356"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357"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404" w:type="pct"/>
            <w:vMerge w:val="continue"/>
            <w:tcBorders>
              <w:top w:val="nil"/>
              <w:bottom w:val="single" w:color="auto" w:sz="4" w:space="0"/>
            </w:tcBorders>
            <w:noWrap/>
          </w:tcPr>
          <w:p>
            <w:pPr>
              <w:spacing w:line="360" w:lineRule="auto"/>
              <w:jc w:val="both"/>
              <w:rPr>
                <w:rFonts w:ascii="Book Antiqua" w:hAnsi="Book Antiqua" w:eastAsia="Times New Roman" w:cs="Times New Roman"/>
                <w:bCs/>
                <w:lang w:bidi="ar-EG"/>
              </w:rPr>
            </w:pPr>
          </w:p>
        </w:tc>
        <w:tc>
          <w:tcPr>
            <w:tcW w:w="553" w:type="pct"/>
            <w:vMerge w:val="continue"/>
            <w:tcBorders>
              <w:top w:val="nil"/>
              <w:bottom w:val="single" w:color="auto" w:sz="4" w:space="0"/>
              <w:right w:val="nil"/>
            </w:tcBorders>
          </w:tcPr>
          <w:p>
            <w:pPr>
              <w:spacing w:line="360" w:lineRule="auto"/>
              <w:jc w:val="both"/>
              <w:rPr>
                <w:rFonts w:ascii="Book Antiqua" w:hAnsi="Book Antiqua" w:eastAsia="Times New Roman" w:cs="Times New Roman"/>
                <w:bCs/>
                <w:lang w:bidi="ar-EG"/>
              </w:rPr>
            </w:pPr>
          </w:p>
        </w:tc>
      </w:tr>
    </w:tbl>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1</w:t>
      </w:r>
      <w:r>
        <w:rPr>
          <w:rFonts w:ascii="Book Antiqua" w:hAnsi="Book Antiqua" w:eastAsia="Times New Roman"/>
          <w:bCs/>
          <w:lang w:val="en-US" w:bidi="ar-EG"/>
        </w:rPr>
        <w:t>Pearson chi-squared test unless otherwise indicated.</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2</w:t>
      </w:r>
      <w:r>
        <w:rPr>
          <w:rFonts w:ascii="Book Antiqua" w:hAnsi="Book Antiqua" w:eastAsia="Times New Roman"/>
          <w:bCs/>
          <w:lang w:val="en-US" w:bidi="ar-EG"/>
        </w:rPr>
        <w:t>Fisher’s exact test.</w:t>
      </w:r>
    </w:p>
    <w:p>
      <w:pPr>
        <w:spacing w:line="360" w:lineRule="auto"/>
        <w:jc w:val="both"/>
        <w:rPr>
          <w:rFonts w:ascii="Book Antiqua" w:hAnsi="Book Antiqua" w:eastAsia="Times New Roman"/>
          <w:bCs/>
          <w:lang w:val="en-US" w:bidi="ar-EG"/>
        </w:rPr>
      </w:pPr>
      <w:r>
        <w:rPr>
          <w:rFonts w:ascii="Book Antiqua" w:hAnsi="Book Antiqua" w:eastAsia="Times New Roman"/>
          <w:bCs/>
          <w:vertAlign w:val="superscript"/>
          <w:lang w:val="en-US" w:bidi="ar-EG"/>
        </w:rPr>
        <w:t>3</w:t>
      </w:r>
      <w:r>
        <w:rPr>
          <w:rFonts w:ascii="Book Antiqua" w:hAnsi="Book Antiqua" w:eastAsia="Times New Roman"/>
          <w:bCs/>
          <w:lang w:val="en-US" w:bidi="ar-EG"/>
        </w:rPr>
        <w:t xml:space="preserve">Chi-squared test for trend. </w:t>
      </w:r>
    </w:p>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r>
        <w:rPr>
          <w:rFonts w:ascii="Book Antiqua" w:hAnsi="Book Antiqua" w:eastAsia="Times New Roman"/>
          <w:bCs/>
          <w:lang w:val="en-US" w:bidi="ar-EG"/>
        </w:rPr>
        <w:t>Data are presented as number (</w:t>
      </w:r>
      <w:r>
        <w:rPr>
          <w:rFonts w:ascii="Book Antiqua" w:hAnsi="Book Antiqua" w:eastAsia="Times New Roman"/>
          <w:bCs/>
          <w:i/>
          <w:iCs/>
          <w:lang w:val="en-US" w:bidi="ar-EG"/>
        </w:rPr>
        <w:t>n</w:t>
      </w:r>
      <w:r>
        <w:rPr>
          <w:rFonts w:ascii="Book Antiqua" w:hAnsi="Book Antiqua" w:eastAsia="Times New Roman"/>
          <w:bCs/>
          <w:lang w:val="en-US" w:bidi="ar-EG"/>
        </w:rPr>
        <w:t xml:space="preserve">) and percentage (%). OR: Odds ratio; LCL: Lower confidence limit; UCL: Lower confidence limit; ERCP: </w:t>
      </w:r>
      <w:r>
        <w:rPr>
          <w:rFonts w:ascii="Book Antiqua" w:hAnsi="Book Antiqua" w:eastAsia="Book Antiqua" w:cs="Book Antiqua"/>
          <w:color w:val="000000"/>
        </w:rPr>
        <w:t>Endoscopic retrograde cholangiopancreatography;</w:t>
      </w:r>
      <w:r>
        <w:rPr>
          <w:rFonts w:ascii="Book Antiqua" w:hAnsi="Book Antiqua"/>
          <w:bCs/>
          <w:lang w:bidi="ar-EG"/>
        </w:rPr>
        <w:t xml:space="preserve"> PTC: </w:t>
      </w:r>
      <w:r>
        <w:rPr>
          <w:rFonts w:ascii="Book Antiqua" w:hAnsi="Book Antiqua" w:eastAsia="Book Antiqua" w:cs="Book Antiqua"/>
          <w:color w:val="000000"/>
        </w:rPr>
        <w:t>Percutaneous transhepatic cholangiography;</w:t>
      </w:r>
      <w:r>
        <w:rPr>
          <w:rFonts w:ascii="Book Antiqua" w:hAnsi="Book Antiqua"/>
          <w:bCs/>
          <w:lang w:bidi="ar-EG"/>
        </w:rPr>
        <w:t xml:space="preserve"> PCR: Polymerase chain reaction; HCV: Hepatitis C virus; BC: </w:t>
      </w:r>
      <w:r>
        <w:rPr>
          <w:rFonts w:ascii="Book Antiqua" w:hAnsi="Book Antiqua" w:eastAsia="Book Antiqua" w:cs="Book Antiqua"/>
          <w:color w:val="000000"/>
        </w:rPr>
        <w:t>Biliary complication.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lang w:val="en-U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color w:val="000000"/>
          <w:lang w:val="en-US"/>
        </w:rPr>
      </w:pPr>
    </w:p>
    <w:p>
      <w:pPr>
        <w:spacing w:line="360" w:lineRule="auto"/>
        <w:jc w:val="both"/>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6B7"/>
    <w:rsid w:val="000124DE"/>
    <w:rsid w:val="000154A0"/>
    <w:rsid w:val="00024272"/>
    <w:rsid w:val="000249B1"/>
    <w:rsid w:val="00027EB7"/>
    <w:rsid w:val="000314B3"/>
    <w:rsid w:val="00031970"/>
    <w:rsid w:val="0005068E"/>
    <w:rsid w:val="000548C9"/>
    <w:rsid w:val="00055F6C"/>
    <w:rsid w:val="00056287"/>
    <w:rsid w:val="00057FB8"/>
    <w:rsid w:val="000823E5"/>
    <w:rsid w:val="00086F73"/>
    <w:rsid w:val="000931FB"/>
    <w:rsid w:val="000A5468"/>
    <w:rsid w:val="000A7539"/>
    <w:rsid w:val="000B5464"/>
    <w:rsid w:val="000C54B8"/>
    <w:rsid w:val="000D3837"/>
    <w:rsid w:val="000D3C03"/>
    <w:rsid w:val="000F15F1"/>
    <w:rsid w:val="000F27F3"/>
    <w:rsid w:val="000F4956"/>
    <w:rsid w:val="001102C3"/>
    <w:rsid w:val="001106E7"/>
    <w:rsid w:val="00114166"/>
    <w:rsid w:val="00116253"/>
    <w:rsid w:val="00117496"/>
    <w:rsid w:val="00117D3A"/>
    <w:rsid w:val="0012230F"/>
    <w:rsid w:val="001244E4"/>
    <w:rsid w:val="0014248D"/>
    <w:rsid w:val="001500CE"/>
    <w:rsid w:val="0015370B"/>
    <w:rsid w:val="001600CE"/>
    <w:rsid w:val="001746CF"/>
    <w:rsid w:val="001A20F0"/>
    <w:rsid w:val="001A288E"/>
    <w:rsid w:val="001B2847"/>
    <w:rsid w:val="001C1B85"/>
    <w:rsid w:val="001E2710"/>
    <w:rsid w:val="001E2E10"/>
    <w:rsid w:val="001E4E61"/>
    <w:rsid w:val="001E56AB"/>
    <w:rsid w:val="001E6A55"/>
    <w:rsid w:val="001E7FB3"/>
    <w:rsid w:val="001F2CCA"/>
    <w:rsid w:val="001F5EC7"/>
    <w:rsid w:val="0020239F"/>
    <w:rsid w:val="0020274A"/>
    <w:rsid w:val="00204CDD"/>
    <w:rsid w:val="00206515"/>
    <w:rsid w:val="002123EA"/>
    <w:rsid w:val="00222299"/>
    <w:rsid w:val="002234D7"/>
    <w:rsid w:val="002274F8"/>
    <w:rsid w:val="002332AE"/>
    <w:rsid w:val="0024197A"/>
    <w:rsid w:val="00242100"/>
    <w:rsid w:val="0025121D"/>
    <w:rsid w:val="0027450B"/>
    <w:rsid w:val="002753E5"/>
    <w:rsid w:val="00276E9D"/>
    <w:rsid w:val="002833AA"/>
    <w:rsid w:val="00297CEB"/>
    <w:rsid w:val="002A5B25"/>
    <w:rsid w:val="002A6707"/>
    <w:rsid w:val="002B46E8"/>
    <w:rsid w:val="002D0FE0"/>
    <w:rsid w:val="002D48D8"/>
    <w:rsid w:val="002D6EFE"/>
    <w:rsid w:val="002E2F1D"/>
    <w:rsid w:val="002E328D"/>
    <w:rsid w:val="002F12CC"/>
    <w:rsid w:val="00314538"/>
    <w:rsid w:val="00336E26"/>
    <w:rsid w:val="003426C6"/>
    <w:rsid w:val="00347621"/>
    <w:rsid w:val="00362330"/>
    <w:rsid w:val="00365477"/>
    <w:rsid w:val="003702F7"/>
    <w:rsid w:val="0038781C"/>
    <w:rsid w:val="00391B09"/>
    <w:rsid w:val="00393BFD"/>
    <w:rsid w:val="00394FA5"/>
    <w:rsid w:val="003975AD"/>
    <w:rsid w:val="003A2981"/>
    <w:rsid w:val="003A39D5"/>
    <w:rsid w:val="003A5ACB"/>
    <w:rsid w:val="003B6BF7"/>
    <w:rsid w:val="003C6162"/>
    <w:rsid w:val="003D54EC"/>
    <w:rsid w:val="003D657E"/>
    <w:rsid w:val="003E56FB"/>
    <w:rsid w:val="003F2F46"/>
    <w:rsid w:val="00400482"/>
    <w:rsid w:val="00403FF3"/>
    <w:rsid w:val="004207B6"/>
    <w:rsid w:val="0042329F"/>
    <w:rsid w:val="00432368"/>
    <w:rsid w:val="00434490"/>
    <w:rsid w:val="0044742E"/>
    <w:rsid w:val="00451B36"/>
    <w:rsid w:val="00452247"/>
    <w:rsid w:val="004528DF"/>
    <w:rsid w:val="004547BD"/>
    <w:rsid w:val="00454E1D"/>
    <w:rsid w:val="00466295"/>
    <w:rsid w:val="00467EF5"/>
    <w:rsid w:val="00473347"/>
    <w:rsid w:val="004756CC"/>
    <w:rsid w:val="00477E57"/>
    <w:rsid w:val="004879FE"/>
    <w:rsid w:val="004A3B57"/>
    <w:rsid w:val="004A79A0"/>
    <w:rsid w:val="004A7B63"/>
    <w:rsid w:val="004B3E8A"/>
    <w:rsid w:val="004D0715"/>
    <w:rsid w:val="004D2333"/>
    <w:rsid w:val="004D43B0"/>
    <w:rsid w:val="004E0CA6"/>
    <w:rsid w:val="004E0DD7"/>
    <w:rsid w:val="004E511D"/>
    <w:rsid w:val="004F03BA"/>
    <w:rsid w:val="004F5209"/>
    <w:rsid w:val="004F5E98"/>
    <w:rsid w:val="00500EB9"/>
    <w:rsid w:val="00506B77"/>
    <w:rsid w:val="00512C81"/>
    <w:rsid w:val="00513E1F"/>
    <w:rsid w:val="005260F3"/>
    <w:rsid w:val="00531412"/>
    <w:rsid w:val="005331B2"/>
    <w:rsid w:val="005432AD"/>
    <w:rsid w:val="00550204"/>
    <w:rsid w:val="005514F3"/>
    <w:rsid w:val="00554924"/>
    <w:rsid w:val="00560B9D"/>
    <w:rsid w:val="00567F67"/>
    <w:rsid w:val="00573CB7"/>
    <w:rsid w:val="00582687"/>
    <w:rsid w:val="005913E3"/>
    <w:rsid w:val="00594AC8"/>
    <w:rsid w:val="005A7A4F"/>
    <w:rsid w:val="005B163F"/>
    <w:rsid w:val="005C03E8"/>
    <w:rsid w:val="005C04D2"/>
    <w:rsid w:val="005D1A6F"/>
    <w:rsid w:val="005D48D8"/>
    <w:rsid w:val="005F0D01"/>
    <w:rsid w:val="005F5AE1"/>
    <w:rsid w:val="00610200"/>
    <w:rsid w:val="006203A1"/>
    <w:rsid w:val="00624908"/>
    <w:rsid w:val="00625CA1"/>
    <w:rsid w:val="00626F15"/>
    <w:rsid w:val="00630385"/>
    <w:rsid w:val="00630DD9"/>
    <w:rsid w:val="006330DB"/>
    <w:rsid w:val="00634A43"/>
    <w:rsid w:val="00643C0B"/>
    <w:rsid w:val="006461C6"/>
    <w:rsid w:val="006633A7"/>
    <w:rsid w:val="00667E91"/>
    <w:rsid w:val="00671B1E"/>
    <w:rsid w:val="00676905"/>
    <w:rsid w:val="00677F7F"/>
    <w:rsid w:val="00684EA9"/>
    <w:rsid w:val="00686C39"/>
    <w:rsid w:val="006870A9"/>
    <w:rsid w:val="006A236C"/>
    <w:rsid w:val="006B0B8D"/>
    <w:rsid w:val="006C0926"/>
    <w:rsid w:val="006C15EB"/>
    <w:rsid w:val="006D1306"/>
    <w:rsid w:val="006D1558"/>
    <w:rsid w:val="006D444C"/>
    <w:rsid w:val="006E60C2"/>
    <w:rsid w:val="006E66C9"/>
    <w:rsid w:val="006E6D94"/>
    <w:rsid w:val="006E7945"/>
    <w:rsid w:val="006F238A"/>
    <w:rsid w:val="006F531A"/>
    <w:rsid w:val="006F6136"/>
    <w:rsid w:val="006F78FD"/>
    <w:rsid w:val="00707B80"/>
    <w:rsid w:val="00727C6D"/>
    <w:rsid w:val="007329F3"/>
    <w:rsid w:val="00733B9C"/>
    <w:rsid w:val="00750729"/>
    <w:rsid w:val="0075541F"/>
    <w:rsid w:val="00767C27"/>
    <w:rsid w:val="00792396"/>
    <w:rsid w:val="00794724"/>
    <w:rsid w:val="007A05CC"/>
    <w:rsid w:val="007A4D71"/>
    <w:rsid w:val="007B20C6"/>
    <w:rsid w:val="007B6843"/>
    <w:rsid w:val="007C07E6"/>
    <w:rsid w:val="007C1310"/>
    <w:rsid w:val="007C2C60"/>
    <w:rsid w:val="007C4797"/>
    <w:rsid w:val="007C4DDC"/>
    <w:rsid w:val="007D0D71"/>
    <w:rsid w:val="007D35F7"/>
    <w:rsid w:val="007D4F19"/>
    <w:rsid w:val="007E018B"/>
    <w:rsid w:val="007E18C7"/>
    <w:rsid w:val="007F44F2"/>
    <w:rsid w:val="007F61CA"/>
    <w:rsid w:val="0080724A"/>
    <w:rsid w:val="00815021"/>
    <w:rsid w:val="00820091"/>
    <w:rsid w:val="00820F63"/>
    <w:rsid w:val="0082275E"/>
    <w:rsid w:val="00822C7B"/>
    <w:rsid w:val="0083050D"/>
    <w:rsid w:val="00840EE5"/>
    <w:rsid w:val="008458B2"/>
    <w:rsid w:val="00846547"/>
    <w:rsid w:val="00851DFC"/>
    <w:rsid w:val="00851FD1"/>
    <w:rsid w:val="00871B25"/>
    <w:rsid w:val="00873BAA"/>
    <w:rsid w:val="00873D16"/>
    <w:rsid w:val="008A2372"/>
    <w:rsid w:val="008B4A2D"/>
    <w:rsid w:val="008B69E1"/>
    <w:rsid w:val="008C0DB0"/>
    <w:rsid w:val="008C45A3"/>
    <w:rsid w:val="008C52A0"/>
    <w:rsid w:val="008D40D8"/>
    <w:rsid w:val="008D5318"/>
    <w:rsid w:val="008F079F"/>
    <w:rsid w:val="008F5125"/>
    <w:rsid w:val="00900F30"/>
    <w:rsid w:val="00920334"/>
    <w:rsid w:val="009251F0"/>
    <w:rsid w:val="00925B22"/>
    <w:rsid w:val="00941DD6"/>
    <w:rsid w:val="00970AE1"/>
    <w:rsid w:val="00973985"/>
    <w:rsid w:val="00974A48"/>
    <w:rsid w:val="009760FE"/>
    <w:rsid w:val="009765DF"/>
    <w:rsid w:val="009837DE"/>
    <w:rsid w:val="00983B51"/>
    <w:rsid w:val="00983EF0"/>
    <w:rsid w:val="00984222"/>
    <w:rsid w:val="0098741F"/>
    <w:rsid w:val="00990A55"/>
    <w:rsid w:val="00993194"/>
    <w:rsid w:val="00997456"/>
    <w:rsid w:val="009B0D83"/>
    <w:rsid w:val="009B1C51"/>
    <w:rsid w:val="009B2A58"/>
    <w:rsid w:val="009B6302"/>
    <w:rsid w:val="009B769F"/>
    <w:rsid w:val="009C0A1C"/>
    <w:rsid w:val="009C1599"/>
    <w:rsid w:val="009C646E"/>
    <w:rsid w:val="009D3055"/>
    <w:rsid w:val="009D6DBC"/>
    <w:rsid w:val="009E1AE3"/>
    <w:rsid w:val="009E57C7"/>
    <w:rsid w:val="009E62D2"/>
    <w:rsid w:val="00A037CE"/>
    <w:rsid w:val="00A048D1"/>
    <w:rsid w:val="00A05631"/>
    <w:rsid w:val="00A064A3"/>
    <w:rsid w:val="00A07DB1"/>
    <w:rsid w:val="00A140E9"/>
    <w:rsid w:val="00A14D97"/>
    <w:rsid w:val="00A16925"/>
    <w:rsid w:val="00A30981"/>
    <w:rsid w:val="00A35A1F"/>
    <w:rsid w:val="00A418F8"/>
    <w:rsid w:val="00A42F38"/>
    <w:rsid w:val="00A434C0"/>
    <w:rsid w:val="00A45E45"/>
    <w:rsid w:val="00A54149"/>
    <w:rsid w:val="00A61802"/>
    <w:rsid w:val="00A630BF"/>
    <w:rsid w:val="00A6430F"/>
    <w:rsid w:val="00A73096"/>
    <w:rsid w:val="00A771A4"/>
    <w:rsid w:val="00A77B3E"/>
    <w:rsid w:val="00A86445"/>
    <w:rsid w:val="00A91C71"/>
    <w:rsid w:val="00AA6ED3"/>
    <w:rsid w:val="00AB14FC"/>
    <w:rsid w:val="00AB21CF"/>
    <w:rsid w:val="00AC3928"/>
    <w:rsid w:val="00AD0473"/>
    <w:rsid w:val="00AD0F26"/>
    <w:rsid w:val="00AE001E"/>
    <w:rsid w:val="00AE4113"/>
    <w:rsid w:val="00AF1F47"/>
    <w:rsid w:val="00AF2E54"/>
    <w:rsid w:val="00AF5E3E"/>
    <w:rsid w:val="00B04BB6"/>
    <w:rsid w:val="00B05381"/>
    <w:rsid w:val="00B05BE8"/>
    <w:rsid w:val="00B06F7E"/>
    <w:rsid w:val="00B13623"/>
    <w:rsid w:val="00B142E6"/>
    <w:rsid w:val="00B20062"/>
    <w:rsid w:val="00B23E34"/>
    <w:rsid w:val="00B2634B"/>
    <w:rsid w:val="00B32A64"/>
    <w:rsid w:val="00B411EC"/>
    <w:rsid w:val="00B44796"/>
    <w:rsid w:val="00B70191"/>
    <w:rsid w:val="00B71ABA"/>
    <w:rsid w:val="00B76B85"/>
    <w:rsid w:val="00B9459C"/>
    <w:rsid w:val="00B94CDF"/>
    <w:rsid w:val="00B959A1"/>
    <w:rsid w:val="00B95ECB"/>
    <w:rsid w:val="00BA15DF"/>
    <w:rsid w:val="00BA4E60"/>
    <w:rsid w:val="00BC0E93"/>
    <w:rsid w:val="00BC3021"/>
    <w:rsid w:val="00BC7A38"/>
    <w:rsid w:val="00BD383E"/>
    <w:rsid w:val="00BE0A80"/>
    <w:rsid w:val="00BF048C"/>
    <w:rsid w:val="00BF278A"/>
    <w:rsid w:val="00BF74EB"/>
    <w:rsid w:val="00C04031"/>
    <w:rsid w:val="00C05E65"/>
    <w:rsid w:val="00C106A8"/>
    <w:rsid w:val="00C1264D"/>
    <w:rsid w:val="00C14658"/>
    <w:rsid w:val="00C15820"/>
    <w:rsid w:val="00C206A1"/>
    <w:rsid w:val="00C217EC"/>
    <w:rsid w:val="00C218EE"/>
    <w:rsid w:val="00C232EC"/>
    <w:rsid w:val="00C24828"/>
    <w:rsid w:val="00C33EA9"/>
    <w:rsid w:val="00C37BD5"/>
    <w:rsid w:val="00C4308C"/>
    <w:rsid w:val="00C50E05"/>
    <w:rsid w:val="00C52EBF"/>
    <w:rsid w:val="00C869BE"/>
    <w:rsid w:val="00C90560"/>
    <w:rsid w:val="00C95407"/>
    <w:rsid w:val="00C9541F"/>
    <w:rsid w:val="00CA2A55"/>
    <w:rsid w:val="00CA3C6F"/>
    <w:rsid w:val="00CA5CDF"/>
    <w:rsid w:val="00CB4B8F"/>
    <w:rsid w:val="00CB74E6"/>
    <w:rsid w:val="00CD545F"/>
    <w:rsid w:val="00CE291F"/>
    <w:rsid w:val="00D026AA"/>
    <w:rsid w:val="00D026B7"/>
    <w:rsid w:val="00D04220"/>
    <w:rsid w:val="00D048C4"/>
    <w:rsid w:val="00D07808"/>
    <w:rsid w:val="00D13CBE"/>
    <w:rsid w:val="00D361C3"/>
    <w:rsid w:val="00D53EB5"/>
    <w:rsid w:val="00D64BC6"/>
    <w:rsid w:val="00D714FA"/>
    <w:rsid w:val="00D72096"/>
    <w:rsid w:val="00D833D9"/>
    <w:rsid w:val="00D904A0"/>
    <w:rsid w:val="00D91CBA"/>
    <w:rsid w:val="00D94628"/>
    <w:rsid w:val="00D96FD4"/>
    <w:rsid w:val="00DA1EFF"/>
    <w:rsid w:val="00DA26C0"/>
    <w:rsid w:val="00DA7356"/>
    <w:rsid w:val="00DB1AED"/>
    <w:rsid w:val="00DC4BAE"/>
    <w:rsid w:val="00DD2A65"/>
    <w:rsid w:val="00DD47C5"/>
    <w:rsid w:val="00DF7953"/>
    <w:rsid w:val="00E030CB"/>
    <w:rsid w:val="00E0352A"/>
    <w:rsid w:val="00E079DF"/>
    <w:rsid w:val="00E13FD2"/>
    <w:rsid w:val="00E213D5"/>
    <w:rsid w:val="00E35BEF"/>
    <w:rsid w:val="00E369D3"/>
    <w:rsid w:val="00E42E3D"/>
    <w:rsid w:val="00E42FCB"/>
    <w:rsid w:val="00E513C2"/>
    <w:rsid w:val="00E52E1D"/>
    <w:rsid w:val="00E916B2"/>
    <w:rsid w:val="00E92BFB"/>
    <w:rsid w:val="00EB0950"/>
    <w:rsid w:val="00EB5B28"/>
    <w:rsid w:val="00EC49BB"/>
    <w:rsid w:val="00EC4DC8"/>
    <w:rsid w:val="00ED517B"/>
    <w:rsid w:val="00ED54B7"/>
    <w:rsid w:val="00EF178D"/>
    <w:rsid w:val="00EF2C5E"/>
    <w:rsid w:val="00F11E9B"/>
    <w:rsid w:val="00F17619"/>
    <w:rsid w:val="00F25488"/>
    <w:rsid w:val="00F343B5"/>
    <w:rsid w:val="00F45624"/>
    <w:rsid w:val="00F56105"/>
    <w:rsid w:val="00F57D52"/>
    <w:rsid w:val="00F6727C"/>
    <w:rsid w:val="00F84079"/>
    <w:rsid w:val="00F85E74"/>
    <w:rsid w:val="00F954F8"/>
    <w:rsid w:val="00FB0007"/>
    <w:rsid w:val="00FB1E87"/>
    <w:rsid w:val="00FB2694"/>
    <w:rsid w:val="00FC292B"/>
    <w:rsid w:val="00FD79F2"/>
    <w:rsid w:val="00FF065E"/>
    <w:rsid w:val="00FF1DB6"/>
    <w:rsid w:val="00FF56ED"/>
    <w:rsid w:val="253E0DDA"/>
    <w:rsid w:val="31B044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GB"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footer"/>
    <w:basedOn w:val="1"/>
    <w:link w:val="11"/>
    <w:unhideWhenUsed/>
    <w:qFormat/>
    <w:uiPriority w:val="0"/>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0"/>
    <w:rPr>
      <w:rFonts w:ascii="Calibri" w:hAnsi="Calibri" w:eastAsia="Times New Roma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lang w:val="en-GB"/>
    </w:rPr>
  </w:style>
  <w:style w:type="character" w:customStyle="1" w:styleId="11">
    <w:name w:val="页脚 字符"/>
    <w:basedOn w:val="8"/>
    <w:link w:val="3"/>
    <w:qFormat/>
    <w:uiPriority w:val="0"/>
    <w:rPr>
      <w:sz w:val="18"/>
      <w:szCs w:val="18"/>
      <w:lang w:val="en-GB"/>
    </w:rPr>
  </w:style>
  <w:style w:type="character" w:customStyle="1" w:styleId="12">
    <w:name w:val="批注文字 字符"/>
    <w:basedOn w:val="8"/>
    <w:link w:val="2"/>
    <w:semiHidden/>
    <w:qFormat/>
    <w:uiPriority w:val="0"/>
    <w:rPr>
      <w:sz w:val="24"/>
      <w:szCs w:val="24"/>
      <w:lang w:val="en-GB"/>
    </w:rPr>
  </w:style>
  <w:style w:type="character" w:customStyle="1" w:styleId="13">
    <w:name w:val="批注主题 字符"/>
    <w:basedOn w:val="12"/>
    <w:link w:val="5"/>
    <w:semiHidden/>
    <w:qFormat/>
    <w:uiPriority w:val="0"/>
    <w:rPr>
      <w:b/>
      <w:bCs/>
      <w:sz w:val="24"/>
      <w:szCs w:val="24"/>
      <w:lang w:val="en-GB"/>
    </w:rPr>
  </w:style>
  <w:style w:type="table" w:customStyle="1" w:styleId="14">
    <w:name w:val="Table Grid1"/>
    <w:qFormat/>
    <w:uiPriority w:val="0"/>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Revision"/>
    <w:hidden/>
    <w:semiHidden/>
    <w:qFormat/>
    <w:uiPriority w:val="99"/>
    <w:rPr>
      <w:rFonts w:ascii="Times New Roman" w:hAnsi="Times New Roman" w:cs="Times New Roman" w:eastAsiaTheme="minorEastAsia"/>
      <w:sz w:val="24"/>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9536</Words>
  <Characters>54357</Characters>
  <Lines>452</Lines>
  <Paragraphs>127</Paragraphs>
  <TotalTime>0</TotalTime>
  <ScaleCrop>false</ScaleCrop>
  <LinksUpToDate>false</LinksUpToDate>
  <CharactersWithSpaces>63766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2021-10-24T02:36:00Z</dcterms:created>
  <dc:creator>HP</dc:creator>
  <cp:lastModifiedBy>晓晨</cp:lastModifiedBy>
  <dcterms:modified xsi:type="dcterms:W3CDTF">2021-12-22T13:21:12Z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138FB5ADB1634E4D8CA205E8C9B6E887</vt:lpwstr>
  </property>
</Properties>
</file>