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583E8" w14:textId="6099752E"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Name of Journal: </w:t>
      </w:r>
      <w:r w:rsidRPr="00E0378B">
        <w:rPr>
          <w:rFonts w:ascii="Book Antiqua" w:eastAsia="Book Antiqua" w:hAnsi="Book Antiqua" w:cs="Book Antiqua"/>
          <w:i/>
          <w:color w:val="000000"/>
        </w:rPr>
        <w:t>World Journal of Cardiology</w:t>
      </w:r>
    </w:p>
    <w:p w14:paraId="00425D49" w14:textId="35FBE9B9"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Manuscript NO: </w:t>
      </w:r>
      <w:r w:rsidRPr="00E0378B">
        <w:rPr>
          <w:rFonts w:ascii="Book Antiqua" w:eastAsia="Book Antiqua" w:hAnsi="Book Antiqua" w:cs="Book Antiqua"/>
          <w:color w:val="000000"/>
        </w:rPr>
        <w:t>65610</w:t>
      </w:r>
    </w:p>
    <w:p w14:paraId="0D0172B1" w14:textId="5D392BB9"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Manuscript Type: </w:t>
      </w:r>
      <w:r w:rsidRPr="00E0378B">
        <w:rPr>
          <w:rFonts w:ascii="Book Antiqua" w:eastAsia="Book Antiqua" w:hAnsi="Book Antiqua" w:cs="Book Antiqua"/>
          <w:color w:val="000000"/>
        </w:rPr>
        <w:t>MINIREVIEWS</w:t>
      </w:r>
    </w:p>
    <w:p w14:paraId="0B99BA7C" w14:textId="77777777" w:rsidR="007624E7" w:rsidRPr="00E0378B" w:rsidRDefault="007624E7" w:rsidP="00E0378B">
      <w:pPr>
        <w:adjustRightInd w:val="0"/>
        <w:snapToGrid w:val="0"/>
        <w:spacing w:line="360" w:lineRule="auto"/>
        <w:jc w:val="both"/>
        <w:rPr>
          <w:rFonts w:ascii="Book Antiqua" w:hAnsi="Book Antiqua"/>
        </w:rPr>
      </w:pPr>
    </w:p>
    <w:p w14:paraId="2393E228" w14:textId="088B7E75"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Cardiogenic shock in the setting of acute myocardial infarction: Another area of sex disparity?</w:t>
      </w:r>
    </w:p>
    <w:p w14:paraId="7B57EF2C" w14:textId="77777777" w:rsidR="007624E7" w:rsidRPr="00E0378B" w:rsidRDefault="007624E7" w:rsidP="00E0378B">
      <w:pPr>
        <w:adjustRightInd w:val="0"/>
        <w:snapToGrid w:val="0"/>
        <w:spacing w:line="360" w:lineRule="auto"/>
        <w:jc w:val="both"/>
        <w:rPr>
          <w:rFonts w:ascii="Book Antiqua" w:hAnsi="Book Antiqua"/>
        </w:rPr>
      </w:pPr>
    </w:p>
    <w:p w14:paraId="777F71B4" w14:textId="45FE6A67"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Bukhari</w:t>
      </w:r>
      <w:r w:rsidRPr="00E0378B">
        <w:rPr>
          <w:rFonts w:ascii="Book Antiqua" w:eastAsia="SimSun" w:hAnsi="Book Antiqua" w:cs="Book Antiqua"/>
          <w:color w:val="000000"/>
          <w:lang w:eastAsia="zh-CN"/>
        </w:rPr>
        <w:t xml:space="preserve"> S </w:t>
      </w:r>
      <w:r w:rsidR="000E3549" w:rsidRPr="00E0378B">
        <w:rPr>
          <w:rFonts w:ascii="Book Antiqua" w:eastAsia="SimSun" w:hAnsi="Book Antiqua" w:cs="Book Antiqua"/>
          <w:i/>
          <w:iCs/>
          <w:color w:val="000000"/>
          <w:lang w:eastAsia="zh-CN"/>
        </w:rPr>
        <w:t>et</w:t>
      </w:r>
      <w:r w:rsidRPr="00E0378B">
        <w:rPr>
          <w:rFonts w:ascii="Book Antiqua" w:eastAsia="SimSun" w:hAnsi="Book Antiqua" w:cs="Book Antiqua"/>
          <w:i/>
          <w:iCs/>
          <w:color w:val="000000"/>
          <w:lang w:eastAsia="zh-CN"/>
        </w:rPr>
        <w:t xml:space="preserve"> </w:t>
      </w:r>
      <w:r w:rsidR="000E3549" w:rsidRPr="00E0378B">
        <w:rPr>
          <w:rFonts w:ascii="Book Antiqua" w:eastAsia="SimSun" w:hAnsi="Book Antiqua" w:cs="Book Antiqua"/>
          <w:i/>
          <w:iCs/>
          <w:color w:val="000000"/>
          <w:lang w:eastAsia="zh-CN"/>
        </w:rPr>
        <w:t>al</w:t>
      </w:r>
      <w:r w:rsidR="00E0378B" w:rsidRPr="00E0378B">
        <w:rPr>
          <w:rFonts w:ascii="Book Antiqua" w:eastAsia="SimSun" w:hAnsi="Book Antiqua" w:cs="Book Antiqua" w:hint="eastAsia"/>
          <w:color w:val="000000"/>
          <w:lang w:eastAsia="zh-CN"/>
        </w:rPr>
        <w:t>.</w:t>
      </w:r>
      <w:r w:rsidRPr="00E0378B">
        <w:rPr>
          <w:rFonts w:ascii="Book Antiqua" w:eastAsia="SimSun" w:hAnsi="Book Antiqua" w:cs="Book Antiqua"/>
          <w:color w:val="000000"/>
          <w:lang w:eastAsia="zh-CN"/>
        </w:rPr>
        <w:t xml:space="preserve"> </w:t>
      </w:r>
      <w:r w:rsidRPr="00E0378B">
        <w:rPr>
          <w:rFonts w:ascii="Book Antiqua" w:eastAsia="Book Antiqua" w:hAnsi="Book Antiqua" w:cs="Book Antiqua"/>
          <w:color w:val="000000"/>
        </w:rPr>
        <w:t>Sex differences in cardiogenic shock and AMI</w:t>
      </w:r>
    </w:p>
    <w:p w14:paraId="6F39F701" w14:textId="77777777" w:rsidR="007624E7" w:rsidRPr="00E0378B" w:rsidRDefault="007624E7" w:rsidP="00E0378B">
      <w:pPr>
        <w:adjustRightInd w:val="0"/>
        <w:snapToGrid w:val="0"/>
        <w:spacing w:line="360" w:lineRule="auto"/>
        <w:jc w:val="both"/>
        <w:rPr>
          <w:rFonts w:ascii="Book Antiqua" w:hAnsi="Book Antiqua"/>
        </w:rPr>
      </w:pPr>
    </w:p>
    <w:p w14:paraId="1DC5E1DE" w14:textId="51A87B0F" w:rsidR="007624E7" w:rsidRPr="00E0378B" w:rsidRDefault="005379C5" w:rsidP="00E0378B">
      <w:pPr>
        <w:adjustRightInd w:val="0"/>
        <w:snapToGrid w:val="0"/>
        <w:spacing w:line="360" w:lineRule="auto"/>
        <w:jc w:val="both"/>
        <w:rPr>
          <w:rFonts w:ascii="Book Antiqua" w:eastAsia="Book Antiqua" w:hAnsi="Book Antiqua" w:cs="Book Antiqua"/>
          <w:color w:val="000000"/>
        </w:rPr>
      </w:pPr>
      <w:r w:rsidRPr="00E0378B">
        <w:rPr>
          <w:rFonts w:ascii="Book Antiqua" w:eastAsia="Book Antiqua" w:hAnsi="Book Antiqua" w:cs="Book Antiqua"/>
          <w:color w:val="000000"/>
        </w:rPr>
        <w:t>Syed Bukhari, Shumail Fatima, Islam Y Elgendy</w:t>
      </w:r>
    </w:p>
    <w:p w14:paraId="4B76C8E8" w14:textId="77777777" w:rsidR="007624E7" w:rsidRPr="00E0378B" w:rsidRDefault="007624E7" w:rsidP="00E0378B">
      <w:pPr>
        <w:adjustRightInd w:val="0"/>
        <w:snapToGrid w:val="0"/>
        <w:spacing w:line="360" w:lineRule="auto"/>
        <w:jc w:val="both"/>
        <w:rPr>
          <w:rFonts w:ascii="Book Antiqua" w:eastAsia="Book Antiqua" w:hAnsi="Book Antiqua" w:cs="Book Antiqua"/>
          <w:color w:val="000000"/>
        </w:rPr>
      </w:pPr>
    </w:p>
    <w:p w14:paraId="27063C28" w14:textId="08BE7A82"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Syed Bukhari, Shumail Fatima, </w:t>
      </w:r>
      <w:r w:rsidRPr="00E0378B">
        <w:rPr>
          <w:rFonts w:ascii="Book Antiqua" w:eastAsia="Book Antiqua" w:hAnsi="Book Antiqua" w:cs="Book Antiqua"/>
          <w:color w:val="000000"/>
        </w:rPr>
        <w:t>Cardiovascular Medicine, University of Pittsburgh, Pittsburgh, PA 15261, United States</w:t>
      </w:r>
    </w:p>
    <w:p w14:paraId="353E9623" w14:textId="77777777" w:rsidR="007624E7" w:rsidRPr="00E0378B" w:rsidRDefault="007624E7" w:rsidP="00E0378B">
      <w:pPr>
        <w:adjustRightInd w:val="0"/>
        <w:snapToGrid w:val="0"/>
        <w:spacing w:line="360" w:lineRule="auto"/>
        <w:jc w:val="both"/>
        <w:rPr>
          <w:rFonts w:ascii="Book Antiqua" w:hAnsi="Book Antiqua"/>
        </w:rPr>
      </w:pPr>
    </w:p>
    <w:p w14:paraId="3D127AC2" w14:textId="64BED321"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Islam Y Elgendy, </w:t>
      </w:r>
      <w:r w:rsidR="00FC11B7" w:rsidRPr="00E0378B">
        <w:rPr>
          <w:rFonts w:ascii="Book Antiqua" w:eastAsia="Book Antiqua" w:hAnsi="Book Antiqua" w:cs="Book Antiqua"/>
          <w:color w:val="000000"/>
        </w:rPr>
        <w:t>Department of Medicine</w:t>
      </w:r>
      <w:r w:rsidRPr="00E0378B">
        <w:rPr>
          <w:rFonts w:ascii="Book Antiqua" w:eastAsia="Book Antiqua" w:hAnsi="Book Antiqua" w:cs="Book Antiqua"/>
          <w:color w:val="000000"/>
        </w:rPr>
        <w:t>, Weill Cornell Medicine-Qatar, Doha 24144, Qatar</w:t>
      </w:r>
    </w:p>
    <w:p w14:paraId="08FC273E" w14:textId="77777777" w:rsidR="007624E7" w:rsidRPr="00E0378B" w:rsidRDefault="007624E7" w:rsidP="00E0378B">
      <w:pPr>
        <w:adjustRightInd w:val="0"/>
        <w:snapToGrid w:val="0"/>
        <w:spacing w:line="360" w:lineRule="auto"/>
        <w:jc w:val="both"/>
        <w:rPr>
          <w:rFonts w:ascii="Book Antiqua" w:hAnsi="Book Antiqua"/>
        </w:rPr>
      </w:pPr>
    </w:p>
    <w:p w14:paraId="4C7A22EE" w14:textId="01E2EC2C"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Author contributions: </w:t>
      </w:r>
      <w:r w:rsidRPr="00E0378B">
        <w:rPr>
          <w:rFonts w:ascii="Book Antiqua" w:eastAsia="Book Antiqua" w:hAnsi="Book Antiqua" w:cs="Book Antiqua"/>
          <w:color w:val="000000"/>
        </w:rPr>
        <w:t>Bukhari S, Fatima S designed, performed the collection of the data, edited</w:t>
      </w:r>
      <w:r w:rsidR="00737683">
        <w:rPr>
          <w:rFonts w:ascii="Book Antiqua" w:eastAsia="Book Antiqua" w:hAnsi="Book Antiqua" w:cs="Book Antiqua"/>
          <w:color w:val="000000"/>
        </w:rPr>
        <w:t>,</w:t>
      </w:r>
      <w:r w:rsidRPr="00E0378B">
        <w:rPr>
          <w:rFonts w:ascii="Book Antiqua" w:eastAsia="Book Antiqua" w:hAnsi="Book Antiqua" w:cs="Book Antiqua"/>
          <w:color w:val="000000"/>
        </w:rPr>
        <w:t xml:space="preserve"> and wrote the paper; Elgendy IY contributed to the critical revision and editing of the paper.</w:t>
      </w:r>
    </w:p>
    <w:p w14:paraId="049AE127" w14:textId="77777777" w:rsidR="007624E7" w:rsidRPr="00E0378B" w:rsidRDefault="007624E7" w:rsidP="00E0378B">
      <w:pPr>
        <w:adjustRightInd w:val="0"/>
        <w:snapToGrid w:val="0"/>
        <w:spacing w:line="360" w:lineRule="auto"/>
        <w:jc w:val="both"/>
        <w:rPr>
          <w:rFonts w:ascii="Book Antiqua" w:hAnsi="Book Antiqua"/>
        </w:rPr>
      </w:pPr>
    </w:p>
    <w:p w14:paraId="44BC3CBB" w14:textId="07F7EFF3"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Corresponding author: Islam Y Elgendy, FACC, FACP, FAHA, MD, Assistant Professor, Consultant Physician-Scientist, </w:t>
      </w:r>
      <w:r w:rsidR="00FC11B7" w:rsidRPr="00E0378B">
        <w:rPr>
          <w:rFonts w:ascii="Book Antiqua" w:eastAsia="Book Antiqua" w:hAnsi="Book Antiqua" w:cs="Book Antiqua"/>
          <w:color w:val="000000"/>
        </w:rPr>
        <w:t>Department of Medicine</w:t>
      </w:r>
      <w:r w:rsidRPr="00E0378B">
        <w:rPr>
          <w:rFonts w:ascii="Book Antiqua" w:eastAsia="Book Antiqua" w:hAnsi="Book Antiqua" w:cs="Book Antiqua"/>
          <w:color w:val="000000"/>
        </w:rPr>
        <w:t>, Weill Cornell Medicine-Qatar, Education City, Qatar Foundation, Doha 24144, Qatar. iyelgendy@gmail.com</w:t>
      </w:r>
    </w:p>
    <w:p w14:paraId="0472A82E" w14:textId="77777777" w:rsidR="007624E7" w:rsidRPr="00E0378B" w:rsidRDefault="007624E7" w:rsidP="00E0378B">
      <w:pPr>
        <w:adjustRightInd w:val="0"/>
        <w:snapToGrid w:val="0"/>
        <w:spacing w:line="360" w:lineRule="auto"/>
        <w:jc w:val="both"/>
        <w:rPr>
          <w:rFonts w:ascii="Book Antiqua" w:hAnsi="Book Antiqua"/>
        </w:rPr>
      </w:pPr>
    </w:p>
    <w:p w14:paraId="3DAAA2CF" w14:textId="5D940A6E"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Received: </w:t>
      </w:r>
      <w:r w:rsidRPr="00E0378B">
        <w:rPr>
          <w:rFonts w:ascii="Book Antiqua" w:eastAsia="Book Antiqua" w:hAnsi="Book Antiqua" w:cs="Book Antiqua"/>
          <w:color w:val="000000"/>
        </w:rPr>
        <w:t>March 11, 2021</w:t>
      </w:r>
    </w:p>
    <w:p w14:paraId="5634BE95" w14:textId="6970FA3C"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Revised: </w:t>
      </w:r>
      <w:r w:rsidR="00E0378B" w:rsidRPr="00E0378B">
        <w:rPr>
          <w:rFonts w:ascii="Book Antiqua" w:eastAsia="Book Antiqua" w:hAnsi="Book Antiqua" w:cs="Book Antiqua"/>
          <w:color w:val="000000"/>
        </w:rPr>
        <w:t>April 3, 2021</w:t>
      </w:r>
    </w:p>
    <w:p w14:paraId="40803CBC" w14:textId="49646B9D"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Accepted:</w:t>
      </w:r>
      <w:r w:rsidRPr="00702BDE">
        <w:rPr>
          <w:rFonts w:ascii="Book Antiqua" w:eastAsia="Book Antiqua" w:hAnsi="Book Antiqua" w:cs="Book Antiqua"/>
          <w:color w:val="000000"/>
        </w:rPr>
        <w:t xml:space="preserve"> </w:t>
      </w:r>
      <w:r w:rsidR="00702BDE" w:rsidRPr="00702BDE">
        <w:rPr>
          <w:rFonts w:ascii="Book Antiqua" w:eastAsia="Book Antiqua" w:hAnsi="Book Antiqua" w:cs="Book Antiqua"/>
          <w:color w:val="000000"/>
        </w:rPr>
        <w:t>May 21, 2021</w:t>
      </w:r>
    </w:p>
    <w:p w14:paraId="12A6D3A3" w14:textId="0F3B6928"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Published online: </w:t>
      </w:r>
    </w:p>
    <w:p w14:paraId="2511D7CD" w14:textId="77777777" w:rsidR="007624E7" w:rsidRPr="00E0378B" w:rsidRDefault="007624E7" w:rsidP="00E0378B">
      <w:pPr>
        <w:adjustRightInd w:val="0"/>
        <w:snapToGrid w:val="0"/>
        <w:spacing w:line="360" w:lineRule="auto"/>
        <w:jc w:val="both"/>
        <w:rPr>
          <w:rFonts w:ascii="Book Antiqua" w:hAnsi="Book Antiqua"/>
        </w:rPr>
        <w:sectPr w:rsidR="007624E7" w:rsidRPr="00E0378B">
          <w:footerReference w:type="default" r:id="rId7"/>
          <w:pgSz w:w="12240" w:h="15840"/>
          <w:pgMar w:top="1440" w:right="1440" w:bottom="1440" w:left="1440" w:header="720" w:footer="720" w:gutter="0"/>
          <w:cols w:space="720"/>
          <w:docGrid w:linePitch="360"/>
        </w:sectPr>
      </w:pPr>
    </w:p>
    <w:p w14:paraId="2069F257" w14:textId="77777777"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lastRenderedPageBreak/>
        <w:t>Abstract</w:t>
      </w:r>
    </w:p>
    <w:p w14:paraId="1B82C5A8" w14:textId="79A14C66"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Cardiogenic shock in the setting of acute myocardial infarction (AMI) carries significant morbidity and mortality, despite advances in pharmacological, mechanical and reperfusion therapies. Studies suggest that there is evidence of sex disparities in the risk profile, management, and outcomes of cardiogenic shock complicating AMI. Compared with men, women tend to have more comorbidities, greater variability in symptom presentation and are</w:t>
      </w:r>
      <w:r w:rsidRPr="00E0378B">
        <w:rPr>
          <w:rFonts w:ascii="Book Antiqua" w:eastAsia="Book Antiqua" w:hAnsi="Book Antiqua" w:cs="Book Antiqua"/>
          <w:color w:val="000000"/>
          <w:shd w:val="clear" w:color="auto" w:fill="FFFFFF"/>
        </w:rPr>
        <w:t xml:space="preserve"> less likely to receive timely revascularization and mechanical circulatory support. As such, women are more likely to have higher mortality rates. </w:t>
      </w:r>
      <w:r w:rsidRPr="00E0378B">
        <w:rPr>
          <w:rFonts w:ascii="Book Antiqua" w:eastAsia="Book Antiqua" w:hAnsi="Book Antiqua" w:cs="Book Antiqua"/>
          <w:color w:val="000000"/>
        </w:rPr>
        <w:t>In this review, we highlight sex-based differences in the prevalence, management, and outcomes of cardiogenic shock due to AMI, and discuss potential ways to mitigate them.</w:t>
      </w:r>
    </w:p>
    <w:p w14:paraId="02E56D8A" w14:textId="77777777" w:rsidR="007624E7" w:rsidRPr="00E0378B" w:rsidRDefault="007624E7" w:rsidP="00E0378B">
      <w:pPr>
        <w:adjustRightInd w:val="0"/>
        <w:snapToGrid w:val="0"/>
        <w:spacing w:line="360" w:lineRule="auto"/>
        <w:jc w:val="both"/>
        <w:rPr>
          <w:rFonts w:ascii="Book Antiqua" w:hAnsi="Book Antiqua"/>
        </w:rPr>
      </w:pPr>
    </w:p>
    <w:p w14:paraId="36A800C1" w14:textId="5D5CF048"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Key Words: </w:t>
      </w:r>
      <w:bookmarkStart w:id="0" w:name="OLE_LINK12"/>
      <w:r w:rsidRPr="00E0378B">
        <w:rPr>
          <w:rFonts w:ascii="Book Antiqua" w:eastAsia="SimSun" w:hAnsi="Book Antiqua" w:cs="Book Antiqua"/>
          <w:color w:val="000000"/>
          <w:lang w:eastAsia="zh-CN"/>
        </w:rPr>
        <w:t>C</w:t>
      </w:r>
      <w:r w:rsidRPr="00E0378B">
        <w:rPr>
          <w:rFonts w:ascii="Book Antiqua" w:eastAsia="Book Antiqua" w:hAnsi="Book Antiqua" w:cs="Book Antiqua"/>
          <w:color w:val="000000"/>
        </w:rPr>
        <w:t xml:space="preserve">ardiogenic shock; </w:t>
      </w:r>
      <w:r w:rsidRPr="00E0378B">
        <w:rPr>
          <w:rFonts w:ascii="Book Antiqua" w:eastAsia="SimSun" w:hAnsi="Book Antiqua" w:cs="Book Antiqua"/>
          <w:color w:val="000000"/>
          <w:lang w:eastAsia="zh-CN"/>
        </w:rPr>
        <w:t>M</w:t>
      </w:r>
      <w:r w:rsidRPr="00E0378B">
        <w:rPr>
          <w:rFonts w:ascii="Book Antiqua" w:eastAsia="Book Antiqua" w:hAnsi="Book Antiqua" w:cs="Book Antiqua"/>
          <w:color w:val="000000"/>
        </w:rPr>
        <w:t xml:space="preserve">yocardial infarction; </w:t>
      </w:r>
      <w:r w:rsidRPr="00E0378B">
        <w:rPr>
          <w:rFonts w:ascii="Book Antiqua" w:eastAsia="SimSun" w:hAnsi="Book Antiqua" w:cs="Book Antiqua"/>
          <w:color w:val="000000"/>
          <w:lang w:eastAsia="zh-CN"/>
        </w:rPr>
        <w:t>S</w:t>
      </w:r>
      <w:r w:rsidRPr="00E0378B">
        <w:rPr>
          <w:rFonts w:ascii="Book Antiqua" w:eastAsia="Book Antiqua" w:hAnsi="Book Antiqua" w:cs="Book Antiqua"/>
          <w:color w:val="000000"/>
        </w:rPr>
        <w:t>ex</w:t>
      </w:r>
      <w:r w:rsidR="00CF5A1D">
        <w:rPr>
          <w:rFonts w:ascii="Book Antiqua" w:eastAsia="Book Antiqua" w:hAnsi="Book Antiqua" w:cs="Book Antiqua"/>
          <w:color w:val="000000"/>
        </w:rPr>
        <w:t xml:space="preserve">; </w:t>
      </w:r>
      <w:r w:rsidR="00CF5A1D" w:rsidRPr="00E0378B">
        <w:rPr>
          <w:rFonts w:ascii="Book Antiqua" w:eastAsia="Book Antiqua" w:hAnsi="Book Antiqua" w:cs="Book Antiqua"/>
          <w:color w:val="000000"/>
        </w:rPr>
        <w:t>Morbidity</w:t>
      </w:r>
      <w:bookmarkEnd w:id="0"/>
    </w:p>
    <w:p w14:paraId="6631B9BD" w14:textId="77777777" w:rsidR="007624E7" w:rsidRPr="00E0378B" w:rsidRDefault="007624E7" w:rsidP="00E0378B">
      <w:pPr>
        <w:adjustRightInd w:val="0"/>
        <w:snapToGrid w:val="0"/>
        <w:spacing w:line="360" w:lineRule="auto"/>
        <w:jc w:val="both"/>
        <w:rPr>
          <w:rFonts w:ascii="Book Antiqua" w:hAnsi="Book Antiqua"/>
        </w:rPr>
      </w:pPr>
    </w:p>
    <w:p w14:paraId="1CAF7F66" w14:textId="7BA299A6"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 xml:space="preserve">Bukhari S, Fatima S, Elgendy IY. Cardiogenic shock in the setting of acute myocardial infarction: Another area of sex disparity? </w:t>
      </w:r>
      <w:r w:rsidRPr="00E0378B">
        <w:rPr>
          <w:rFonts w:ascii="Book Antiqua" w:eastAsia="Book Antiqua" w:hAnsi="Book Antiqua" w:cs="Book Antiqua"/>
          <w:i/>
          <w:iCs/>
          <w:color w:val="000000"/>
        </w:rPr>
        <w:t>World J Cardiol</w:t>
      </w:r>
      <w:r w:rsidRPr="00E0378B">
        <w:rPr>
          <w:rFonts w:ascii="Book Antiqua" w:eastAsia="Book Antiqua" w:hAnsi="Book Antiqua" w:cs="Book Antiqua"/>
          <w:color w:val="000000"/>
        </w:rPr>
        <w:t xml:space="preserve"> 2021; In press</w:t>
      </w:r>
    </w:p>
    <w:p w14:paraId="13B72993" w14:textId="77777777" w:rsidR="007624E7" w:rsidRPr="00E0378B" w:rsidRDefault="007624E7" w:rsidP="00E0378B">
      <w:pPr>
        <w:adjustRightInd w:val="0"/>
        <w:snapToGrid w:val="0"/>
        <w:spacing w:line="360" w:lineRule="auto"/>
        <w:jc w:val="both"/>
        <w:rPr>
          <w:rFonts w:ascii="Book Antiqua" w:hAnsi="Book Antiqua"/>
        </w:rPr>
      </w:pPr>
    </w:p>
    <w:p w14:paraId="74C2A4BF" w14:textId="3DB06D2F"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Core Tip: </w:t>
      </w:r>
      <w:r w:rsidRPr="00E0378B">
        <w:rPr>
          <w:rFonts w:ascii="Book Antiqua" w:eastAsia="Book Antiqua" w:hAnsi="Book Antiqua" w:cs="Book Antiqua"/>
          <w:color w:val="000000"/>
        </w:rPr>
        <w:t xml:space="preserve">Sex disparities exist among different cardiovascular diseases and therapies. Cardiogenic shock is a leading cause of death among patients with acute myocardial infarction. </w:t>
      </w:r>
      <w:r w:rsidR="00737683">
        <w:rPr>
          <w:rFonts w:ascii="Book Antiqua" w:eastAsia="Book Antiqua" w:hAnsi="Book Antiqua" w:cs="Book Antiqua"/>
          <w:color w:val="000000"/>
        </w:rPr>
        <w:t>Although</w:t>
      </w:r>
      <w:r w:rsidRPr="00E0378B">
        <w:rPr>
          <w:rFonts w:ascii="Book Antiqua" w:eastAsia="Book Antiqua" w:hAnsi="Book Antiqua" w:cs="Book Antiqua"/>
          <w:color w:val="000000"/>
        </w:rPr>
        <w:t xml:space="preserve"> some studies suggest that cardiogenic shock is more prevalent among women, women are less likely to receive guideline</w:t>
      </w:r>
      <w:r w:rsidR="00737683">
        <w:rPr>
          <w:rFonts w:ascii="Book Antiqua" w:eastAsia="Book Antiqua" w:hAnsi="Book Antiqua" w:cs="Book Antiqua"/>
          <w:color w:val="000000"/>
        </w:rPr>
        <w:t>-</w:t>
      </w:r>
      <w:r w:rsidRPr="00E0378B">
        <w:rPr>
          <w:rFonts w:ascii="Book Antiqua" w:eastAsia="Book Antiqua" w:hAnsi="Book Antiqua" w:cs="Book Antiqua"/>
          <w:color w:val="000000"/>
        </w:rPr>
        <w:t>recommended management including revascularization. As such, women are more likely to experience worse outcomes in this setting.</w:t>
      </w:r>
    </w:p>
    <w:p w14:paraId="03D60C5E" w14:textId="77777777" w:rsidR="00CF5A1D" w:rsidRDefault="00CF5A1D" w:rsidP="00E0378B">
      <w:pPr>
        <w:adjustRightInd w:val="0"/>
        <w:snapToGrid w:val="0"/>
        <w:spacing w:line="360" w:lineRule="auto"/>
        <w:jc w:val="both"/>
        <w:rPr>
          <w:rFonts w:ascii="Book Antiqua" w:hAnsi="Book Antiqua"/>
        </w:rPr>
        <w:sectPr w:rsidR="00CF5A1D">
          <w:pgSz w:w="12240" w:h="15840"/>
          <w:pgMar w:top="1440" w:right="1440" w:bottom="1440" w:left="1440" w:header="720" w:footer="720" w:gutter="0"/>
          <w:cols w:space="720"/>
          <w:docGrid w:linePitch="360"/>
        </w:sectPr>
      </w:pPr>
    </w:p>
    <w:p w14:paraId="606D1480" w14:textId="77777777"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aps/>
          <w:color w:val="000000"/>
          <w:u w:val="single"/>
        </w:rPr>
        <w:lastRenderedPageBreak/>
        <w:t>INTRODUCTION</w:t>
      </w:r>
    </w:p>
    <w:p w14:paraId="53B8600B" w14:textId="26212679" w:rsidR="007624E7" w:rsidRPr="00E0378B" w:rsidRDefault="005379C5" w:rsidP="00E0378B">
      <w:pPr>
        <w:adjustRightInd w:val="0"/>
        <w:snapToGrid w:val="0"/>
        <w:spacing w:line="360" w:lineRule="auto"/>
        <w:jc w:val="both"/>
        <w:rPr>
          <w:rFonts w:ascii="Book Antiqua" w:eastAsia="Book Antiqua" w:hAnsi="Book Antiqua" w:cs="Book Antiqua"/>
          <w:color w:val="000000"/>
          <w:shd w:val="clear" w:color="auto" w:fill="FFFFFF"/>
        </w:rPr>
      </w:pPr>
      <w:r w:rsidRPr="00E0378B">
        <w:rPr>
          <w:rFonts w:ascii="Book Antiqua" w:eastAsia="Book Antiqua" w:hAnsi="Book Antiqua" w:cs="Book Antiqua"/>
          <w:color w:val="000000"/>
          <w:shd w:val="clear" w:color="auto" w:fill="FFFFFF"/>
        </w:rPr>
        <w:t>Acute myocardial infarction (AMI) is the one of the leading causes of death in the United States and worldwide</w:t>
      </w:r>
      <w:r w:rsidRPr="00E0378B">
        <w:rPr>
          <w:rFonts w:ascii="Book Antiqua" w:eastAsia="Book Antiqua" w:hAnsi="Book Antiqua" w:cs="Book Antiqua"/>
          <w:color w:val="000000"/>
          <w:shd w:val="clear" w:color="auto" w:fill="FFFFFF"/>
          <w:vertAlign w:val="superscript"/>
        </w:rPr>
        <w:t>[1]</w:t>
      </w:r>
      <w:r w:rsidRPr="00E0378B">
        <w:rPr>
          <w:rFonts w:ascii="Book Antiqua" w:eastAsia="Book Antiqua" w:hAnsi="Book Antiqua" w:cs="Book Antiqua"/>
          <w:color w:val="000000"/>
          <w:shd w:val="clear" w:color="auto" w:fill="FFFFFF"/>
        </w:rPr>
        <w:t>. In recent years, there has been a decline in the incidence and case fatality of AMI</w:t>
      </w:r>
      <w:r w:rsidR="00737683">
        <w:rPr>
          <w:rFonts w:ascii="Book Antiqua" w:eastAsia="Book Antiqua" w:hAnsi="Book Antiqua" w:cs="Book Antiqua"/>
          <w:color w:val="000000"/>
          <w:shd w:val="clear" w:color="auto" w:fill="FFFFFF"/>
        </w:rPr>
        <w:t>,</w:t>
      </w:r>
      <w:r w:rsidRPr="00E0378B">
        <w:rPr>
          <w:rFonts w:ascii="Book Antiqua" w:eastAsia="Book Antiqua" w:hAnsi="Book Antiqua" w:cs="Book Antiqua"/>
          <w:color w:val="000000"/>
          <w:shd w:val="clear" w:color="auto" w:fill="FFFFFF"/>
        </w:rPr>
        <w:t xml:space="preserve"> which is partly attributed to the advancements in management including timely reperfusion and medical therapies</w:t>
      </w:r>
      <w:r w:rsidRPr="00E0378B">
        <w:rPr>
          <w:rFonts w:ascii="Book Antiqua" w:eastAsia="Book Antiqua" w:hAnsi="Book Antiqua" w:cs="Book Antiqua"/>
          <w:color w:val="000000"/>
          <w:shd w:val="clear" w:color="auto" w:fill="FFFFFF"/>
          <w:vertAlign w:val="superscript"/>
        </w:rPr>
        <w:t>[2,3]</w:t>
      </w:r>
      <w:r w:rsidRPr="00E0378B">
        <w:rPr>
          <w:rFonts w:ascii="Book Antiqua" w:eastAsia="Book Antiqua" w:hAnsi="Book Antiqua" w:cs="Book Antiqua"/>
          <w:color w:val="000000"/>
          <w:shd w:val="clear" w:color="auto" w:fill="FFFFFF"/>
        </w:rPr>
        <w:t>. Despite these improvements, sex disparity still has an impact on AMI management and outcomes</w:t>
      </w:r>
      <w:r w:rsidRPr="00E0378B">
        <w:rPr>
          <w:rFonts w:ascii="Book Antiqua" w:eastAsia="Book Antiqua" w:hAnsi="Book Antiqua" w:cs="Book Antiqua"/>
          <w:color w:val="000000"/>
          <w:shd w:val="clear" w:color="auto" w:fill="FFFFFF"/>
          <w:vertAlign w:val="superscript"/>
        </w:rPr>
        <w:t>[3]</w:t>
      </w:r>
      <w:r w:rsidRPr="00E0378B">
        <w:rPr>
          <w:rFonts w:ascii="Book Antiqua" w:eastAsia="Book Antiqua" w:hAnsi="Book Antiqua" w:cs="Book Antiqua"/>
          <w:color w:val="000000"/>
          <w:shd w:val="clear" w:color="auto" w:fill="FFFFFF"/>
        </w:rPr>
        <w:t>.</w:t>
      </w:r>
    </w:p>
    <w:p w14:paraId="63497543" w14:textId="68D8A4D3" w:rsidR="007624E7" w:rsidRPr="00E0378B" w:rsidRDefault="005379C5" w:rsidP="00971D82">
      <w:pPr>
        <w:adjustRightInd w:val="0"/>
        <w:snapToGrid w:val="0"/>
        <w:spacing w:line="360" w:lineRule="auto"/>
        <w:ind w:firstLineChars="112" w:firstLine="269"/>
        <w:jc w:val="both"/>
        <w:rPr>
          <w:rFonts w:ascii="Book Antiqua" w:hAnsi="Book Antiqua"/>
        </w:rPr>
      </w:pPr>
      <w:r w:rsidRPr="00E0378B">
        <w:rPr>
          <w:rFonts w:ascii="Book Antiqua" w:eastAsia="Book Antiqua" w:hAnsi="Book Antiqua" w:cs="Book Antiqua"/>
          <w:color w:val="000000"/>
          <w:shd w:val="clear" w:color="auto" w:fill="FFFFFF"/>
        </w:rPr>
        <w:t xml:space="preserve">Cardiogenic shock </w:t>
      </w:r>
      <w:r w:rsidRPr="00E0378B">
        <w:rPr>
          <w:rFonts w:ascii="Book Antiqua" w:eastAsia="Book Antiqua" w:hAnsi="Book Antiqua" w:cs="Book Antiqua"/>
          <w:color w:val="000000"/>
        </w:rPr>
        <w:t xml:space="preserve">is the most common cause of death in patients with AMI, resulting from left ventricular pump failure or </w:t>
      </w:r>
      <w:r w:rsidR="00737683">
        <w:rPr>
          <w:rFonts w:ascii="Book Antiqua" w:eastAsia="Book Antiqua" w:hAnsi="Book Antiqua" w:cs="Book Antiqua"/>
          <w:color w:val="000000"/>
        </w:rPr>
        <w:t xml:space="preserve">as </w:t>
      </w:r>
      <w:r w:rsidRPr="00E0378B">
        <w:rPr>
          <w:rFonts w:ascii="Book Antiqua" w:eastAsia="Book Antiqua" w:hAnsi="Book Antiqua" w:cs="Book Antiqua"/>
          <w:color w:val="000000"/>
        </w:rPr>
        <w:t xml:space="preserve">a consequence of post-MI mechanical complications such as papillary muscle rupture, ventricular septal rupture, free wall rupture or right ventricular </w:t>
      </w:r>
      <w:proofErr w:type="gramStart"/>
      <w:r w:rsidRPr="00E0378B">
        <w:rPr>
          <w:rFonts w:ascii="Book Antiqua" w:eastAsia="Book Antiqua" w:hAnsi="Book Antiqua" w:cs="Book Antiqua"/>
          <w:color w:val="000000"/>
        </w:rPr>
        <w:t>failure</w:t>
      </w:r>
      <w:r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vertAlign w:val="superscript"/>
        </w:rPr>
        <w:t>4,5]</w:t>
      </w:r>
      <w:r w:rsidRPr="00E0378B">
        <w:rPr>
          <w:rFonts w:ascii="Book Antiqua" w:eastAsia="Book Antiqua" w:hAnsi="Book Antiqua" w:cs="Book Antiqua"/>
          <w:color w:val="000000"/>
          <w:shd w:val="clear" w:color="auto" w:fill="FFFFFF"/>
        </w:rPr>
        <w:t xml:space="preserve">. Cardiogenic shock </w:t>
      </w:r>
      <w:r w:rsidRPr="00E0378B">
        <w:rPr>
          <w:rFonts w:ascii="Book Antiqua" w:eastAsia="Book Antiqua" w:hAnsi="Book Antiqua" w:cs="Book Antiqua"/>
          <w:color w:val="000000"/>
        </w:rPr>
        <w:t>affects 5</w:t>
      </w:r>
      <w:r w:rsidRPr="00E0378B">
        <w:rPr>
          <w:rFonts w:ascii="Book Antiqua" w:eastAsia="SimSun" w:hAnsi="Book Antiqua" w:cs="Book Antiqua"/>
          <w:color w:val="000000"/>
          <w:lang w:eastAsia="zh-CN"/>
        </w:rPr>
        <w:t>%</w:t>
      </w:r>
      <w:r w:rsidRPr="00E0378B">
        <w:rPr>
          <w:rFonts w:ascii="Book Antiqua" w:eastAsia="Book Antiqua" w:hAnsi="Book Antiqua" w:cs="Book Antiqua"/>
          <w:color w:val="000000"/>
        </w:rPr>
        <w:t>-10%</w:t>
      </w:r>
      <w:r w:rsidRPr="00E0378B">
        <w:rPr>
          <w:rFonts w:ascii="Book Antiqua" w:eastAsia="SimSun" w:hAnsi="Book Antiqua" w:cs="Book Antiqua"/>
          <w:color w:val="000000"/>
          <w:lang w:eastAsia="zh-CN"/>
        </w:rPr>
        <w:t xml:space="preserve"> </w:t>
      </w:r>
      <w:r w:rsidRPr="00E0378B">
        <w:rPr>
          <w:rFonts w:ascii="Book Antiqua" w:eastAsia="Book Antiqua" w:hAnsi="Book Antiqua" w:cs="Book Antiqua"/>
          <w:color w:val="000000"/>
        </w:rPr>
        <w:t>of AMI</w:t>
      </w:r>
      <w:r w:rsidRPr="00E0378B">
        <w:rPr>
          <w:rFonts w:ascii="Book Antiqua" w:eastAsia="SimSun" w:hAnsi="Book Antiqua" w:cs="Book Antiqua"/>
          <w:color w:val="000000"/>
          <w:lang w:eastAsia="zh-CN"/>
        </w:rPr>
        <w:t xml:space="preserve"> </w:t>
      </w:r>
      <w:r w:rsidR="00FC11B7" w:rsidRPr="00E0378B">
        <w:rPr>
          <w:rFonts w:ascii="Book Antiqua" w:eastAsia="SimSun" w:hAnsi="Book Antiqua" w:cs="Book Antiqua"/>
          <w:color w:val="000000"/>
          <w:lang w:eastAsia="zh-CN"/>
        </w:rPr>
        <w:t xml:space="preserve">cases </w:t>
      </w:r>
      <w:r w:rsidRPr="00E0378B">
        <w:rPr>
          <w:rFonts w:ascii="Book Antiqua" w:eastAsia="Book Antiqua" w:hAnsi="Book Antiqua" w:cs="Book Antiqua"/>
          <w:color w:val="000000"/>
        </w:rPr>
        <w:t>and</w:t>
      </w:r>
      <w:r w:rsidRPr="00E0378B">
        <w:rPr>
          <w:rFonts w:ascii="Book Antiqua" w:eastAsia="SimSun" w:hAnsi="Book Antiqua" w:cs="Book Antiqua"/>
          <w:color w:val="000000"/>
          <w:lang w:eastAsia="zh-CN"/>
        </w:rPr>
        <w:t xml:space="preserve"> </w:t>
      </w:r>
      <w:r w:rsidRPr="00E0378B">
        <w:rPr>
          <w:rFonts w:ascii="Book Antiqua" w:eastAsia="Book Antiqua" w:hAnsi="Book Antiqua" w:cs="Book Antiqua"/>
          <w:color w:val="000000"/>
        </w:rPr>
        <w:t>is associated with high mortality (up to 30</w:t>
      </w:r>
      <w:r w:rsidRPr="00E0378B">
        <w:rPr>
          <w:rFonts w:ascii="Book Antiqua" w:eastAsia="SimSun" w:hAnsi="Book Antiqua" w:cs="Book Antiqua"/>
          <w:color w:val="000000"/>
          <w:lang w:eastAsia="zh-CN"/>
        </w:rPr>
        <w:t>%</w:t>
      </w:r>
      <w:r w:rsidRPr="00E0378B">
        <w:rPr>
          <w:rFonts w:ascii="Book Antiqua" w:eastAsia="Book Antiqua" w:hAnsi="Book Antiqua" w:cs="Book Antiqua"/>
          <w:color w:val="000000"/>
        </w:rPr>
        <w:t>-40%), despite advances in pharmacological, mechanical and reperfusion endeavors</w:t>
      </w:r>
      <w:r w:rsidRPr="00E0378B">
        <w:rPr>
          <w:rFonts w:ascii="Book Antiqua" w:eastAsia="Book Antiqua" w:hAnsi="Book Antiqua" w:cs="Book Antiqua"/>
          <w:color w:val="000000"/>
          <w:vertAlign w:val="superscript"/>
        </w:rPr>
        <w:t>[6,7]</w:t>
      </w:r>
      <w:r w:rsidRPr="00E0378B">
        <w:rPr>
          <w:rFonts w:ascii="Book Antiqua" w:eastAsia="Book Antiqua" w:hAnsi="Book Antiqua" w:cs="Book Antiqua"/>
          <w:color w:val="000000"/>
        </w:rPr>
        <w:t>. Similar to AMI without cardiogenic shock, sex differences exist in management and outcomes among those with cardiogenic shock</w:t>
      </w:r>
      <w:r w:rsidRPr="00E0378B">
        <w:rPr>
          <w:rFonts w:ascii="Book Antiqua" w:eastAsia="Book Antiqua" w:hAnsi="Book Antiqua" w:cs="Book Antiqua"/>
          <w:color w:val="000000"/>
          <w:vertAlign w:val="superscript"/>
        </w:rPr>
        <w:t>[8]</w:t>
      </w:r>
      <w:r w:rsidRPr="00E0378B">
        <w:rPr>
          <w:rFonts w:ascii="Book Antiqua" w:eastAsia="Book Antiqua" w:hAnsi="Book Antiqua" w:cs="Book Antiqua"/>
          <w:color w:val="000000"/>
        </w:rPr>
        <w:t xml:space="preserve">. In this review, we discuss the sex disparities in the risk profile, management, and outcomes of cardiogenic shock in the setting of </w:t>
      </w:r>
      <w:proofErr w:type="gramStart"/>
      <w:r w:rsidRPr="00E0378B">
        <w:rPr>
          <w:rFonts w:ascii="Book Antiqua" w:eastAsia="Book Antiqua" w:hAnsi="Book Antiqua" w:cs="Book Antiqua"/>
          <w:color w:val="000000"/>
        </w:rPr>
        <w:t>AMI, and</w:t>
      </w:r>
      <w:proofErr w:type="gramEnd"/>
      <w:r w:rsidRPr="00E0378B">
        <w:rPr>
          <w:rFonts w:ascii="Book Antiqua" w:eastAsia="Book Antiqua" w:hAnsi="Book Antiqua" w:cs="Book Antiqua"/>
          <w:color w:val="000000"/>
        </w:rPr>
        <w:t xml:space="preserve"> present few solutions to the existing challenges.</w:t>
      </w:r>
    </w:p>
    <w:p w14:paraId="1424816E" w14:textId="77777777" w:rsidR="007624E7" w:rsidRPr="00E0378B" w:rsidRDefault="007624E7" w:rsidP="00E0378B">
      <w:pPr>
        <w:adjustRightInd w:val="0"/>
        <w:snapToGrid w:val="0"/>
        <w:spacing w:line="360" w:lineRule="auto"/>
        <w:jc w:val="both"/>
        <w:rPr>
          <w:rFonts w:ascii="Book Antiqua" w:hAnsi="Book Antiqua"/>
        </w:rPr>
      </w:pPr>
    </w:p>
    <w:p w14:paraId="578616A0" w14:textId="2046F23C"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aps/>
          <w:color w:val="000000"/>
          <w:u w:val="single"/>
        </w:rPr>
        <w:t>Sex disparity in AMI</w:t>
      </w:r>
    </w:p>
    <w:p w14:paraId="4E1EE4C5" w14:textId="5CBC3C48"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 xml:space="preserve">Women with AMI tend to have a higher cardiovascular risk profile on presentation, as they are likely older and have a higher prevalence of traditional cardiovascular risk factors such as hypertension, diabetes, hyperlipidemia, and obesity, compared with </w:t>
      </w:r>
      <w:proofErr w:type="gramStart"/>
      <w:r w:rsidRPr="00E0378B">
        <w:rPr>
          <w:rFonts w:ascii="Book Antiqua" w:eastAsia="Book Antiqua" w:hAnsi="Book Antiqua" w:cs="Book Antiqua"/>
          <w:color w:val="000000"/>
        </w:rPr>
        <w:t>men</w:t>
      </w:r>
      <w:r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vertAlign w:val="superscript"/>
        </w:rPr>
        <w:t>9,10]</w:t>
      </w:r>
      <w:r w:rsidRPr="00E0378B">
        <w:rPr>
          <w:rFonts w:ascii="Book Antiqua" w:eastAsia="Book Antiqua" w:hAnsi="Book Antiqua" w:cs="Book Antiqua"/>
          <w:color w:val="000000"/>
        </w:rPr>
        <w:t>. Women also have greater variability in symptom presentation, since they often present with fatigue, dyspnea, dizziness, nausea, and upper back pain, while men usually complain of chest pain and diaphoresis</w:t>
      </w:r>
      <w:r w:rsidRPr="00E0378B">
        <w:rPr>
          <w:rFonts w:ascii="Book Antiqua" w:eastAsia="Book Antiqua" w:hAnsi="Book Antiqua" w:cs="Book Antiqua"/>
          <w:color w:val="000000"/>
          <w:vertAlign w:val="superscript"/>
        </w:rPr>
        <w:t>[11]</w:t>
      </w:r>
      <w:r w:rsidRPr="00E0378B">
        <w:rPr>
          <w:rFonts w:ascii="Book Antiqua" w:eastAsia="Book Antiqua" w:hAnsi="Book Antiqua" w:cs="Book Antiqua"/>
          <w:color w:val="000000"/>
        </w:rPr>
        <w:t xml:space="preserve">. This difference in symptom profile </w:t>
      </w:r>
      <w:r w:rsidRPr="00E0378B">
        <w:rPr>
          <w:rFonts w:ascii="Book Antiqua" w:eastAsia="Book Antiqua" w:hAnsi="Book Antiqua" w:cs="Book Antiqua"/>
          <w:color w:val="000000"/>
          <w:shd w:val="clear" w:color="auto" w:fill="FFFFFF"/>
        </w:rPr>
        <w:t xml:space="preserve">potentially </w:t>
      </w:r>
      <w:r w:rsidR="00B24F37">
        <w:rPr>
          <w:rFonts w:ascii="Book Antiqua" w:eastAsia="Book Antiqua" w:hAnsi="Book Antiqua" w:cs="Book Antiqua"/>
          <w:color w:val="000000"/>
          <w:shd w:val="clear" w:color="auto" w:fill="FFFFFF"/>
        </w:rPr>
        <w:t>explains</w:t>
      </w:r>
      <w:r w:rsidRPr="00E0378B">
        <w:rPr>
          <w:rFonts w:ascii="Book Antiqua" w:eastAsia="Book Antiqua" w:hAnsi="Book Antiqua" w:cs="Book Antiqua"/>
          <w:color w:val="000000"/>
          <w:shd w:val="clear" w:color="auto" w:fill="FFFFFF"/>
        </w:rPr>
        <w:t xml:space="preserve"> why the diagnosis of AMI is sometimes delayed or missed among </w:t>
      </w:r>
      <w:proofErr w:type="gramStart"/>
      <w:r w:rsidRPr="00E0378B">
        <w:rPr>
          <w:rFonts w:ascii="Book Antiqua" w:eastAsia="Book Antiqua" w:hAnsi="Book Antiqua" w:cs="Book Antiqua"/>
          <w:color w:val="000000"/>
          <w:shd w:val="clear" w:color="auto" w:fill="FFFFFF"/>
        </w:rPr>
        <w:t>women</w:t>
      </w:r>
      <w:r w:rsidR="000E3549" w:rsidRPr="00E0378B">
        <w:rPr>
          <w:rFonts w:ascii="Book Antiqua" w:eastAsia="Book Antiqua" w:hAnsi="Book Antiqua" w:cs="Book Antiqua"/>
          <w:color w:val="000000"/>
          <w:shd w:val="clear" w:color="auto" w:fill="FFFFFF"/>
          <w:vertAlign w:val="superscript"/>
        </w:rPr>
        <w:t>[</w:t>
      </w:r>
      <w:proofErr w:type="gramEnd"/>
      <w:r w:rsidRPr="00E0378B">
        <w:rPr>
          <w:rFonts w:ascii="Book Antiqua" w:eastAsia="Book Antiqua" w:hAnsi="Book Antiqua" w:cs="Book Antiqua"/>
          <w:color w:val="000000"/>
          <w:shd w:val="clear" w:color="auto" w:fill="FFFFFF"/>
          <w:vertAlign w:val="superscript"/>
        </w:rPr>
        <w:t>12]</w:t>
      </w:r>
      <w:r w:rsidRPr="00E0378B">
        <w:rPr>
          <w:rFonts w:ascii="Book Antiqua" w:eastAsia="Book Antiqua" w:hAnsi="Book Antiqua" w:cs="Book Antiqua"/>
          <w:color w:val="000000"/>
          <w:shd w:val="clear" w:color="auto" w:fill="FFFFFF"/>
        </w:rPr>
        <w:t>. Women are also less likely to receive guideline-directed medical therapies or undergo timely pharmacological and mechanical reperfusion, as well as other invasive procedures</w:t>
      </w:r>
      <w:r w:rsidRPr="00E0378B">
        <w:rPr>
          <w:rFonts w:ascii="Book Antiqua" w:eastAsia="Book Antiqua" w:hAnsi="Book Antiqua" w:cs="Book Antiqua"/>
          <w:color w:val="000000"/>
          <w:shd w:val="clear" w:color="auto" w:fill="FFFFFF"/>
          <w:vertAlign w:val="superscript"/>
        </w:rPr>
        <w:t>[10,13]</w:t>
      </w:r>
      <w:r w:rsidRPr="00E0378B">
        <w:rPr>
          <w:rFonts w:ascii="Book Antiqua" w:eastAsia="Book Antiqua" w:hAnsi="Book Antiqua" w:cs="Book Antiqua"/>
          <w:color w:val="000000"/>
          <w:shd w:val="clear" w:color="auto" w:fill="FFFFFF"/>
        </w:rPr>
        <w:t xml:space="preserve">. Consequently, women are at a higher risk </w:t>
      </w:r>
      <w:r w:rsidR="00B24F37">
        <w:rPr>
          <w:rFonts w:ascii="Book Antiqua" w:eastAsia="Book Antiqua" w:hAnsi="Book Antiqua" w:cs="Book Antiqua"/>
          <w:color w:val="000000"/>
          <w:shd w:val="clear" w:color="auto" w:fill="FFFFFF"/>
        </w:rPr>
        <w:t>of</w:t>
      </w:r>
      <w:r w:rsidRPr="00E0378B">
        <w:rPr>
          <w:rFonts w:ascii="Book Antiqua" w:eastAsia="Book Antiqua" w:hAnsi="Book Antiqua" w:cs="Book Antiqua"/>
          <w:color w:val="000000"/>
          <w:shd w:val="clear" w:color="auto" w:fill="FFFFFF"/>
        </w:rPr>
        <w:t xml:space="preserve"> AMI-related complications including cardiogenic shock and have a higher unadjusted </w:t>
      </w:r>
      <w:proofErr w:type="gramStart"/>
      <w:r w:rsidRPr="00E0378B">
        <w:rPr>
          <w:rFonts w:ascii="Book Antiqua" w:eastAsia="Book Antiqua" w:hAnsi="Book Antiqua" w:cs="Book Antiqua"/>
          <w:color w:val="000000"/>
          <w:shd w:val="clear" w:color="auto" w:fill="FFFFFF"/>
        </w:rPr>
        <w:t>mortality</w:t>
      </w:r>
      <w:r w:rsidRPr="00E0378B">
        <w:rPr>
          <w:rFonts w:ascii="Book Antiqua" w:eastAsia="Book Antiqua" w:hAnsi="Book Antiqua" w:cs="Book Antiqua"/>
          <w:color w:val="000000"/>
          <w:shd w:val="clear" w:color="auto" w:fill="FFFFFF"/>
          <w:vertAlign w:val="superscript"/>
        </w:rPr>
        <w:t>[</w:t>
      </w:r>
      <w:proofErr w:type="gramEnd"/>
      <w:r w:rsidRPr="00E0378B">
        <w:rPr>
          <w:rFonts w:ascii="Book Antiqua" w:eastAsia="Book Antiqua" w:hAnsi="Book Antiqua" w:cs="Book Antiqua"/>
          <w:color w:val="000000"/>
          <w:shd w:val="clear" w:color="auto" w:fill="FFFFFF"/>
          <w:vertAlign w:val="superscript"/>
        </w:rPr>
        <w:t>10]</w:t>
      </w:r>
      <w:r w:rsidRPr="00E0378B">
        <w:rPr>
          <w:rFonts w:ascii="Book Antiqua" w:eastAsia="Book Antiqua" w:hAnsi="Book Antiqua" w:cs="Book Antiqua"/>
          <w:color w:val="000000"/>
          <w:shd w:val="clear" w:color="auto" w:fill="FFFFFF"/>
        </w:rPr>
        <w:t xml:space="preserve">. Indeed, some </w:t>
      </w:r>
      <w:r w:rsidRPr="00E0378B">
        <w:rPr>
          <w:rFonts w:ascii="Book Antiqua" w:eastAsia="Book Antiqua" w:hAnsi="Book Antiqua" w:cs="Book Antiqua"/>
          <w:color w:val="000000"/>
          <w:shd w:val="clear" w:color="auto" w:fill="FFFFFF"/>
        </w:rPr>
        <w:lastRenderedPageBreak/>
        <w:t xml:space="preserve">studies </w:t>
      </w:r>
      <w:r w:rsidR="00B24F37">
        <w:rPr>
          <w:rFonts w:ascii="Book Antiqua" w:eastAsia="Book Antiqua" w:hAnsi="Book Antiqua" w:cs="Book Antiqua"/>
          <w:color w:val="000000"/>
          <w:shd w:val="clear" w:color="auto" w:fill="FFFFFF"/>
        </w:rPr>
        <w:t xml:space="preserve">have </w:t>
      </w:r>
      <w:r w:rsidRPr="00E0378B">
        <w:rPr>
          <w:rFonts w:ascii="Book Antiqua" w:eastAsia="Book Antiqua" w:hAnsi="Book Antiqua" w:cs="Book Antiqua"/>
          <w:color w:val="000000"/>
          <w:shd w:val="clear" w:color="auto" w:fill="FFFFFF"/>
        </w:rPr>
        <w:t xml:space="preserve">indicated that female sex does not confer an additional risk </w:t>
      </w:r>
      <w:r w:rsidR="00B24F37">
        <w:rPr>
          <w:rFonts w:ascii="Book Antiqua" w:eastAsia="Book Antiqua" w:hAnsi="Book Antiqua" w:cs="Book Antiqua"/>
          <w:color w:val="000000"/>
          <w:shd w:val="clear" w:color="auto" w:fill="FFFFFF"/>
        </w:rPr>
        <w:t>of</w:t>
      </w:r>
      <w:r w:rsidR="00B24F37" w:rsidRPr="00E0378B">
        <w:rPr>
          <w:rFonts w:ascii="Book Antiqua" w:eastAsia="Book Antiqua" w:hAnsi="Book Antiqua" w:cs="Book Antiqua"/>
          <w:color w:val="000000"/>
          <w:shd w:val="clear" w:color="auto" w:fill="FFFFFF"/>
        </w:rPr>
        <w:t xml:space="preserve"> </w:t>
      </w:r>
      <w:r w:rsidRPr="00E0378B">
        <w:rPr>
          <w:rFonts w:ascii="Book Antiqua" w:eastAsia="Book Antiqua" w:hAnsi="Book Antiqua" w:cs="Book Antiqua"/>
          <w:color w:val="000000"/>
          <w:shd w:val="clear" w:color="auto" w:fill="FFFFFF"/>
        </w:rPr>
        <w:t xml:space="preserve">mortality after accounting for the differences in </w:t>
      </w:r>
      <w:proofErr w:type="gramStart"/>
      <w:r w:rsidRPr="00E0378B">
        <w:rPr>
          <w:rFonts w:ascii="Book Antiqua" w:eastAsia="Book Antiqua" w:hAnsi="Book Antiqua" w:cs="Book Antiqua"/>
          <w:color w:val="000000"/>
          <w:shd w:val="clear" w:color="auto" w:fill="FFFFFF"/>
        </w:rPr>
        <w:t>revascularization</w:t>
      </w:r>
      <w:r w:rsidR="000E3549" w:rsidRPr="00E0378B">
        <w:rPr>
          <w:rFonts w:ascii="Book Antiqua" w:eastAsia="Book Antiqua" w:hAnsi="Book Antiqua" w:cs="Book Antiqua"/>
          <w:color w:val="000000"/>
          <w:shd w:val="clear" w:color="auto" w:fill="FFFFFF"/>
          <w:vertAlign w:val="superscript"/>
        </w:rPr>
        <w:t>[</w:t>
      </w:r>
      <w:proofErr w:type="gramEnd"/>
      <w:r w:rsidRPr="00E0378B">
        <w:rPr>
          <w:rFonts w:ascii="Book Antiqua" w:eastAsia="Book Antiqua" w:hAnsi="Book Antiqua" w:cs="Book Antiqua"/>
          <w:color w:val="000000"/>
          <w:shd w:val="clear" w:color="auto" w:fill="FFFFFF"/>
          <w:vertAlign w:val="superscript"/>
        </w:rPr>
        <w:t>14]</w:t>
      </w:r>
      <w:r w:rsidRPr="00E0378B">
        <w:rPr>
          <w:rFonts w:ascii="Book Antiqua" w:eastAsia="Book Antiqua" w:hAnsi="Book Antiqua" w:cs="Book Antiqua"/>
          <w:color w:val="000000"/>
          <w:shd w:val="clear" w:color="auto" w:fill="FFFFFF"/>
        </w:rPr>
        <w:t>.</w:t>
      </w:r>
    </w:p>
    <w:p w14:paraId="123B41F2" w14:textId="77777777" w:rsidR="007624E7" w:rsidRPr="00E0378B" w:rsidRDefault="007624E7" w:rsidP="00E0378B">
      <w:pPr>
        <w:adjustRightInd w:val="0"/>
        <w:snapToGrid w:val="0"/>
        <w:spacing w:line="360" w:lineRule="auto"/>
        <w:jc w:val="both"/>
        <w:rPr>
          <w:rFonts w:ascii="Book Antiqua" w:hAnsi="Book Antiqua"/>
        </w:rPr>
      </w:pPr>
    </w:p>
    <w:p w14:paraId="065D955E" w14:textId="4454BB59"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aps/>
          <w:color w:val="000000"/>
          <w:u w:val="single"/>
        </w:rPr>
        <w:t>Sex differences in the prevalence and presentation</w:t>
      </w:r>
    </w:p>
    <w:p w14:paraId="4F37F051" w14:textId="02481DF9"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 xml:space="preserve">Some studies </w:t>
      </w:r>
      <w:r w:rsidR="00B24F37">
        <w:rPr>
          <w:rFonts w:ascii="Book Antiqua" w:eastAsia="Book Antiqua" w:hAnsi="Book Antiqua" w:cs="Book Antiqua"/>
          <w:color w:val="000000"/>
        </w:rPr>
        <w:t xml:space="preserve">have </w:t>
      </w:r>
      <w:r w:rsidRPr="00E0378B">
        <w:rPr>
          <w:rFonts w:ascii="Book Antiqua" w:eastAsia="Book Antiqua" w:hAnsi="Book Antiqua" w:cs="Book Antiqua"/>
          <w:color w:val="000000"/>
        </w:rPr>
        <w:t>suggested that cardiogenic shock in the setting of AMI occurs more frequently among women</w:t>
      </w:r>
      <w:r w:rsidRPr="00E0378B">
        <w:rPr>
          <w:rFonts w:ascii="Book Antiqua" w:eastAsia="Book Antiqua" w:hAnsi="Book Antiqua" w:cs="Book Antiqua"/>
          <w:color w:val="000000"/>
          <w:vertAlign w:val="superscript"/>
        </w:rPr>
        <w:t>[9,15,16]</w:t>
      </w:r>
      <w:r w:rsidRPr="00E0378B">
        <w:rPr>
          <w:rFonts w:ascii="Book Antiqua" w:eastAsia="Book Antiqua" w:hAnsi="Book Antiqua" w:cs="Book Antiqua"/>
          <w:color w:val="000000"/>
        </w:rPr>
        <w:t>. For example, data from the French Registry of acute ST-elevation or</w:t>
      </w:r>
      <w:r w:rsidRPr="00E0378B">
        <w:rPr>
          <w:rFonts w:ascii="Book Antiqua" w:eastAsia="SimSun" w:hAnsi="Book Antiqua" w:cs="Book Antiqua"/>
          <w:color w:val="000000"/>
          <w:lang w:eastAsia="zh-CN"/>
        </w:rPr>
        <w:t xml:space="preserve"> </w:t>
      </w:r>
      <w:r w:rsidRPr="00E0378B">
        <w:rPr>
          <w:rFonts w:ascii="Book Antiqua" w:eastAsia="Book Antiqua" w:hAnsi="Book Antiqua" w:cs="Book Antiqua"/>
          <w:color w:val="000000"/>
        </w:rPr>
        <w:t>non-ST-elevation myocardial infarction</w:t>
      </w:r>
      <w:r w:rsidRPr="00E0378B">
        <w:rPr>
          <w:rFonts w:ascii="Book Antiqua" w:eastAsia="SimSun" w:hAnsi="Book Antiqua" w:cs="Book Antiqua"/>
          <w:color w:val="000000"/>
          <w:lang w:eastAsia="zh-CN"/>
        </w:rPr>
        <w:t xml:space="preserve"> </w:t>
      </w:r>
      <w:r w:rsidRPr="00E0378B">
        <w:rPr>
          <w:rFonts w:ascii="Book Antiqua" w:eastAsia="Book Antiqua" w:hAnsi="Book Antiqua" w:cs="Book Antiqua"/>
          <w:color w:val="000000"/>
        </w:rPr>
        <w:t>(FAST-MI), that included &gt;</w:t>
      </w:r>
      <w:r w:rsidRPr="00E0378B">
        <w:rPr>
          <w:rFonts w:ascii="Book Antiqua" w:eastAsia="SimSun" w:hAnsi="Book Antiqua" w:cs="Book Antiqua"/>
          <w:color w:val="000000"/>
          <w:lang w:eastAsia="zh-CN"/>
        </w:rPr>
        <w:t xml:space="preserve"> </w:t>
      </w:r>
      <w:r w:rsidRPr="00E0378B">
        <w:rPr>
          <w:rFonts w:ascii="Book Antiqua" w:eastAsia="Book Antiqua" w:hAnsi="Book Antiqua" w:cs="Book Antiqua"/>
          <w:color w:val="000000"/>
        </w:rPr>
        <w:t xml:space="preserve">10000 patients between 1995 and 2010, showed that the rate of cardiogenic shock was significantly higher among women compared with men (8.2% </w:t>
      </w:r>
      <w:r w:rsidRPr="00E0378B">
        <w:rPr>
          <w:rFonts w:ascii="Book Antiqua" w:eastAsia="Book Antiqua" w:hAnsi="Book Antiqua" w:cs="Book Antiqua"/>
          <w:i/>
          <w:iCs/>
          <w:color w:val="000000"/>
        </w:rPr>
        <w:t>vs</w:t>
      </w:r>
      <w:r w:rsidRPr="00E0378B">
        <w:rPr>
          <w:rFonts w:ascii="Book Antiqua" w:eastAsia="Book Antiqua" w:hAnsi="Book Antiqua" w:cs="Book Antiqua"/>
          <w:color w:val="000000"/>
        </w:rPr>
        <w:t xml:space="preserve"> 4.8%</w:t>
      </w:r>
      <w:r w:rsidR="00B24F37">
        <w:rPr>
          <w:rFonts w:ascii="Book Antiqua" w:eastAsia="Book Antiqua" w:hAnsi="Book Antiqua" w:cs="Book Antiqua"/>
          <w:color w:val="000000"/>
        </w:rPr>
        <w:t>;</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i/>
          <w:iCs/>
          <w:color w:val="000000"/>
        </w:rPr>
        <w:t>P</w:t>
      </w:r>
      <w:r w:rsidRPr="00E0378B">
        <w:rPr>
          <w:rFonts w:ascii="Book Antiqua" w:eastAsia="SimSun" w:hAnsi="Book Antiqua" w:cs="Book Antiqua"/>
          <w:color w:val="000000"/>
          <w:lang w:eastAsia="zh-CN"/>
        </w:rPr>
        <w:t xml:space="preserve"> </w:t>
      </w:r>
      <w:r w:rsidRPr="00E0378B">
        <w:rPr>
          <w:rFonts w:ascii="Book Antiqua" w:eastAsia="Book Antiqua" w:hAnsi="Book Antiqua" w:cs="Book Antiqua"/>
          <w:color w:val="000000"/>
        </w:rPr>
        <w:t>&lt;</w:t>
      </w:r>
      <w:r w:rsidRPr="00E0378B">
        <w:rPr>
          <w:rFonts w:ascii="Book Antiqua" w:eastAsia="SimSun" w:hAnsi="Book Antiqua" w:cs="Book Antiqua"/>
          <w:color w:val="000000"/>
          <w:lang w:eastAsia="zh-CN"/>
        </w:rPr>
        <w:t xml:space="preserve"> </w:t>
      </w:r>
      <w:proofErr w:type="gramStart"/>
      <w:r w:rsidRPr="00E0378B">
        <w:rPr>
          <w:rFonts w:ascii="Book Antiqua" w:eastAsia="Book Antiqua" w:hAnsi="Book Antiqua" w:cs="Book Antiqua"/>
          <w:color w:val="000000"/>
        </w:rPr>
        <w:t>0.001)</w:t>
      </w:r>
      <w:r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vertAlign w:val="superscript"/>
        </w:rPr>
        <w:t>9]</w:t>
      </w:r>
      <w:r w:rsidRPr="00E0378B">
        <w:rPr>
          <w:rFonts w:ascii="Book Antiqua" w:eastAsia="Book Antiqua" w:hAnsi="Book Antiqua" w:cs="Book Antiqua"/>
          <w:color w:val="000000"/>
        </w:rPr>
        <w:t xml:space="preserve">. Female sex was independently associated with an increased risk of developing cardiogenic shock after adjusting for age, type of AMI, and other baseline characteristics </w:t>
      </w:r>
      <w:r w:rsidR="00B24F37">
        <w:rPr>
          <w:rFonts w:ascii="Book Antiqua" w:eastAsia="Book Antiqua" w:hAnsi="Book Antiqua" w:cs="Book Antiqua"/>
          <w:color w:val="000000"/>
        </w:rPr>
        <w:t>(</w:t>
      </w:r>
      <w:r w:rsidRPr="00E0378B">
        <w:rPr>
          <w:rFonts w:ascii="Book Antiqua" w:eastAsia="Book Antiqua" w:hAnsi="Book Antiqua" w:cs="Book Antiqua"/>
          <w:color w:val="000000"/>
        </w:rPr>
        <w:t xml:space="preserve">odds ratio </w:t>
      </w:r>
      <w:r w:rsidR="00B24F37">
        <w:rPr>
          <w:rFonts w:ascii="Book Antiqua" w:eastAsia="Book Antiqua" w:hAnsi="Book Antiqua" w:cs="Book Antiqua"/>
          <w:color w:val="000000"/>
        </w:rPr>
        <w:t>[</w:t>
      </w:r>
      <w:r w:rsidRPr="00E0378B">
        <w:rPr>
          <w:rFonts w:ascii="Book Antiqua" w:eastAsia="Book Antiqua" w:hAnsi="Book Antiqua" w:cs="Book Antiqua"/>
          <w:color w:val="000000"/>
        </w:rPr>
        <w:t>OR</w:t>
      </w:r>
      <w:r w:rsidR="00B24F37">
        <w:rPr>
          <w:rFonts w:ascii="Book Antiqua" w:eastAsia="Book Antiqua" w:hAnsi="Book Antiqua" w:cs="Book Antiqua"/>
          <w:color w:val="000000"/>
        </w:rPr>
        <w:t>]</w:t>
      </w:r>
      <w:r w:rsidRPr="00E0378B">
        <w:rPr>
          <w:rFonts w:ascii="Book Antiqua" w:eastAsia="Book Antiqua" w:hAnsi="Book Antiqua" w:cs="Book Antiqua"/>
          <w:color w:val="000000"/>
        </w:rPr>
        <w:t xml:space="preserve"> 1.20, 95% confidence interval </w:t>
      </w:r>
      <w:r w:rsidR="00B24F37">
        <w:rPr>
          <w:rFonts w:ascii="Book Antiqua" w:eastAsia="Book Antiqua" w:hAnsi="Book Antiqua" w:cs="Book Antiqua"/>
          <w:color w:val="000000"/>
        </w:rPr>
        <w:t>[</w:t>
      </w:r>
      <w:r w:rsidRPr="00E0378B">
        <w:rPr>
          <w:rFonts w:ascii="Book Antiqua" w:eastAsia="Book Antiqua" w:hAnsi="Book Antiqua" w:cs="Book Antiqua"/>
          <w:color w:val="000000"/>
        </w:rPr>
        <w:t>CI</w:t>
      </w:r>
      <w:r w:rsidR="00B24F37">
        <w:rPr>
          <w:rFonts w:ascii="Book Antiqua" w:eastAsia="Book Antiqua" w:hAnsi="Book Antiqua" w:cs="Book Antiqua"/>
          <w:color w:val="000000"/>
        </w:rPr>
        <w:t>]</w:t>
      </w:r>
      <w:r w:rsidR="00CF5A1D">
        <w:rPr>
          <w:rFonts w:ascii="Book Antiqua" w:eastAsia="Book Antiqua" w:hAnsi="Book Antiqua" w:cs="Book Antiqua"/>
          <w:color w:val="000000"/>
        </w:rPr>
        <w:t>:</w:t>
      </w:r>
      <w:r w:rsidRPr="00E0378B">
        <w:rPr>
          <w:rFonts w:ascii="Book Antiqua" w:eastAsia="Book Antiqua" w:hAnsi="Book Antiqua" w:cs="Book Antiqua"/>
          <w:color w:val="000000"/>
        </w:rPr>
        <w:t xml:space="preserve"> 1.00-1.45</w:t>
      </w:r>
      <w:r w:rsidR="00B24F37">
        <w:rPr>
          <w:rFonts w:ascii="Book Antiqua" w:eastAsia="Book Antiqua" w:hAnsi="Book Antiqua" w:cs="Book Antiqua"/>
          <w:color w:val="000000"/>
        </w:rPr>
        <w:t>;</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i/>
          <w:iCs/>
          <w:color w:val="000000"/>
        </w:rPr>
        <w:t>P</w:t>
      </w:r>
      <w:r w:rsidRPr="00E0378B">
        <w:rPr>
          <w:rFonts w:ascii="Book Antiqua" w:eastAsia="SimSun" w:hAnsi="Book Antiqua" w:cs="Book Antiqua"/>
          <w:color w:val="000000"/>
          <w:lang w:eastAsia="zh-CN"/>
        </w:rPr>
        <w:t xml:space="preserve"> </w:t>
      </w:r>
      <w:r w:rsidRPr="00E0378B">
        <w:rPr>
          <w:rFonts w:ascii="Book Antiqua" w:eastAsia="Book Antiqua" w:hAnsi="Book Antiqua" w:cs="Book Antiqua"/>
          <w:color w:val="000000"/>
        </w:rPr>
        <w:t>&lt;</w:t>
      </w:r>
      <w:r w:rsidRPr="00E0378B">
        <w:rPr>
          <w:rFonts w:ascii="Book Antiqua" w:eastAsia="SimSun" w:hAnsi="Book Antiqua" w:cs="Book Antiqua"/>
          <w:color w:val="000000"/>
          <w:lang w:eastAsia="zh-CN"/>
        </w:rPr>
        <w:t xml:space="preserve"> </w:t>
      </w:r>
      <w:r w:rsidRPr="00E0378B">
        <w:rPr>
          <w:rFonts w:ascii="Book Antiqua" w:eastAsia="Book Antiqua" w:hAnsi="Book Antiqua" w:cs="Book Antiqua"/>
          <w:color w:val="000000"/>
        </w:rPr>
        <w:t>0.05</w:t>
      </w:r>
      <w:r w:rsidR="009E0BA8" w:rsidRPr="00E0378B">
        <w:rPr>
          <w:rFonts w:ascii="Book Antiqua" w:eastAsia="Book Antiqua" w:hAnsi="Book Antiqua" w:cs="Book Antiqua"/>
          <w:color w:val="000000"/>
        </w:rPr>
        <w:t>]</w:t>
      </w:r>
      <w:r w:rsidR="000E3549" w:rsidRPr="00E0378B">
        <w:rPr>
          <w:rFonts w:ascii="Book Antiqua" w:eastAsia="Book Antiqua" w:hAnsi="Book Antiqua" w:cs="Book Antiqua"/>
          <w:color w:val="000000"/>
          <w:vertAlign w:val="superscript"/>
        </w:rPr>
        <w:t>[</w:t>
      </w:r>
      <w:r w:rsidRPr="00E0378B">
        <w:rPr>
          <w:rFonts w:ascii="Book Antiqua" w:eastAsia="Book Antiqua" w:hAnsi="Book Antiqua" w:cs="Book Antiqua"/>
          <w:color w:val="000000"/>
          <w:vertAlign w:val="superscript"/>
        </w:rPr>
        <w:t>9]</w:t>
      </w:r>
      <w:r w:rsidRPr="00E0378B">
        <w:rPr>
          <w:rFonts w:ascii="Book Antiqua" w:eastAsia="Book Antiqua" w:hAnsi="Book Antiqua" w:cs="Book Antiqua"/>
          <w:color w:val="000000"/>
          <w:shd w:val="clear" w:color="auto" w:fill="FFFFFF"/>
        </w:rPr>
        <w:t>. D</w:t>
      </w:r>
      <w:r w:rsidRPr="00E0378B">
        <w:rPr>
          <w:rFonts w:ascii="Book Antiqua" w:eastAsia="Book Antiqua" w:hAnsi="Book Antiqua" w:cs="Book Antiqua"/>
          <w:color w:val="000000"/>
          <w:shd w:val="clear" w:color="auto" w:fill="FCFCFC"/>
        </w:rPr>
        <w:t xml:space="preserve">ata from a prospective registry in Germany, </w:t>
      </w:r>
      <w:r w:rsidRPr="00E0378B">
        <w:rPr>
          <w:rFonts w:ascii="Book Antiqua" w:eastAsia="Book Antiqua" w:hAnsi="Book Antiqua" w:cs="Book Antiqua"/>
          <w:color w:val="000000"/>
        </w:rPr>
        <w:t xml:space="preserve">The Maximal Individual Therapy of Acute Myocardial Infarction PLUS registry, that included 36643 patients </w:t>
      </w:r>
      <w:r w:rsidR="005F07FC" w:rsidRPr="00E0378B">
        <w:rPr>
          <w:rFonts w:ascii="Book Antiqua" w:eastAsia="Book Antiqua" w:hAnsi="Book Antiqua" w:cs="Book Antiqua"/>
          <w:color w:val="000000"/>
        </w:rPr>
        <w:t xml:space="preserve">with ST elevation myocardial infarction </w:t>
      </w:r>
      <w:r w:rsidRPr="00E0378B">
        <w:rPr>
          <w:rFonts w:ascii="Book Antiqua" w:eastAsia="Book Antiqua" w:hAnsi="Book Antiqua" w:cs="Book Antiqua"/>
          <w:color w:val="000000"/>
        </w:rPr>
        <w:t xml:space="preserve">also showed that </w:t>
      </w:r>
      <w:r w:rsidR="005F07FC" w:rsidRPr="00E0378B">
        <w:rPr>
          <w:rFonts w:ascii="Book Antiqua" w:eastAsia="Book Antiqua" w:hAnsi="Book Antiqua" w:cs="Book Antiqua"/>
          <w:color w:val="000000"/>
        </w:rPr>
        <w:t>women are more likely to develop</w:t>
      </w:r>
      <w:r w:rsidRPr="00E0378B">
        <w:rPr>
          <w:rFonts w:ascii="Book Antiqua" w:eastAsia="Book Antiqua" w:hAnsi="Book Antiqua" w:cs="Book Antiqua"/>
          <w:color w:val="000000"/>
        </w:rPr>
        <w:t xml:space="preserve"> cardiogenic shock (12.9% </w:t>
      </w:r>
      <w:r w:rsidRPr="00E0378B">
        <w:rPr>
          <w:rFonts w:ascii="Book Antiqua" w:eastAsia="Book Antiqua" w:hAnsi="Book Antiqua" w:cs="Book Antiqua"/>
          <w:i/>
          <w:iCs/>
          <w:color w:val="000000"/>
        </w:rPr>
        <w:t>vs</w:t>
      </w:r>
      <w:r w:rsidRPr="00E0378B">
        <w:rPr>
          <w:rFonts w:ascii="Book Antiqua" w:eastAsia="Book Antiqua" w:hAnsi="Book Antiqua" w:cs="Book Antiqua"/>
          <w:color w:val="000000"/>
        </w:rPr>
        <w:t xml:space="preserve"> 9.3%</w:t>
      </w:r>
      <w:r w:rsidR="00605376">
        <w:rPr>
          <w:rFonts w:ascii="Book Antiqua" w:eastAsia="Book Antiqua" w:hAnsi="Book Antiqua" w:cs="Book Antiqua"/>
          <w:color w:val="000000"/>
        </w:rPr>
        <w:t>;</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i/>
          <w:iCs/>
          <w:color w:val="000000"/>
        </w:rPr>
        <w:t>P</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color w:val="000000"/>
        </w:rPr>
        <w:t>&lt;</w:t>
      </w:r>
      <w:r w:rsidRPr="00E0378B">
        <w:rPr>
          <w:rFonts w:ascii="Book Antiqua" w:eastAsia="SimSun" w:hAnsi="Book Antiqua" w:cs="Book Antiqua"/>
          <w:color w:val="000000"/>
          <w:lang w:eastAsia="zh-CN"/>
        </w:rPr>
        <w:t xml:space="preserve"> </w:t>
      </w:r>
      <w:r w:rsidRPr="00E0378B">
        <w:rPr>
          <w:rFonts w:ascii="Book Antiqua" w:eastAsia="Book Antiqua" w:hAnsi="Book Antiqua" w:cs="Book Antiqua"/>
          <w:color w:val="000000"/>
        </w:rPr>
        <w:t>0.001), even after adjusting for other confounding variables (OR 1.19, 95%CI</w:t>
      </w:r>
      <w:r w:rsidR="00CF5A1D">
        <w:rPr>
          <w:rFonts w:ascii="Book Antiqua" w:eastAsia="Book Antiqua" w:hAnsi="Book Antiqua" w:cs="Book Antiqua"/>
          <w:color w:val="000000"/>
        </w:rPr>
        <w:t>:</w:t>
      </w:r>
      <w:r w:rsidRPr="00E0378B">
        <w:rPr>
          <w:rFonts w:ascii="Book Antiqua" w:eastAsia="Book Antiqua" w:hAnsi="Book Antiqua" w:cs="Book Antiqua"/>
          <w:color w:val="000000"/>
        </w:rPr>
        <w:t xml:space="preserve"> 1.09</w:t>
      </w:r>
      <w:r w:rsidR="00CF5A1D">
        <w:rPr>
          <w:rFonts w:ascii="Book Antiqua" w:eastAsia="Book Antiqua" w:hAnsi="Book Antiqua" w:cs="Book Antiqua"/>
          <w:color w:val="000000"/>
        </w:rPr>
        <w:t>-</w:t>
      </w:r>
      <w:r w:rsidRPr="00E0378B">
        <w:rPr>
          <w:rFonts w:ascii="Book Antiqua" w:eastAsia="Book Antiqua" w:hAnsi="Book Antiqua" w:cs="Book Antiqua"/>
          <w:color w:val="000000"/>
        </w:rPr>
        <w:t>1.</w:t>
      </w:r>
      <w:proofErr w:type="gramStart"/>
      <w:r w:rsidRPr="00E0378B">
        <w:rPr>
          <w:rFonts w:ascii="Book Antiqua" w:eastAsia="Book Antiqua" w:hAnsi="Book Antiqua" w:cs="Book Antiqua"/>
          <w:color w:val="000000"/>
        </w:rPr>
        <w:t>30)</w:t>
      </w:r>
      <w:r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vertAlign w:val="superscript"/>
        </w:rPr>
        <w:t>15]</w:t>
      </w:r>
      <w:r w:rsidRPr="00E0378B">
        <w:rPr>
          <w:rFonts w:ascii="Book Antiqua" w:eastAsia="Book Antiqua" w:hAnsi="Book Antiqua" w:cs="Book Antiqua"/>
          <w:color w:val="000000"/>
        </w:rPr>
        <w:t>.</w:t>
      </w:r>
      <w:r w:rsidRPr="00E0378B">
        <w:rPr>
          <w:rFonts w:ascii="Book Antiqua" w:eastAsia="SimSun" w:hAnsi="Book Antiqua" w:cs="Book Antiqua"/>
          <w:color w:val="000000"/>
          <w:lang w:eastAsia="zh-CN"/>
        </w:rPr>
        <w:t xml:space="preserve"> </w:t>
      </w:r>
      <w:r w:rsidRPr="00E0378B">
        <w:rPr>
          <w:rFonts w:ascii="Book Antiqua" w:eastAsia="Book Antiqua" w:hAnsi="Book Antiqua" w:cs="Book Antiqua"/>
          <w:color w:val="000000"/>
        </w:rPr>
        <w:t xml:space="preserve">Another study </w:t>
      </w:r>
      <w:r w:rsidR="00B24F37">
        <w:rPr>
          <w:rFonts w:ascii="Book Antiqua" w:eastAsia="Book Antiqua" w:hAnsi="Book Antiqua" w:cs="Book Antiqua"/>
          <w:color w:val="000000"/>
        </w:rPr>
        <w:t>that</w:t>
      </w:r>
      <w:r w:rsidR="00B24F37" w:rsidRPr="00E0378B">
        <w:rPr>
          <w:rFonts w:ascii="Book Antiqua" w:eastAsia="Book Antiqua" w:hAnsi="Book Antiqua" w:cs="Book Antiqua"/>
          <w:color w:val="000000"/>
        </w:rPr>
        <w:t xml:space="preserve"> </w:t>
      </w:r>
      <w:r w:rsidRPr="00E0378B">
        <w:rPr>
          <w:rFonts w:ascii="Book Antiqua" w:eastAsia="Book Antiqua" w:hAnsi="Book Antiqua" w:cs="Book Antiqua"/>
          <w:color w:val="000000"/>
        </w:rPr>
        <w:t xml:space="preserve">examined </w:t>
      </w:r>
      <w:r w:rsidRPr="00E0378B">
        <w:rPr>
          <w:rFonts w:ascii="Book Antiqua" w:eastAsia="Book Antiqua" w:hAnsi="Book Antiqua" w:cs="Book Antiqua"/>
          <w:color w:val="000000"/>
          <w:shd w:val="clear" w:color="auto" w:fill="FFFFFF"/>
        </w:rPr>
        <w:t xml:space="preserve">9750 patients with cardiogenic shock in the setting of AMI between 1992 and 2008 from the Ontario Myocardial Infarction Database revealed that the rate of </w:t>
      </w:r>
      <w:r w:rsidRPr="00E0378B">
        <w:rPr>
          <w:rFonts w:ascii="Book Antiqua" w:eastAsia="Book Antiqua" w:hAnsi="Book Antiqua" w:cs="Book Antiqua"/>
          <w:color w:val="000000"/>
        </w:rPr>
        <w:t xml:space="preserve">cardiogenic shock </w:t>
      </w:r>
      <w:r w:rsidR="005F07FC" w:rsidRPr="00E0378B">
        <w:rPr>
          <w:rFonts w:ascii="Book Antiqua" w:eastAsia="Book Antiqua" w:hAnsi="Book Antiqua" w:cs="Book Antiqua"/>
          <w:color w:val="000000"/>
        </w:rPr>
        <w:t xml:space="preserve">was also higher </w:t>
      </w:r>
      <w:r w:rsidRPr="00E0378B">
        <w:rPr>
          <w:rFonts w:ascii="Book Antiqua" w:eastAsia="Book Antiqua" w:hAnsi="Book Antiqua" w:cs="Book Antiqua"/>
          <w:color w:val="000000"/>
          <w:shd w:val="clear" w:color="auto" w:fill="FFFFFF"/>
        </w:rPr>
        <w:t xml:space="preserve">among women (3.7% </w:t>
      </w:r>
      <w:r w:rsidR="009E0BA8" w:rsidRPr="00E0378B">
        <w:rPr>
          <w:rFonts w:ascii="Book Antiqua" w:eastAsia="Book Antiqua" w:hAnsi="Book Antiqua" w:cs="Book Antiqua"/>
          <w:i/>
          <w:color w:val="000000"/>
          <w:shd w:val="clear" w:color="auto" w:fill="FFFFFF"/>
        </w:rPr>
        <w:t>vs</w:t>
      </w:r>
      <w:r w:rsidRPr="00E0378B">
        <w:rPr>
          <w:rFonts w:ascii="Book Antiqua" w:eastAsia="Book Antiqua" w:hAnsi="Book Antiqua" w:cs="Book Antiqua"/>
          <w:color w:val="000000"/>
          <w:shd w:val="clear" w:color="auto" w:fill="FFFFFF"/>
        </w:rPr>
        <w:t xml:space="preserve"> 2.7%</w:t>
      </w:r>
      <w:r w:rsidR="00B24F37">
        <w:rPr>
          <w:rFonts w:ascii="Book Antiqua" w:eastAsia="Book Antiqua" w:hAnsi="Book Antiqua" w:cs="Book Antiqua"/>
          <w:color w:val="000000"/>
          <w:shd w:val="clear" w:color="auto" w:fill="FFFFFF"/>
        </w:rPr>
        <w:t>;</w:t>
      </w:r>
      <w:r w:rsidRPr="00E0378B">
        <w:rPr>
          <w:rFonts w:ascii="Book Antiqua" w:eastAsia="Book Antiqua" w:hAnsi="Book Antiqua" w:cs="Book Antiqua"/>
          <w:color w:val="000000"/>
          <w:shd w:val="clear" w:color="auto" w:fill="FFFFFF"/>
        </w:rPr>
        <w:t xml:space="preserve"> </w:t>
      </w:r>
      <w:r w:rsidR="009E0BA8" w:rsidRPr="00E0378B">
        <w:rPr>
          <w:rFonts w:ascii="Book Antiqua" w:eastAsia="Book Antiqua" w:hAnsi="Book Antiqua" w:cs="Book Antiqua"/>
          <w:i/>
          <w:iCs/>
          <w:color w:val="000000"/>
          <w:shd w:val="clear" w:color="auto" w:fill="FFFFFF"/>
        </w:rPr>
        <w:t>P</w:t>
      </w:r>
      <w:r w:rsidRPr="00E0378B">
        <w:rPr>
          <w:rFonts w:ascii="Book Antiqua" w:eastAsia="Book Antiqua" w:hAnsi="Book Antiqua" w:cs="Book Antiqua"/>
          <w:color w:val="000000"/>
          <w:shd w:val="clear" w:color="auto" w:fill="FFFFFF"/>
        </w:rPr>
        <w:t xml:space="preserve"> &lt; </w:t>
      </w:r>
      <w:proofErr w:type="gramStart"/>
      <w:r w:rsidRPr="00E0378B">
        <w:rPr>
          <w:rFonts w:ascii="Book Antiqua" w:eastAsia="Book Antiqua" w:hAnsi="Book Antiqua" w:cs="Book Antiqua"/>
          <w:color w:val="000000"/>
          <w:shd w:val="clear" w:color="auto" w:fill="FFFFFF"/>
        </w:rPr>
        <w:t>0.001)</w:t>
      </w:r>
      <w:r w:rsidR="000E3549" w:rsidRPr="00E0378B">
        <w:rPr>
          <w:rFonts w:ascii="Book Antiqua" w:eastAsia="Book Antiqua" w:hAnsi="Book Antiqua" w:cs="Book Antiqua"/>
          <w:color w:val="000000"/>
          <w:shd w:val="clear" w:color="auto" w:fill="FFFFFF"/>
          <w:vertAlign w:val="superscript"/>
        </w:rPr>
        <w:t>[</w:t>
      </w:r>
      <w:proofErr w:type="gramEnd"/>
      <w:r w:rsidRPr="00E0378B">
        <w:rPr>
          <w:rFonts w:ascii="Book Antiqua" w:eastAsia="Book Antiqua" w:hAnsi="Book Antiqua" w:cs="Book Antiqua"/>
          <w:color w:val="000000"/>
          <w:shd w:val="clear" w:color="auto" w:fill="FFFFFF"/>
          <w:vertAlign w:val="superscript"/>
        </w:rPr>
        <w:t>16]</w:t>
      </w:r>
      <w:r w:rsidRPr="00E0378B">
        <w:rPr>
          <w:rFonts w:ascii="Book Antiqua" w:eastAsia="Book Antiqua" w:hAnsi="Book Antiqua" w:cs="Book Antiqua"/>
          <w:color w:val="000000"/>
          <w:shd w:val="clear" w:color="auto" w:fill="FFFFFF"/>
        </w:rPr>
        <w:t xml:space="preserve">. </w:t>
      </w:r>
    </w:p>
    <w:p w14:paraId="300B43F8" w14:textId="23B28DC2" w:rsidR="007624E7" w:rsidRPr="00E0378B" w:rsidRDefault="005379C5" w:rsidP="00971D82">
      <w:pPr>
        <w:adjustRightInd w:val="0"/>
        <w:snapToGrid w:val="0"/>
        <w:spacing w:line="360" w:lineRule="auto"/>
        <w:ind w:firstLineChars="112" w:firstLine="269"/>
        <w:jc w:val="both"/>
        <w:rPr>
          <w:rFonts w:ascii="Book Antiqua" w:hAnsi="Book Antiqua"/>
        </w:rPr>
      </w:pPr>
      <w:r w:rsidRPr="00E0378B">
        <w:rPr>
          <w:rFonts w:ascii="Book Antiqua" w:eastAsia="Book Antiqua" w:hAnsi="Book Antiqua" w:cs="Book Antiqua"/>
          <w:color w:val="000000"/>
          <w:shd w:val="clear" w:color="auto" w:fill="FFFFFF"/>
        </w:rPr>
        <w:t xml:space="preserve">Similar to AMI without cardiogenic shock, women with cardiogenic shock tend to have a </w:t>
      </w:r>
      <w:r w:rsidR="00921874" w:rsidRPr="00E0378B">
        <w:rPr>
          <w:rFonts w:ascii="Book Antiqua" w:eastAsia="Book Antiqua" w:hAnsi="Book Antiqua" w:cs="Book Antiqua"/>
          <w:color w:val="000000"/>
          <w:shd w:val="clear" w:color="auto" w:fill="FFFFFF"/>
        </w:rPr>
        <w:t>higher</w:t>
      </w:r>
      <w:r w:rsidRPr="00E0378B">
        <w:rPr>
          <w:rFonts w:ascii="Book Antiqua" w:eastAsia="Book Antiqua" w:hAnsi="Book Antiqua" w:cs="Book Antiqua"/>
          <w:color w:val="000000"/>
        </w:rPr>
        <w:t xml:space="preserve"> cardiovascular risk profile than men. Women usually have a higher co-morbidity burden including hypertension, diabetes, hyperlipidemia, and metabolic syndrome</w:t>
      </w:r>
      <w:r w:rsidR="000E3549" w:rsidRPr="00E0378B">
        <w:rPr>
          <w:rFonts w:ascii="Book Antiqua" w:eastAsia="Book Antiqua" w:hAnsi="Book Antiqua" w:cs="Book Antiqua"/>
          <w:color w:val="000000"/>
          <w:vertAlign w:val="superscript"/>
        </w:rPr>
        <w:t>[</w:t>
      </w:r>
      <w:r w:rsidRPr="00E0378B">
        <w:rPr>
          <w:rFonts w:ascii="Book Antiqua" w:eastAsia="Book Antiqua" w:hAnsi="Book Antiqua" w:cs="Book Antiqua"/>
          <w:color w:val="000000"/>
          <w:vertAlign w:val="superscript"/>
        </w:rPr>
        <w:t>9,16]</w:t>
      </w:r>
      <w:r w:rsidRPr="00E0378B">
        <w:rPr>
          <w:rFonts w:ascii="Book Antiqua" w:eastAsia="Book Antiqua" w:hAnsi="Book Antiqua" w:cs="Book Antiqua"/>
          <w:color w:val="000000"/>
        </w:rPr>
        <w:t>. Women are less likely to have a history of prior MI, percutaneous coronary intervention (PCI) or coronary artery bypass graft</w:t>
      </w:r>
      <w:r w:rsidR="000E3549" w:rsidRPr="00E0378B">
        <w:rPr>
          <w:rFonts w:ascii="Book Antiqua" w:eastAsia="Book Antiqua" w:hAnsi="Book Antiqua" w:cs="Book Antiqua"/>
          <w:color w:val="000000"/>
          <w:vertAlign w:val="superscript"/>
        </w:rPr>
        <w:t>[</w:t>
      </w:r>
      <w:r w:rsidRPr="00E0378B">
        <w:rPr>
          <w:rFonts w:ascii="Book Antiqua" w:eastAsia="Book Antiqua" w:hAnsi="Book Antiqua" w:cs="Book Antiqua"/>
          <w:color w:val="000000"/>
          <w:vertAlign w:val="superscript"/>
        </w:rPr>
        <w:t>15]</w:t>
      </w:r>
      <w:r w:rsidRPr="00E0378B">
        <w:rPr>
          <w:rFonts w:ascii="Book Antiqua" w:eastAsia="Book Antiqua" w:hAnsi="Book Antiqua" w:cs="Book Antiqua"/>
          <w:color w:val="000000"/>
        </w:rPr>
        <w:t xml:space="preserve">. These findings have also been observed even among younger patients. </w:t>
      </w:r>
      <w:r w:rsidR="00921874" w:rsidRPr="00E0378B">
        <w:rPr>
          <w:rFonts w:ascii="Book Antiqua" w:eastAsia="Book Antiqua" w:hAnsi="Book Antiqua" w:cs="Book Antiqua"/>
          <w:color w:val="000000"/>
        </w:rPr>
        <w:t>An</w:t>
      </w:r>
      <w:r w:rsidRPr="00E0378B">
        <w:rPr>
          <w:rFonts w:ascii="Book Antiqua" w:eastAsia="Book Antiqua" w:hAnsi="Book Antiqua" w:cs="Book Antiqua"/>
          <w:color w:val="000000"/>
        </w:rPr>
        <w:t xml:space="preserve"> analysis of the National Inpatient Sample (NIS) (the largest inpatient administrative database in the United States) </w:t>
      </w:r>
      <w:r w:rsidRPr="00E0378B">
        <w:rPr>
          <w:rFonts w:ascii="Book Antiqua" w:eastAsia="Book Antiqua" w:hAnsi="Book Antiqua" w:cs="Book Antiqua"/>
          <w:color w:val="000000"/>
          <w:shd w:val="clear" w:color="auto" w:fill="FFFFFF"/>
        </w:rPr>
        <w:t>of AMI complicated by cardiogenic shock admissions aged 18-55 years, between 2000 to 2017,</w:t>
      </w:r>
      <w:r w:rsidRPr="00E0378B">
        <w:rPr>
          <w:rFonts w:ascii="Book Antiqua" w:eastAsia="SimSun" w:hAnsi="Book Antiqua" w:cs="Book Antiqua"/>
          <w:color w:val="000000"/>
          <w:shd w:val="clear" w:color="auto" w:fill="FFFFFF"/>
          <w:lang w:eastAsia="zh-CN"/>
        </w:rPr>
        <w:t xml:space="preserve"> </w:t>
      </w:r>
      <w:r w:rsidRPr="00E0378B">
        <w:rPr>
          <w:rFonts w:ascii="Book Antiqua" w:eastAsia="Book Antiqua" w:hAnsi="Book Antiqua" w:cs="Book Antiqua"/>
          <w:color w:val="000000"/>
          <w:shd w:val="clear" w:color="auto" w:fill="FFFFFF"/>
        </w:rPr>
        <w:t>found that y</w:t>
      </w:r>
      <w:r w:rsidRPr="00E0378B">
        <w:rPr>
          <w:rFonts w:ascii="Book Antiqua" w:eastAsia="Book Antiqua" w:hAnsi="Book Antiqua" w:cs="Book Antiqua"/>
          <w:color w:val="000000"/>
        </w:rPr>
        <w:t xml:space="preserve">ounger women also tend to have higher </w:t>
      </w:r>
      <w:r w:rsidR="00921874" w:rsidRPr="00E0378B">
        <w:rPr>
          <w:rFonts w:ascii="Book Antiqua" w:eastAsia="Book Antiqua" w:hAnsi="Book Antiqua" w:cs="Book Antiqua"/>
          <w:color w:val="000000"/>
        </w:rPr>
        <w:t xml:space="preserve">burden of </w:t>
      </w:r>
      <w:r w:rsidRPr="00E0378B">
        <w:rPr>
          <w:rFonts w:ascii="Book Antiqua" w:eastAsia="Book Antiqua" w:hAnsi="Book Antiqua" w:cs="Book Antiqua"/>
          <w:color w:val="000000"/>
        </w:rPr>
        <w:t>comorbidit</w:t>
      </w:r>
      <w:r w:rsidR="00921874" w:rsidRPr="00E0378B">
        <w:rPr>
          <w:rFonts w:ascii="Book Antiqua" w:eastAsia="Book Antiqua" w:hAnsi="Book Antiqua" w:cs="Book Antiqua"/>
          <w:color w:val="000000"/>
        </w:rPr>
        <w:t>ies</w:t>
      </w:r>
      <w:r w:rsidR="000E3549" w:rsidRPr="00E0378B">
        <w:rPr>
          <w:rFonts w:ascii="Book Antiqua" w:eastAsia="Book Antiqua" w:hAnsi="Book Antiqua" w:cs="Book Antiqua"/>
          <w:color w:val="000000"/>
          <w:shd w:val="clear" w:color="auto" w:fill="FFFFFF"/>
          <w:vertAlign w:val="superscript"/>
        </w:rPr>
        <w:t>[</w:t>
      </w:r>
      <w:r w:rsidRPr="00E0378B">
        <w:rPr>
          <w:rFonts w:ascii="Book Antiqua" w:eastAsia="Book Antiqua" w:hAnsi="Book Antiqua" w:cs="Book Antiqua"/>
          <w:color w:val="000000"/>
          <w:shd w:val="clear" w:color="auto" w:fill="FFFFFF"/>
          <w:vertAlign w:val="superscript"/>
        </w:rPr>
        <w:t>17]</w:t>
      </w:r>
      <w:r w:rsidRPr="00E0378B">
        <w:rPr>
          <w:rFonts w:ascii="Book Antiqua" w:eastAsia="Book Antiqua" w:hAnsi="Book Antiqua" w:cs="Book Antiqua"/>
          <w:color w:val="000000"/>
          <w:shd w:val="clear" w:color="auto" w:fill="FFFFFF"/>
        </w:rPr>
        <w:t xml:space="preserve">. </w:t>
      </w:r>
      <w:r w:rsidRPr="00E0378B">
        <w:rPr>
          <w:rFonts w:ascii="Book Antiqua" w:eastAsia="Book Antiqua" w:hAnsi="Book Antiqua" w:cs="Book Antiqua"/>
          <w:color w:val="000000"/>
        </w:rPr>
        <w:t>Table 1 summari</w:t>
      </w:r>
      <w:r w:rsidR="001F1465">
        <w:rPr>
          <w:rFonts w:ascii="Book Antiqua" w:eastAsia="Book Antiqua" w:hAnsi="Book Antiqua" w:cs="Book Antiqua"/>
          <w:color w:val="000000"/>
        </w:rPr>
        <w:t>zes</w:t>
      </w:r>
      <w:r w:rsidRPr="00E0378B">
        <w:rPr>
          <w:rFonts w:ascii="Book Antiqua" w:eastAsia="Book Antiqua" w:hAnsi="Book Antiqua" w:cs="Book Antiqua"/>
          <w:color w:val="000000"/>
        </w:rPr>
        <w:t xml:space="preserve"> the studies comparing the prevalence and risk profile between women and men.</w:t>
      </w:r>
    </w:p>
    <w:p w14:paraId="6E19A022" w14:textId="13F51D14"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aps/>
          <w:color w:val="000000"/>
          <w:u w:val="single"/>
        </w:rPr>
        <w:lastRenderedPageBreak/>
        <w:t>Sex disparity in management</w:t>
      </w:r>
    </w:p>
    <w:p w14:paraId="68212B5D" w14:textId="2087C450"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Timely reperfusion remains the cornerstone in the management of AMI complicated by cardiogenic shock</w:t>
      </w:r>
      <w:r w:rsidR="000E3549" w:rsidRPr="00E0378B">
        <w:rPr>
          <w:rFonts w:ascii="Book Antiqua" w:eastAsia="Book Antiqua" w:hAnsi="Book Antiqua" w:cs="Book Antiqua"/>
          <w:color w:val="000000"/>
          <w:vertAlign w:val="superscript"/>
        </w:rPr>
        <w:t>[</w:t>
      </w:r>
      <w:r w:rsidRPr="00E0378B">
        <w:rPr>
          <w:rFonts w:ascii="Book Antiqua" w:eastAsia="Book Antiqua" w:hAnsi="Book Antiqua" w:cs="Book Antiqua"/>
          <w:color w:val="000000"/>
          <w:vertAlign w:val="superscript"/>
        </w:rPr>
        <w:t>18]</w:t>
      </w:r>
      <w:r w:rsidRPr="00E0378B">
        <w:rPr>
          <w:rFonts w:ascii="Book Antiqua" w:eastAsia="Book Antiqua" w:hAnsi="Book Antiqua" w:cs="Book Antiqua"/>
          <w:color w:val="000000"/>
        </w:rPr>
        <w:t xml:space="preserve">. </w:t>
      </w:r>
      <w:r w:rsidR="00921874" w:rsidRPr="00E0378B">
        <w:rPr>
          <w:rFonts w:ascii="Book Antiqua" w:eastAsia="Book Antiqua" w:hAnsi="Book Antiqua" w:cs="Book Antiqua"/>
          <w:color w:val="000000"/>
        </w:rPr>
        <w:t>S</w:t>
      </w:r>
      <w:r w:rsidRPr="00E0378B">
        <w:rPr>
          <w:rFonts w:ascii="Book Antiqua" w:eastAsia="Book Antiqua" w:hAnsi="Book Antiqua" w:cs="Book Antiqua"/>
          <w:color w:val="000000"/>
        </w:rPr>
        <w:t>tudies examining AMI complicated by cardiogenic shock reveal that significant sex-based differences still exist. In an analysis of the NIS database</w:t>
      </w:r>
      <w:r w:rsidR="001F1465">
        <w:rPr>
          <w:rFonts w:ascii="Book Antiqua" w:eastAsia="Book Antiqua" w:hAnsi="Book Antiqua" w:cs="Book Antiqua"/>
          <w:color w:val="000000"/>
        </w:rPr>
        <w:t>,</w:t>
      </w:r>
      <w:r w:rsidRPr="00E0378B">
        <w:rPr>
          <w:rFonts w:ascii="Book Antiqua" w:eastAsia="Book Antiqua" w:hAnsi="Book Antiqua" w:cs="Book Antiqua"/>
          <w:color w:val="000000"/>
        </w:rPr>
        <w:t xml:space="preserve"> including &gt; 134000 older (≥ 75 years) patients who were hospitalized between 2000 and 2014, women were less likely to undergo coronary angiography (55.4% </w:t>
      </w:r>
      <w:r w:rsidRPr="00E0378B">
        <w:rPr>
          <w:rFonts w:ascii="Book Antiqua" w:eastAsia="Book Antiqua" w:hAnsi="Book Antiqua" w:cs="Book Antiqua"/>
          <w:i/>
          <w:iCs/>
          <w:color w:val="000000"/>
        </w:rPr>
        <w:t>vs</w:t>
      </w:r>
      <w:r w:rsidRPr="00E0378B">
        <w:rPr>
          <w:rFonts w:ascii="Book Antiqua" w:eastAsia="Book Antiqua" w:hAnsi="Book Antiqua" w:cs="Book Antiqua"/>
          <w:color w:val="000000"/>
        </w:rPr>
        <w:t xml:space="preserve"> 49.2%</w:t>
      </w:r>
      <w:r w:rsidR="001F1465">
        <w:rPr>
          <w:rFonts w:ascii="Book Antiqua" w:eastAsia="Book Antiqua" w:hAnsi="Book Antiqua" w:cs="Book Antiqua"/>
          <w:color w:val="000000"/>
        </w:rPr>
        <w:t>;</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i/>
          <w:iCs/>
          <w:color w:val="000000"/>
        </w:rPr>
        <w:t>P</w:t>
      </w:r>
      <w:r w:rsidRPr="00E0378B">
        <w:rPr>
          <w:rFonts w:ascii="Book Antiqua" w:eastAsia="Book Antiqua" w:hAnsi="Book Antiqua" w:cs="Book Antiqua"/>
          <w:color w:val="000000"/>
        </w:rPr>
        <w:t xml:space="preserve"> &lt; 0.001), PCI (36.3% </w:t>
      </w:r>
      <w:r w:rsidRPr="00E0378B">
        <w:rPr>
          <w:rFonts w:ascii="Book Antiqua" w:eastAsia="Book Antiqua" w:hAnsi="Book Antiqua" w:cs="Book Antiqua"/>
          <w:i/>
          <w:iCs/>
          <w:color w:val="000000"/>
        </w:rPr>
        <w:t>vs</w:t>
      </w:r>
      <w:r w:rsidRPr="00E0378B">
        <w:rPr>
          <w:rFonts w:ascii="Book Antiqua" w:eastAsia="Book Antiqua" w:hAnsi="Book Antiqua" w:cs="Book Antiqua"/>
          <w:color w:val="000000"/>
        </w:rPr>
        <w:t xml:space="preserve"> 34.4%</w:t>
      </w:r>
      <w:r w:rsidR="001F1465">
        <w:rPr>
          <w:rFonts w:ascii="Book Antiqua" w:eastAsia="Book Antiqua" w:hAnsi="Book Antiqua" w:cs="Book Antiqua"/>
          <w:color w:val="000000"/>
        </w:rPr>
        <w:t>;</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i/>
          <w:iCs/>
          <w:color w:val="000000"/>
        </w:rPr>
        <w:t>P</w:t>
      </w:r>
      <w:r w:rsidRPr="00E0378B">
        <w:rPr>
          <w:rFonts w:ascii="Book Antiqua" w:eastAsia="Book Antiqua" w:hAnsi="Book Antiqua" w:cs="Book Antiqua"/>
          <w:i/>
          <w:iCs/>
          <w:color w:val="000000"/>
        </w:rPr>
        <w:t xml:space="preserve"> </w:t>
      </w:r>
      <w:r w:rsidRPr="00E0378B">
        <w:rPr>
          <w:rFonts w:ascii="Book Antiqua" w:eastAsia="Book Antiqua" w:hAnsi="Book Antiqua" w:cs="Book Antiqua"/>
          <w:color w:val="000000"/>
        </w:rPr>
        <w:t xml:space="preserve">&lt; 0.001), and </w:t>
      </w:r>
      <w:r w:rsidR="00921874" w:rsidRPr="00E0378B">
        <w:rPr>
          <w:rFonts w:ascii="Book Antiqua" w:eastAsia="Book Antiqua" w:hAnsi="Book Antiqua" w:cs="Book Antiqua"/>
          <w:color w:val="000000"/>
        </w:rPr>
        <w:t xml:space="preserve">receive </w:t>
      </w:r>
      <w:r w:rsidRPr="00E0378B">
        <w:rPr>
          <w:rFonts w:ascii="Book Antiqua" w:eastAsia="Book Antiqua" w:hAnsi="Book Antiqua" w:cs="Book Antiqua"/>
          <w:color w:val="000000"/>
        </w:rPr>
        <w:t xml:space="preserve">mechanical circulatory support devices (34.3% </w:t>
      </w:r>
      <w:r w:rsidRPr="00E0378B">
        <w:rPr>
          <w:rFonts w:ascii="Book Antiqua" w:eastAsia="Book Antiqua" w:hAnsi="Book Antiqua" w:cs="Book Antiqua"/>
          <w:i/>
          <w:iCs/>
          <w:color w:val="000000"/>
        </w:rPr>
        <w:t>vs</w:t>
      </w:r>
      <w:r w:rsidRPr="00E0378B">
        <w:rPr>
          <w:rFonts w:ascii="Book Antiqua" w:eastAsia="Book Antiqua" w:hAnsi="Book Antiqua" w:cs="Book Antiqua"/>
          <w:color w:val="000000"/>
        </w:rPr>
        <w:t xml:space="preserve"> 27.2%</w:t>
      </w:r>
      <w:r w:rsidR="001F1465">
        <w:rPr>
          <w:rFonts w:ascii="Book Antiqua" w:eastAsia="Book Antiqua" w:hAnsi="Book Antiqua" w:cs="Book Antiqua"/>
          <w:color w:val="000000"/>
        </w:rPr>
        <w:t>;</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i/>
          <w:iCs/>
          <w:color w:val="000000"/>
        </w:rPr>
        <w:t>P</w:t>
      </w:r>
      <w:r w:rsidRPr="00E0378B">
        <w:rPr>
          <w:rFonts w:ascii="Book Antiqua" w:eastAsia="Book Antiqua" w:hAnsi="Book Antiqua" w:cs="Book Antiqua"/>
          <w:i/>
          <w:iCs/>
          <w:color w:val="000000"/>
        </w:rPr>
        <w:t xml:space="preserve"> </w:t>
      </w:r>
      <w:r w:rsidRPr="00E0378B">
        <w:rPr>
          <w:rFonts w:ascii="Book Antiqua" w:eastAsia="Book Antiqua" w:hAnsi="Book Antiqua" w:cs="Book Antiqua"/>
          <w:color w:val="000000"/>
        </w:rPr>
        <w:t xml:space="preserve">&lt; 0.001) compared with </w:t>
      </w:r>
      <w:proofErr w:type="gramStart"/>
      <w:r w:rsidRPr="00E0378B">
        <w:rPr>
          <w:rFonts w:ascii="Book Antiqua" w:eastAsia="Book Antiqua" w:hAnsi="Book Antiqua" w:cs="Book Antiqua"/>
          <w:color w:val="000000"/>
        </w:rPr>
        <w:t>men</w:t>
      </w:r>
      <w:r w:rsidR="000E3549"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vertAlign w:val="superscript"/>
        </w:rPr>
        <w:t>8]</w:t>
      </w:r>
      <w:r w:rsidRPr="00E0378B">
        <w:rPr>
          <w:rFonts w:ascii="Book Antiqua" w:eastAsia="Book Antiqua" w:hAnsi="Book Antiqua" w:cs="Book Antiqua"/>
          <w:color w:val="000000"/>
        </w:rPr>
        <w:t xml:space="preserve">. Similar results were reflected in another NIS analysis of younger adults (18-55 years), </w:t>
      </w:r>
      <w:r w:rsidR="005D625E">
        <w:rPr>
          <w:rFonts w:ascii="Book Antiqua" w:eastAsia="Book Antiqua" w:hAnsi="Book Antiqua" w:cs="Book Antiqua"/>
          <w:color w:val="000000"/>
        </w:rPr>
        <w:t xml:space="preserve">which showed that </w:t>
      </w:r>
      <w:r w:rsidRPr="00E0378B">
        <w:rPr>
          <w:rFonts w:ascii="Book Antiqua" w:eastAsia="Book Antiqua" w:hAnsi="Book Antiqua" w:cs="Book Antiqua"/>
          <w:color w:val="000000"/>
        </w:rPr>
        <w:t>women</w:t>
      </w:r>
      <w:r w:rsidRPr="00E0378B">
        <w:rPr>
          <w:rFonts w:ascii="Book Antiqua" w:eastAsia="Book Antiqua" w:hAnsi="Book Antiqua" w:cs="Book Antiqua"/>
          <w:color w:val="000000"/>
          <w:shd w:val="clear" w:color="auto" w:fill="FFFFFF"/>
        </w:rPr>
        <w:t xml:space="preserve"> less frequently received coronary angiography (78.3% </w:t>
      </w:r>
      <w:r w:rsidRPr="00E0378B">
        <w:rPr>
          <w:rFonts w:ascii="Book Antiqua" w:eastAsia="Book Antiqua" w:hAnsi="Book Antiqua" w:cs="Book Antiqua"/>
          <w:i/>
          <w:iCs/>
          <w:color w:val="000000"/>
          <w:shd w:val="clear" w:color="auto" w:fill="FFFFFF"/>
        </w:rPr>
        <w:t>vs</w:t>
      </w:r>
      <w:r w:rsidRPr="00E0378B">
        <w:rPr>
          <w:rFonts w:ascii="Book Antiqua" w:eastAsia="Book Antiqua" w:hAnsi="Book Antiqua" w:cs="Book Antiqua"/>
          <w:color w:val="000000"/>
          <w:shd w:val="clear" w:color="auto" w:fill="FFFFFF"/>
        </w:rPr>
        <w:t xml:space="preserve"> 81.4%), early coronary angiography (defined as angiography performed on the day of admission) (49.2% </w:t>
      </w:r>
      <w:r w:rsidRPr="00E0378B">
        <w:rPr>
          <w:rFonts w:ascii="Book Antiqua" w:eastAsia="Book Antiqua" w:hAnsi="Book Antiqua" w:cs="Book Antiqua"/>
          <w:i/>
          <w:iCs/>
          <w:color w:val="000000"/>
          <w:shd w:val="clear" w:color="auto" w:fill="FFFFFF"/>
        </w:rPr>
        <w:t>vs</w:t>
      </w:r>
      <w:r w:rsidRPr="00E0378B">
        <w:rPr>
          <w:rFonts w:ascii="Book Antiqua" w:eastAsia="Book Antiqua" w:hAnsi="Book Antiqua" w:cs="Book Antiqua"/>
          <w:color w:val="000000"/>
          <w:shd w:val="clear" w:color="auto" w:fill="FFFFFF"/>
        </w:rPr>
        <w:t xml:space="preserve"> 54.1%), PCI (59.2% </w:t>
      </w:r>
      <w:r w:rsidRPr="00E0378B">
        <w:rPr>
          <w:rFonts w:ascii="Book Antiqua" w:eastAsia="Book Antiqua" w:hAnsi="Book Antiqua" w:cs="Book Antiqua"/>
          <w:i/>
          <w:iCs/>
          <w:color w:val="000000"/>
          <w:shd w:val="clear" w:color="auto" w:fill="FFFFFF"/>
        </w:rPr>
        <w:t>vs</w:t>
      </w:r>
      <w:r w:rsidRPr="00E0378B">
        <w:rPr>
          <w:rFonts w:ascii="Book Antiqua" w:eastAsia="Book Antiqua" w:hAnsi="Book Antiqua" w:cs="Book Antiqua"/>
          <w:color w:val="000000"/>
          <w:shd w:val="clear" w:color="auto" w:fill="FFFFFF"/>
        </w:rPr>
        <w:t xml:space="preserve"> 64.0%), and mechanical circulatory support devices (50.3% </w:t>
      </w:r>
      <w:r w:rsidRPr="00E0378B">
        <w:rPr>
          <w:rFonts w:ascii="Book Antiqua" w:eastAsia="Book Antiqua" w:hAnsi="Book Antiqua" w:cs="Book Antiqua"/>
          <w:i/>
          <w:iCs/>
          <w:color w:val="000000"/>
          <w:shd w:val="clear" w:color="auto" w:fill="FFFFFF"/>
        </w:rPr>
        <w:t>vs</w:t>
      </w:r>
      <w:r w:rsidRPr="00E0378B">
        <w:rPr>
          <w:rFonts w:ascii="Book Antiqua" w:eastAsia="Book Antiqua" w:hAnsi="Book Antiqua" w:cs="Book Antiqua"/>
          <w:color w:val="000000"/>
          <w:shd w:val="clear" w:color="auto" w:fill="FFFFFF"/>
        </w:rPr>
        <w:t xml:space="preserve"> 59.2%; all</w:t>
      </w:r>
      <w:r w:rsidRPr="00E0378B">
        <w:rPr>
          <w:rFonts w:ascii="Book Antiqua" w:eastAsia="SimSun" w:hAnsi="Book Antiqua" w:cs="Book Antiqua"/>
          <w:color w:val="000000"/>
          <w:shd w:val="clear" w:color="auto" w:fill="FFFFFF"/>
          <w:lang w:eastAsia="zh-CN"/>
        </w:rPr>
        <w:t xml:space="preserve"> </w:t>
      </w:r>
      <w:r w:rsidR="009E0BA8" w:rsidRPr="00E0378B">
        <w:rPr>
          <w:rFonts w:ascii="Book Antiqua" w:eastAsia="Book Antiqua" w:hAnsi="Book Antiqua" w:cs="Book Antiqua"/>
          <w:i/>
          <w:iCs/>
          <w:color w:val="000000"/>
          <w:shd w:val="clear" w:color="auto" w:fill="FFFFFF"/>
        </w:rPr>
        <w:t>P</w:t>
      </w:r>
      <w:r w:rsidRPr="00E0378B">
        <w:rPr>
          <w:rFonts w:ascii="Book Antiqua" w:eastAsia="Book Antiqua" w:hAnsi="Book Antiqua" w:cs="Book Antiqua"/>
          <w:color w:val="000000"/>
          <w:shd w:val="clear" w:color="auto" w:fill="FFFFFF"/>
        </w:rPr>
        <w:t xml:space="preserve"> </w:t>
      </w:r>
      <w:r w:rsidR="009E0BA8" w:rsidRPr="00E0378B">
        <w:rPr>
          <w:rFonts w:ascii="Book Antiqua" w:eastAsia="Book Antiqua" w:hAnsi="Book Antiqua" w:cs="Book Antiqua"/>
          <w:color w:val="000000"/>
          <w:shd w:val="clear" w:color="auto" w:fill="FFFFFF"/>
        </w:rPr>
        <w:t>&lt;</w:t>
      </w:r>
      <w:r w:rsidRPr="00E0378B">
        <w:rPr>
          <w:rFonts w:ascii="Book Antiqua" w:eastAsia="Book Antiqua" w:hAnsi="Book Antiqua" w:cs="Book Antiqua"/>
          <w:color w:val="000000"/>
          <w:shd w:val="clear" w:color="auto" w:fill="FFFFFF"/>
        </w:rPr>
        <w:t xml:space="preserve"> 0.001) compared with younger men</w:t>
      </w:r>
      <w:r w:rsidR="000E3549" w:rsidRPr="00E0378B">
        <w:rPr>
          <w:rFonts w:ascii="Book Antiqua" w:eastAsia="Book Antiqua" w:hAnsi="Book Antiqua" w:cs="Book Antiqua"/>
          <w:color w:val="000000"/>
          <w:shd w:val="clear" w:color="auto" w:fill="FFFFFF"/>
          <w:vertAlign w:val="superscript"/>
        </w:rPr>
        <w:t>[</w:t>
      </w:r>
      <w:r w:rsidRPr="00E0378B">
        <w:rPr>
          <w:rFonts w:ascii="Book Antiqua" w:eastAsia="Book Antiqua" w:hAnsi="Book Antiqua" w:cs="Book Antiqua"/>
          <w:color w:val="000000"/>
          <w:shd w:val="clear" w:color="auto" w:fill="FFFFFF"/>
          <w:vertAlign w:val="superscript"/>
        </w:rPr>
        <w:t>17]</w:t>
      </w:r>
      <w:r w:rsidRPr="00E0378B">
        <w:rPr>
          <w:rFonts w:ascii="Book Antiqua" w:eastAsia="Book Antiqua" w:hAnsi="Book Antiqua" w:cs="Book Antiqua"/>
          <w:color w:val="000000"/>
          <w:shd w:val="clear" w:color="auto" w:fill="FFFFFF"/>
        </w:rPr>
        <w:t xml:space="preserve">. The Canadian-based Ontorio Myocardial Infarction Database also showed that </w:t>
      </w:r>
      <w:r w:rsidRPr="00E0378B">
        <w:rPr>
          <w:rFonts w:ascii="Book Antiqua" w:eastAsia="Book Antiqua" w:hAnsi="Book Antiqua" w:cs="Book Antiqua"/>
          <w:color w:val="000000"/>
        </w:rPr>
        <w:t xml:space="preserve">women were less likely to be revascularized (12.6% </w:t>
      </w:r>
      <w:r w:rsidRPr="00E0378B">
        <w:rPr>
          <w:rFonts w:ascii="Book Antiqua" w:eastAsia="Book Antiqua" w:hAnsi="Book Antiqua" w:cs="Book Antiqua"/>
          <w:i/>
          <w:iCs/>
          <w:color w:val="000000"/>
        </w:rPr>
        <w:t>vs</w:t>
      </w:r>
      <w:r w:rsidRPr="00E0378B">
        <w:rPr>
          <w:rFonts w:ascii="Book Antiqua" w:eastAsia="Book Antiqua" w:hAnsi="Book Antiqua" w:cs="Book Antiqua"/>
          <w:color w:val="000000"/>
        </w:rPr>
        <w:t xml:space="preserve"> 17.6%; </w:t>
      </w:r>
      <w:r w:rsidR="009E0BA8" w:rsidRPr="00E0378B">
        <w:rPr>
          <w:rFonts w:ascii="Book Antiqua" w:eastAsia="Book Antiqua" w:hAnsi="Book Antiqua" w:cs="Book Antiqua"/>
          <w:i/>
          <w:iCs/>
          <w:color w:val="000000"/>
        </w:rPr>
        <w:t>P</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color w:val="000000"/>
        </w:rPr>
        <w:t>&lt;</w:t>
      </w:r>
      <w:r w:rsidRPr="00E0378B">
        <w:rPr>
          <w:rFonts w:ascii="Book Antiqua" w:eastAsia="Book Antiqua" w:hAnsi="Book Antiqua" w:cs="Book Antiqua"/>
          <w:color w:val="000000"/>
        </w:rPr>
        <w:t xml:space="preserve"> 0.001) and less likely to be transferred when they presented to non-revascularization sites (11.3% </w:t>
      </w:r>
      <w:r w:rsidRPr="00E0378B">
        <w:rPr>
          <w:rFonts w:ascii="Book Antiqua" w:eastAsia="Book Antiqua" w:hAnsi="Book Antiqua" w:cs="Book Antiqua"/>
          <w:i/>
          <w:iCs/>
          <w:color w:val="000000"/>
        </w:rPr>
        <w:t>vs</w:t>
      </w:r>
      <w:r w:rsidRPr="00E0378B">
        <w:rPr>
          <w:rFonts w:ascii="Book Antiqua" w:eastAsia="Book Antiqua" w:hAnsi="Book Antiqua" w:cs="Book Antiqua"/>
          <w:color w:val="000000"/>
        </w:rPr>
        <w:t xml:space="preserve"> 14.2%; </w:t>
      </w:r>
      <w:r w:rsidR="009E0BA8" w:rsidRPr="00E0378B">
        <w:rPr>
          <w:rFonts w:ascii="Book Antiqua" w:eastAsia="Book Antiqua" w:hAnsi="Book Antiqua" w:cs="Book Antiqua"/>
          <w:i/>
          <w:iCs/>
          <w:color w:val="000000"/>
        </w:rPr>
        <w:t>P</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color w:val="000000"/>
        </w:rPr>
        <w:t>&lt;</w:t>
      </w:r>
      <w:r w:rsidRPr="00E0378B">
        <w:rPr>
          <w:rFonts w:ascii="Book Antiqua" w:eastAsia="Book Antiqua" w:hAnsi="Book Antiqua" w:cs="Book Antiqua"/>
          <w:color w:val="000000"/>
        </w:rPr>
        <w:t xml:space="preserve"> 0.001)</w:t>
      </w:r>
      <w:r w:rsidR="000E3549" w:rsidRPr="00E0378B">
        <w:rPr>
          <w:rFonts w:ascii="Book Antiqua" w:eastAsia="Book Antiqua" w:hAnsi="Book Antiqua" w:cs="Book Antiqua"/>
          <w:color w:val="000000"/>
          <w:vertAlign w:val="superscript"/>
        </w:rPr>
        <w:t>[</w:t>
      </w:r>
      <w:r w:rsidRPr="00E0378B">
        <w:rPr>
          <w:rFonts w:ascii="Book Antiqua" w:eastAsia="Book Antiqua" w:hAnsi="Book Antiqua" w:cs="Book Antiqua"/>
          <w:color w:val="000000"/>
          <w:vertAlign w:val="superscript"/>
        </w:rPr>
        <w:t>16]</w:t>
      </w:r>
      <w:r w:rsidRPr="00E0378B">
        <w:rPr>
          <w:rFonts w:ascii="Book Antiqua" w:eastAsia="Book Antiqua" w:hAnsi="Book Antiqua" w:cs="Book Antiqua"/>
          <w:color w:val="000000"/>
        </w:rPr>
        <w:t>.</w:t>
      </w:r>
    </w:p>
    <w:p w14:paraId="5B898818" w14:textId="1E365DEE" w:rsidR="007624E7" w:rsidRPr="00E0378B" w:rsidRDefault="005379C5" w:rsidP="00971D82">
      <w:pPr>
        <w:adjustRightInd w:val="0"/>
        <w:snapToGrid w:val="0"/>
        <w:spacing w:line="360" w:lineRule="auto"/>
        <w:ind w:firstLine="270"/>
        <w:jc w:val="both"/>
        <w:rPr>
          <w:rFonts w:ascii="Book Antiqua" w:hAnsi="Book Antiqua"/>
        </w:rPr>
      </w:pPr>
      <w:r w:rsidRPr="00E0378B">
        <w:rPr>
          <w:rFonts w:ascii="Book Antiqua" w:eastAsia="Book Antiqua" w:hAnsi="Book Antiqua" w:cs="Book Antiqua"/>
          <w:color w:val="000000"/>
          <w:shd w:val="clear" w:color="auto" w:fill="FCFCFC"/>
        </w:rPr>
        <w:t>Notably, some sex disparities were observed in randomized trials of interventions for patients with cardiogenic shock in the setting of AMI.</w:t>
      </w:r>
      <w:r w:rsidRPr="00E0378B">
        <w:rPr>
          <w:rFonts w:ascii="Book Antiqua" w:eastAsia="SimSun" w:hAnsi="Book Antiqua" w:cs="Book Antiqua"/>
          <w:color w:val="000000"/>
          <w:shd w:val="clear" w:color="auto" w:fill="FCFCFC"/>
          <w:lang w:eastAsia="zh-CN"/>
        </w:rPr>
        <w:t xml:space="preserve"> </w:t>
      </w:r>
      <w:r w:rsidR="005D625E">
        <w:rPr>
          <w:rFonts w:ascii="Book Antiqua" w:eastAsia="Book Antiqua" w:hAnsi="Book Antiqua" w:cs="Book Antiqua"/>
          <w:color w:val="000000"/>
          <w:shd w:val="clear" w:color="auto" w:fill="FCFCFC"/>
        </w:rPr>
        <w:t>A</w:t>
      </w:r>
      <w:r w:rsidRPr="00E0378B">
        <w:rPr>
          <w:rFonts w:ascii="Book Antiqua" w:eastAsia="Book Antiqua" w:hAnsi="Book Antiqua" w:cs="Book Antiqua"/>
          <w:color w:val="000000"/>
          <w:shd w:val="clear" w:color="auto" w:fill="FCFCFC"/>
        </w:rPr>
        <w:t xml:space="preserve">n </w:t>
      </w:r>
      <w:r w:rsidRPr="00E0378B">
        <w:rPr>
          <w:rFonts w:ascii="Book Antiqua" w:eastAsia="Book Antiqua" w:hAnsi="Book Antiqua" w:cs="Book Antiqua"/>
          <w:color w:val="000000"/>
          <w:shd w:val="clear" w:color="auto" w:fill="FFFFFF"/>
        </w:rPr>
        <w:t>exploratory analysis of the Should we emergently revascularize occluded coronaries for cardiogenic shock? (SHOCK) trial of 1190 patients</w:t>
      </w:r>
      <w:r w:rsidRPr="00E0378B">
        <w:rPr>
          <w:rFonts w:ascii="Book Antiqua" w:eastAsia="SimSun" w:hAnsi="Book Antiqua" w:cs="Book Antiqua"/>
          <w:color w:val="000000"/>
          <w:shd w:val="clear" w:color="auto" w:fill="FFFFFF"/>
          <w:lang w:eastAsia="zh-CN"/>
        </w:rPr>
        <w:t xml:space="preserve"> </w:t>
      </w:r>
      <w:r w:rsidRPr="00E0378B">
        <w:rPr>
          <w:rFonts w:ascii="Book Antiqua" w:eastAsia="Book Antiqua" w:hAnsi="Book Antiqua" w:cs="Book Antiqua"/>
          <w:color w:val="000000"/>
          <w:shd w:val="clear" w:color="auto" w:fill="FFFFFF"/>
        </w:rPr>
        <w:t xml:space="preserve">showed that although the rates of thrombolytic treatment, PCI and surgical revascularization were not different between both sexes, intra-aortic balloon pump (IABP) use was less frequent among women (48% </w:t>
      </w:r>
      <w:r w:rsidR="009E0BA8" w:rsidRPr="00E0378B">
        <w:rPr>
          <w:rFonts w:ascii="Book Antiqua" w:eastAsia="Book Antiqua" w:hAnsi="Book Antiqua" w:cs="Book Antiqua"/>
          <w:i/>
          <w:color w:val="000000"/>
          <w:shd w:val="clear" w:color="auto" w:fill="FFFFFF"/>
        </w:rPr>
        <w:t>vs</w:t>
      </w:r>
      <w:r w:rsidRPr="00E0378B">
        <w:rPr>
          <w:rFonts w:ascii="Book Antiqua" w:eastAsia="Book Antiqua" w:hAnsi="Book Antiqua" w:cs="Book Antiqua"/>
          <w:color w:val="000000"/>
          <w:shd w:val="clear" w:color="auto" w:fill="FFFFFF"/>
        </w:rPr>
        <w:t xml:space="preserve"> 55%</w:t>
      </w:r>
      <w:r w:rsidR="005D625E">
        <w:rPr>
          <w:rFonts w:ascii="Book Antiqua" w:eastAsia="Book Antiqua" w:hAnsi="Book Antiqua" w:cs="Book Antiqua"/>
          <w:color w:val="000000"/>
          <w:shd w:val="clear" w:color="auto" w:fill="FFFFFF"/>
        </w:rPr>
        <w:t xml:space="preserve">; </w:t>
      </w:r>
      <w:r w:rsidRPr="00E0378B">
        <w:rPr>
          <w:rFonts w:ascii="Book Antiqua" w:eastAsia="Book Antiqua" w:hAnsi="Book Antiqua" w:cs="Book Antiqua"/>
          <w:i/>
          <w:iCs/>
          <w:color w:val="000000"/>
          <w:shd w:val="clear" w:color="auto" w:fill="FFFFFF"/>
        </w:rPr>
        <w:t>P</w:t>
      </w:r>
      <w:r w:rsidRPr="00E0378B">
        <w:rPr>
          <w:rFonts w:ascii="Book Antiqua" w:eastAsia="Book Antiqua" w:hAnsi="Book Antiqua" w:cs="Book Antiqua"/>
          <w:color w:val="000000"/>
          <w:shd w:val="clear" w:color="auto" w:fill="FFFFFF"/>
        </w:rPr>
        <w:t xml:space="preserve"> = 0.05), despite exhibiting lower cardiac </w:t>
      </w:r>
      <w:proofErr w:type="gramStart"/>
      <w:r w:rsidRPr="00E0378B">
        <w:rPr>
          <w:rFonts w:ascii="Book Antiqua" w:eastAsia="Book Antiqua" w:hAnsi="Book Antiqua" w:cs="Book Antiqua"/>
          <w:color w:val="000000"/>
          <w:shd w:val="clear" w:color="auto" w:fill="FFFFFF"/>
        </w:rPr>
        <w:t>index</w:t>
      </w:r>
      <w:r w:rsidR="000E3549" w:rsidRPr="00E0378B">
        <w:rPr>
          <w:rFonts w:ascii="Book Antiqua" w:eastAsia="Book Antiqua" w:hAnsi="Book Antiqua" w:cs="Book Antiqua"/>
          <w:color w:val="000000"/>
          <w:shd w:val="clear" w:color="auto" w:fill="FFFFFF"/>
          <w:vertAlign w:val="superscript"/>
        </w:rPr>
        <w:t>[</w:t>
      </w:r>
      <w:proofErr w:type="gramEnd"/>
      <w:r w:rsidRPr="00E0378B">
        <w:rPr>
          <w:rFonts w:ascii="Book Antiqua" w:eastAsia="Book Antiqua" w:hAnsi="Book Antiqua" w:cs="Book Antiqua"/>
          <w:color w:val="000000"/>
          <w:shd w:val="clear" w:color="auto" w:fill="FFFFFF"/>
          <w:vertAlign w:val="superscript"/>
        </w:rPr>
        <w:t>19]</w:t>
      </w:r>
      <w:r w:rsidRPr="00E0378B">
        <w:rPr>
          <w:rFonts w:ascii="Book Antiqua" w:eastAsia="Book Antiqua" w:hAnsi="Book Antiqua" w:cs="Book Antiqua"/>
          <w:color w:val="000000"/>
          <w:shd w:val="clear" w:color="auto" w:fill="FFFFFF"/>
        </w:rPr>
        <w:t>. In another trial, Intra-aortic Balloon Pump in Cardiogenic Shock II (IABP-SHOCK II)</w:t>
      </w:r>
      <w:r w:rsidR="005D625E">
        <w:rPr>
          <w:rFonts w:ascii="Book Antiqua" w:eastAsia="Book Antiqua" w:hAnsi="Book Antiqua" w:cs="Book Antiqua"/>
          <w:color w:val="000000"/>
          <w:shd w:val="clear" w:color="auto" w:fill="FFFFFF"/>
        </w:rPr>
        <w:t xml:space="preserve"> that </w:t>
      </w:r>
      <w:r w:rsidRPr="00E0378B">
        <w:rPr>
          <w:rFonts w:ascii="Book Antiqua" w:eastAsia="Book Antiqua" w:hAnsi="Book Antiqua" w:cs="Book Antiqua"/>
          <w:color w:val="000000"/>
          <w:shd w:val="clear" w:color="auto" w:fill="FFFFFF"/>
        </w:rPr>
        <w:t xml:space="preserve">included </w:t>
      </w:r>
      <w:r w:rsidRPr="00E0378B">
        <w:rPr>
          <w:rFonts w:ascii="Book Antiqua" w:eastAsia="Book Antiqua" w:hAnsi="Book Antiqua" w:cs="Book Antiqua"/>
          <w:color w:val="000000"/>
          <w:shd w:val="clear" w:color="auto" w:fill="FCFCFC"/>
        </w:rPr>
        <w:t>600 patients undergoing early revascularization with or without IABP</w:t>
      </w:r>
      <w:r w:rsidR="005D625E">
        <w:rPr>
          <w:rFonts w:ascii="Book Antiqua" w:eastAsia="Book Antiqua" w:hAnsi="Book Antiqua" w:cs="Book Antiqua"/>
          <w:color w:val="000000"/>
          <w:shd w:val="clear" w:color="auto" w:fill="FCFCFC"/>
        </w:rPr>
        <w:t>, a</w:t>
      </w:r>
      <w:r w:rsidRPr="00E0378B">
        <w:rPr>
          <w:rFonts w:ascii="Book Antiqua" w:eastAsia="Book Antiqua" w:hAnsi="Book Antiqua" w:cs="Book Antiqua"/>
          <w:color w:val="000000"/>
          <w:shd w:val="clear" w:color="auto" w:fill="FCFCFC"/>
        </w:rPr>
        <w:t>lthough there was no evidence of interaction for IABP treatment based on sex,</w:t>
      </w:r>
      <w:r w:rsidRPr="00E0378B">
        <w:rPr>
          <w:rFonts w:ascii="Book Antiqua" w:eastAsia="Book Antiqua" w:hAnsi="Book Antiqua" w:cs="Book Antiqua"/>
          <w:color w:val="000000"/>
          <w:shd w:val="clear" w:color="auto" w:fill="FFFFFF"/>
        </w:rPr>
        <w:t xml:space="preserve"> wo</w:t>
      </w:r>
      <w:r w:rsidRPr="00E0378B">
        <w:rPr>
          <w:rFonts w:ascii="Book Antiqua" w:eastAsia="Book Antiqua" w:hAnsi="Book Antiqua" w:cs="Book Antiqua"/>
          <w:color w:val="000000"/>
          <w:shd w:val="clear" w:color="auto" w:fill="FCFCFC"/>
        </w:rPr>
        <w:t xml:space="preserve">men were less likely to have undergone resuscitation before </w:t>
      </w:r>
      <w:proofErr w:type="gramStart"/>
      <w:r w:rsidRPr="00E0378B">
        <w:rPr>
          <w:rFonts w:ascii="Book Antiqua" w:eastAsia="Book Antiqua" w:hAnsi="Book Antiqua" w:cs="Book Antiqua"/>
          <w:color w:val="000000"/>
          <w:shd w:val="clear" w:color="auto" w:fill="FCFCFC"/>
        </w:rPr>
        <w:t>randomization</w:t>
      </w:r>
      <w:r w:rsidR="000E3549" w:rsidRPr="00E0378B">
        <w:rPr>
          <w:rFonts w:ascii="Book Antiqua" w:eastAsia="Book Antiqua" w:hAnsi="Book Antiqua" w:cs="Book Antiqua"/>
          <w:color w:val="000000"/>
          <w:shd w:val="clear" w:color="auto" w:fill="FCFCFC"/>
          <w:vertAlign w:val="superscript"/>
        </w:rPr>
        <w:t>[</w:t>
      </w:r>
      <w:proofErr w:type="gramEnd"/>
      <w:r w:rsidRPr="00E0378B">
        <w:rPr>
          <w:rFonts w:ascii="Book Antiqua" w:eastAsia="Book Antiqua" w:hAnsi="Book Antiqua" w:cs="Book Antiqua"/>
          <w:color w:val="000000"/>
          <w:shd w:val="clear" w:color="auto" w:fill="FCFCFC"/>
          <w:vertAlign w:val="superscript"/>
        </w:rPr>
        <w:t>20]</w:t>
      </w:r>
      <w:r w:rsidRPr="00E0378B">
        <w:rPr>
          <w:rFonts w:ascii="Book Antiqua" w:eastAsia="Book Antiqua" w:hAnsi="Book Antiqua" w:cs="Book Antiqua"/>
          <w:color w:val="000000"/>
          <w:shd w:val="clear" w:color="auto" w:fill="FCFCFC"/>
        </w:rPr>
        <w:t xml:space="preserve">. Lastly, a secondary analysis </w:t>
      </w:r>
      <w:r w:rsidR="005D625E">
        <w:rPr>
          <w:rFonts w:ascii="Book Antiqua" w:eastAsia="Book Antiqua" w:hAnsi="Book Antiqua" w:cs="Book Antiqua"/>
          <w:color w:val="000000"/>
          <w:shd w:val="clear" w:color="auto" w:fill="FCFCFC"/>
        </w:rPr>
        <w:t xml:space="preserve">of </w:t>
      </w:r>
      <w:r w:rsidRPr="00E0378B">
        <w:rPr>
          <w:rFonts w:ascii="Book Antiqua" w:eastAsia="Book Antiqua" w:hAnsi="Book Antiqua" w:cs="Book Antiqua"/>
          <w:color w:val="000000"/>
          <w:shd w:val="clear" w:color="auto" w:fill="FCFCFC"/>
        </w:rPr>
        <w:t>the CULPRIT SHOCK trial (</w:t>
      </w:r>
      <w:r w:rsidRPr="00E0378B">
        <w:rPr>
          <w:rFonts w:ascii="Book Antiqua" w:eastAsia="Book Antiqua" w:hAnsi="Book Antiqua" w:cs="Book Antiqua"/>
          <w:color w:val="000000"/>
        </w:rPr>
        <w:t xml:space="preserve">Culprit Lesion Only PCI Versus Multivessel PCI in Cardiogenic Shock) showed that although the use of mechanical circulatory support was not different between women </w:t>
      </w:r>
      <w:r w:rsidRPr="00E0378B">
        <w:rPr>
          <w:rFonts w:ascii="Book Antiqua" w:eastAsia="Book Antiqua" w:hAnsi="Book Antiqua" w:cs="Book Antiqua"/>
          <w:color w:val="000000"/>
        </w:rPr>
        <w:lastRenderedPageBreak/>
        <w:t>and men, women were less likely to receive therapeutic hypothermia</w:t>
      </w:r>
      <w:r w:rsidR="000E3549" w:rsidRPr="00E0378B">
        <w:rPr>
          <w:rFonts w:ascii="Book Antiqua" w:eastAsia="Book Antiqua" w:hAnsi="Book Antiqua" w:cs="Book Antiqua"/>
          <w:color w:val="000000"/>
          <w:vertAlign w:val="superscript"/>
        </w:rPr>
        <w:t>[</w:t>
      </w:r>
      <w:r w:rsidRPr="00E0378B">
        <w:rPr>
          <w:rFonts w:ascii="Book Antiqua" w:eastAsia="Book Antiqua" w:hAnsi="Book Antiqua" w:cs="Book Antiqua"/>
          <w:color w:val="000000"/>
          <w:vertAlign w:val="superscript"/>
        </w:rPr>
        <w:t>21]</w:t>
      </w:r>
      <w:r w:rsidRPr="00E0378B">
        <w:rPr>
          <w:rFonts w:ascii="Book Antiqua" w:eastAsia="Book Antiqua" w:hAnsi="Book Antiqua" w:cs="Book Antiqua"/>
          <w:color w:val="000000"/>
        </w:rPr>
        <w:t>. Table 2 depicts the differences in in-hospital procedures between women and men.</w:t>
      </w:r>
    </w:p>
    <w:p w14:paraId="4636DD7B" w14:textId="77777777" w:rsidR="007624E7" w:rsidRPr="00E0378B" w:rsidRDefault="007624E7" w:rsidP="00E0378B">
      <w:pPr>
        <w:adjustRightInd w:val="0"/>
        <w:snapToGrid w:val="0"/>
        <w:spacing w:line="360" w:lineRule="auto"/>
        <w:ind w:firstLine="720"/>
        <w:jc w:val="both"/>
        <w:rPr>
          <w:rFonts w:ascii="Book Antiqua" w:hAnsi="Book Antiqua"/>
        </w:rPr>
      </w:pPr>
    </w:p>
    <w:p w14:paraId="41DB8C94" w14:textId="26BE3600"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aps/>
          <w:color w:val="000000"/>
          <w:u w:val="single"/>
          <w:shd w:val="clear" w:color="auto" w:fill="FCFCFC"/>
        </w:rPr>
        <w:t>Sex disparity in outcomes</w:t>
      </w:r>
    </w:p>
    <w:p w14:paraId="1EACDBE4" w14:textId="1F6BA942"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shd w:val="clear" w:color="auto" w:fill="FCFCFC"/>
        </w:rPr>
        <w:t xml:space="preserve">Many studies </w:t>
      </w:r>
      <w:r w:rsidR="005D625E">
        <w:rPr>
          <w:rFonts w:ascii="Book Antiqua" w:eastAsia="Book Antiqua" w:hAnsi="Book Antiqua" w:cs="Book Antiqua"/>
          <w:color w:val="000000"/>
          <w:shd w:val="clear" w:color="auto" w:fill="FCFCFC"/>
        </w:rPr>
        <w:t xml:space="preserve">have </w:t>
      </w:r>
      <w:r w:rsidRPr="00E0378B">
        <w:rPr>
          <w:rFonts w:ascii="Book Antiqua" w:eastAsia="Book Antiqua" w:hAnsi="Book Antiqua" w:cs="Book Antiqua"/>
          <w:color w:val="000000"/>
          <w:shd w:val="clear" w:color="auto" w:fill="FCFCFC"/>
        </w:rPr>
        <w:t>indicate</w:t>
      </w:r>
      <w:r w:rsidR="005D625E">
        <w:rPr>
          <w:rFonts w:ascii="Book Antiqua" w:eastAsia="Book Antiqua" w:hAnsi="Book Antiqua" w:cs="Book Antiqua"/>
          <w:color w:val="000000"/>
          <w:shd w:val="clear" w:color="auto" w:fill="FCFCFC"/>
        </w:rPr>
        <w:t>d</w:t>
      </w:r>
      <w:r w:rsidRPr="00E0378B">
        <w:rPr>
          <w:rFonts w:ascii="Book Antiqua" w:eastAsia="Book Antiqua" w:hAnsi="Book Antiqua" w:cs="Book Antiqua"/>
          <w:color w:val="000000"/>
          <w:shd w:val="clear" w:color="auto" w:fill="FCFCFC"/>
        </w:rPr>
        <w:t xml:space="preserve"> that women have higher unadjusted mortality rates compared with men, primarily explained by older age, higher co-morbidity burden and lower likelihood of receiving reperfusion therapy and mechanical circulatory support devices. Data from the NIS database for older patients (≥ 75 years) revealed </w:t>
      </w:r>
      <w:r w:rsidRPr="00E0378B">
        <w:rPr>
          <w:rFonts w:ascii="Book Antiqua" w:eastAsia="Book Antiqua" w:hAnsi="Book Antiqua" w:cs="Book Antiqua"/>
          <w:color w:val="000000"/>
        </w:rPr>
        <w:t>that despite a steady decrease in in-hospital mortality during the study period between 2000 and 2014, adjusted trends showed consistently higher in-hospital mortality among women compared with men</w:t>
      </w:r>
      <w:r w:rsidR="000E3549" w:rsidRPr="00E0378B">
        <w:rPr>
          <w:rFonts w:ascii="Book Antiqua" w:eastAsia="Book Antiqua" w:hAnsi="Book Antiqua" w:cs="Book Antiqua"/>
          <w:color w:val="000000"/>
          <w:vertAlign w:val="superscript"/>
        </w:rPr>
        <w:t>[</w:t>
      </w:r>
      <w:r w:rsidRPr="00E0378B">
        <w:rPr>
          <w:rFonts w:ascii="Book Antiqua" w:eastAsia="Book Antiqua" w:hAnsi="Book Antiqua" w:cs="Book Antiqua"/>
          <w:color w:val="000000"/>
          <w:vertAlign w:val="superscript"/>
        </w:rPr>
        <w:t>8]</w:t>
      </w:r>
      <w:r w:rsidRPr="00E0378B">
        <w:rPr>
          <w:rFonts w:ascii="Book Antiqua" w:eastAsia="Book Antiqua" w:hAnsi="Book Antiqua" w:cs="Book Antiqua"/>
          <w:color w:val="000000"/>
        </w:rPr>
        <w:t>. Female sex remained an independent predictor of higher in-hospital mortality (adjusted OR 1.05; 95%CI</w:t>
      </w:r>
      <w:r w:rsidR="00CF5A1D">
        <w:rPr>
          <w:rFonts w:ascii="Book Antiqua" w:eastAsia="Book Antiqua" w:hAnsi="Book Antiqua" w:cs="Book Antiqua"/>
          <w:color w:val="000000"/>
        </w:rPr>
        <w:t>:</w:t>
      </w:r>
      <w:r w:rsidRPr="00E0378B">
        <w:rPr>
          <w:rFonts w:ascii="Book Antiqua" w:eastAsia="Book Antiqua" w:hAnsi="Book Antiqua" w:cs="Book Antiqua"/>
          <w:color w:val="000000"/>
        </w:rPr>
        <w:t xml:space="preserve"> 1.02-1.08; </w:t>
      </w:r>
      <w:r w:rsidR="009E0BA8" w:rsidRPr="00E0378B">
        <w:rPr>
          <w:rFonts w:ascii="Book Antiqua" w:eastAsia="Book Antiqua" w:hAnsi="Book Antiqua" w:cs="Book Antiqua"/>
          <w:i/>
          <w:iCs/>
          <w:color w:val="000000"/>
        </w:rPr>
        <w:t>P</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color w:val="000000"/>
        </w:rPr>
        <w:t>&lt;</w:t>
      </w:r>
      <w:r w:rsidRPr="00E0378B">
        <w:rPr>
          <w:rFonts w:ascii="Book Antiqua" w:eastAsia="Book Antiqua" w:hAnsi="Book Antiqua" w:cs="Book Antiqua"/>
          <w:color w:val="000000"/>
        </w:rPr>
        <w:t xml:space="preserve"> 0.001)</w:t>
      </w:r>
      <w:r w:rsidR="000E3549" w:rsidRPr="00E0378B">
        <w:rPr>
          <w:rFonts w:ascii="Book Antiqua" w:eastAsia="Book Antiqua" w:hAnsi="Book Antiqua" w:cs="Book Antiqua"/>
          <w:color w:val="000000"/>
          <w:vertAlign w:val="superscript"/>
        </w:rPr>
        <w:t>[</w:t>
      </w:r>
      <w:r w:rsidRPr="00E0378B">
        <w:rPr>
          <w:rFonts w:ascii="Book Antiqua" w:eastAsia="Book Antiqua" w:hAnsi="Book Antiqua" w:cs="Book Antiqua"/>
          <w:color w:val="000000"/>
          <w:vertAlign w:val="superscript"/>
        </w:rPr>
        <w:t>8]</w:t>
      </w:r>
      <w:r w:rsidRPr="00E0378B">
        <w:rPr>
          <w:rFonts w:ascii="Book Antiqua" w:eastAsia="Book Antiqua" w:hAnsi="Book Antiqua" w:cs="Book Antiqua"/>
          <w:color w:val="000000"/>
        </w:rPr>
        <w:t xml:space="preserve">. Similarly, NIS data for younger patients (18-55 years) also showed that women experienced higher hospital mortality, and that </w:t>
      </w:r>
      <w:r w:rsidRPr="00E0378B">
        <w:rPr>
          <w:rFonts w:ascii="Book Antiqua" w:eastAsia="Book Antiqua" w:hAnsi="Book Antiqua" w:cs="Book Antiqua"/>
          <w:color w:val="000000"/>
          <w:shd w:val="clear" w:color="auto" w:fill="FFFFFF"/>
        </w:rPr>
        <w:t>female sex was an independent predictor of in-hospital mortality (adjusted OR 1.11, 95%CI</w:t>
      </w:r>
      <w:r w:rsidR="00CF5A1D">
        <w:rPr>
          <w:rFonts w:ascii="Book Antiqua" w:eastAsia="Book Antiqua" w:hAnsi="Book Antiqua" w:cs="Book Antiqua"/>
          <w:color w:val="000000"/>
          <w:shd w:val="clear" w:color="auto" w:fill="FFFFFF"/>
        </w:rPr>
        <w:t>:</w:t>
      </w:r>
      <w:r w:rsidRPr="00E0378B">
        <w:rPr>
          <w:rFonts w:ascii="Book Antiqua" w:eastAsia="Book Antiqua" w:hAnsi="Book Antiqua" w:cs="Book Antiqua"/>
          <w:color w:val="000000"/>
          <w:shd w:val="clear" w:color="auto" w:fill="FFFFFF"/>
        </w:rPr>
        <w:t xml:space="preserve"> 1.07</w:t>
      </w:r>
      <w:r w:rsidR="00CF5A1D">
        <w:rPr>
          <w:rFonts w:ascii="Book Antiqua" w:eastAsia="Book Antiqua" w:hAnsi="Book Antiqua" w:cs="Book Antiqua"/>
          <w:color w:val="000000"/>
          <w:shd w:val="clear" w:color="auto" w:fill="FFFFFF"/>
        </w:rPr>
        <w:t>-</w:t>
      </w:r>
      <w:r w:rsidRPr="00E0378B">
        <w:rPr>
          <w:rFonts w:ascii="Book Antiqua" w:eastAsia="Book Antiqua" w:hAnsi="Book Antiqua" w:cs="Book Antiqua"/>
          <w:color w:val="000000"/>
          <w:shd w:val="clear" w:color="auto" w:fill="FFFFFF"/>
        </w:rPr>
        <w:t>1.16;</w:t>
      </w:r>
      <w:r w:rsidRPr="00E0378B">
        <w:rPr>
          <w:rFonts w:ascii="Book Antiqua" w:eastAsia="SimSun" w:hAnsi="Book Antiqua" w:cs="Book Antiqua"/>
          <w:color w:val="000000"/>
          <w:shd w:val="clear" w:color="auto" w:fill="FFFFFF"/>
          <w:lang w:eastAsia="zh-CN"/>
        </w:rPr>
        <w:t xml:space="preserve"> </w:t>
      </w:r>
      <w:r w:rsidR="009E0BA8" w:rsidRPr="00E0378B">
        <w:rPr>
          <w:rFonts w:ascii="Book Antiqua" w:eastAsia="Book Antiqua" w:hAnsi="Book Antiqua" w:cs="Book Antiqua"/>
          <w:i/>
          <w:iCs/>
          <w:color w:val="000000"/>
          <w:shd w:val="clear" w:color="auto" w:fill="FFFFFF"/>
        </w:rPr>
        <w:t>P</w:t>
      </w:r>
      <w:r w:rsidRPr="00E0378B">
        <w:rPr>
          <w:rFonts w:ascii="Book Antiqua" w:eastAsia="Book Antiqua" w:hAnsi="Book Antiqua" w:cs="Book Antiqua"/>
          <w:color w:val="000000"/>
          <w:shd w:val="clear" w:color="auto" w:fill="FFFFFF"/>
        </w:rPr>
        <w:t xml:space="preserve"> </w:t>
      </w:r>
      <w:r w:rsidR="009E0BA8" w:rsidRPr="00E0378B">
        <w:rPr>
          <w:rFonts w:ascii="Book Antiqua" w:eastAsia="Book Antiqua" w:hAnsi="Book Antiqua" w:cs="Book Antiqua"/>
          <w:color w:val="000000"/>
          <w:shd w:val="clear" w:color="auto" w:fill="FFFFFF"/>
        </w:rPr>
        <w:t>&lt;</w:t>
      </w:r>
      <w:r w:rsidRPr="00E0378B">
        <w:rPr>
          <w:rFonts w:ascii="Book Antiqua" w:eastAsia="Book Antiqua" w:hAnsi="Book Antiqua" w:cs="Book Antiqua"/>
          <w:color w:val="000000"/>
          <w:shd w:val="clear" w:color="auto" w:fill="FFFFFF"/>
        </w:rPr>
        <w:t xml:space="preserve"> 0.001)</w:t>
      </w:r>
      <w:r w:rsidR="000E3549" w:rsidRPr="00E0378B">
        <w:rPr>
          <w:rFonts w:ascii="Book Antiqua" w:eastAsia="Book Antiqua" w:hAnsi="Book Antiqua" w:cs="Book Antiqua"/>
          <w:color w:val="000000"/>
          <w:shd w:val="clear" w:color="auto" w:fill="FFFFFF"/>
          <w:vertAlign w:val="superscript"/>
        </w:rPr>
        <w:t>[</w:t>
      </w:r>
      <w:r w:rsidRPr="00E0378B">
        <w:rPr>
          <w:rFonts w:ascii="Book Antiqua" w:eastAsia="Book Antiqua" w:hAnsi="Book Antiqua" w:cs="Book Antiqua"/>
          <w:color w:val="000000"/>
          <w:shd w:val="clear" w:color="auto" w:fill="FFFFFF"/>
          <w:vertAlign w:val="superscript"/>
        </w:rPr>
        <w:t xml:space="preserve">17] </w:t>
      </w:r>
      <w:r w:rsidRPr="00E0378B">
        <w:rPr>
          <w:rFonts w:ascii="Book Antiqua" w:eastAsia="Book Antiqua" w:hAnsi="Book Antiqua" w:cs="Book Antiqua"/>
          <w:color w:val="000000"/>
        </w:rPr>
        <w:t>(Figure</w:t>
      </w:r>
      <w:r w:rsidRPr="00E0378B">
        <w:rPr>
          <w:rFonts w:ascii="Book Antiqua" w:eastAsia="SimSun" w:hAnsi="Book Antiqua" w:cs="Book Antiqua"/>
          <w:color w:val="000000"/>
          <w:lang w:eastAsia="zh-CN"/>
        </w:rPr>
        <w:t xml:space="preserve"> 1</w:t>
      </w:r>
      <w:r w:rsidRPr="00E0378B">
        <w:rPr>
          <w:rFonts w:ascii="Book Antiqua" w:eastAsia="Book Antiqua" w:hAnsi="Book Antiqua" w:cs="Book Antiqua"/>
          <w:color w:val="000000"/>
        </w:rPr>
        <w:t>).</w:t>
      </w:r>
      <w:r w:rsidRPr="00E0378B">
        <w:rPr>
          <w:rFonts w:ascii="Book Antiqua" w:eastAsia="SimSun" w:hAnsi="Book Antiqua" w:cs="Book Antiqua"/>
          <w:color w:val="000000"/>
          <w:lang w:eastAsia="zh-CN"/>
        </w:rPr>
        <w:t xml:space="preserve"> </w:t>
      </w:r>
      <w:r w:rsidRPr="00E0378B">
        <w:rPr>
          <w:rFonts w:ascii="Book Antiqua" w:eastAsia="Book Antiqua" w:hAnsi="Book Antiqua" w:cs="Book Antiqua"/>
          <w:color w:val="000000"/>
        </w:rPr>
        <w:t xml:space="preserve">The timely use of reperfusion strategies could potentially improve survival among women. For example, data from the French FAST-MI registry showed that although 1-year mortality was significantly decreased for both men and women due to primary PCI, primary PCI was an independent predictor of 1-year survival among women </w:t>
      </w:r>
      <w:r w:rsidR="005D625E">
        <w:rPr>
          <w:rFonts w:ascii="Book Antiqua" w:eastAsia="Book Antiqua" w:hAnsi="Book Antiqua" w:cs="Book Antiqua"/>
          <w:color w:val="000000"/>
        </w:rPr>
        <w:t>(</w:t>
      </w:r>
      <w:r w:rsidRPr="00E0378B">
        <w:rPr>
          <w:rFonts w:ascii="Book Antiqua" w:eastAsia="Book Antiqua" w:hAnsi="Book Antiqua" w:cs="Book Antiqua"/>
          <w:color w:val="000000"/>
        </w:rPr>
        <w:t xml:space="preserve">hazard ratio </w:t>
      </w:r>
      <w:r w:rsidR="005D625E">
        <w:rPr>
          <w:rFonts w:ascii="Book Antiqua" w:eastAsia="Book Antiqua" w:hAnsi="Book Antiqua" w:cs="Book Antiqua"/>
          <w:color w:val="000000"/>
        </w:rPr>
        <w:t>[</w:t>
      </w:r>
      <w:r w:rsidRPr="00E0378B">
        <w:rPr>
          <w:rFonts w:ascii="Book Antiqua" w:eastAsia="Book Antiqua" w:hAnsi="Book Antiqua" w:cs="Book Antiqua"/>
          <w:color w:val="000000"/>
        </w:rPr>
        <w:t>HR</w:t>
      </w:r>
      <w:r w:rsidR="005D625E">
        <w:rPr>
          <w:rFonts w:ascii="Book Antiqua" w:eastAsia="Book Antiqua" w:hAnsi="Book Antiqua" w:cs="Book Antiqua"/>
          <w:color w:val="000000"/>
        </w:rPr>
        <w:t>]</w:t>
      </w:r>
      <w:r w:rsidRPr="00E0378B">
        <w:rPr>
          <w:rFonts w:ascii="Book Antiqua" w:eastAsia="Book Antiqua" w:hAnsi="Book Antiqua" w:cs="Book Antiqua"/>
          <w:color w:val="000000"/>
        </w:rPr>
        <w:t xml:space="preserve"> 0.55, 95%CI: 0.37-0.81</w:t>
      </w:r>
      <w:r w:rsidR="005D625E">
        <w:rPr>
          <w:rFonts w:ascii="Book Antiqua" w:eastAsia="Book Antiqua" w:hAnsi="Book Antiqua" w:cs="Book Antiqua"/>
          <w:color w:val="000000"/>
        </w:rPr>
        <w:t>)</w:t>
      </w:r>
      <w:r w:rsidRPr="00E0378B">
        <w:rPr>
          <w:rFonts w:ascii="Book Antiqua" w:eastAsia="Book Antiqua" w:hAnsi="Book Antiqua" w:cs="Book Antiqua"/>
          <w:color w:val="000000"/>
        </w:rPr>
        <w:t>, but not men (HR 0.85, 95%CI: 0.61-1.</w:t>
      </w:r>
      <w:proofErr w:type="gramStart"/>
      <w:r w:rsidRPr="00E0378B">
        <w:rPr>
          <w:rFonts w:ascii="Book Antiqua" w:eastAsia="Book Antiqua" w:hAnsi="Book Antiqua" w:cs="Book Antiqua"/>
          <w:color w:val="000000"/>
        </w:rPr>
        <w:t>19)</w:t>
      </w:r>
      <w:r w:rsidR="000E3549"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shd w:val="clear" w:color="auto" w:fill="FFFFFF"/>
          <w:vertAlign w:val="superscript"/>
        </w:rPr>
        <w:t>9]</w:t>
      </w:r>
      <w:r w:rsidRPr="00E0378B">
        <w:rPr>
          <w:rFonts w:ascii="Book Antiqua" w:eastAsia="Book Antiqua" w:hAnsi="Book Antiqua" w:cs="Book Antiqua"/>
          <w:color w:val="000000"/>
          <w:shd w:val="clear" w:color="auto" w:fill="FFFFFF"/>
        </w:rPr>
        <w:t xml:space="preserve">. </w:t>
      </w:r>
    </w:p>
    <w:p w14:paraId="687C704D" w14:textId="102884D8" w:rsidR="007624E7" w:rsidRPr="00E0378B" w:rsidRDefault="005379C5" w:rsidP="00971D82">
      <w:pPr>
        <w:adjustRightInd w:val="0"/>
        <w:snapToGrid w:val="0"/>
        <w:spacing w:line="360" w:lineRule="auto"/>
        <w:ind w:firstLineChars="112" w:firstLine="269"/>
        <w:jc w:val="both"/>
        <w:rPr>
          <w:rFonts w:ascii="Book Antiqua" w:hAnsi="Book Antiqua"/>
        </w:rPr>
      </w:pPr>
      <w:r w:rsidRPr="00E0378B">
        <w:rPr>
          <w:rFonts w:ascii="Book Antiqua" w:eastAsia="Book Antiqua" w:hAnsi="Book Antiqua" w:cs="Book Antiqua"/>
          <w:color w:val="000000"/>
          <w:shd w:val="clear" w:color="auto" w:fill="FFFFFF"/>
        </w:rPr>
        <w:t>Secondary analyses of randomized trials of cardiogenic shock in the setting of AMI have also suggested that there was no difference in treatment effect based on sex</w:t>
      </w:r>
      <w:r w:rsidR="000E3549" w:rsidRPr="00E0378B">
        <w:rPr>
          <w:rFonts w:ascii="Book Antiqua" w:eastAsia="Book Antiqua" w:hAnsi="Book Antiqua" w:cs="Book Antiqua"/>
          <w:color w:val="000000"/>
          <w:shd w:val="clear" w:color="auto" w:fill="FFFFFF"/>
          <w:vertAlign w:val="superscript"/>
        </w:rPr>
        <w:t>[</w:t>
      </w:r>
      <w:r w:rsidRPr="00E0378B">
        <w:rPr>
          <w:rFonts w:ascii="Book Antiqua" w:eastAsia="Book Antiqua" w:hAnsi="Book Antiqua" w:cs="Book Antiqua"/>
          <w:color w:val="000000"/>
          <w:shd w:val="clear" w:color="auto" w:fill="FFFFFF"/>
          <w:vertAlign w:val="superscript"/>
        </w:rPr>
        <w:t>19-21]</w:t>
      </w:r>
      <w:r w:rsidRPr="00E0378B">
        <w:rPr>
          <w:rFonts w:ascii="Book Antiqua" w:eastAsia="Book Antiqua" w:hAnsi="Book Antiqua" w:cs="Book Antiqua"/>
          <w:color w:val="000000"/>
          <w:shd w:val="clear" w:color="auto" w:fill="FFFFFF"/>
        </w:rPr>
        <w:t>. As such</w:t>
      </w:r>
      <w:r w:rsidR="005D625E">
        <w:rPr>
          <w:rFonts w:ascii="Book Antiqua" w:eastAsia="Book Antiqua" w:hAnsi="Book Antiqua" w:cs="Book Antiqua"/>
          <w:color w:val="000000"/>
          <w:shd w:val="clear" w:color="auto" w:fill="FFFFFF"/>
        </w:rPr>
        <w:t>,</w:t>
      </w:r>
      <w:r w:rsidRPr="00E0378B">
        <w:rPr>
          <w:rFonts w:ascii="Book Antiqua" w:eastAsia="Book Antiqua" w:hAnsi="Book Antiqua" w:cs="Book Antiqua"/>
          <w:color w:val="000000"/>
          <w:shd w:val="clear" w:color="auto" w:fill="FFFFFF"/>
        </w:rPr>
        <w:t xml:space="preserve"> these findings support the notion that women should be treated similar to men (</w:t>
      </w:r>
      <w:proofErr w:type="gramStart"/>
      <w:r w:rsidRPr="00E0378B">
        <w:rPr>
          <w:rFonts w:ascii="Book Antiqua" w:eastAsia="Book Antiqua" w:hAnsi="Book Antiqua" w:cs="Book Antiqua"/>
          <w:i/>
          <w:iCs/>
          <w:color w:val="000000"/>
          <w:shd w:val="clear" w:color="auto" w:fill="FFFFFF"/>
        </w:rPr>
        <w:t>i.e.</w:t>
      </w:r>
      <w:proofErr w:type="gramEnd"/>
      <w:r w:rsidR="005D625E">
        <w:rPr>
          <w:rFonts w:ascii="Book Antiqua" w:eastAsia="Book Antiqua" w:hAnsi="Book Antiqua" w:cs="Book Antiqua"/>
          <w:color w:val="000000"/>
          <w:shd w:val="clear" w:color="auto" w:fill="FFFFFF"/>
        </w:rPr>
        <w:t xml:space="preserve"> </w:t>
      </w:r>
      <w:r w:rsidRPr="00E0378B">
        <w:rPr>
          <w:rFonts w:ascii="Book Antiqua" w:eastAsia="Book Antiqua" w:hAnsi="Book Antiqua" w:cs="Book Antiqua"/>
          <w:color w:val="000000"/>
          <w:shd w:val="clear" w:color="auto" w:fill="FFFFFF"/>
        </w:rPr>
        <w:t>timely reperfusion, and consideration of mechanical circulatory support devices if indicated). Noteworthy, despite the higher prevalence of cardiogenic shock among women in many studies, women have consistently been underrepresented in these interventional trials. While women in the SHOCK and IABP-SHOCK-II trials comprised 32% and 31% of the participants</w:t>
      </w:r>
      <w:r w:rsidR="005D625E">
        <w:rPr>
          <w:rFonts w:ascii="Book Antiqua" w:eastAsia="Book Antiqua" w:hAnsi="Book Antiqua" w:cs="Book Antiqua"/>
          <w:color w:val="000000"/>
          <w:shd w:val="clear" w:color="auto" w:fill="FFFFFF"/>
        </w:rPr>
        <w:t>,</w:t>
      </w:r>
      <w:r w:rsidRPr="00E0378B">
        <w:rPr>
          <w:rFonts w:ascii="Book Antiqua" w:eastAsia="Book Antiqua" w:hAnsi="Book Antiqua" w:cs="Book Antiqua"/>
          <w:color w:val="000000"/>
          <w:shd w:val="clear" w:color="auto" w:fill="FFFFFF"/>
        </w:rPr>
        <w:t xml:space="preserve"> respectively, women constituted only 24% of the study population in the CULPRIT SHOCK trial that was conducted about 2 decades later.</w:t>
      </w:r>
    </w:p>
    <w:p w14:paraId="08ED15D7" w14:textId="77777777" w:rsidR="007624E7" w:rsidRPr="00E0378B" w:rsidRDefault="007624E7" w:rsidP="00E0378B">
      <w:pPr>
        <w:adjustRightInd w:val="0"/>
        <w:snapToGrid w:val="0"/>
        <w:spacing w:line="360" w:lineRule="auto"/>
        <w:jc w:val="both"/>
        <w:rPr>
          <w:rFonts w:ascii="Book Antiqua" w:hAnsi="Book Antiqua"/>
        </w:rPr>
      </w:pPr>
    </w:p>
    <w:p w14:paraId="0A6B80BF" w14:textId="68B80D49"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aps/>
          <w:color w:val="000000"/>
          <w:u w:val="single"/>
        </w:rPr>
        <w:lastRenderedPageBreak/>
        <w:t>Challenges and potential solutions</w:t>
      </w:r>
    </w:p>
    <w:p w14:paraId="5936D63C" w14:textId="32A3E4F6"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shd w:val="clear" w:color="auto" w:fill="FFFFFF"/>
        </w:rPr>
        <w:t xml:space="preserve">Sex-based differences exist in the clinical presentation of AMI and might subsequently result in treatment delays. Women </w:t>
      </w:r>
      <w:r w:rsidR="00977E84" w:rsidRPr="00E0378B">
        <w:rPr>
          <w:rFonts w:ascii="Book Antiqua" w:eastAsia="Book Antiqua" w:hAnsi="Book Antiqua" w:cs="Book Antiqua"/>
          <w:color w:val="000000"/>
          <w:shd w:val="clear" w:color="auto" w:fill="FFFFFF"/>
        </w:rPr>
        <w:t>often</w:t>
      </w:r>
      <w:r w:rsidRPr="00E0378B">
        <w:rPr>
          <w:rFonts w:ascii="Book Antiqua" w:eastAsia="Book Antiqua" w:hAnsi="Book Antiqua" w:cs="Book Antiqua"/>
          <w:color w:val="000000"/>
          <w:shd w:val="clear" w:color="auto" w:fill="FFFFFF"/>
        </w:rPr>
        <w:t xml:space="preserve"> present </w:t>
      </w:r>
      <w:r w:rsidR="00977E84" w:rsidRPr="00E0378B">
        <w:rPr>
          <w:rFonts w:ascii="Book Antiqua" w:eastAsia="Book Antiqua" w:hAnsi="Book Antiqua" w:cs="Book Antiqua"/>
          <w:color w:val="000000"/>
          <w:shd w:val="clear" w:color="auto" w:fill="FFFFFF"/>
        </w:rPr>
        <w:t>late</w:t>
      </w:r>
      <w:r w:rsidRPr="00E0378B">
        <w:rPr>
          <w:rFonts w:ascii="Book Antiqua" w:eastAsia="Book Antiqua" w:hAnsi="Book Antiqua" w:cs="Book Antiqua"/>
          <w:color w:val="000000"/>
          <w:shd w:val="clear" w:color="auto" w:fill="FFFFFF"/>
        </w:rPr>
        <w:t xml:space="preserve"> and </w:t>
      </w:r>
      <w:r w:rsidR="00977E84" w:rsidRPr="00E0378B">
        <w:rPr>
          <w:rFonts w:ascii="Book Antiqua" w:eastAsia="Book Antiqua" w:hAnsi="Book Antiqua" w:cs="Book Antiqua"/>
          <w:color w:val="000000"/>
          <w:shd w:val="clear" w:color="auto" w:fill="FFFFFF"/>
        </w:rPr>
        <w:t xml:space="preserve">with </w:t>
      </w:r>
      <w:r w:rsidRPr="00E0378B">
        <w:rPr>
          <w:rFonts w:ascii="Book Antiqua" w:eastAsia="Book Antiqua" w:hAnsi="Book Antiqua" w:cs="Book Antiqua"/>
          <w:color w:val="000000"/>
          <w:shd w:val="clear" w:color="auto" w:fill="FFFFFF"/>
        </w:rPr>
        <w:t xml:space="preserve">non-classical symptoms of AMI and thus are often misdiagnosed resulting in delays in care, and potentially </w:t>
      </w:r>
      <w:r w:rsidR="00977E84" w:rsidRPr="00E0378B">
        <w:rPr>
          <w:rFonts w:ascii="Book Antiqua" w:eastAsia="Book Antiqua" w:hAnsi="Book Antiqua" w:cs="Book Antiqua"/>
          <w:color w:val="000000"/>
          <w:shd w:val="clear" w:color="auto" w:fill="FFFFFF"/>
        </w:rPr>
        <w:t xml:space="preserve">preventable </w:t>
      </w:r>
      <w:r w:rsidRPr="00E0378B">
        <w:rPr>
          <w:rFonts w:ascii="Book Antiqua" w:eastAsia="Book Antiqua" w:hAnsi="Book Antiqua" w:cs="Book Antiqua"/>
          <w:color w:val="000000"/>
          <w:shd w:val="clear" w:color="auto" w:fill="FFFFFF"/>
        </w:rPr>
        <w:t xml:space="preserve">adverse outcomes. </w:t>
      </w:r>
      <w:r w:rsidRPr="00E0378B">
        <w:rPr>
          <w:rFonts w:ascii="Book Antiqua" w:eastAsia="Book Antiqua" w:hAnsi="Book Antiqua" w:cs="Book Antiqua"/>
          <w:color w:val="000000"/>
        </w:rPr>
        <w:t>This highlights the importance of using objective measures of risk stratification among patients with suspected AMI. Minimizing provider bias together with focusing on</w:t>
      </w:r>
      <w:r w:rsidRPr="00E0378B">
        <w:rPr>
          <w:rFonts w:ascii="Book Antiqua" w:eastAsia="Book Antiqua" w:hAnsi="Book Antiqua" w:cs="Book Antiqua"/>
          <w:color w:val="000000"/>
          <w:shd w:val="clear" w:color="auto" w:fill="FFFFFF"/>
        </w:rPr>
        <w:t xml:space="preserve"> educating women at risk about the symptoms of AMI warrant priority. </w:t>
      </w:r>
    </w:p>
    <w:p w14:paraId="27C59424" w14:textId="5493721B" w:rsidR="007624E7" w:rsidRPr="00E0378B" w:rsidRDefault="005379C5" w:rsidP="00971D82">
      <w:pPr>
        <w:adjustRightInd w:val="0"/>
        <w:snapToGrid w:val="0"/>
        <w:spacing w:line="360" w:lineRule="auto"/>
        <w:ind w:firstLineChars="112" w:firstLine="269"/>
        <w:jc w:val="both"/>
        <w:rPr>
          <w:rFonts w:ascii="Book Antiqua" w:hAnsi="Book Antiqua"/>
        </w:rPr>
      </w:pPr>
      <w:r w:rsidRPr="00E0378B">
        <w:rPr>
          <w:rFonts w:ascii="Book Antiqua" w:eastAsia="Book Antiqua" w:hAnsi="Book Antiqua" w:cs="Book Antiqua"/>
          <w:color w:val="000000"/>
        </w:rPr>
        <w:t xml:space="preserve">With regards to clinical trials pertinent to cardiogenic shock in the setting of AMI, women continue to be underrepresented </w:t>
      </w:r>
      <w:r w:rsidRPr="00E0378B">
        <w:rPr>
          <w:rFonts w:ascii="Book Antiqua" w:eastAsia="Book Antiqua" w:hAnsi="Book Antiqua" w:cs="Book Antiqua"/>
          <w:color w:val="000000"/>
          <w:shd w:val="clear" w:color="auto" w:fill="FCFCFC"/>
        </w:rPr>
        <w:t>despite a higher incidence of cardiogenic shock among women in many studies. Clinical trials form the foundation for guidelines that shape our clinical practice, and the</w:t>
      </w:r>
      <w:r w:rsidRPr="00E0378B">
        <w:rPr>
          <w:rFonts w:ascii="Book Antiqua" w:eastAsia="Book Antiqua" w:hAnsi="Book Antiqua" w:cs="Book Antiqua"/>
          <w:color w:val="000000"/>
          <w:shd w:val="clear" w:color="auto" w:fill="FFFFFF"/>
        </w:rPr>
        <w:t xml:space="preserve"> underrepresentation of women can result in some important information deficits with regards to management and outcomes. Well-designed clinical research studies with adequate women representation will ensure unbiased and reliable findings to guide clinical decision. A</w:t>
      </w:r>
      <w:r w:rsidR="005D625E">
        <w:rPr>
          <w:rFonts w:ascii="Book Antiqua" w:eastAsia="Book Antiqua" w:hAnsi="Book Antiqua" w:cs="Book Antiqua"/>
          <w:color w:val="000000"/>
          <w:shd w:val="clear" w:color="auto" w:fill="FFFFFF"/>
        </w:rPr>
        <w:t>n a</w:t>
      </w:r>
      <w:r w:rsidRPr="00E0378B">
        <w:rPr>
          <w:rFonts w:ascii="Book Antiqua" w:eastAsia="Book Antiqua" w:hAnsi="Book Antiqua" w:cs="Book Antiqua"/>
          <w:color w:val="000000"/>
          <w:shd w:val="clear" w:color="auto" w:fill="FFFFFF"/>
        </w:rPr>
        <w:t>dequate representative sample is necessary for sex-based comparative analysis of the interventional strategy/therapy, as well as the outcomes. In this regard, there is a need to examine the role of sex-based differences in socioeconomic, logistic and enrollment barriers that might impede a proportionate representation of women</w:t>
      </w:r>
      <w:r w:rsidR="000E3549" w:rsidRPr="00E0378B">
        <w:rPr>
          <w:rFonts w:ascii="Book Antiqua" w:eastAsia="Book Antiqua" w:hAnsi="Book Antiqua" w:cs="Book Antiqua"/>
          <w:color w:val="000000"/>
          <w:shd w:val="clear" w:color="auto" w:fill="FFFFFF"/>
          <w:vertAlign w:val="superscript"/>
        </w:rPr>
        <w:t>[</w:t>
      </w:r>
      <w:r w:rsidRPr="00E0378B">
        <w:rPr>
          <w:rFonts w:ascii="Book Antiqua" w:eastAsia="Book Antiqua" w:hAnsi="Book Antiqua" w:cs="Book Antiqua"/>
          <w:color w:val="000000"/>
          <w:shd w:val="clear" w:color="auto" w:fill="FFFFFF"/>
          <w:vertAlign w:val="superscript"/>
        </w:rPr>
        <w:t>22]</w:t>
      </w:r>
      <w:r w:rsidRPr="00E0378B">
        <w:rPr>
          <w:rFonts w:ascii="Book Antiqua" w:eastAsia="Book Antiqua" w:hAnsi="Book Antiqua" w:cs="Book Antiqua"/>
          <w:color w:val="000000"/>
          <w:shd w:val="clear" w:color="auto" w:fill="FFFFFF"/>
        </w:rPr>
        <w:t xml:space="preserve">. </w:t>
      </w:r>
    </w:p>
    <w:p w14:paraId="61D0E279" w14:textId="77777777" w:rsidR="007624E7" w:rsidRPr="00E0378B" w:rsidRDefault="007624E7" w:rsidP="00E0378B">
      <w:pPr>
        <w:adjustRightInd w:val="0"/>
        <w:snapToGrid w:val="0"/>
        <w:spacing w:line="360" w:lineRule="auto"/>
        <w:jc w:val="both"/>
        <w:rPr>
          <w:rFonts w:ascii="Book Antiqua" w:hAnsi="Book Antiqua"/>
        </w:rPr>
      </w:pPr>
    </w:p>
    <w:p w14:paraId="258D1B0B" w14:textId="5B4C3C3A"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aps/>
          <w:color w:val="000000"/>
          <w:u w:val="single"/>
          <w:shd w:val="clear" w:color="auto" w:fill="FFFFFF"/>
        </w:rPr>
        <w:t>Clinical implications and clinical practice</w:t>
      </w:r>
    </w:p>
    <w:p w14:paraId="31533BBB" w14:textId="378D4D40"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shd w:val="clear" w:color="auto" w:fill="FFFFFF"/>
        </w:rPr>
        <w:t>Women, despite having higher comorbidity and varied symptom manifestation, derive similar benefit with guideline-directed management as men. This important message needs to be translated into action and reflected in our clinical practice, where unfortunately women are seen more often to be misdiagnosed and undertreated than men, resulting in worse outcomes. In the real world, there is a need to identify and address individual-based and system-based factors that trigger unconscious biases and impede the provision of high-quality and equitable healthcare irrespective of the sex differences. Since women with AMI have a higher cardiovascular risk profile and</w:t>
      </w:r>
      <w:r w:rsidR="00977E84" w:rsidRPr="00E0378B">
        <w:rPr>
          <w:rFonts w:ascii="Book Antiqua" w:eastAsia="Book Antiqua" w:hAnsi="Book Antiqua" w:cs="Book Antiqua"/>
          <w:color w:val="000000"/>
          <w:shd w:val="clear" w:color="auto" w:fill="FFFFFF"/>
        </w:rPr>
        <w:t xml:space="preserve"> sometimes</w:t>
      </w:r>
      <w:r w:rsidRPr="00E0378B">
        <w:rPr>
          <w:rFonts w:ascii="Book Antiqua" w:eastAsia="Book Antiqua" w:hAnsi="Book Antiqua" w:cs="Book Antiqua"/>
          <w:color w:val="000000"/>
          <w:shd w:val="clear" w:color="auto" w:fill="FFFFFF"/>
        </w:rPr>
        <w:t xml:space="preserve"> delayed presentations than men, clinicians are required to keep a lower </w:t>
      </w:r>
      <w:r w:rsidRPr="00E0378B">
        <w:rPr>
          <w:rFonts w:ascii="Book Antiqua" w:eastAsia="Book Antiqua" w:hAnsi="Book Antiqua" w:cs="Book Antiqua"/>
          <w:color w:val="000000"/>
          <w:shd w:val="clear" w:color="auto" w:fill="FFFFFF"/>
        </w:rPr>
        <w:lastRenderedPageBreak/>
        <w:t xml:space="preserve">threshold for initiating work-up for diagnosis, and institute prompt delivery of care and employ aggressive treatment strategies when indicated. </w:t>
      </w:r>
    </w:p>
    <w:p w14:paraId="61273A64" w14:textId="1C0AD30C" w:rsidR="007624E7" w:rsidRPr="00E0378B" w:rsidRDefault="005379C5" w:rsidP="00971D82">
      <w:pPr>
        <w:adjustRightInd w:val="0"/>
        <w:snapToGrid w:val="0"/>
        <w:spacing w:line="360" w:lineRule="auto"/>
        <w:ind w:firstLineChars="112" w:firstLine="269"/>
        <w:jc w:val="both"/>
        <w:rPr>
          <w:rFonts w:ascii="Book Antiqua" w:hAnsi="Book Antiqua"/>
        </w:rPr>
      </w:pPr>
      <w:r w:rsidRPr="00E0378B">
        <w:rPr>
          <w:rFonts w:ascii="Book Antiqua" w:eastAsia="Book Antiqua" w:hAnsi="Book Antiqua" w:cs="Book Antiqua"/>
          <w:color w:val="000000"/>
          <w:shd w:val="clear" w:color="auto" w:fill="FFFFFF"/>
        </w:rPr>
        <w:t>In the meantime, there is a need to increase awareness among women to identify symptoms, and to seek immediate care. It is essential to emphasize both primary and secondary preventative strategies that are appropriate for women from numerous backgrounds, and could be applicable in various clinical settings. The foremost step towards personalized medicine involves paying attention to sex-specific details and recognizing sex-disparity in the clinical settings, which will help improve awareness, diagnosis, treatment and eventually outcomes in women.</w:t>
      </w:r>
    </w:p>
    <w:p w14:paraId="38F7F6C7" w14:textId="77777777" w:rsidR="007624E7" w:rsidRPr="00E0378B" w:rsidRDefault="007624E7" w:rsidP="00E0378B">
      <w:pPr>
        <w:adjustRightInd w:val="0"/>
        <w:snapToGrid w:val="0"/>
        <w:spacing w:line="360" w:lineRule="auto"/>
        <w:jc w:val="both"/>
        <w:rPr>
          <w:rFonts w:ascii="Book Antiqua" w:hAnsi="Book Antiqua"/>
        </w:rPr>
      </w:pPr>
    </w:p>
    <w:p w14:paraId="1BC31214" w14:textId="77777777"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aps/>
          <w:color w:val="000000"/>
          <w:u w:val="single"/>
        </w:rPr>
        <w:t>CONCLUSION</w:t>
      </w:r>
    </w:p>
    <w:p w14:paraId="25993E51" w14:textId="42D9691D"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Cardiogenic shock is the leading cause of death among AMI patients. Sex disparity in the management and outcomes of patients with cardiogenic shock in the setting of AMI exist. Although some studies indicate that cardiogenic shock occurs more frequently among women, women do not receive adequate management as evidenced by the lower rates compared of revascularization and mechanical circulatory support devices. Given these differences, women continue to experience worse outcomes. Future studies are needed to understand the reasons behind these differences and effort should be made to minimize these disparities.</w:t>
      </w:r>
    </w:p>
    <w:p w14:paraId="02F873FC" w14:textId="77777777" w:rsidR="007624E7" w:rsidRPr="00E0378B" w:rsidRDefault="005379C5" w:rsidP="00E0378B">
      <w:pPr>
        <w:adjustRightInd w:val="0"/>
        <w:snapToGrid w:val="0"/>
        <w:spacing w:line="360" w:lineRule="auto"/>
        <w:jc w:val="both"/>
        <w:rPr>
          <w:rFonts w:ascii="Book Antiqua" w:hAnsi="Book Antiqua"/>
        </w:rPr>
      </w:pPr>
      <w:r w:rsidRPr="00E0378B">
        <w:rPr>
          <w:rFonts w:ascii="Book Antiqua" w:hAnsi="Book Antiqua"/>
        </w:rPr>
        <w:br w:type="page"/>
      </w:r>
      <w:r w:rsidRPr="00E0378B">
        <w:rPr>
          <w:rFonts w:ascii="Book Antiqua" w:eastAsia="Book Antiqua" w:hAnsi="Book Antiqua" w:cs="Book Antiqua"/>
          <w:b/>
          <w:color w:val="000000"/>
        </w:rPr>
        <w:lastRenderedPageBreak/>
        <w:t>REFERENCES</w:t>
      </w:r>
    </w:p>
    <w:p w14:paraId="346C504C" w14:textId="11D84137"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bookmarkStart w:id="1" w:name="OLE_LINK11"/>
      <w:r w:rsidRPr="00E0378B">
        <w:rPr>
          <w:rFonts w:ascii="Book Antiqua" w:hAnsi="Book Antiqua"/>
          <w:color w:val="201F35"/>
        </w:rPr>
        <w:t xml:space="preserve">1 </w:t>
      </w:r>
      <w:r w:rsidRPr="00E0378B">
        <w:rPr>
          <w:rFonts w:ascii="Book Antiqua" w:hAnsi="Book Antiqua"/>
          <w:b/>
          <w:bCs/>
          <w:color w:val="201F35"/>
        </w:rPr>
        <w:t>Virani SS</w:t>
      </w:r>
      <w:r w:rsidRPr="00E0378B">
        <w:rPr>
          <w:rFonts w:ascii="Book Antiqua" w:hAnsi="Book Antiqua"/>
          <w:color w:val="201F35"/>
        </w:rPr>
        <w:t xml:space="preserve">, Alonso A, Aparicio HJ, Benjamin EJ, Bittencourt MS, Callaway CW, Carson AP, Chamberlain AM, Cheng S, Delling FN, Elkind MSV, Evenson KR, Ferguson JF, Gupta DK, Khan SS, Kissela BM, Knutson KL, Lee CD, Lewis TT, Liu J, Loop MS, Lutsey PL, Ma J, Mackey J, Martin SS, Matchar DB, Mussolino ME, Navaneethan SD, Perak AM, Roth GA, Samad Z, Satou GM, Schroeder EB, Shah SH, Shay CM, Stokes A, VanWagner LB, Wang NY, Tsao CW; American Heart Association Council on Epidemiology and Prevention Statistics Committee and Stroke Statistics Subcommittee. Heart Disease and Stroke Statistics-2021 Update: A Report From the American Heart Association. </w:t>
      </w:r>
      <w:r w:rsidRPr="00E0378B">
        <w:rPr>
          <w:rFonts w:ascii="Book Antiqua" w:hAnsi="Book Antiqua"/>
          <w:i/>
          <w:iCs/>
          <w:color w:val="201F35"/>
        </w:rPr>
        <w:t>Circulation</w:t>
      </w:r>
      <w:r w:rsidRPr="00E0378B">
        <w:rPr>
          <w:rFonts w:ascii="Book Antiqua" w:hAnsi="Book Antiqua"/>
          <w:color w:val="201F35"/>
        </w:rPr>
        <w:t xml:space="preserve"> 2021; </w:t>
      </w:r>
      <w:r w:rsidRPr="00E0378B">
        <w:rPr>
          <w:rFonts w:ascii="Book Antiqua" w:hAnsi="Book Antiqua"/>
          <w:b/>
          <w:bCs/>
          <w:color w:val="201F35"/>
        </w:rPr>
        <w:t>143</w:t>
      </w:r>
      <w:r w:rsidRPr="00E0378B">
        <w:rPr>
          <w:rFonts w:ascii="Book Antiqua" w:hAnsi="Book Antiqua"/>
          <w:color w:val="201F35"/>
        </w:rPr>
        <w:t>: e254-e743 [PMID: 33501848 DOI: 10.1161/CIR.0000000000000950]</w:t>
      </w:r>
    </w:p>
    <w:p w14:paraId="3A5132B3" w14:textId="7E4574E3"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2 </w:t>
      </w:r>
      <w:r w:rsidRPr="00E0378B">
        <w:rPr>
          <w:rFonts w:ascii="Book Antiqua" w:hAnsi="Book Antiqua"/>
          <w:b/>
          <w:bCs/>
          <w:color w:val="201F35"/>
        </w:rPr>
        <w:t>Reynolds K</w:t>
      </w:r>
      <w:r w:rsidRPr="00E0378B">
        <w:rPr>
          <w:rFonts w:ascii="Book Antiqua" w:hAnsi="Book Antiqua"/>
          <w:color w:val="201F35"/>
        </w:rPr>
        <w:t xml:space="preserve">, Go AS, Leong TK, Boudreau DM, Cassidy-Bushrow AE, Fortmann SP, Goldberg RJ, Gurwitz JH, Magid DJ, Margolis KL, McNeal CJ, Newton KM, Novotny R, Quesenberry CP Jr, Rosamond WD, Smith DH, VanWormer JJ, Vupputuri S, Waring SC, Williams MS, Sidney S. Trends in Incidence of Hospitalized Acute Myocardial Infarction in the Cardiovascular Research Network (CVRN). </w:t>
      </w:r>
      <w:r w:rsidRPr="00E0378B">
        <w:rPr>
          <w:rFonts w:ascii="Book Antiqua" w:hAnsi="Book Antiqua"/>
          <w:i/>
          <w:iCs/>
          <w:color w:val="201F35"/>
        </w:rPr>
        <w:t>Am J Med</w:t>
      </w:r>
      <w:r w:rsidRPr="00E0378B">
        <w:rPr>
          <w:rFonts w:ascii="Book Antiqua" w:hAnsi="Book Antiqua"/>
          <w:color w:val="201F35"/>
        </w:rPr>
        <w:t xml:space="preserve"> 2017; </w:t>
      </w:r>
      <w:r w:rsidRPr="00E0378B">
        <w:rPr>
          <w:rFonts w:ascii="Book Antiqua" w:hAnsi="Book Antiqua"/>
          <w:b/>
          <w:bCs/>
          <w:color w:val="201F35"/>
        </w:rPr>
        <w:t>130</w:t>
      </w:r>
      <w:r w:rsidRPr="00E0378B">
        <w:rPr>
          <w:rFonts w:ascii="Book Antiqua" w:hAnsi="Book Antiqua"/>
          <w:color w:val="201F35"/>
        </w:rPr>
        <w:t>: 317-327 [PMID: 27751900 DOI: 10.1016/j.amjmed.2016.09.014]</w:t>
      </w:r>
    </w:p>
    <w:p w14:paraId="5812D49E" w14:textId="0F3489A9"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3 </w:t>
      </w:r>
      <w:r w:rsidRPr="00E0378B">
        <w:rPr>
          <w:rFonts w:ascii="Book Antiqua" w:hAnsi="Book Antiqua"/>
          <w:b/>
          <w:bCs/>
          <w:color w:val="201F35"/>
        </w:rPr>
        <w:t>Pedersen F</w:t>
      </w:r>
      <w:r w:rsidRPr="00E0378B">
        <w:rPr>
          <w:rFonts w:ascii="Book Antiqua" w:hAnsi="Book Antiqua"/>
          <w:color w:val="201F35"/>
        </w:rPr>
        <w:t xml:space="preserve">, Butrymovich V, Kelbæk H, Wachtell K, Helqvist S, Kastrup J, Holmvang L, Clemmensen P, Engstrøm T, Grande P, Saunamäki K, Jørgensen E. Short- and long-term cause of death in patients treated with primary PCI for STEMI. </w:t>
      </w:r>
      <w:r w:rsidRPr="00E0378B">
        <w:rPr>
          <w:rFonts w:ascii="Book Antiqua" w:hAnsi="Book Antiqua"/>
          <w:i/>
          <w:iCs/>
          <w:color w:val="201F35"/>
        </w:rPr>
        <w:t>J Am Coll Cardiol</w:t>
      </w:r>
      <w:r w:rsidRPr="00E0378B">
        <w:rPr>
          <w:rFonts w:ascii="Book Antiqua" w:hAnsi="Book Antiqua"/>
          <w:color w:val="201F35"/>
        </w:rPr>
        <w:t xml:space="preserve"> 2014; </w:t>
      </w:r>
      <w:r w:rsidRPr="00E0378B">
        <w:rPr>
          <w:rFonts w:ascii="Book Antiqua" w:hAnsi="Book Antiqua"/>
          <w:b/>
          <w:bCs/>
          <w:color w:val="201F35"/>
        </w:rPr>
        <w:t>64</w:t>
      </w:r>
      <w:r w:rsidRPr="00E0378B">
        <w:rPr>
          <w:rFonts w:ascii="Book Antiqua" w:hAnsi="Book Antiqua"/>
          <w:color w:val="201F35"/>
        </w:rPr>
        <w:t>: 2101-2108 [PMID: 25457398 DOI: 10.1016/j.jacc.2014.08.037]</w:t>
      </w:r>
    </w:p>
    <w:p w14:paraId="65739833" w14:textId="6690E90B"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4 </w:t>
      </w:r>
      <w:r w:rsidRPr="00E0378B">
        <w:rPr>
          <w:rFonts w:ascii="Book Antiqua" w:hAnsi="Book Antiqua"/>
          <w:b/>
          <w:bCs/>
          <w:color w:val="201F35"/>
        </w:rPr>
        <w:t>Kolte D</w:t>
      </w:r>
      <w:r w:rsidRPr="00E0378B">
        <w:rPr>
          <w:rFonts w:ascii="Book Antiqua" w:hAnsi="Book Antiqua"/>
          <w:color w:val="201F35"/>
        </w:rPr>
        <w:t xml:space="preserve">, Khera S, Aronow WS, Mujib M, Palaniswamy C, Sule S, Jain D, Gotsis W, Ahmed A, Frishman WH, Fonarow GC. Trends in incidence, management, and outcomes of cardiogenic shock complicating ST-elevation myocardial infarction in the United States. </w:t>
      </w:r>
      <w:r w:rsidRPr="00E0378B">
        <w:rPr>
          <w:rFonts w:ascii="Book Antiqua" w:hAnsi="Book Antiqua"/>
          <w:i/>
          <w:iCs/>
          <w:color w:val="201F35"/>
        </w:rPr>
        <w:t>J Am Heart Assoc</w:t>
      </w:r>
      <w:r w:rsidRPr="00E0378B">
        <w:rPr>
          <w:rFonts w:ascii="Book Antiqua" w:hAnsi="Book Antiqua"/>
          <w:color w:val="201F35"/>
        </w:rPr>
        <w:t xml:space="preserve"> 2014; </w:t>
      </w:r>
      <w:r w:rsidRPr="00E0378B">
        <w:rPr>
          <w:rFonts w:ascii="Book Antiqua" w:hAnsi="Book Antiqua"/>
          <w:b/>
          <w:bCs/>
          <w:color w:val="201F35"/>
        </w:rPr>
        <w:t>3</w:t>
      </w:r>
      <w:r w:rsidRPr="00E0378B">
        <w:rPr>
          <w:rFonts w:ascii="Book Antiqua" w:hAnsi="Book Antiqua"/>
          <w:color w:val="201F35"/>
        </w:rPr>
        <w:t>: e000590 [PMID: 24419737 DOI: 10.1161/JAHA.113.000590]</w:t>
      </w:r>
    </w:p>
    <w:p w14:paraId="1EA2BE76" w14:textId="1A8DD6C2"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5 </w:t>
      </w:r>
      <w:r w:rsidRPr="00E0378B">
        <w:rPr>
          <w:rFonts w:ascii="Book Antiqua" w:hAnsi="Book Antiqua"/>
          <w:b/>
          <w:bCs/>
          <w:color w:val="201F35"/>
        </w:rPr>
        <w:t>Elbadawi A</w:t>
      </w:r>
      <w:r w:rsidRPr="00E0378B">
        <w:rPr>
          <w:rFonts w:ascii="Book Antiqua" w:hAnsi="Book Antiqua"/>
          <w:color w:val="201F35"/>
        </w:rPr>
        <w:t xml:space="preserve">, Elgendy IY, Mahmoud K, Barakat AF, Mentias A, Mohamed AH, Ogunbayo GO, Megaly M, Saad M, Omer MA, Paniagua D, Abbott JD, Jneid H. Temporal Trends and Outcomes of Mechanical Complications in Patients With Acute Myocardial Infarction. </w:t>
      </w:r>
      <w:r w:rsidRPr="00E0378B">
        <w:rPr>
          <w:rFonts w:ascii="Book Antiqua" w:hAnsi="Book Antiqua"/>
          <w:i/>
          <w:iCs/>
          <w:color w:val="201F35"/>
        </w:rPr>
        <w:t>JACC Cardiovasc Interv</w:t>
      </w:r>
      <w:r w:rsidRPr="00E0378B">
        <w:rPr>
          <w:rFonts w:ascii="Book Antiqua" w:hAnsi="Book Antiqua"/>
          <w:color w:val="201F35"/>
        </w:rPr>
        <w:t xml:space="preserve"> 2019; </w:t>
      </w:r>
      <w:r w:rsidRPr="00E0378B">
        <w:rPr>
          <w:rFonts w:ascii="Book Antiqua" w:hAnsi="Book Antiqua"/>
          <w:b/>
          <w:bCs/>
          <w:color w:val="201F35"/>
        </w:rPr>
        <w:t>12</w:t>
      </w:r>
      <w:r w:rsidRPr="00E0378B">
        <w:rPr>
          <w:rFonts w:ascii="Book Antiqua" w:hAnsi="Book Antiqua"/>
          <w:color w:val="201F35"/>
        </w:rPr>
        <w:t>: 1825-1836 [PMID: 31537282 DOI: 10.1016/j.jcin.2019.04.039]</w:t>
      </w:r>
    </w:p>
    <w:p w14:paraId="647177DA" w14:textId="032EACCD"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lastRenderedPageBreak/>
        <w:t xml:space="preserve">6 </w:t>
      </w:r>
      <w:r w:rsidRPr="00E0378B">
        <w:rPr>
          <w:rFonts w:ascii="Book Antiqua" w:hAnsi="Book Antiqua"/>
          <w:b/>
          <w:bCs/>
          <w:color w:val="201F35"/>
        </w:rPr>
        <w:t>Goldberg RJ</w:t>
      </w:r>
      <w:r w:rsidRPr="00E0378B">
        <w:rPr>
          <w:rFonts w:ascii="Book Antiqua" w:hAnsi="Book Antiqua"/>
          <w:color w:val="201F35"/>
        </w:rPr>
        <w:t xml:space="preserve">, Samad NA, Yarzebski J, Gurwitz J, Bigelow C, Gore JM. Temporal trends in cardiogenic shock complicating acute myocardial infarction. </w:t>
      </w:r>
      <w:r w:rsidRPr="00E0378B">
        <w:rPr>
          <w:rFonts w:ascii="Book Antiqua" w:hAnsi="Book Antiqua"/>
          <w:i/>
          <w:iCs/>
          <w:color w:val="201F35"/>
        </w:rPr>
        <w:t>N Engl J Med</w:t>
      </w:r>
      <w:r w:rsidRPr="00E0378B">
        <w:rPr>
          <w:rFonts w:ascii="Book Antiqua" w:hAnsi="Book Antiqua"/>
          <w:color w:val="201F35"/>
        </w:rPr>
        <w:t xml:space="preserve"> 1999; </w:t>
      </w:r>
      <w:r w:rsidRPr="00E0378B">
        <w:rPr>
          <w:rFonts w:ascii="Book Antiqua" w:hAnsi="Book Antiqua"/>
          <w:b/>
          <w:bCs/>
          <w:color w:val="201F35"/>
        </w:rPr>
        <w:t>340</w:t>
      </w:r>
      <w:r w:rsidRPr="00E0378B">
        <w:rPr>
          <w:rFonts w:ascii="Book Antiqua" w:hAnsi="Book Antiqua"/>
          <w:color w:val="201F35"/>
        </w:rPr>
        <w:t>: 1162-1168 [PMID: 10202167 DOI: 10.1056/NEJM199904153401504]</w:t>
      </w:r>
    </w:p>
    <w:p w14:paraId="700FCEDE" w14:textId="0EDCE993"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7 </w:t>
      </w:r>
      <w:r w:rsidRPr="00E0378B">
        <w:rPr>
          <w:rFonts w:ascii="Book Antiqua" w:hAnsi="Book Antiqua"/>
          <w:b/>
          <w:bCs/>
          <w:color w:val="201F35"/>
        </w:rPr>
        <w:t>Wayangankar SA</w:t>
      </w:r>
      <w:r w:rsidRPr="00E0378B">
        <w:rPr>
          <w:rFonts w:ascii="Book Antiqua" w:hAnsi="Book Antiqua"/>
          <w:color w:val="201F35"/>
        </w:rPr>
        <w:t xml:space="preserve">, Bangalore S, McCoy LA, Jneid H, Latif F, Karrowni W, Charitakis K, Feldman DN, Dakik HA, Mauri L, Peterson ED, Messenger J, Roe M, Mukherjee D, Klein A. Temporal Trends and Outcomes of Patients Undergoing Percutaneous Coronary Interventions for Cardiogenic Shock in the Setting of Acute Myocardial Infarction: A Report From the CathPCI Registry. </w:t>
      </w:r>
      <w:r w:rsidRPr="00E0378B">
        <w:rPr>
          <w:rFonts w:ascii="Book Antiqua" w:hAnsi="Book Antiqua"/>
          <w:i/>
          <w:iCs/>
          <w:color w:val="201F35"/>
        </w:rPr>
        <w:t>JACC Cardiovasc Interv</w:t>
      </w:r>
      <w:r w:rsidRPr="00E0378B">
        <w:rPr>
          <w:rFonts w:ascii="Book Antiqua" w:hAnsi="Book Antiqua"/>
          <w:color w:val="201F35"/>
        </w:rPr>
        <w:t xml:space="preserve"> 2016; </w:t>
      </w:r>
      <w:r w:rsidRPr="00E0378B">
        <w:rPr>
          <w:rFonts w:ascii="Book Antiqua" w:hAnsi="Book Antiqua"/>
          <w:b/>
          <w:bCs/>
          <w:color w:val="201F35"/>
        </w:rPr>
        <w:t>9</w:t>
      </w:r>
      <w:r w:rsidRPr="00E0378B">
        <w:rPr>
          <w:rFonts w:ascii="Book Antiqua" w:hAnsi="Book Antiqua"/>
          <w:color w:val="201F35"/>
        </w:rPr>
        <w:t>: 341-351 [PMID: 26803418 DOI: 10.1016/j.jcin.2015.10.039]</w:t>
      </w:r>
    </w:p>
    <w:p w14:paraId="29801156" w14:textId="2271DDB9"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8 </w:t>
      </w:r>
      <w:r w:rsidRPr="00E0378B">
        <w:rPr>
          <w:rFonts w:ascii="Book Antiqua" w:hAnsi="Book Antiqua"/>
          <w:b/>
          <w:bCs/>
          <w:color w:val="201F35"/>
        </w:rPr>
        <w:t>Vallabhajosyula S</w:t>
      </w:r>
      <w:r w:rsidRPr="00E0378B">
        <w:rPr>
          <w:rFonts w:ascii="Book Antiqua" w:hAnsi="Book Antiqua"/>
          <w:color w:val="201F35"/>
        </w:rPr>
        <w:t xml:space="preserve">, Vallabhajosyula S, Dunlay SM, Hayes SN, Best PJM, Brenes-Salazar JA, Lerman A, Gersh BJ, Jaffe AS, Bell MR, Holmes DR Jr, Barsness GW. Sex and Gender Disparities in the Management and Outcomes of Acute Myocardial Infarction-Cardiogenic Shock in Older Adults. </w:t>
      </w:r>
      <w:r w:rsidRPr="00E0378B">
        <w:rPr>
          <w:rFonts w:ascii="Book Antiqua" w:hAnsi="Book Antiqua"/>
          <w:i/>
          <w:iCs/>
          <w:color w:val="201F35"/>
        </w:rPr>
        <w:t>Mayo Clin Proc</w:t>
      </w:r>
      <w:r w:rsidRPr="00E0378B">
        <w:rPr>
          <w:rFonts w:ascii="Book Antiqua" w:hAnsi="Book Antiqua"/>
          <w:color w:val="201F35"/>
        </w:rPr>
        <w:t xml:space="preserve"> 2020; </w:t>
      </w:r>
      <w:r w:rsidRPr="00E0378B">
        <w:rPr>
          <w:rFonts w:ascii="Book Antiqua" w:hAnsi="Book Antiqua"/>
          <w:b/>
          <w:bCs/>
          <w:color w:val="201F35"/>
        </w:rPr>
        <w:t>95</w:t>
      </w:r>
      <w:r w:rsidRPr="00E0378B">
        <w:rPr>
          <w:rFonts w:ascii="Book Antiqua" w:hAnsi="Book Antiqua"/>
          <w:color w:val="201F35"/>
        </w:rPr>
        <w:t>: 1916-1927 [PMID: 32861335 DOI: 10.1016/j.mayocp.2020.01.043]</w:t>
      </w:r>
    </w:p>
    <w:p w14:paraId="3125DF4B" w14:textId="4C63FFF4"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9 </w:t>
      </w:r>
      <w:r w:rsidRPr="00E0378B">
        <w:rPr>
          <w:rFonts w:ascii="Book Antiqua" w:hAnsi="Book Antiqua"/>
          <w:b/>
          <w:bCs/>
          <w:color w:val="201F35"/>
        </w:rPr>
        <w:t>Isorni MA</w:t>
      </w:r>
      <w:r w:rsidRPr="00E0378B">
        <w:rPr>
          <w:rFonts w:ascii="Book Antiqua" w:hAnsi="Book Antiqua"/>
          <w:color w:val="201F35"/>
        </w:rPr>
        <w:t xml:space="preserve">, Aissaoui N, Angoulvant D, Bonello L, Lemesle G, Delmas C, Henry P, Schiele F, Ferrières J, Simon T, Danchin N, Puymirat É; FAST-MI investigators. Temporal trends in clinical characteristics and management according to sex in patients with cardiogenic shock after acute myocardial infarction: The FAST-MI programme. </w:t>
      </w:r>
      <w:r w:rsidRPr="00E0378B">
        <w:rPr>
          <w:rFonts w:ascii="Book Antiqua" w:hAnsi="Book Antiqua"/>
          <w:i/>
          <w:iCs/>
          <w:color w:val="201F35"/>
        </w:rPr>
        <w:t>Arch Cardiovasc Dis</w:t>
      </w:r>
      <w:r w:rsidRPr="00E0378B">
        <w:rPr>
          <w:rFonts w:ascii="Book Antiqua" w:hAnsi="Book Antiqua"/>
          <w:color w:val="201F35"/>
        </w:rPr>
        <w:t xml:space="preserve"> 2018; </w:t>
      </w:r>
      <w:r w:rsidRPr="00E0378B">
        <w:rPr>
          <w:rFonts w:ascii="Book Antiqua" w:hAnsi="Book Antiqua"/>
          <w:b/>
          <w:bCs/>
          <w:color w:val="201F35"/>
        </w:rPr>
        <w:t>111</w:t>
      </w:r>
      <w:r w:rsidRPr="00E0378B">
        <w:rPr>
          <w:rFonts w:ascii="Book Antiqua" w:hAnsi="Book Antiqua"/>
          <w:color w:val="201F35"/>
        </w:rPr>
        <w:t>: 555-563 [PMID: 29478810 DOI: 10.1016/j.acvd.2018.01.002]</w:t>
      </w:r>
    </w:p>
    <w:p w14:paraId="14F40BED" w14:textId="7F13703C"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10 </w:t>
      </w:r>
      <w:r w:rsidRPr="00E0378B">
        <w:rPr>
          <w:rFonts w:ascii="Book Antiqua" w:hAnsi="Book Antiqua"/>
          <w:b/>
          <w:bCs/>
          <w:color w:val="201F35"/>
        </w:rPr>
        <w:t>Jneid H</w:t>
      </w:r>
      <w:r w:rsidRPr="00E0378B">
        <w:rPr>
          <w:rFonts w:ascii="Book Antiqua" w:hAnsi="Book Antiqua"/>
          <w:color w:val="201F35"/>
        </w:rPr>
        <w:t xml:space="preserve">, Fonarow GC, Cannon CP, Hernandez AF, Palacios IF, Maree AO, Wells Q, Bozkurt B, Labresh KA, Liang L, Hong Y, Newby LK, Fletcher G, Peterson E, Wexler L; Get With the Guidelines Steering Committee and Investigators. Sex differences in medical care and early death after acute myocardial infarction. </w:t>
      </w:r>
      <w:r w:rsidRPr="00E0378B">
        <w:rPr>
          <w:rFonts w:ascii="Book Antiqua" w:hAnsi="Book Antiqua"/>
          <w:i/>
          <w:iCs/>
          <w:color w:val="201F35"/>
        </w:rPr>
        <w:t>Circulation</w:t>
      </w:r>
      <w:r w:rsidRPr="00E0378B">
        <w:rPr>
          <w:rFonts w:ascii="Book Antiqua" w:hAnsi="Book Antiqua"/>
          <w:color w:val="201F35"/>
        </w:rPr>
        <w:t xml:space="preserve"> 2008; </w:t>
      </w:r>
      <w:r w:rsidRPr="00E0378B">
        <w:rPr>
          <w:rFonts w:ascii="Book Antiqua" w:hAnsi="Book Antiqua"/>
          <w:b/>
          <w:bCs/>
          <w:color w:val="201F35"/>
        </w:rPr>
        <w:t>118</w:t>
      </w:r>
      <w:r w:rsidRPr="00E0378B">
        <w:rPr>
          <w:rFonts w:ascii="Book Antiqua" w:hAnsi="Book Antiqua"/>
          <w:color w:val="201F35"/>
        </w:rPr>
        <w:t>: 2803-2810 [PMID: 19064680 DOI: 10.1161/CIRCULATIONAHA.108.789800]</w:t>
      </w:r>
    </w:p>
    <w:p w14:paraId="717A481B" w14:textId="3C730D03"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11 </w:t>
      </w:r>
      <w:r w:rsidRPr="00E0378B">
        <w:rPr>
          <w:rFonts w:ascii="Book Antiqua" w:hAnsi="Book Antiqua"/>
          <w:b/>
          <w:bCs/>
          <w:color w:val="201F35"/>
        </w:rPr>
        <w:t>Brush JE Jr</w:t>
      </w:r>
      <w:r w:rsidRPr="00E0378B">
        <w:rPr>
          <w:rFonts w:ascii="Book Antiqua" w:hAnsi="Book Antiqua"/>
          <w:color w:val="201F35"/>
        </w:rPr>
        <w:t xml:space="preserve">, Krumholz HM, Greene EJ, Dreyer RP. Sex Differences in Symptom Phenotypes Among Patients With Acute Myocardial Infarction. </w:t>
      </w:r>
      <w:r w:rsidRPr="00E0378B">
        <w:rPr>
          <w:rFonts w:ascii="Book Antiqua" w:hAnsi="Book Antiqua"/>
          <w:i/>
          <w:iCs/>
          <w:color w:val="201F35"/>
        </w:rPr>
        <w:t>Circ Cardiovasc Qual Outcomes</w:t>
      </w:r>
      <w:r w:rsidRPr="00E0378B">
        <w:rPr>
          <w:rFonts w:ascii="Book Antiqua" w:hAnsi="Book Antiqua"/>
          <w:color w:val="201F35"/>
        </w:rPr>
        <w:t xml:space="preserve"> 2020; </w:t>
      </w:r>
      <w:r w:rsidRPr="00E0378B">
        <w:rPr>
          <w:rFonts w:ascii="Book Antiqua" w:hAnsi="Book Antiqua"/>
          <w:b/>
          <w:bCs/>
          <w:color w:val="201F35"/>
        </w:rPr>
        <w:t>13</w:t>
      </w:r>
      <w:r w:rsidRPr="00E0378B">
        <w:rPr>
          <w:rFonts w:ascii="Book Antiqua" w:hAnsi="Book Antiqua"/>
          <w:color w:val="201F35"/>
        </w:rPr>
        <w:t>: e005948 [PMID: 32063049 DOI: 10.1161/CIRCOUTCOMES.119.005948]</w:t>
      </w:r>
    </w:p>
    <w:p w14:paraId="7B2D18CF" w14:textId="75EE16B7"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12 </w:t>
      </w:r>
      <w:r w:rsidRPr="00E0378B">
        <w:rPr>
          <w:rFonts w:ascii="Book Antiqua" w:hAnsi="Book Antiqua"/>
          <w:b/>
          <w:bCs/>
          <w:color w:val="201F35"/>
        </w:rPr>
        <w:t>Pope JH</w:t>
      </w:r>
      <w:r w:rsidRPr="00E0378B">
        <w:rPr>
          <w:rFonts w:ascii="Book Antiqua" w:hAnsi="Book Antiqua"/>
          <w:color w:val="201F35"/>
        </w:rPr>
        <w:t xml:space="preserve">, Aufderheide TP, Ruthazer R, Woolard RH, Feldman JA, Beshansky JR, Griffith JL, Selker HP. Missed diagnoses of acute cardiac ischemia in the emergency </w:t>
      </w:r>
      <w:r w:rsidRPr="00E0378B">
        <w:rPr>
          <w:rFonts w:ascii="Book Antiqua" w:hAnsi="Book Antiqua"/>
          <w:color w:val="201F35"/>
        </w:rPr>
        <w:lastRenderedPageBreak/>
        <w:t xml:space="preserve">department. </w:t>
      </w:r>
      <w:r w:rsidRPr="00E0378B">
        <w:rPr>
          <w:rFonts w:ascii="Book Antiqua" w:hAnsi="Book Antiqua"/>
          <w:i/>
          <w:iCs/>
          <w:color w:val="201F35"/>
        </w:rPr>
        <w:t>N Engl J Med</w:t>
      </w:r>
      <w:r w:rsidRPr="00E0378B">
        <w:rPr>
          <w:rFonts w:ascii="Book Antiqua" w:hAnsi="Book Antiqua"/>
          <w:color w:val="201F35"/>
        </w:rPr>
        <w:t xml:space="preserve"> 2000; </w:t>
      </w:r>
      <w:r w:rsidRPr="00E0378B">
        <w:rPr>
          <w:rFonts w:ascii="Book Antiqua" w:hAnsi="Book Antiqua"/>
          <w:b/>
          <w:bCs/>
          <w:color w:val="201F35"/>
        </w:rPr>
        <w:t>342</w:t>
      </w:r>
      <w:r w:rsidRPr="00E0378B">
        <w:rPr>
          <w:rFonts w:ascii="Book Antiqua" w:hAnsi="Book Antiqua"/>
          <w:color w:val="201F35"/>
        </w:rPr>
        <w:t>: 1163-1170 [PMID: 10770981 DOI: 10.1056/NEJM200004203421603]</w:t>
      </w:r>
    </w:p>
    <w:p w14:paraId="0C1DB7B6" w14:textId="63FD6520"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13 </w:t>
      </w:r>
      <w:r w:rsidRPr="00E0378B">
        <w:rPr>
          <w:rFonts w:ascii="Book Antiqua" w:hAnsi="Book Antiqua"/>
          <w:b/>
          <w:bCs/>
          <w:color w:val="201F35"/>
        </w:rPr>
        <w:t>Arora S</w:t>
      </w:r>
      <w:r w:rsidRPr="00E0378B">
        <w:rPr>
          <w:rFonts w:ascii="Book Antiqua" w:hAnsi="Book Antiqua"/>
          <w:color w:val="201F35"/>
        </w:rPr>
        <w:t xml:space="preserve">, Stouffer GA, Kucharska-Newton AM, Qamar A, Vaduganathan M, Pandey A, Porterfield D, Blankstein R, Rosamond WD, Bhatt DL, Caughey MC. Twenty Year Trends and Sex Differences in Young Adults Hospitalized With Acute Myocardial Infarction. </w:t>
      </w:r>
      <w:r w:rsidRPr="00E0378B">
        <w:rPr>
          <w:rFonts w:ascii="Book Antiqua" w:hAnsi="Book Antiqua"/>
          <w:i/>
          <w:iCs/>
          <w:color w:val="201F35"/>
        </w:rPr>
        <w:t>Circulation</w:t>
      </w:r>
      <w:r w:rsidRPr="00E0378B">
        <w:rPr>
          <w:rFonts w:ascii="Book Antiqua" w:hAnsi="Book Antiqua"/>
          <w:color w:val="201F35"/>
        </w:rPr>
        <w:t xml:space="preserve"> 2019; </w:t>
      </w:r>
      <w:r w:rsidRPr="00E0378B">
        <w:rPr>
          <w:rFonts w:ascii="Book Antiqua" w:hAnsi="Book Antiqua"/>
          <w:b/>
          <w:bCs/>
          <w:color w:val="201F35"/>
        </w:rPr>
        <w:t>139</w:t>
      </w:r>
      <w:r w:rsidRPr="00E0378B">
        <w:rPr>
          <w:rFonts w:ascii="Book Antiqua" w:hAnsi="Book Antiqua"/>
          <w:color w:val="201F35"/>
        </w:rPr>
        <w:t>: 1047-1056 [PMID: 30586725 DOI: 10.1161/CIRCULATIONAHA.118.037137]</w:t>
      </w:r>
    </w:p>
    <w:p w14:paraId="6B1D73FE" w14:textId="6474FA5C"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14 </w:t>
      </w:r>
      <w:r w:rsidRPr="00E0378B">
        <w:rPr>
          <w:rFonts w:ascii="Book Antiqua" w:hAnsi="Book Antiqua"/>
          <w:b/>
          <w:bCs/>
          <w:color w:val="201F35"/>
        </w:rPr>
        <w:t>Mehilli J</w:t>
      </w:r>
      <w:r w:rsidRPr="00E0378B">
        <w:rPr>
          <w:rFonts w:ascii="Book Antiqua" w:hAnsi="Book Antiqua"/>
          <w:color w:val="201F35"/>
        </w:rPr>
        <w:t xml:space="preserve">, Kastrati A, Dirschinger J, Pache J, Seyfarth M, Blasini R, Hall D, Neumann FJ, Schömig A. Sex-based analysis of outcome in patients with acute myocardial infarction treated predominantly with percutaneous coronary intervention. </w:t>
      </w:r>
      <w:r w:rsidRPr="00E0378B">
        <w:rPr>
          <w:rFonts w:ascii="Book Antiqua" w:hAnsi="Book Antiqua"/>
          <w:i/>
          <w:iCs/>
          <w:color w:val="201F35"/>
        </w:rPr>
        <w:t>JAMA</w:t>
      </w:r>
      <w:r w:rsidRPr="00E0378B">
        <w:rPr>
          <w:rFonts w:ascii="Book Antiqua" w:hAnsi="Book Antiqua"/>
          <w:color w:val="201F35"/>
        </w:rPr>
        <w:t xml:space="preserve"> 2002; </w:t>
      </w:r>
      <w:r w:rsidRPr="00E0378B">
        <w:rPr>
          <w:rFonts w:ascii="Book Antiqua" w:hAnsi="Book Antiqua"/>
          <w:b/>
          <w:bCs/>
          <w:color w:val="201F35"/>
        </w:rPr>
        <w:t>287</w:t>
      </w:r>
      <w:r w:rsidRPr="00E0378B">
        <w:rPr>
          <w:rFonts w:ascii="Book Antiqua" w:hAnsi="Book Antiqua"/>
          <w:color w:val="201F35"/>
        </w:rPr>
        <w:t>: 210-215 [PMID: 11779263 DOI: 10.1001/jama.287.2.210]</w:t>
      </w:r>
    </w:p>
    <w:p w14:paraId="63F7BDEC" w14:textId="6F59B99B"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15 </w:t>
      </w:r>
      <w:r w:rsidRPr="00E0378B">
        <w:rPr>
          <w:rFonts w:ascii="Book Antiqua" w:hAnsi="Book Antiqua"/>
          <w:b/>
          <w:bCs/>
          <w:color w:val="201F35"/>
        </w:rPr>
        <w:t>Koeth O</w:t>
      </w:r>
      <w:r w:rsidRPr="00E0378B">
        <w:rPr>
          <w:rFonts w:ascii="Book Antiqua" w:hAnsi="Book Antiqua"/>
          <w:color w:val="201F35"/>
        </w:rPr>
        <w:t xml:space="preserve">, Zahn R, Heer T, Bauer T, Juenger C, Klein B, Gitt AK, Senges J, Zeymer U. Gender differences in patients with acute ST-elevation myocardial infarction complicated by cardiogenic shock. </w:t>
      </w:r>
      <w:r w:rsidRPr="00E0378B">
        <w:rPr>
          <w:rFonts w:ascii="Book Antiqua" w:hAnsi="Book Antiqua"/>
          <w:i/>
          <w:iCs/>
          <w:color w:val="201F35"/>
        </w:rPr>
        <w:t>Clin Res Cardiol</w:t>
      </w:r>
      <w:r w:rsidRPr="00E0378B">
        <w:rPr>
          <w:rFonts w:ascii="Book Antiqua" w:hAnsi="Book Antiqua"/>
          <w:color w:val="201F35"/>
        </w:rPr>
        <w:t xml:space="preserve"> 2009; </w:t>
      </w:r>
      <w:r w:rsidRPr="00E0378B">
        <w:rPr>
          <w:rFonts w:ascii="Book Antiqua" w:hAnsi="Book Antiqua"/>
          <w:b/>
          <w:bCs/>
          <w:color w:val="201F35"/>
        </w:rPr>
        <w:t>98</w:t>
      </w:r>
      <w:r w:rsidRPr="00E0378B">
        <w:rPr>
          <w:rFonts w:ascii="Book Antiqua" w:hAnsi="Book Antiqua"/>
          <w:color w:val="201F35"/>
        </w:rPr>
        <w:t>: 781-786 [PMID: 19856196 DOI: 10.1007/s00392-009-0080-7]</w:t>
      </w:r>
    </w:p>
    <w:p w14:paraId="323E013E" w14:textId="2E3A3545"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16 </w:t>
      </w:r>
      <w:r w:rsidRPr="00E0378B">
        <w:rPr>
          <w:rFonts w:ascii="Book Antiqua" w:hAnsi="Book Antiqua"/>
          <w:b/>
          <w:bCs/>
          <w:color w:val="201F35"/>
        </w:rPr>
        <w:t>Abdel-Qadir HM</w:t>
      </w:r>
      <w:r w:rsidRPr="00E0378B">
        <w:rPr>
          <w:rFonts w:ascii="Book Antiqua" w:hAnsi="Book Antiqua"/>
          <w:color w:val="201F35"/>
        </w:rPr>
        <w:t xml:space="preserve">, Ivanov J, Austin PC, Tu JV, Džavík V. Sex differences in the management and outcomes of Ontario patients with cardiogenic shock complicating acute myocardial infarction. </w:t>
      </w:r>
      <w:r w:rsidRPr="00E0378B">
        <w:rPr>
          <w:rFonts w:ascii="Book Antiqua" w:hAnsi="Book Antiqua"/>
          <w:i/>
          <w:iCs/>
          <w:color w:val="201F35"/>
        </w:rPr>
        <w:t>Can J Cardiol</w:t>
      </w:r>
      <w:r w:rsidRPr="00E0378B">
        <w:rPr>
          <w:rFonts w:ascii="Book Antiqua" w:hAnsi="Book Antiqua"/>
          <w:color w:val="201F35"/>
        </w:rPr>
        <w:t xml:space="preserve"> 2013; </w:t>
      </w:r>
      <w:r w:rsidRPr="00E0378B">
        <w:rPr>
          <w:rFonts w:ascii="Book Antiqua" w:hAnsi="Book Antiqua"/>
          <w:b/>
          <w:bCs/>
          <w:color w:val="201F35"/>
        </w:rPr>
        <w:t>29</w:t>
      </w:r>
      <w:r w:rsidRPr="00E0378B">
        <w:rPr>
          <w:rFonts w:ascii="Book Antiqua" w:hAnsi="Book Antiqua"/>
          <w:color w:val="201F35"/>
        </w:rPr>
        <w:t>: 691-696 [PMID: 23265097 DOI: 10.1016/j.cjca.2012.09.020]</w:t>
      </w:r>
    </w:p>
    <w:p w14:paraId="0FC280B1" w14:textId="02EEEE5D"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17 </w:t>
      </w:r>
      <w:r w:rsidRPr="00E0378B">
        <w:rPr>
          <w:rFonts w:ascii="Book Antiqua" w:hAnsi="Book Antiqua"/>
          <w:b/>
          <w:bCs/>
          <w:color w:val="201F35"/>
        </w:rPr>
        <w:t>Vallabhajosyula S</w:t>
      </w:r>
      <w:r w:rsidRPr="00E0378B">
        <w:rPr>
          <w:rFonts w:ascii="Book Antiqua" w:hAnsi="Book Antiqua"/>
          <w:color w:val="201F35"/>
        </w:rPr>
        <w:t xml:space="preserve">, Ya'Qoub L, Singh M, Bell MR, Gulati R, Cheungpasitporn W, Sundaragiri PR, Miller VM, Jaffe AS, Gersh BJ, Holmes DR Jr, Barsness GW. Sex Disparities in the Management and Outcomes of Cardiogenic Shock Complicating Acute Myocardial Infarction in the Young. </w:t>
      </w:r>
      <w:r w:rsidRPr="00E0378B">
        <w:rPr>
          <w:rFonts w:ascii="Book Antiqua" w:hAnsi="Book Antiqua"/>
          <w:i/>
          <w:iCs/>
          <w:color w:val="201F35"/>
        </w:rPr>
        <w:t>Circ Heart Fail</w:t>
      </w:r>
      <w:r w:rsidRPr="00E0378B">
        <w:rPr>
          <w:rFonts w:ascii="Book Antiqua" w:hAnsi="Book Antiqua"/>
          <w:color w:val="201F35"/>
        </w:rPr>
        <w:t xml:space="preserve"> 2020; </w:t>
      </w:r>
      <w:r w:rsidRPr="00E0378B">
        <w:rPr>
          <w:rFonts w:ascii="Book Antiqua" w:hAnsi="Book Antiqua"/>
          <w:b/>
          <w:bCs/>
          <w:color w:val="201F35"/>
        </w:rPr>
        <w:t>13</w:t>
      </w:r>
      <w:r w:rsidRPr="00E0378B">
        <w:rPr>
          <w:rFonts w:ascii="Book Antiqua" w:hAnsi="Book Antiqua"/>
          <w:color w:val="201F35"/>
        </w:rPr>
        <w:t>: e007154 [PMID: 32988218 DOI: 10.1161/CIRCHEARTFAILURE.120.007154]</w:t>
      </w:r>
    </w:p>
    <w:p w14:paraId="33CFBF9F" w14:textId="430747C4"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18 </w:t>
      </w:r>
      <w:r w:rsidRPr="00E0378B">
        <w:rPr>
          <w:rFonts w:ascii="Book Antiqua" w:hAnsi="Book Antiqua"/>
          <w:b/>
          <w:bCs/>
          <w:color w:val="201F35"/>
        </w:rPr>
        <w:t>Levine GN</w:t>
      </w:r>
      <w:r w:rsidRPr="00E0378B">
        <w:rPr>
          <w:rFonts w:ascii="Book Antiqua" w:hAnsi="Book Antiqua"/>
          <w:color w:val="201F35"/>
        </w:rPr>
        <w:t xml:space="preserve">, Bates ER, Blankenship JC, Bailey SR, Bittl JA, Cercek B, Chambers CE, Ellis SG, Guyton RA, Hollenberg SM, Khot UN, Lange RA, Mauri L, Mehran R, Moussa ID, Mukherjee D, Ting HH, O'Gara PT, Kushner FG, Ascheim DD, Brindis RG, Casey DE Jr, Chung MK, de Lemos JA, Diercks DB, Fang JC, Franklin BA, Granger CB, Krumholz HM, Linderbaum JA, Morrow DA, Newby LK, Ornato JP, Ou N, Radford MJ, Tamis-Holland JE, Tommaso CL, Tracy CM, Woo YJ, Zhao DX. 2015 ACC/AHA/SCAI Focused Update </w:t>
      </w:r>
      <w:r w:rsidRPr="00E0378B">
        <w:rPr>
          <w:rFonts w:ascii="Book Antiqua" w:hAnsi="Book Antiqua"/>
          <w:color w:val="201F35"/>
        </w:rPr>
        <w:lastRenderedPageBreak/>
        <w:t xml:space="preserve">on Primary Percutaneous Coronary Intervention for Patients With ST-Elevation Myocardial Infarction: An Update of the 2011 ACCF/AHA/SCAI Guideline for Percutaneous Coronary Intervention and the 2013 ACCF/AHA Guideline for the Management of ST-Elevation Myocardial Infarction. </w:t>
      </w:r>
      <w:r w:rsidRPr="00E0378B">
        <w:rPr>
          <w:rFonts w:ascii="Book Antiqua" w:hAnsi="Book Antiqua"/>
          <w:i/>
          <w:iCs/>
          <w:color w:val="201F35"/>
        </w:rPr>
        <w:t>J Am Coll Cardiol</w:t>
      </w:r>
      <w:r w:rsidRPr="00E0378B">
        <w:rPr>
          <w:rFonts w:ascii="Book Antiqua" w:hAnsi="Book Antiqua"/>
          <w:color w:val="201F35"/>
        </w:rPr>
        <w:t xml:space="preserve"> 2016; </w:t>
      </w:r>
      <w:r w:rsidRPr="00E0378B">
        <w:rPr>
          <w:rFonts w:ascii="Book Antiqua" w:hAnsi="Book Antiqua"/>
          <w:b/>
          <w:bCs/>
          <w:color w:val="201F35"/>
        </w:rPr>
        <w:t>67</w:t>
      </w:r>
      <w:r w:rsidRPr="00E0378B">
        <w:rPr>
          <w:rFonts w:ascii="Book Antiqua" w:hAnsi="Book Antiqua"/>
          <w:color w:val="201F35"/>
        </w:rPr>
        <w:t>: 1235-1250 [PMID: 26498666 DOI: 10.1016/j.jacc.2015.10.005]</w:t>
      </w:r>
    </w:p>
    <w:p w14:paraId="43F70EE1" w14:textId="32640A38"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19 </w:t>
      </w:r>
      <w:r w:rsidRPr="00E0378B">
        <w:rPr>
          <w:rFonts w:ascii="Book Antiqua" w:hAnsi="Book Antiqua"/>
          <w:b/>
          <w:bCs/>
          <w:color w:val="201F35"/>
        </w:rPr>
        <w:t>Wong SC</w:t>
      </w:r>
      <w:r w:rsidRPr="00E0378B">
        <w:rPr>
          <w:rFonts w:ascii="Book Antiqua" w:hAnsi="Book Antiqua"/>
          <w:color w:val="201F35"/>
        </w:rPr>
        <w:t xml:space="preserve">, Sleeper LA, Monrad ES, Menegus MA, Palazzo A, Dzavik V, Jacobs A, Jiang X, Hochman JS; SHOCK Investigators. Absence of gender differences in clinical outcomes in patients with cardiogenic shock complicating acute myocardial infarction. A report from the SHOCK Trial Registry. </w:t>
      </w:r>
      <w:r w:rsidRPr="00E0378B">
        <w:rPr>
          <w:rFonts w:ascii="Book Antiqua" w:hAnsi="Book Antiqua"/>
          <w:i/>
          <w:iCs/>
          <w:color w:val="201F35"/>
        </w:rPr>
        <w:t>J Am Coll Cardiol</w:t>
      </w:r>
      <w:r w:rsidRPr="00E0378B">
        <w:rPr>
          <w:rFonts w:ascii="Book Antiqua" w:hAnsi="Book Antiqua"/>
          <w:color w:val="201F35"/>
        </w:rPr>
        <w:t xml:space="preserve"> 2001; </w:t>
      </w:r>
      <w:r w:rsidRPr="00E0378B">
        <w:rPr>
          <w:rFonts w:ascii="Book Antiqua" w:hAnsi="Book Antiqua"/>
          <w:b/>
          <w:bCs/>
          <w:color w:val="201F35"/>
        </w:rPr>
        <w:t>38</w:t>
      </w:r>
      <w:r w:rsidRPr="00E0378B">
        <w:rPr>
          <w:rFonts w:ascii="Book Antiqua" w:hAnsi="Book Antiqua"/>
          <w:color w:val="201F35"/>
        </w:rPr>
        <w:t>: 1395-1401 [PMID: 11691514 DOI: 10.1016/s0735-1097(01)01581-9]</w:t>
      </w:r>
    </w:p>
    <w:p w14:paraId="78029897" w14:textId="3D2C7689"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20 </w:t>
      </w:r>
      <w:r w:rsidRPr="00E0378B">
        <w:rPr>
          <w:rFonts w:ascii="Book Antiqua" w:hAnsi="Book Antiqua"/>
          <w:b/>
          <w:bCs/>
          <w:color w:val="201F35"/>
        </w:rPr>
        <w:t>Fengler K</w:t>
      </w:r>
      <w:r w:rsidRPr="00E0378B">
        <w:rPr>
          <w:rFonts w:ascii="Book Antiqua" w:hAnsi="Book Antiqua"/>
          <w:color w:val="201F35"/>
        </w:rPr>
        <w:t xml:space="preserve">, Fuernau G, Desch S, Eitel I, Neumann FJ, Olbrich HG, de Waha A, de Waha S, Richardt G, Hennersdorf M, Empen K, Hambrecht R, Fuhrmann J, Böhm M, Poess J, Strasser R, Schneider S, Schuler G, Werdan K, Zeymer U, Thiele H. Gender differences in patients with cardiogenic shock complicating myocardial infarction: a substudy of the IABP-SHOCK II-trial. </w:t>
      </w:r>
      <w:r w:rsidRPr="00E0378B">
        <w:rPr>
          <w:rFonts w:ascii="Book Antiqua" w:hAnsi="Book Antiqua"/>
          <w:i/>
          <w:iCs/>
          <w:color w:val="201F35"/>
        </w:rPr>
        <w:t>Clin Res Cardiol</w:t>
      </w:r>
      <w:r w:rsidRPr="00E0378B">
        <w:rPr>
          <w:rFonts w:ascii="Book Antiqua" w:hAnsi="Book Antiqua"/>
          <w:color w:val="201F35"/>
        </w:rPr>
        <w:t xml:space="preserve"> 2015; </w:t>
      </w:r>
      <w:r w:rsidRPr="00E0378B">
        <w:rPr>
          <w:rFonts w:ascii="Book Antiqua" w:hAnsi="Book Antiqua"/>
          <w:b/>
          <w:bCs/>
          <w:color w:val="201F35"/>
        </w:rPr>
        <w:t>104</w:t>
      </w:r>
      <w:r w:rsidRPr="00E0378B">
        <w:rPr>
          <w:rFonts w:ascii="Book Antiqua" w:hAnsi="Book Antiqua"/>
          <w:color w:val="201F35"/>
        </w:rPr>
        <w:t>: 71-78 [PMID: 25287767 DOI: 10.1007/s00392-014-0767-2]</w:t>
      </w:r>
    </w:p>
    <w:p w14:paraId="16A4C44E" w14:textId="5AB3CF92"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21 </w:t>
      </w:r>
      <w:r w:rsidRPr="00E0378B">
        <w:rPr>
          <w:rFonts w:ascii="Book Antiqua" w:hAnsi="Book Antiqua"/>
          <w:b/>
          <w:bCs/>
          <w:color w:val="201F35"/>
        </w:rPr>
        <w:t>Rubini Gimenez M</w:t>
      </w:r>
      <w:r w:rsidRPr="00E0378B">
        <w:rPr>
          <w:rFonts w:ascii="Book Antiqua" w:hAnsi="Book Antiqua"/>
          <w:color w:val="201F35"/>
        </w:rPr>
        <w:t xml:space="preserve">, Zeymer U, Desch S, de Waha-Thiele S, Ouarrak T, Poess J, Meyer-Saraei R, Schneider S, Fuernau G, Stepinska J, Huber K, Windecker S, Montalescot G, Savonitto S, Jeger RV, Thiele H. Sex-Specific Management in Patients With Acute Myocardial Infarction and Cardiogenic Shock: A Substudy of the CULPRIT-SHOCK Trial. </w:t>
      </w:r>
      <w:r w:rsidRPr="00E0378B">
        <w:rPr>
          <w:rFonts w:ascii="Book Antiqua" w:hAnsi="Book Antiqua"/>
          <w:i/>
          <w:iCs/>
          <w:color w:val="201F35"/>
        </w:rPr>
        <w:t>Circ Cardiovasc Interv</w:t>
      </w:r>
      <w:r w:rsidRPr="00E0378B">
        <w:rPr>
          <w:rFonts w:ascii="Book Antiqua" w:hAnsi="Book Antiqua"/>
          <w:color w:val="201F35"/>
        </w:rPr>
        <w:t xml:space="preserve"> 2020; </w:t>
      </w:r>
      <w:r w:rsidRPr="00E0378B">
        <w:rPr>
          <w:rFonts w:ascii="Book Antiqua" w:hAnsi="Book Antiqua"/>
          <w:b/>
          <w:bCs/>
          <w:color w:val="201F35"/>
        </w:rPr>
        <w:t>13</w:t>
      </w:r>
      <w:r w:rsidRPr="00E0378B">
        <w:rPr>
          <w:rFonts w:ascii="Book Antiqua" w:hAnsi="Book Antiqua"/>
          <w:color w:val="201F35"/>
        </w:rPr>
        <w:t>: e008537 [PMID: 32151161 DOI: 10.1161/CIRCINTERVENTIONS.119.008537]</w:t>
      </w:r>
    </w:p>
    <w:p w14:paraId="4A0BAA18" w14:textId="08570DF8" w:rsidR="005379C5" w:rsidRPr="00E0378B" w:rsidRDefault="005379C5" w:rsidP="00E0378B">
      <w:pPr>
        <w:pStyle w:val="NormalWeb"/>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22 </w:t>
      </w:r>
      <w:r w:rsidRPr="00E0378B">
        <w:rPr>
          <w:rFonts w:ascii="Book Antiqua" w:hAnsi="Book Antiqua"/>
          <w:b/>
          <w:bCs/>
          <w:color w:val="201F35"/>
        </w:rPr>
        <w:t>Elgendy IY</w:t>
      </w:r>
      <w:r w:rsidRPr="00E0378B">
        <w:rPr>
          <w:rFonts w:ascii="Book Antiqua" w:hAnsi="Book Antiqua"/>
          <w:color w:val="201F35"/>
        </w:rPr>
        <w:t xml:space="preserve">, Van Spall HGC, Mamas MA. Cardiogenic Shock in the Setting of Acute Myocardial Infarction: History Repeating Itself? </w:t>
      </w:r>
      <w:r w:rsidRPr="00E0378B">
        <w:rPr>
          <w:rFonts w:ascii="Book Antiqua" w:hAnsi="Book Antiqua"/>
          <w:i/>
          <w:iCs/>
          <w:color w:val="201F35"/>
        </w:rPr>
        <w:t>Circ Cardiovasc Interv</w:t>
      </w:r>
      <w:r w:rsidRPr="00E0378B">
        <w:rPr>
          <w:rFonts w:ascii="Book Antiqua" w:hAnsi="Book Antiqua"/>
          <w:color w:val="201F35"/>
        </w:rPr>
        <w:t xml:space="preserve"> 2020; </w:t>
      </w:r>
      <w:r w:rsidRPr="00E0378B">
        <w:rPr>
          <w:rFonts w:ascii="Book Antiqua" w:hAnsi="Book Antiqua"/>
          <w:b/>
          <w:bCs/>
          <w:color w:val="201F35"/>
        </w:rPr>
        <w:t>13</w:t>
      </w:r>
      <w:r w:rsidRPr="00E0378B">
        <w:rPr>
          <w:rFonts w:ascii="Book Antiqua" w:hAnsi="Book Antiqua"/>
          <w:color w:val="201F35"/>
        </w:rPr>
        <w:t>: e009034 [PMID: 32151160 DOI: 10.1161/CIRCINTERVENTIONS.120.009034]</w:t>
      </w:r>
    </w:p>
    <w:bookmarkEnd w:id="1"/>
    <w:p w14:paraId="67CC0E8B" w14:textId="77777777" w:rsidR="007624E7" w:rsidRPr="00E0378B" w:rsidRDefault="007624E7" w:rsidP="00E0378B">
      <w:pPr>
        <w:adjustRightInd w:val="0"/>
        <w:snapToGrid w:val="0"/>
        <w:spacing w:line="360" w:lineRule="auto"/>
        <w:jc w:val="both"/>
        <w:rPr>
          <w:rFonts w:ascii="Book Antiqua" w:hAnsi="Book Antiqua"/>
        </w:rPr>
        <w:sectPr w:rsidR="007624E7" w:rsidRPr="00E0378B">
          <w:pgSz w:w="12240" w:h="15840"/>
          <w:pgMar w:top="1440" w:right="1440" w:bottom="1440" w:left="1440" w:header="720" w:footer="720" w:gutter="0"/>
          <w:cols w:space="720"/>
          <w:docGrid w:linePitch="360"/>
        </w:sectPr>
      </w:pPr>
    </w:p>
    <w:p w14:paraId="1A56D293" w14:textId="77777777"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lastRenderedPageBreak/>
        <w:t>Footnotes</w:t>
      </w:r>
    </w:p>
    <w:p w14:paraId="0FD91058" w14:textId="43938185"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Conflict-of-interest statement: </w:t>
      </w:r>
      <w:r w:rsidRPr="00E0378B">
        <w:rPr>
          <w:rFonts w:ascii="Book Antiqua" w:eastAsia="Book Antiqua" w:hAnsi="Book Antiqua" w:cs="Book Antiqua"/>
          <w:color w:val="000000"/>
        </w:rPr>
        <w:t>The authors have no conflicts of interest to disclose.</w:t>
      </w:r>
    </w:p>
    <w:p w14:paraId="1554C9A0" w14:textId="77777777" w:rsidR="007624E7" w:rsidRPr="00E0378B" w:rsidRDefault="007624E7" w:rsidP="00E0378B">
      <w:pPr>
        <w:adjustRightInd w:val="0"/>
        <w:snapToGrid w:val="0"/>
        <w:spacing w:line="360" w:lineRule="auto"/>
        <w:jc w:val="both"/>
        <w:rPr>
          <w:rFonts w:ascii="Book Antiqua" w:hAnsi="Book Antiqua"/>
        </w:rPr>
      </w:pPr>
    </w:p>
    <w:p w14:paraId="70C7C7CE" w14:textId="3ADEE92C"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Open-Access: </w:t>
      </w:r>
      <w:r w:rsidRPr="00E0378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490B05" w14:textId="77777777" w:rsidR="007624E7" w:rsidRPr="00E0378B" w:rsidRDefault="007624E7" w:rsidP="00E0378B">
      <w:pPr>
        <w:adjustRightInd w:val="0"/>
        <w:snapToGrid w:val="0"/>
        <w:spacing w:line="360" w:lineRule="auto"/>
        <w:jc w:val="both"/>
        <w:rPr>
          <w:rFonts w:ascii="Book Antiqua" w:hAnsi="Book Antiqua"/>
        </w:rPr>
      </w:pPr>
    </w:p>
    <w:p w14:paraId="7C3888EB" w14:textId="7E309E45"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Manuscript source: </w:t>
      </w:r>
      <w:r w:rsidRPr="00E0378B">
        <w:rPr>
          <w:rFonts w:ascii="Book Antiqua" w:eastAsia="Book Antiqua" w:hAnsi="Book Antiqua" w:cs="Book Antiqua"/>
          <w:color w:val="000000"/>
        </w:rPr>
        <w:t xml:space="preserve">Invited </w:t>
      </w:r>
      <w:r w:rsidR="00CF5A1D">
        <w:rPr>
          <w:rFonts w:ascii="Book Antiqua" w:eastAsia="Book Antiqua" w:hAnsi="Book Antiqua" w:cs="Book Antiqua"/>
          <w:color w:val="000000"/>
        </w:rPr>
        <w:t>m</w:t>
      </w:r>
      <w:r w:rsidRPr="00E0378B">
        <w:rPr>
          <w:rFonts w:ascii="Book Antiqua" w:eastAsia="Book Antiqua" w:hAnsi="Book Antiqua" w:cs="Book Antiqua"/>
          <w:color w:val="000000"/>
        </w:rPr>
        <w:t>anuscript</w:t>
      </w:r>
    </w:p>
    <w:p w14:paraId="1FE991DD" w14:textId="77777777" w:rsidR="007624E7" w:rsidRPr="00E0378B" w:rsidRDefault="007624E7" w:rsidP="00E0378B">
      <w:pPr>
        <w:adjustRightInd w:val="0"/>
        <w:snapToGrid w:val="0"/>
        <w:spacing w:line="360" w:lineRule="auto"/>
        <w:jc w:val="both"/>
        <w:rPr>
          <w:rFonts w:ascii="Book Antiqua" w:hAnsi="Book Antiqua"/>
        </w:rPr>
      </w:pPr>
    </w:p>
    <w:p w14:paraId="5E8D93BD" w14:textId="5113017B"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Peer-review started: </w:t>
      </w:r>
      <w:r w:rsidRPr="00E0378B">
        <w:rPr>
          <w:rFonts w:ascii="Book Antiqua" w:eastAsia="Book Antiqua" w:hAnsi="Book Antiqua" w:cs="Book Antiqua"/>
          <w:color w:val="000000"/>
        </w:rPr>
        <w:t>March 11, 2021</w:t>
      </w:r>
    </w:p>
    <w:p w14:paraId="7869AC4C" w14:textId="0079FCA2"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First decision: </w:t>
      </w:r>
      <w:r w:rsidRPr="00E0378B">
        <w:rPr>
          <w:rFonts w:ascii="Book Antiqua" w:eastAsia="Book Antiqua" w:hAnsi="Book Antiqua" w:cs="Book Antiqua"/>
          <w:color w:val="000000"/>
        </w:rPr>
        <w:t>March 31, 2021</w:t>
      </w:r>
    </w:p>
    <w:p w14:paraId="0903DC5E" w14:textId="2BE2AF45"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Article in press: </w:t>
      </w:r>
    </w:p>
    <w:p w14:paraId="7429C641" w14:textId="77777777" w:rsidR="007624E7" w:rsidRPr="00E0378B" w:rsidRDefault="007624E7" w:rsidP="00E0378B">
      <w:pPr>
        <w:adjustRightInd w:val="0"/>
        <w:snapToGrid w:val="0"/>
        <w:spacing w:line="360" w:lineRule="auto"/>
        <w:jc w:val="both"/>
        <w:rPr>
          <w:rFonts w:ascii="Book Antiqua" w:hAnsi="Book Antiqua"/>
        </w:rPr>
      </w:pPr>
    </w:p>
    <w:p w14:paraId="01A7B017" w14:textId="43DDCDDC"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Specialty type: </w:t>
      </w:r>
      <w:r w:rsidRPr="00E0378B">
        <w:rPr>
          <w:rFonts w:ascii="Book Antiqua" w:eastAsia="Book Antiqua" w:hAnsi="Book Antiqua" w:cs="Book Antiqua"/>
          <w:color w:val="000000"/>
        </w:rPr>
        <w:t xml:space="preserve">Cardiac and </w:t>
      </w:r>
      <w:r w:rsidR="00CF5A1D" w:rsidRPr="00E0378B">
        <w:rPr>
          <w:rFonts w:ascii="Book Antiqua" w:eastAsia="Book Antiqua" w:hAnsi="Book Antiqua" w:cs="Book Antiqua"/>
          <w:color w:val="000000"/>
        </w:rPr>
        <w:t>cardiovascular systems</w:t>
      </w:r>
    </w:p>
    <w:p w14:paraId="191B1B3B" w14:textId="75039F5D"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Country/Territory of origin: </w:t>
      </w:r>
      <w:r w:rsidRPr="00E0378B">
        <w:rPr>
          <w:rFonts w:ascii="Book Antiqua" w:eastAsia="Book Antiqua" w:hAnsi="Book Antiqua" w:cs="Book Antiqua"/>
          <w:color w:val="000000"/>
        </w:rPr>
        <w:t>United States</w:t>
      </w:r>
    </w:p>
    <w:p w14:paraId="3FF054BE" w14:textId="168F1B0D"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Peer-review report’s scientific quality classification</w:t>
      </w:r>
    </w:p>
    <w:p w14:paraId="01EFC5BF" w14:textId="15A4A8B3"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Grade A (Excellent): 0</w:t>
      </w:r>
    </w:p>
    <w:p w14:paraId="6681DB8B" w14:textId="4509045D"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 xml:space="preserve">Grade B (Very good): </w:t>
      </w:r>
      <w:r w:rsidR="00CF5A1D">
        <w:rPr>
          <w:rFonts w:ascii="Book Antiqua" w:eastAsia="Book Antiqua" w:hAnsi="Book Antiqua" w:cs="Book Antiqua"/>
          <w:color w:val="000000"/>
        </w:rPr>
        <w:t>B</w:t>
      </w:r>
    </w:p>
    <w:p w14:paraId="1ED05551" w14:textId="22E9043A"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Grade C (Good): C</w:t>
      </w:r>
    </w:p>
    <w:p w14:paraId="3965CB89" w14:textId="26C4AD2D"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Grade D (Fair): 0</w:t>
      </w:r>
    </w:p>
    <w:p w14:paraId="113E08B6" w14:textId="13495BAF"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Grade E (Poor): 0</w:t>
      </w:r>
    </w:p>
    <w:p w14:paraId="13E0DB9A" w14:textId="77777777" w:rsidR="007624E7" w:rsidRPr="00E0378B" w:rsidRDefault="007624E7" w:rsidP="00E0378B">
      <w:pPr>
        <w:adjustRightInd w:val="0"/>
        <w:snapToGrid w:val="0"/>
        <w:spacing w:line="360" w:lineRule="auto"/>
        <w:jc w:val="both"/>
        <w:rPr>
          <w:rFonts w:ascii="Book Antiqua" w:hAnsi="Book Antiqua"/>
        </w:rPr>
      </w:pPr>
    </w:p>
    <w:p w14:paraId="3455603D" w14:textId="04D28560" w:rsidR="007624E7" w:rsidRPr="00E0378B" w:rsidRDefault="005379C5" w:rsidP="00E0378B">
      <w:pPr>
        <w:adjustRightInd w:val="0"/>
        <w:snapToGrid w:val="0"/>
        <w:spacing w:line="360" w:lineRule="auto"/>
        <w:jc w:val="both"/>
        <w:rPr>
          <w:rFonts w:ascii="Book Antiqua" w:hAnsi="Book Antiqua"/>
        </w:rPr>
        <w:sectPr w:rsidR="007624E7" w:rsidRPr="00E0378B">
          <w:pgSz w:w="12240" w:h="15840"/>
          <w:pgMar w:top="1440" w:right="1440" w:bottom="1440" w:left="1440" w:header="720" w:footer="720" w:gutter="0"/>
          <w:cols w:space="720"/>
          <w:docGrid w:linePitch="360"/>
        </w:sectPr>
      </w:pPr>
      <w:r w:rsidRPr="00E0378B">
        <w:rPr>
          <w:rFonts w:ascii="Book Antiqua" w:eastAsia="Book Antiqua" w:hAnsi="Book Antiqua" w:cs="Book Antiqua"/>
          <w:b/>
          <w:color w:val="000000"/>
        </w:rPr>
        <w:t xml:space="preserve">P-Reviewer: </w:t>
      </w:r>
      <w:r w:rsidRPr="00E0378B">
        <w:rPr>
          <w:rFonts w:ascii="Book Antiqua" w:eastAsia="Book Antiqua" w:hAnsi="Book Antiqua" w:cs="Book Antiqua"/>
          <w:color w:val="000000"/>
        </w:rPr>
        <w:t>Tung TH</w:t>
      </w:r>
      <w:r w:rsidRPr="00E0378B">
        <w:rPr>
          <w:rFonts w:ascii="Book Antiqua" w:eastAsia="Book Antiqua" w:hAnsi="Book Antiqua" w:cs="Book Antiqua"/>
          <w:b/>
          <w:color w:val="000000"/>
        </w:rPr>
        <w:t xml:space="preserve"> S-Editor: </w:t>
      </w:r>
      <w:r w:rsidR="00CF5A1D">
        <w:rPr>
          <w:rFonts w:ascii="Book Antiqua" w:eastAsia="Book Antiqua" w:hAnsi="Book Antiqua" w:cs="Book Antiqua"/>
          <w:color w:val="000000"/>
        </w:rPr>
        <w:t>Liu M</w:t>
      </w:r>
      <w:r w:rsidRPr="00E0378B">
        <w:rPr>
          <w:rFonts w:ascii="Book Antiqua" w:eastAsia="Book Antiqua" w:hAnsi="Book Antiqua" w:cs="Book Antiqua"/>
          <w:b/>
          <w:color w:val="000000"/>
        </w:rPr>
        <w:t xml:space="preserve"> L-Editor:</w:t>
      </w:r>
      <w:r w:rsidR="0027177E">
        <w:rPr>
          <w:rFonts w:ascii="Book Antiqua" w:eastAsia="Book Antiqua" w:hAnsi="Book Antiqua" w:cs="Book Antiqua"/>
          <w:b/>
          <w:color w:val="000000"/>
        </w:rPr>
        <w:t xml:space="preserve"> </w:t>
      </w:r>
      <w:r w:rsidR="0027177E">
        <w:rPr>
          <w:rFonts w:ascii="Book Antiqua" w:eastAsia="Book Antiqua" w:hAnsi="Book Antiqua" w:cs="Book Antiqua"/>
          <w:bCs/>
          <w:color w:val="000000"/>
        </w:rPr>
        <w:t>Filipodia</w:t>
      </w:r>
      <w:r w:rsidRPr="00E0378B">
        <w:rPr>
          <w:rFonts w:ascii="Book Antiqua" w:eastAsia="Book Antiqua" w:hAnsi="Book Antiqua" w:cs="Book Antiqua"/>
          <w:b/>
          <w:color w:val="000000"/>
        </w:rPr>
        <w:t xml:space="preserve"> P-Editor: </w:t>
      </w:r>
    </w:p>
    <w:p w14:paraId="4A59CDF7" w14:textId="0C4989C5" w:rsidR="007624E7" w:rsidRPr="00E0378B" w:rsidRDefault="005379C5" w:rsidP="00E0378B">
      <w:pPr>
        <w:adjustRightInd w:val="0"/>
        <w:snapToGrid w:val="0"/>
        <w:spacing w:line="360" w:lineRule="auto"/>
        <w:jc w:val="both"/>
        <w:rPr>
          <w:rFonts w:ascii="Book Antiqua" w:eastAsia="Book Antiqua" w:hAnsi="Book Antiqua" w:cs="Book Antiqua"/>
          <w:b/>
          <w:color w:val="000000"/>
        </w:rPr>
      </w:pPr>
      <w:r w:rsidRPr="00E0378B">
        <w:rPr>
          <w:rFonts w:ascii="Book Antiqua" w:eastAsia="Book Antiqua" w:hAnsi="Book Antiqua" w:cs="Book Antiqua"/>
          <w:b/>
          <w:color w:val="000000"/>
        </w:rPr>
        <w:lastRenderedPageBreak/>
        <w:t>Figure Legends</w:t>
      </w:r>
    </w:p>
    <w:p w14:paraId="723F5358" w14:textId="37FC94C5" w:rsidR="007624E7" w:rsidRPr="00E0378B" w:rsidRDefault="00AD7FFA" w:rsidP="00E0378B">
      <w:pPr>
        <w:adjustRightInd w:val="0"/>
        <w:snapToGrid w:val="0"/>
        <w:spacing w:line="360" w:lineRule="auto"/>
        <w:jc w:val="both"/>
        <w:rPr>
          <w:rFonts w:ascii="Book Antiqua" w:eastAsia="Book Antiqua" w:hAnsi="Book Antiqua" w:cs="Book Antiqua"/>
          <w:b/>
          <w:color w:val="000000"/>
        </w:rPr>
      </w:pPr>
      <w:r w:rsidRPr="00E0378B">
        <w:rPr>
          <w:rFonts w:ascii="Book Antiqua" w:eastAsia="Book Antiqua" w:hAnsi="Book Antiqua" w:cs="Book Antiqua"/>
          <w:b/>
          <w:noProof/>
          <w:color w:val="000000"/>
        </w:rPr>
        <w:drawing>
          <wp:inline distT="0" distB="0" distL="0" distR="0" wp14:anchorId="3BD81D44" wp14:editId="61F36B61">
            <wp:extent cx="5911183" cy="31705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4043" cy="3172089"/>
                    </a:xfrm>
                    <a:prstGeom prst="rect">
                      <a:avLst/>
                    </a:prstGeom>
                    <a:noFill/>
                  </pic:spPr>
                </pic:pic>
              </a:graphicData>
            </a:graphic>
          </wp:inline>
        </w:drawing>
      </w:r>
    </w:p>
    <w:p w14:paraId="47A59B4B" w14:textId="384D2557" w:rsidR="000E3549" w:rsidRPr="00E0378B" w:rsidRDefault="005379C5" w:rsidP="00E0378B">
      <w:pPr>
        <w:adjustRightInd w:val="0"/>
        <w:snapToGrid w:val="0"/>
        <w:spacing w:line="360" w:lineRule="auto"/>
        <w:jc w:val="both"/>
        <w:rPr>
          <w:rFonts w:ascii="Book Antiqua" w:eastAsia="SimSun" w:hAnsi="Book Antiqua" w:cs="Book Antiqua"/>
          <w:b/>
          <w:bCs/>
          <w:color w:val="000000"/>
          <w:shd w:val="clear" w:color="auto" w:fill="FFFFFF"/>
          <w:lang w:eastAsia="zh-CN"/>
        </w:rPr>
      </w:pPr>
      <w:r w:rsidRPr="00E0378B">
        <w:rPr>
          <w:rFonts w:ascii="Book Antiqua" w:eastAsia="Book Antiqua" w:hAnsi="Book Antiqua" w:cs="Book Antiqua"/>
          <w:b/>
          <w:bCs/>
          <w:color w:val="000000"/>
          <w:shd w:val="clear" w:color="auto" w:fill="FFFFFF"/>
        </w:rPr>
        <w:t>Figure</w:t>
      </w:r>
      <w:r w:rsidRPr="00E0378B">
        <w:rPr>
          <w:rFonts w:ascii="Book Antiqua" w:eastAsia="SimSun" w:hAnsi="Book Antiqua" w:cs="Book Antiqua"/>
          <w:b/>
          <w:bCs/>
          <w:color w:val="000000"/>
          <w:shd w:val="clear" w:color="auto" w:fill="FFFFFF"/>
          <w:lang w:eastAsia="zh-CN"/>
        </w:rPr>
        <w:t xml:space="preserve"> 1</w:t>
      </w:r>
      <w:r w:rsidRPr="00E0378B">
        <w:rPr>
          <w:rFonts w:ascii="Book Antiqua" w:eastAsia="Book Antiqua" w:hAnsi="Book Antiqua" w:cs="Book Antiqua"/>
          <w:b/>
          <w:bCs/>
          <w:color w:val="000000"/>
          <w:shd w:val="clear" w:color="auto" w:fill="FFFFFF"/>
        </w:rPr>
        <w:t xml:space="preserve"> Studies showing crude mortality rates among women </w:t>
      </w:r>
      <w:r w:rsidRPr="00E0378B">
        <w:rPr>
          <w:rFonts w:ascii="Book Antiqua" w:eastAsia="Book Antiqua" w:hAnsi="Book Antiqua" w:cs="Book Antiqua"/>
          <w:b/>
          <w:bCs/>
          <w:i/>
          <w:iCs/>
          <w:color w:val="000000"/>
          <w:shd w:val="clear" w:color="auto" w:fill="FFFFFF"/>
        </w:rPr>
        <w:t>vs</w:t>
      </w:r>
      <w:r w:rsidRPr="00E0378B">
        <w:rPr>
          <w:rFonts w:ascii="Book Antiqua" w:eastAsia="Book Antiqua" w:hAnsi="Book Antiqua" w:cs="Book Antiqua"/>
          <w:b/>
          <w:bCs/>
          <w:color w:val="000000"/>
          <w:shd w:val="clear" w:color="auto" w:fill="FFFFFF"/>
        </w:rPr>
        <w:t xml:space="preserve"> men</w:t>
      </w:r>
      <w:r w:rsidRPr="00E0378B">
        <w:rPr>
          <w:rFonts w:ascii="Book Antiqua" w:eastAsia="SimSun" w:hAnsi="Book Antiqua" w:cs="Book Antiqua"/>
          <w:b/>
          <w:bCs/>
          <w:color w:val="000000"/>
          <w:shd w:val="clear" w:color="auto" w:fill="FFFFFF"/>
          <w:lang w:eastAsia="zh-CN"/>
        </w:rPr>
        <w:t>.</w:t>
      </w:r>
      <w:r w:rsidRPr="00E0378B">
        <w:rPr>
          <w:rFonts w:ascii="Book Antiqua" w:eastAsia="SimSun" w:hAnsi="Book Antiqua" w:cs="Book Antiqua"/>
          <w:color w:val="000000"/>
          <w:shd w:val="clear" w:color="auto" w:fill="FFFFFF"/>
          <w:lang w:eastAsia="zh-CN"/>
        </w:rPr>
        <w:t xml:space="preserve"> </w:t>
      </w:r>
      <w:r w:rsidR="00AD7FFA" w:rsidRPr="00E0378B">
        <w:rPr>
          <w:rFonts w:ascii="Book Antiqua" w:eastAsia="SimSun" w:hAnsi="Book Antiqua" w:cs="Book Antiqua"/>
          <w:color w:val="000000"/>
          <w:shd w:val="clear" w:color="auto" w:fill="FFFFFF"/>
          <w:vertAlign w:val="superscript"/>
          <w:lang w:eastAsia="zh-CN"/>
        </w:rPr>
        <w:t>1</w:t>
      </w:r>
      <w:r w:rsidR="00AD7FFA" w:rsidRPr="00E0378B">
        <w:rPr>
          <w:rFonts w:ascii="Book Antiqua" w:eastAsia="SimSun" w:hAnsi="Book Antiqua" w:cs="Book Antiqua"/>
          <w:color w:val="000000"/>
          <w:shd w:val="clear" w:color="auto" w:fill="FFFFFF"/>
          <w:lang w:eastAsia="zh-CN"/>
        </w:rPr>
        <w:t>In-hospital</w:t>
      </w:r>
      <w:r w:rsidRPr="00E0378B">
        <w:rPr>
          <w:rFonts w:ascii="Book Antiqua" w:eastAsia="SimSun" w:hAnsi="Book Antiqua" w:cs="Book Antiqua"/>
          <w:color w:val="000000"/>
          <w:shd w:val="clear" w:color="auto" w:fill="FFFFFF"/>
          <w:lang w:eastAsia="zh-CN"/>
        </w:rPr>
        <w:t xml:space="preserve"> </w:t>
      </w:r>
      <w:r w:rsidR="00AD7FFA" w:rsidRPr="00E0378B">
        <w:rPr>
          <w:rFonts w:ascii="Book Antiqua" w:eastAsia="SimSun" w:hAnsi="Book Antiqua" w:cs="Book Antiqua"/>
          <w:color w:val="000000"/>
          <w:shd w:val="clear" w:color="auto" w:fill="FFFFFF"/>
          <w:lang w:eastAsia="zh-CN"/>
        </w:rPr>
        <w:t>mortality;</w:t>
      </w:r>
      <w:r w:rsidRPr="00E0378B">
        <w:rPr>
          <w:rFonts w:ascii="Book Antiqua" w:eastAsia="SimSun" w:hAnsi="Book Antiqua" w:cs="Book Antiqua"/>
          <w:color w:val="000000"/>
          <w:shd w:val="clear" w:color="auto" w:fill="FFFFFF"/>
          <w:lang w:eastAsia="zh-CN"/>
        </w:rPr>
        <w:t xml:space="preserve"> </w:t>
      </w:r>
      <w:r w:rsidR="00AD7FFA" w:rsidRPr="00E0378B">
        <w:rPr>
          <w:rFonts w:ascii="Book Antiqua" w:eastAsia="SimSun" w:hAnsi="Book Antiqua" w:cs="Book Antiqua"/>
          <w:color w:val="000000"/>
          <w:shd w:val="clear" w:color="auto" w:fill="FFFFFF"/>
          <w:vertAlign w:val="superscript"/>
          <w:lang w:eastAsia="zh-CN"/>
        </w:rPr>
        <w:t>2</w:t>
      </w:r>
      <w:r w:rsidR="00AD7FFA" w:rsidRPr="00E0378B">
        <w:rPr>
          <w:rFonts w:ascii="Book Antiqua" w:eastAsia="SimSun" w:hAnsi="Book Antiqua" w:cs="Book Antiqua"/>
          <w:color w:val="000000"/>
          <w:shd w:val="clear" w:color="auto" w:fill="FFFFFF"/>
          <w:lang w:eastAsia="zh-CN"/>
        </w:rPr>
        <w:t>30-d</w:t>
      </w:r>
      <w:r w:rsidRPr="00E0378B">
        <w:rPr>
          <w:rFonts w:ascii="Book Antiqua" w:eastAsia="SimSun" w:hAnsi="Book Antiqua" w:cs="Book Antiqua"/>
          <w:color w:val="000000"/>
          <w:shd w:val="clear" w:color="auto" w:fill="FFFFFF"/>
          <w:lang w:eastAsia="zh-CN"/>
        </w:rPr>
        <w:t xml:space="preserve"> </w:t>
      </w:r>
      <w:r w:rsidR="00AD7FFA" w:rsidRPr="00E0378B">
        <w:rPr>
          <w:rFonts w:ascii="Book Antiqua" w:eastAsia="SimSun" w:hAnsi="Book Antiqua" w:cs="Book Antiqua"/>
          <w:color w:val="000000"/>
          <w:shd w:val="clear" w:color="auto" w:fill="FFFFFF"/>
          <w:lang w:eastAsia="zh-CN"/>
        </w:rPr>
        <w:t>mortality;</w:t>
      </w:r>
      <w:r w:rsidRPr="00E0378B">
        <w:rPr>
          <w:rFonts w:ascii="Book Antiqua" w:eastAsia="SimSun" w:hAnsi="Book Antiqua" w:cs="Book Antiqua"/>
          <w:color w:val="000000"/>
          <w:shd w:val="clear" w:color="auto" w:fill="FFFFFF"/>
          <w:lang w:eastAsia="zh-CN"/>
        </w:rPr>
        <w:t xml:space="preserve"> </w:t>
      </w:r>
      <w:r w:rsidR="00AD7FFA" w:rsidRPr="00E0378B">
        <w:rPr>
          <w:rFonts w:ascii="Book Antiqua" w:eastAsia="SimSun" w:hAnsi="Book Antiqua" w:cs="Book Antiqua"/>
          <w:color w:val="000000"/>
          <w:shd w:val="clear" w:color="auto" w:fill="FFFFFF"/>
          <w:vertAlign w:val="superscript"/>
          <w:lang w:eastAsia="zh-CN"/>
        </w:rPr>
        <w:t>3</w:t>
      </w:r>
      <w:r w:rsidR="00AD7FFA" w:rsidRPr="00E0378B">
        <w:rPr>
          <w:rFonts w:ascii="Book Antiqua" w:eastAsia="SimSun" w:hAnsi="Book Antiqua" w:cs="Book Antiqua"/>
          <w:color w:val="000000"/>
          <w:shd w:val="clear" w:color="auto" w:fill="FFFFFF"/>
          <w:lang w:eastAsia="zh-CN"/>
        </w:rPr>
        <w:t>1-year</w:t>
      </w:r>
      <w:r w:rsidRPr="00E0378B">
        <w:rPr>
          <w:rFonts w:ascii="Book Antiqua" w:eastAsia="SimSun" w:hAnsi="Book Antiqua" w:cs="Book Antiqua"/>
          <w:color w:val="000000"/>
          <w:shd w:val="clear" w:color="auto" w:fill="FFFFFF"/>
          <w:lang w:eastAsia="zh-CN"/>
        </w:rPr>
        <w:t xml:space="preserve"> </w:t>
      </w:r>
      <w:r w:rsidR="00AD7FFA" w:rsidRPr="00E0378B">
        <w:rPr>
          <w:rFonts w:ascii="Book Antiqua" w:eastAsia="SimSun" w:hAnsi="Book Antiqua" w:cs="Book Antiqua"/>
          <w:color w:val="000000"/>
          <w:shd w:val="clear" w:color="auto" w:fill="FFFFFF"/>
          <w:lang w:eastAsia="zh-CN"/>
        </w:rPr>
        <w:t>mortality.</w:t>
      </w:r>
      <w:r w:rsidRPr="00E0378B">
        <w:rPr>
          <w:rFonts w:ascii="Book Antiqua" w:eastAsia="SimSun" w:hAnsi="Book Antiqua" w:cs="Book Antiqua"/>
          <w:color w:val="000000"/>
          <w:shd w:val="clear" w:color="auto" w:fill="FFFFFF"/>
          <w:lang w:eastAsia="zh-CN"/>
        </w:rPr>
        <w:t xml:space="preserve"> </w:t>
      </w:r>
      <w:r w:rsidR="00AD7FFA" w:rsidRPr="00E0378B">
        <w:rPr>
          <w:rFonts w:ascii="Book Antiqua" w:eastAsia="SimSun" w:hAnsi="Book Antiqua" w:cs="Book Antiqua"/>
          <w:color w:val="000000"/>
          <w:shd w:val="clear" w:color="auto" w:fill="FFFFFF"/>
          <w:lang w:eastAsia="zh-CN"/>
        </w:rPr>
        <w:t>NA:</w:t>
      </w:r>
      <w:r w:rsidRPr="00E0378B">
        <w:rPr>
          <w:rFonts w:ascii="Book Antiqua" w:eastAsia="SimSun" w:hAnsi="Book Antiqua" w:cs="Book Antiqua"/>
          <w:color w:val="000000"/>
          <w:shd w:val="clear" w:color="auto" w:fill="FFFFFF"/>
          <w:lang w:eastAsia="zh-CN"/>
        </w:rPr>
        <w:t xml:space="preserve"> </w:t>
      </w:r>
      <w:r w:rsidR="00AD7FFA" w:rsidRPr="00E0378B">
        <w:rPr>
          <w:rFonts w:ascii="Book Antiqua" w:eastAsia="SimSun" w:hAnsi="Book Antiqua" w:cs="Book Antiqua"/>
          <w:color w:val="000000"/>
          <w:shd w:val="clear" w:color="auto" w:fill="FFFFFF"/>
          <w:lang w:eastAsia="zh-CN"/>
        </w:rPr>
        <w:t>Not</w:t>
      </w:r>
      <w:r w:rsidRPr="00E0378B">
        <w:rPr>
          <w:rFonts w:ascii="Book Antiqua" w:eastAsia="SimSun" w:hAnsi="Book Antiqua" w:cs="Book Antiqua"/>
          <w:color w:val="000000"/>
          <w:shd w:val="clear" w:color="auto" w:fill="FFFFFF"/>
          <w:lang w:eastAsia="zh-CN"/>
        </w:rPr>
        <w:t xml:space="preserve"> </w:t>
      </w:r>
      <w:r w:rsidR="00AD7FFA" w:rsidRPr="00E0378B">
        <w:rPr>
          <w:rFonts w:ascii="Book Antiqua" w:eastAsia="SimSun" w:hAnsi="Book Antiqua" w:cs="Book Antiqua"/>
          <w:color w:val="000000"/>
          <w:shd w:val="clear" w:color="auto" w:fill="FFFFFF"/>
          <w:lang w:eastAsia="zh-CN"/>
        </w:rPr>
        <w:t>available.</w:t>
      </w:r>
    </w:p>
    <w:p w14:paraId="10818762" w14:textId="44F00967" w:rsidR="000E3549" w:rsidRPr="00E0378B" w:rsidRDefault="000E3549" w:rsidP="00E0378B">
      <w:pPr>
        <w:adjustRightInd w:val="0"/>
        <w:snapToGrid w:val="0"/>
        <w:spacing w:line="360" w:lineRule="auto"/>
        <w:jc w:val="both"/>
        <w:rPr>
          <w:rFonts w:ascii="Book Antiqua" w:eastAsia="SimSun" w:hAnsi="Book Antiqua" w:cs="Book Antiqua"/>
          <w:b/>
          <w:bCs/>
          <w:color w:val="000000"/>
          <w:shd w:val="clear" w:color="auto" w:fill="FFFFFF"/>
          <w:lang w:eastAsia="zh-CN"/>
        </w:rPr>
        <w:sectPr w:rsidR="000E3549" w:rsidRPr="00E0378B">
          <w:pgSz w:w="12240" w:h="15840"/>
          <w:pgMar w:top="1440" w:right="1440" w:bottom="1440" w:left="1440" w:header="720" w:footer="720" w:gutter="0"/>
          <w:cols w:space="720"/>
          <w:docGrid w:linePitch="360"/>
        </w:sectPr>
      </w:pPr>
    </w:p>
    <w:p w14:paraId="2126388A" w14:textId="32609EAE" w:rsidR="00A01440" w:rsidRPr="00E0378B" w:rsidRDefault="00A01440" w:rsidP="00E0378B">
      <w:pPr>
        <w:autoSpaceDE w:val="0"/>
        <w:autoSpaceDN w:val="0"/>
        <w:adjustRightInd w:val="0"/>
        <w:snapToGrid w:val="0"/>
        <w:spacing w:line="360" w:lineRule="auto"/>
        <w:jc w:val="both"/>
        <w:rPr>
          <w:rFonts w:ascii="Book Antiqua" w:hAnsi="Book Antiqua"/>
          <w:b/>
          <w:bCs/>
        </w:rPr>
      </w:pPr>
      <w:r w:rsidRPr="00E0378B">
        <w:rPr>
          <w:rFonts w:ascii="Book Antiqua" w:hAnsi="Book Antiqua"/>
          <w:b/>
          <w:bCs/>
        </w:rPr>
        <w:lastRenderedPageBreak/>
        <w:t>Table</w:t>
      </w:r>
      <w:r w:rsidR="005379C5" w:rsidRPr="00E0378B">
        <w:rPr>
          <w:rFonts w:ascii="Book Antiqua" w:hAnsi="Book Antiqua"/>
          <w:b/>
          <w:bCs/>
        </w:rPr>
        <w:t xml:space="preserve"> </w:t>
      </w:r>
      <w:r w:rsidRPr="00E0378B">
        <w:rPr>
          <w:rFonts w:ascii="Book Antiqua" w:hAnsi="Book Antiqua"/>
          <w:b/>
          <w:bCs/>
        </w:rPr>
        <w:t>1</w:t>
      </w:r>
      <w:r w:rsidR="005379C5" w:rsidRPr="00E0378B">
        <w:rPr>
          <w:rFonts w:ascii="Book Antiqua" w:hAnsi="Book Antiqua"/>
          <w:b/>
          <w:bCs/>
        </w:rPr>
        <w:t xml:space="preserve"> </w:t>
      </w:r>
      <w:r w:rsidRPr="00E0378B">
        <w:rPr>
          <w:rFonts w:ascii="Book Antiqua" w:hAnsi="Book Antiqua"/>
          <w:b/>
          <w:bCs/>
        </w:rPr>
        <w:t>Sex</w:t>
      </w:r>
      <w:r w:rsidR="005379C5" w:rsidRPr="00E0378B">
        <w:rPr>
          <w:rFonts w:ascii="Book Antiqua" w:hAnsi="Book Antiqua"/>
          <w:b/>
          <w:bCs/>
        </w:rPr>
        <w:t xml:space="preserve"> </w:t>
      </w:r>
      <w:r w:rsidRPr="00E0378B">
        <w:rPr>
          <w:rFonts w:ascii="Book Antiqua" w:hAnsi="Book Antiqua"/>
          <w:b/>
          <w:bCs/>
        </w:rPr>
        <w:t>differences</w:t>
      </w:r>
      <w:r w:rsidR="005379C5" w:rsidRPr="00E0378B">
        <w:rPr>
          <w:rFonts w:ascii="Book Antiqua" w:hAnsi="Book Antiqua"/>
          <w:b/>
          <w:bCs/>
        </w:rPr>
        <w:t xml:space="preserve"> </w:t>
      </w:r>
      <w:r w:rsidRPr="00E0378B">
        <w:rPr>
          <w:rFonts w:ascii="Book Antiqua" w:hAnsi="Book Antiqua"/>
          <w:b/>
          <w:bCs/>
        </w:rPr>
        <w:t>in</w:t>
      </w:r>
      <w:r w:rsidR="005379C5" w:rsidRPr="00E0378B">
        <w:rPr>
          <w:rFonts w:ascii="Book Antiqua" w:hAnsi="Book Antiqua"/>
          <w:b/>
          <w:bCs/>
        </w:rPr>
        <w:t xml:space="preserve"> </w:t>
      </w:r>
      <w:r w:rsidRPr="00E0378B">
        <w:rPr>
          <w:rFonts w:ascii="Book Antiqua" w:hAnsi="Book Antiqua"/>
          <w:b/>
          <w:bCs/>
        </w:rPr>
        <w:t>the</w:t>
      </w:r>
      <w:r w:rsidR="005379C5" w:rsidRPr="00E0378B">
        <w:rPr>
          <w:rFonts w:ascii="Book Antiqua" w:hAnsi="Book Antiqua"/>
          <w:b/>
          <w:bCs/>
        </w:rPr>
        <w:t xml:space="preserve"> </w:t>
      </w:r>
      <w:r w:rsidRPr="00E0378B">
        <w:rPr>
          <w:rFonts w:ascii="Book Antiqua" w:hAnsi="Book Antiqua"/>
          <w:b/>
          <w:bCs/>
        </w:rPr>
        <w:t>prevalence</w:t>
      </w:r>
      <w:r w:rsidR="005379C5" w:rsidRPr="00E0378B">
        <w:rPr>
          <w:rFonts w:ascii="Book Antiqua" w:hAnsi="Book Antiqua"/>
          <w:b/>
          <w:bCs/>
        </w:rPr>
        <w:t xml:space="preserve"> </w:t>
      </w:r>
      <w:r w:rsidRPr="00E0378B">
        <w:rPr>
          <w:rFonts w:ascii="Book Antiqua" w:hAnsi="Book Antiqua"/>
          <w:b/>
          <w:bCs/>
        </w:rPr>
        <w:t>and</w:t>
      </w:r>
      <w:r w:rsidR="005379C5" w:rsidRPr="00E0378B">
        <w:rPr>
          <w:rFonts w:ascii="Book Antiqua" w:hAnsi="Book Antiqua"/>
          <w:b/>
          <w:bCs/>
        </w:rPr>
        <w:t xml:space="preserve"> </w:t>
      </w:r>
      <w:r w:rsidRPr="00E0378B">
        <w:rPr>
          <w:rFonts w:ascii="Book Antiqua" w:hAnsi="Book Antiqua"/>
          <w:b/>
          <w:bCs/>
        </w:rPr>
        <w:t>risk</w:t>
      </w:r>
      <w:r w:rsidR="005379C5" w:rsidRPr="00E0378B">
        <w:rPr>
          <w:rFonts w:ascii="Book Antiqua" w:hAnsi="Book Antiqua"/>
          <w:b/>
          <w:bCs/>
        </w:rPr>
        <w:t xml:space="preserve"> </w:t>
      </w:r>
      <w:r w:rsidRPr="00E0378B">
        <w:rPr>
          <w:rFonts w:ascii="Book Antiqua" w:hAnsi="Book Antiqua"/>
          <w:b/>
          <w:bCs/>
        </w:rPr>
        <w:t>profile</w:t>
      </w:r>
    </w:p>
    <w:tbl>
      <w:tblPr>
        <w:tblStyle w:val="TableGrid"/>
        <w:tblW w:w="13575" w:type="dxa"/>
        <w:jc w:val="center"/>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992"/>
        <w:gridCol w:w="709"/>
        <w:gridCol w:w="567"/>
        <w:gridCol w:w="708"/>
        <w:gridCol w:w="851"/>
        <w:gridCol w:w="850"/>
        <w:gridCol w:w="851"/>
        <w:gridCol w:w="992"/>
        <w:gridCol w:w="1134"/>
        <w:gridCol w:w="851"/>
        <w:gridCol w:w="992"/>
        <w:gridCol w:w="709"/>
        <w:gridCol w:w="850"/>
        <w:gridCol w:w="709"/>
        <w:gridCol w:w="709"/>
      </w:tblGrid>
      <w:tr w:rsidR="000E3549" w:rsidRPr="00E0378B" w14:paraId="595209B8" w14:textId="77777777" w:rsidTr="00CF5A1D">
        <w:trPr>
          <w:jc w:val="center"/>
        </w:trPr>
        <w:tc>
          <w:tcPr>
            <w:tcW w:w="1101" w:type="dxa"/>
            <w:tcBorders>
              <w:top w:val="single" w:sz="4" w:space="0" w:color="auto"/>
              <w:bottom w:val="nil"/>
            </w:tcBorders>
            <w:vAlign w:val="center"/>
          </w:tcPr>
          <w:p w14:paraId="5253D6FB" w14:textId="182EC231" w:rsidR="00A01440" w:rsidRPr="00E0378B" w:rsidRDefault="00CF5A1D" w:rsidP="00CF5A1D">
            <w:pPr>
              <w:adjustRightInd w:val="0"/>
              <w:snapToGrid w:val="0"/>
              <w:spacing w:line="360" w:lineRule="auto"/>
              <w:jc w:val="both"/>
              <w:rPr>
                <w:rFonts w:ascii="Book Antiqua" w:hAnsi="Book Antiqua"/>
                <w:b/>
                <w:bCs/>
              </w:rPr>
            </w:pPr>
            <w:bookmarkStart w:id="2" w:name="_Hlk66296693"/>
            <w:r>
              <w:rPr>
                <w:rFonts w:ascii="Book Antiqua" w:hAnsi="Book Antiqua"/>
                <w:b/>
                <w:bCs/>
              </w:rPr>
              <w:t>Ref.</w:t>
            </w:r>
          </w:p>
        </w:tc>
        <w:tc>
          <w:tcPr>
            <w:tcW w:w="992" w:type="dxa"/>
            <w:tcBorders>
              <w:top w:val="single" w:sz="4" w:space="0" w:color="auto"/>
              <w:bottom w:val="nil"/>
            </w:tcBorders>
            <w:vAlign w:val="center"/>
          </w:tcPr>
          <w:p w14:paraId="756B34A5" w14:textId="77777777" w:rsidR="00A01440" w:rsidRPr="00E0378B" w:rsidRDefault="00A01440" w:rsidP="00CF5A1D">
            <w:pPr>
              <w:adjustRightInd w:val="0"/>
              <w:snapToGrid w:val="0"/>
              <w:spacing w:line="360" w:lineRule="auto"/>
              <w:jc w:val="both"/>
              <w:rPr>
                <w:rFonts w:ascii="Book Antiqua" w:hAnsi="Book Antiqua"/>
                <w:b/>
                <w:bCs/>
              </w:rPr>
            </w:pPr>
            <w:r w:rsidRPr="00E0378B">
              <w:rPr>
                <w:rFonts w:ascii="Book Antiqua" w:hAnsi="Book Antiqua"/>
                <w:b/>
                <w:bCs/>
              </w:rPr>
              <w:t>Country</w:t>
            </w:r>
          </w:p>
        </w:tc>
        <w:tc>
          <w:tcPr>
            <w:tcW w:w="1276" w:type="dxa"/>
            <w:gridSpan w:val="2"/>
            <w:tcBorders>
              <w:top w:val="single" w:sz="4" w:space="0" w:color="auto"/>
              <w:bottom w:val="single" w:sz="4" w:space="0" w:color="auto"/>
            </w:tcBorders>
            <w:vAlign w:val="center"/>
          </w:tcPr>
          <w:p w14:paraId="2CCF9980" w14:textId="048F63A4" w:rsidR="00A01440" w:rsidRPr="00E0378B" w:rsidRDefault="00A01440" w:rsidP="00CF5A1D">
            <w:pPr>
              <w:adjustRightInd w:val="0"/>
              <w:snapToGrid w:val="0"/>
              <w:spacing w:line="360" w:lineRule="auto"/>
              <w:jc w:val="both"/>
              <w:rPr>
                <w:rFonts w:ascii="Book Antiqua" w:hAnsi="Book Antiqua"/>
                <w:b/>
                <w:bCs/>
              </w:rPr>
            </w:pPr>
            <w:r w:rsidRPr="00E0378B">
              <w:rPr>
                <w:rFonts w:ascii="Book Antiqua" w:hAnsi="Book Antiqua"/>
                <w:b/>
                <w:bCs/>
              </w:rPr>
              <w:t>Prevalence</w:t>
            </w:r>
            <w:r w:rsidR="005379C5" w:rsidRPr="00E0378B">
              <w:rPr>
                <w:rFonts w:ascii="Book Antiqua" w:hAnsi="Book Antiqua"/>
                <w:b/>
                <w:bCs/>
              </w:rPr>
              <w:t xml:space="preserve"> </w:t>
            </w:r>
            <w:r w:rsidRPr="00E0378B">
              <w:rPr>
                <w:rFonts w:ascii="Book Antiqua" w:hAnsi="Book Antiqua"/>
                <w:b/>
                <w:bCs/>
              </w:rPr>
              <w:t>of</w:t>
            </w:r>
          </w:p>
          <w:p w14:paraId="4E294393" w14:textId="7C18126C" w:rsidR="00A01440" w:rsidRPr="00E0378B" w:rsidRDefault="00A01440" w:rsidP="00CF5A1D">
            <w:pPr>
              <w:adjustRightInd w:val="0"/>
              <w:snapToGrid w:val="0"/>
              <w:spacing w:line="360" w:lineRule="auto"/>
              <w:jc w:val="both"/>
              <w:rPr>
                <w:rFonts w:ascii="Book Antiqua" w:hAnsi="Book Antiqua"/>
                <w:b/>
                <w:bCs/>
              </w:rPr>
            </w:pPr>
            <w:r w:rsidRPr="00E0378B">
              <w:rPr>
                <w:rFonts w:ascii="Book Antiqua" w:hAnsi="Book Antiqua"/>
                <w:b/>
                <w:bCs/>
              </w:rPr>
              <w:t>cardiogenic</w:t>
            </w:r>
            <w:r w:rsidR="005379C5" w:rsidRPr="00E0378B">
              <w:rPr>
                <w:rFonts w:ascii="Book Antiqua" w:hAnsi="Book Antiqua"/>
                <w:b/>
                <w:bCs/>
              </w:rPr>
              <w:t xml:space="preserve"> </w:t>
            </w:r>
            <w:r w:rsidRPr="00E0378B">
              <w:rPr>
                <w:rFonts w:ascii="Book Antiqua" w:hAnsi="Book Antiqua"/>
                <w:b/>
                <w:bCs/>
              </w:rPr>
              <w:t>shock</w:t>
            </w:r>
            <w:r w:rsidR="005379C5" w:rsidRPr="00E0378B">
              <w:rPr>
                <w:rFonts w:ascii="Book Antiqua" w:hAnsi="Book Antiqua"/>
                <w:b/>
                <w:bCs/>
              </w:rPr>
              <w:t xml:space="preserve"> </w:t>
            </w:r>
            <w:r w:rsidRPr="00E0378B">
              <w:rPr>
                <w:rFonts w:ascii="Book Antiqua" w:hAnsi="Book Antiqua"/>
                <w:b/>
                <w:bCs/>
              </w:rPr>
              <w:t>(%)</w:t>
            </w:r>
          </w:p>
        </w:tc>
        <w:tc>
          <w:tcPr>
            <w:tcW w:w="1559" w:type="dxa"/>
            <w:gridSpan w:val="2"/>
            <w:tcBorders>
              <w:top w:val="single" w:sz="4" w:space="0" w:color="auto"/>
              <w:bottom w:val="single" w:sz="4" w:space="0" w:color="auto"/>
            </w:tcBorders>
            <w:vAlign w:val="center"/>
          </w:tcPr>
          <w:p w14:paraId="201237A5" w14:textId="0DFB5C8E" w:rsidR="00A01440" w:rsidRPr="00E0378B" w:rsidRDefault="00A01440" w:rsidP="00CF5A1D">
            <w:pPr>
              <w:adjustRightInd w:val="0"/>
              <w:snapToGrid w:val="0"/>
              <w:spacing w:line="360" w:lineRule="auto"/>
              <w:jc w:val="both"/>
              <w:rPr>
                <w:rFonts w:ascii="Book Antiqua" w:hAnsi="Book Antiqua"/>
                <w:b/>
                <w:bCs/>
              </w:rPr>
            </w:pPr>
            <w:r w:rsidRPr="00E0378B">
              <w:rPr>
                <w:rFonts w:ascii="Book Antiqua" w:hAnsi="Book Antiqua"/>
                <w:b/>
                <w:bCs/>
              </w:rPr>
              <w:t>Mean</w:t>
            </w:r>
            <w:r w:rsidR="005379C5" w:rsidRPr="00E0378B">
              <w:rPr>
                <w:rFonts w:ascii="Book Antiqua" w:hAnsi="Book Antiqua"/>
                <w:b/>
                <w:bCs/>
              </w:rPr>
              <w:t xml:space="preserve"> </w:t>
            </w:r>
            <w:r w:rsidRPr="00E0378B">
              <w:rPr>
                <w:rFonts w:ascii="Book Antiqua" w:hAnsi="Book Antiqua"/>
                <w:b/>
                <w:bCs/>
              </w:rPr>
              <w:t>age,</w:t>
            </w:r>
            <w:r w:rsidR="005379C5" w:rsidRPr="00E0378B">
              <w:rPr>
                <w:rFonts w:ascii="Book Antiqua" w:hAnsi="Book Antiqua"/>
                <w:b/>
                <w:bCs/>
              </w:rPr>
              <w:t xml:space="preserve"> </w:t>
            </w:r>
            <w:r w:rsidRPr="00E0378B">
              <w:rPr>
                <w:rFonts w:ascii="Book Antiqua" w:hAnsi="Book Antiqua"/>
                <w:b/>
                <w:bCs/>
              </w:rPr>
              <w:t>yr</w:t>
            </w:r>
          </w:p>
        </w:tc>
        <w:tc>
          <w:tcPr>
            <w:tcW w:w="1701" w:type="dxa"/>
            <w:gridSpan w:val="2"/>
            <w:tcBorders>
              <w:top w:val="single" w:sz="4" w:space="0" w:color="auto"/>
              <w:bottom w:val="single" w:sz="4" w:space="0" w:color="auto"/>
            </w:tcBorders>
            <w:vAlign w:val="center"/>
          </w:tcPr>
          <w:p w14:paraId="31B72C6E" w14:textId="091CE1CA" w:rsidR="00A01440" w:rsidRPr="00E0378B" w:rsidRDefault="00A01440" w:rsidP="00CF5A1D">
            <w:pPr>
              <w:adjustRightInd w:val="0"/>
              <w:snapToGrid w:val="0"/>
              <w:spacing w:line="360" w:lineRule="auto"/>
              <w:jc w:val="both"/>
              <w:rPr>
                <w:rFonts w:ascii="Book Antiqua" w:hAnsi="Book Antiqua"/>
                <w:b/>
                <w:bCs/>
              </w:rPr>
            </w:pPr>
            <w:r w:rsidRPr="00E0378B">
              <w:rPr>
                <w:rFonts w:ascii="Book Antiqua" w:hAnsi="Book Antiqua"/>
                <w:b/>
                <w:bCs/>
              </w:rPr>
              <w:t>Hypertension</w:t>
            </w:r>
            <w:r w:rsidR="005379C5" w:rsidRPr="00E0378B">
              <w:rPr>
                <w:rFonts w:ascii="Book Antiqua" w:hAnsi="Book Antiqua"/>
                <w:b/>
                <w:bCs/>
              </w:rPr>
              <w:t xml:space="preserve"> </w:t>
            </w:r>
            <w:r w:rsidRPr="00E0378B">
              <w:rPr>
                <w:rFonts w:ascii="Book Antiqua" w:hAnsi="Book Antiqua"/>
                <w:b/>
                <w:bCs/>
              </w:rPr>
              <w:t>(%)</w:t>
            </w:r>
          </w:p>
        </w:tc>
        <w:tc>
          <w:tcPr>
            <w:tcW w:w="2126" w:type="dxa"/>
            <w:gridSpan w:val="2"/>
            <w:tcBorders>
              <w:top w:val="single" w:sz="4" w:space="0" w:color="auto"/>
              <w:bottom w:val="single" w:sz="4" w:space="0" w:color="auto"/>
            </w:tcBorders>
            <w:vAlign w:val="center"/>
          </w:tcPr>
          <w:p w14:paraId="6591503B" w14:textId="327D94F1" w:rsidR="00A01440" w:rsidRPr="00E0378B" w:rsidRDefault="00A01440" w:rsidP="00CF5A1D">
            <w:pPr>
              <w:adjustRightInd w:val="0"/>
              <w:snapToGrid w:val="0"/>
              <w:spacing w:line="360" w:lineRule="auto"/>
              <w:jc w:val="both"/>
              <w:rPr>
                <w:rFonts w:ascii="Book Antiqua" w:hAnsi="Book Antiqua"/>
                <w:b/>
                <w:bCs/>
              </w:rPr>
            </w:pPr>
            <w:r w:rsidRPr="00E0378B">
              <w:rPr>
                <w:rFonts w:ascii="Book Antiqua" w:hAnsi="Book Antiqua"/>
                <w:b/>
                <w:bCs/>
              </w:rPr>
              <w:t>Diabetes</w:t>
            </w:r>
            <w:r w:rsidR="005379C5" w:rsidRPr="00E0378B">
              <w:rPr>
                <w:rFonts w:ascii="Book Antiqua" w:hAnsi="Book Antiqua"/>
                <w:b/>
                <w:bCs/>
              </w:rPr>
              <w:t xml:space="preserve"> </w:t>
            </w:r>
            <w:r w:rsidRPr="00E0378B">
              <w:rPr>
                <w:rFonts w:ascii="Book Antiqua" w:hAnsi="Book Antiqua"/>
                <w:b/>
                <w:bCs/>
              </w:rPr>
              <w:t>(%)</w:t>
            </w:r>
          </w:p>
        </w:tc>
        <w:tc>
          <w:tcPr>
            <w:tcW w:w="1843" w:type="dxa"/>
            <w:gridSpan w:val="2"/>
            <w:tcBorders>
              <w:top w:val="single" w:sz="4" w:space="0" w:color="auto"/>
              <w:bottom w:val="single" w:sz="4" w:space="0" w:color="auto"/>
            </w:tcBorders>
            <w:vAlign w:val="center"/>
          </w:tcPr>
          <w:p w14:paraId="66293544" w14:textId="5E5DF29A" w:rsidR="00A01440" w:rsidRPr="00E0378B" w:rsidRDefault="00A01440" w:rsidP="00CF5A1D">
            <w:pPr>
              <w:adjustRightInd w:val="0"/>
              <w:snapToGrid w:val="0"/>
              <w:spacing w:line="360" w:lineRule="auto"/>
              <w:jc w:val="both"/>
              <w:rPr>
                <w:rFonts w:ascii="Book Antiqua" w:hAnsi="Book Antiqua"/>
                <w:b/>
                <w:bCs/>
              </w:rPr>
            </w:pPr>
            <w:r w:rsidRPr="00E0378B">
              <w:rPr>
                <w:rFonts w:ascii="Book Antiqua" w:hAnsi="Book Antiqua"/>
                <w:b/>
                <w:bCs/>
              </w:rPr>
              <w:t>Prior</w:t>
            </w:r>
            <w:r w:rsidR="005379C5" w:rsidRPr="00E0378B">
              <w:rPr>
                <w:rFonts w:ascii="Book Antiqua" w:hAnsi="Book Antiqua"/>
                <w:b/>
                <w:bCs/>
              </w:rPr>
              <w:t xml:space="preserve"> </w:t>
            </w:r>
            <w:r w:rsidRPr="00E0378B">
              <w:rPr>
                <w:rFonts w:ascii="Book Antiqua" w:hAnsi="Book Antiqua"/>
                <w:b/>
                <w:bCs/>
              </w:rPr>
              <w:t>myocardial</w:t>
            </w:r>
            <w:r w:rsidR="005379C5" w:rsidRPr="00E0378B">
              <w:rPr>
                <w:rFonts w:ascii="Book Antiqua" w:hAnsi="Book Antiqua"/>
                <w:b/>
                <w:bCs/>
              </w:rPr>
              <w:t xml:space="preserve"> </w:t>
            </w:r>
            <w:r w:rsidRPr="00E0378B">
              <w:rPr>
                <w:rFonts w:ascii="Book Antiqua" w:hAnsi="Book Antiqua"/>
                <w:b/>
                <w:bCs/>
              </w:rPr>
              <w:t>infarction</w:t>
            </w:r>
            <w:r w:rsidR="005379C5" w:rsidRPr="00E0378B">
              <w:rPr>
                <w:rFonts w:ascii="Book Antiqua" w:hAnsi="Book Antiqua"/>
                <w:b/>
                <w:bCs/>
              </w:rPr>
              <w:t xml:space="preserve"> </w:t>
            </w:r>
            <w:r w:rsidRPr="00E0378B">
              <w:rPr>
                <w:rFonts w:ascii="Book Antiqua" w:hAnsi="Book Antiqua"/>
                <w:b/>
                <w:bCs/>
              </w:rPr>
              <w:t>(%)</w:t>
            </w:r>
          </w:p>
        </w:tc>
        <w:tc>
          <w:tcPr>
            <w:tcW w:w="1559" w:type="dxa"/>
            <w:gridSpan w:val="2"/>
            <w:tcBorders>
              <w:top w:val="single" w:sz="4" w:space="0" w:color="auto"/>
              <w:bottom w:val="single" w:sz="4" w:space="0" w:color="auto"/>
            </w:tcBorders>
            <w:vAlign w:val="center"/>
          </w:tcPr>
          <w:p w14:paraId="0E0187F2" w14:textId="3E0EE2FB" w:rsidR="00A01440" w:rsidRPr="00E0378B" w:rsidRDefault="00A01440" w:rsidP="00CF5A1D">
            <w:pPr>
              <w:adjustRightInd w:val="0"/>
              <w:snapToGrid w:val="0"/>
              <w:spacing w:line="360" w:lineRule="auto"/>
              <w:jc w:val="both"/>
              <w:rPr>
                <w:rFonts w:ascii="Book Antiqua" w:hAnsi="Book Antiqua"/>
                <w:b/>
                <w:bCs/>
              </w:rPr>
            </w:pPr>
            <w:r w:rsidRPr="00E0378B">
              <w:rPr>
                <w:rFonts w:ascii="Book Antiqua" w:hAnsi="Book Antiqua"/>
                <w:b/>
                <w:bCs/>
              </w:rPr>
              <w:t>Prior</w:t>
            </w:r>
            <w:r w:rsidR="005379C5" w:rsidRPr="00E0378B">
              <w:rPr>
                <w:rFonts w:ascii="Book Antiqua" w:hAnsi="Book Antiqua"/>
                <w:b/>
                <w:bCs/>
              </w:rPr>
              <w:t xml:space="preserve"> </w:t>
            </w:r>
            <w:r w:rsidRPr="00E0378B">
              <w:rPr>
                <w:rFonts w:ascii="Book Antiqua" w:hAnsi="Book Antiqua"/>
                <w:b/>
                <w:bCs/>
              </w:rPr>
              <w:t>percutaneous</w:t>
            </w:r>
            <w:r w:rsidR="005379C5" w:rsidRPr="00E0378B">
              <w:rPr>
                <w:rFonts w:ascii="Book Antiqua" w:hAnsi="Book Antiqua"/>
                <w:b/>
                <w:bCs/>
              </w:rPr>
              <w:t xml:space="preserve"> </w:t>
            </w:r>
            <w:r w:rsidRPr="00E0378B">
              <w:rPr>
                <w:rFonts w:ascii="Book Antiqua" w:hAnsi="Book Antiqua"/>
                <w:b/>
                <w:bCs/>
              </w:rPr>
              <w:t>coronary</w:t>
            </w:r>
            <w:r w:rsidR="005379C5" w:rsidRPr="00E0378B">
              <w:rPr>
                <w:rFonts w:ascii="Book Antiqua" w:hAnsi="Book Antiqua"/>
                <w:b/>
                <w:bCs/>
              </w:rPr>
              <w:t xml:space="preserve"> </w:t>
            </w:r>
            <w:r w:rsidRPr="00E0378B">
              <w:rPr>
                <w:rFonts w:ascii="Book Antiqua" w:hAnsi="Book Antiqua"/>
                <w:b/>
                <w:bCs/>
              </w:rPr>
              <w:t>intervention</w:t>
            </w:r>
            <w:r w:rsidR="005379C5" w:rsidRPr="00E0378B">
              <w:rPr>
                <w:rFonts w:ascii="Book Antiqua" w:hAnsi="Book Antiqua"/>
                <w:b/>
                <w:bCs/>
              </w:rPr>
              <w:t xml:space="preserve"> </w:t>
            </w:r>
            <w:r w:rsidRPr="00E0378B">
              <w:rPr>
                <w:rFonts w:ascii="Book Antiqua" w:hAnsi="Book Antiqua"/>
                <w:b/>
                <w:bCs/>
              </w:rPr>
              <w:t>(%)</w:t>
            </w:r>
          </w:p>
        </w:tc>
        <w:tc>
          <w:tcPr>
            <w:tcW w:w="1418" w:type="dxa"/>
            <w:gridSpan w:val="2"/>
            <w:tcBorders>
              <w:top w:val="single" w:sz="4" w:space="0" w:color="auto"/>
              <w:bottom w:val="single" w:sz="4" w:space="0" w:color="auto"/>
            </w:tcBorders>
            <w:vAlign w:val="center"/>
          </w:tcPr>
          <w:p w14:paraId="6BC8F74C" w14:textId="299B2374" w:rsidR="00A01440" w:rsidRPr="00E0378B" w:rsidRDefault="00A01440" w:rsidP="00CF5A1D">
            <w:pPr>
              <w:adjustRightInd w:val="0"/>
              <w:snapToGrid w:val="0"/>
              <w:spacing w:line="360" w:lineRule="auto"/>
              <w:jc w:val="both"/>
              <w:rPr>
                <w:rFonts w:ascii="Book Antiqua" w:hAnsi="Book Antiqua"/>
                <w:b/>
                <w:bCs/>
              </w:rPr>
            </w:pPr>
            <w:r w:rsidRPr="00E0378B">
              <w:rPr>
                <w:rFonts w:ascii="Book Antiqua" w:hAnsi="Book Antiqua"/>
                <w:b/>
                <w:bCs/>
              </w:rPr>
              <w:t>Smoking</w:t>
            </w:r>
          </w:p>
          <w:p w14:paraId="17C41B25" w14:textId="4F4E5C93" w:rsidR="00A01440" w:rsidRPr="00E0378B" w:rsidRDefault="005379C5" w:rsidP="00CF5A1D">
            <w:pPr>
              <w:adjustRightInd w:val="0"/>
              <w:snapToGrid w:val="0"/>
              <w:spacing w:line="360" w:lineRule="auto"/>
              <w:jc w:val="both"/>
              <w:rPr>
                <w:rFonts w:ascii="Book Antiqua" w:hAnsi="Book Antiqua"/>
                <w:b/>
                <w:bCs/>
              </w:rPr>
            </w:pPr>
            <w:r w:rsidRPr="00E0378B">
              <w:rPr>
                <w:rFonts w:ascii="Book Antiqua" w:hAnsi="Book Antiqua"/>
                <w:b/>
                <w:bCs/>
              </w:rPr>
              <w:t xml:space="preserve"> </w:t>
            </w:r>
            <w:r w:rsidR="00A01440" w:rsidRPr="00E0378B">
              <w:rPr>
                <w:rFonts w:ascii="Book Antiqua" w:hAnsi="Book Antiqua"/>
                <w:b/>
                <w:bCs/>
              </w:rPr>
              <w:t>(%)</w:t>
            </w:r>
          </w:p>
        </w:tc>
      </w:tr>
      <w:tr w:rsidR="000E3549" w:rsidRPr="00E0378B" w14:paraId="14AC98C8" w14:textId="77777777" w:rsidTr="00CF5A1D">
        <w:trPr>
          <w:jc w:val="center"/>
        </w:trPr>
        <w:tc>
          <w:tcPr>
            <w:tcW w:w="1101" w:type="dxa"/>
            <w:tcBorders>
              <w:top w:val="nil"/>
              <w:bottom w:val="single" w:sz="4" w:space="0" w:color="auto"/>
            </w:tcBorders>
            <w:vAlign w:val="center"/>
          </w:tcPr>
          <w:p w14:paraId="3B4BC949" w14:textId="77777777" w:rsidR="00A01440" w:rsidRPr="00E0378B" w:rsidRDefault="00A01440" w:rsidP="00CF5A1D">
            <w:pPr>
              <w:adjustRightInd w:val="0"/>
              <w:snapToGrid w:val="0"/>
              <w:spacing w:line="360" w:lineRule="auto"/>
              <w:jc w:val="both"/>
              <w:rPr>
                <w:rFonts w:ascii="Book Antiqua" w:hAnsi="Book Antiqua"/>
              </w:rPr>
            </w:pPr>
          </w:p>
        </w:tc>
        <w:tc>
          <w:tcPr>
            <w:tcW w:w="992" w:type="dxa"/>
            <w:tcBorders>
              <w:top w:val="nil"/>
              <w:bottom w:val="single" w:sz="4" w:space="0" w:color="auto"/>
            </w:tcBorders>
            <w:vAlign w:val="center"/>
          </w:tcPr>
          <w:p w14:paraId="6575CF82" w14:textId="77777777" w:rsidR="00A01440" w:rsidRPr="00E0378B" w:rsidRDefault="00A01440" w:rsidP="00CF5A1D">
            <w:pPr>
              <w:adjustRightInd w:val="0"/>
              <w:snapToGrid w:val="0"/>
              <w:spacing w:line="360" w:lineRule="auto"/>
              <w:jc w:val="both"/>
              <w:rPr>
                <w:rFonts w:ascii="Book Antiqua" w:hAnsi="Book Antiqua"/>
              </w:rPr>
            </w:pPr>
          </w:p>
        </w:tc>
        <w:tc>
          <w:tcPr>
            <w:tcW w:w="709" w:type="dxa"/>
            <w:tcBorders>
              <w:top w:val="single" w:sz="4" w:space="0" w:color="auto"/>
              <w:bottom w:val="single" w:sz="4" w:space="0" w:color="auto"/>
            </w:tcBorders>
            <w:vAlign w:val="center"/>
          </w:tcPr>
          <w:p w14:paraId="73A68DD5"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Men</w:t>
            </w:r>
          </w:p>
        </w:tc>
        <w:tc>
          <w:tcPr>
            <w:tcW w:w="567" w:type="dxa"/>
            <w:tcBorders>
              <w:top w:val="single" w:sz="4" w:space="0" w:color="auto"/>
              <w:bottom w:val="single" w:sz="4" w:space="0" w:color="auto"/>
            </w:tcBorders>
            <w:vAlign w:val="center"/>
          </w:tcPr>
          <w:p w14:paraId="579C1BE3"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Women</w:t>
            </w:r>
          </w:p>
        </w:tc>
        <w:tc>
          <w:tcPr>
            <w:tcW w:w="708" w:type="dxa"/>
            <w:tcBorders>
              <w:top w:val="single" w:sz="4" w:space="0" w:color="auto"/>
              <w:bottom w:val="single" w:sz="4" w:space="0" w:color="auto"/>
            </w:tcBorders>
            <w:vAlign w:val="center"/>
          </w:tcPr>
          <w:p w14:paraId="1AE6C8E1"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Men</w:t>
            </w:r>
          </w:p>
        </w:tc>
        <w:tc>
          <w:tcPr>
            <w:tcW w:w="851" w:type="dxa"/>
            <w:tcBorders>
              <w:top w:val="single" w:sz="4" w:space="0" w:color="auto"/>
              <w:bottom w:val="single" w:sz="4" w:space="0" w:color="auto"/>
            </w:tcBorders>
            <w:vAlign w:val="center"/>
          </w:tcPr>
          <w:p w14:paraId="22B52B6B"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Women</w:t>
            </w:r>
          </w:p>
        </w:tc>
        <w:tc>
          <w:tcPr>
            <w:tcW w:w="850" w:type="dxa"/>
            <w:tcBorders>
              <w:top w:val="single" w:sz="4" w:space="0" w:color="auto"/>
              <w:bottom w:val="single" w:sz="4" w:space="0" w:color="auto"/>
            </w:tcBorders>
            <w:vAlign w:val="center"/>
          </w:tcPr>
          <w:p w14:paraId="1B4F6CE2"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Men</w:t>
            </w:r>
          </w:p>
        </w:tc>
        <w:tc>
          <w:tcPr>
            <w:tcW w:w="851" w:type="dxa"/>
            <w:tcBorders>
              <w:top w:val="single" w:sz="4" w:space="0" w:color="auto"/>
              <w:bottom w:val="single" w:sz="4" w:space="0" w:color="auto"/>
            </w:tcBorders>
            <w:vAlign w:val="center"/>
          </w:tcPr>
          <w:p w14:paraId="5110D8BE"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Women</w:t>
            </w:r>
          </w:p>
        </w:tc>
        <w:tc>
          <w:tcPr>
            <w:tcW w:w="992" w:type="dxa"/>
            <w:tcBorders>
              <w:top w:val="single" w:sz="4" w:space="0" w:color="auto"/>
              <w:bottom w:val="single" w:sz="4" w:space="0" w:color="auto"/>
            </w:tcBorders>
            <w:vAlign w:val="center"/>
          </w:tcPr>
          <w:p w14:paraId="0E57C52C"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Men</w:t>
            </w:r>
          </w:p>
        </w:tc>
        <w:tc>
          <w:tcPr>
            <w:tcW w:w="1134" w:type="dxa"/>
            <w:tcBorders>
              <w:top w:val="single" w:sz="4" w:space="0" w:color="auto"/>
              <w:bottom w:val="single" w:sz="4" w:space="0" w:color="auto"/>
            </w:tcBorders>
            <w:vAlign w:val="center"/>
          </w:tcPr>
          <w:p w14:paraId="5833DBC9"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Women</w:t>
            </w:r>
          </w:p>
        </w:tc>
        <w:tc>
          <w:tcPr>
            <w:tcW w:w="851" w:type="dxa"/>
            <w:tcBorders>
              <w:top w:val="single" w:sz="4" w:space="0" w:color="auto"/>
              <w:bottom w:val="single" w:sz="4" w:space="0" w:color="auto"/>
            </w:tcBorders>
            <w:vAlign w:val="center"/>
          </w:tcPr>
          <w:p w14:paraId="58838DB4"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Men</w:t>
            </w:r>
          </w:p>
        </w:tc>
        <w:tc>
          <w:tcPr>
            <w:tcW w:w="992" w:type="dxa"/>
            <w:tcBorders>
              <w:top w:val="single" w:sz="4" w:space="0" w:color="auto"/>
              <w:bottom w:val="single" w:sz="4" w:space="0" w:color="auto"/>
            </w:tcBorders>
            <w:vAlign w:val="center"/>
          </w:tcPr>
          <w:p w14:paraId="49E00A82"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Women</w:t>
            </w:r>
          </w:p>
        </w:tc>
        <w:tc>
          <w:tcPr>
            <w:tcW w:w="709" w:type="dxa"/>
            <w:tcBorders>
              <w:top w:val="single" w:sz="4" w:space="0" w:color="auto"/>
              <w:bottom w:val="single" w:sz="4" w:space="0" w:color="auto"/>
            </w:tcBorders>
            <w:vAlign w:val="center"/>
          </w:tcPr>
          <w:p w14:paraId="32FFE815"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Men</w:t>
            </w:r>
          </w:p>
        </w:tc>
        <w:tc>
          <w:tcPr>
            <w:tcW w:w="850" w:type="dxa"/>
            <w:tcBorders>
              <w:top w:val="single" w:sz="4" w:space="0" w:color="auto"/>
              <w:bottom w:val="single" w:sz="4" w:space="0" w:color="auto"/>
            </w:tcBorders>
            <w:vAlign w:val="center"/>
          </w:tcPr>
          <w:p w14:paraId="1E7732B7"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Women</w:t>
            </w:r>
          </w:p>
        </w:tc>
        <w:tc>
          <w:tcPr>
            <w:tcW w:w="709" w:type="dxa"/>
            <w:tcBorders>
              <w:top w:val="single" w:sz="4" w:space="0" w:color="auto"/>
              <w:bottom w:val="single" w:sz="4" w:space="0" w:color="auto"/>
            </w:tcBorders>
            <w:vAlign w:val="center"/>
          </w:tcPr>
          <w:p w14:paraId="5DE15C16"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Men</w:t>
            </w:r>
          </w:p>
        </w:tc>
        <w:tc>
          <w:tcPr>
            <w:tcW w:w="709" w:type="dxa"/>
            <w:tcBorders>
              <w:top w:val="single" w:sz="4" w:space="0" w:color="auto"/>
              <w:bottom w:val="single" w:sz="4" w:space="0" w:color="auto"/>
            </w:tcBorders>
            <w:vAlign w:val="center"/>
          </w:tcPr>
          <w:p w14:paraId="2996AE61"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Women</w:t>
            </w:r>
          </w:p>
        </w:tc>
      </w:tr>
      <w:tr w:rsidR="000E3549" w:rsidRPr="00E0378B" w14:paraId="2CE7184B" w14:textId="77777777" w:rsidTr="00CF5A1D">
        <w:trPr>
          <w:jc w:val="center"/>
        </w:trPr>
        <w:tc>
          <w:tcPr>
            <w:tcW w:w="1101" w:type="dxa"/>
            <w:tcBorders>
              <w:top w:val="single" w:sz="4" w:space="0" w:color="auto"/>
            </w:tcBorders>
            <w:vAlign w:val="center"/>
          </w:tcPr>
          <w:p w14:paraId="3C6DE675" w14:textId="31355993"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Isorni</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Pr="00E0378B">
              <w:rPr>
                <w:rFonts w:ascii="Book Antiqua" w:hAnsi="Book Antiqua"/>
                <w:vertAlign w:val="superscript"/>
              </w:rPr>
              <w:t>[9]</w:t>
            </w:r>
          </w:p>
        </w:tc>
        <w:tc>
          <w:tcPr>
            <w:tcW w:w="992" w:type="dxa"/>
            <w:tcBorders>
              <w:top w:val="single" w:sz="4" w:space="0" w:color="auto"/>
            </w:tcBorders>
            <w:vAlign w:val="center"/>
          </w:tcPr>
          <w:p w14:paraId="5F2EDA03"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France</w:t>
            </w:r>
          </w:p>
        </w:tc>
        <w:tc>
          <w:tcPr>
            <w:tcW w:w="709" w:type="dxa"/>
            <w:tcBorders>
              <w:top w:val="single" w:sz="4" w:space="0" w:color="auto"/>
            </w:tcBorders>
            <w:vAlign w:val="center"/>
          </w:tcPr>
          <w:p w14:paraId="236E982F" w14:textId="607DDF2E" w:rsidR="00A01440" w:rsidRPr="00E0378B" w:rsidRDefault="005379C5" w:rsidP="00CF5A1D">
            <w:pPr>
              <w:adjustRightInd w:val="0"/>
              <w:snapToGrid w:val="0"/>
              <w:spacing w:line="360" w:lineRule="auto"/>
              <w:jc w:val="both"/>
              <w:rPr>
                <w:rFonts w:ascii="Book Antiqua" w:hAnsi="Book Antiqua"/>
              </w:rPr>
            </w:pPr>
            <w:r w:rsidRPr="00E0378B">
              <w:rPr>
                <w:rFonts w:ascii="Book Antiqua" w:hAnsi="Book Antiqua"/>
              </w:rPr>
              <w:t xml:space="preserve"> </w:t>
            </w:r>
            <w:r w:rsidR="00A01440" w:rsidRPr="00E0378B">
              <w:rPr>
                <w:rFonts w:ascii="Book Antiqua" w:hAnsi="Book Antiqua"/>
              </w:rPr>
              <w:t>4.8</w:t>
            </w:r>
          </w:p>
        </w:tc>
        <w:tc>
          <w:tcPr>
            <w:tcW w:w="567" w:type="dxa"/>
            <w:tcBorders>
              <w:top w:val="single" w:sz="4" w:space="0" w:color="auto"/>
            </w:tcBorders>
            <w:vAlign w:val="center"/>
          </w:tcPr>
          <w:p w14:paraId="64D0F68C" w14:textId="77777777" w:rsidR="00A01440" w:rsidRPr="00E0378B" w:rsidRDefault="00A01440" w:rsidP="00CF5A1D">
            <w:pPr>
              <w:adjustRightInd w:val="0"/>
              <w:snapToGrid w:val="0"/>
              <w:spacing w:line="360" w:lineRule="auto"/>
              <w:jc w:val="both"/>
              <w:rPr>
                <w:rFonts w:ascii="Book Antiqua" w:hAnsi="Book Antiqua"/>
                <w:color w:val="2E2E2E"/>
              </w:rPr>
            </w:pPr>
            <w:r w:rsidRPr="00E0378B">
              <w:rPr>
                <w:rFonts w:ascii="Book Antiqua" w:hAnsi="Book Antiqua"/>
                <w:color w:val="2E2E2E"/>
              </w:rPr>
              <w:t>8.2</w:t>
            </w:r>
          </w:p>
          <w:p w14:paraId="3F8F50E5" w14:textId="77777777" w:rsidR="00A01440" w:rsidRPr="00E0378B" w:rsidRDefault="00A01440" w:rsidP="00CF5A1D">
            <w:pPr>
              <w:adjustRightInd w:val="0"/>
              <w:snapToGrid w:val="0"/>
              <w:spacing w:line="360" w:lineRule="auto"/>
              <w:jc w:val="both"/>
              <w:rPr>
                <w:rFonts w:ascii="Book Antiqua" w:hAnsi="Book Antiqua"/>
              </w:rPr>
            </w:pPr>
          </w:p>
        </w:tc>
        <w:tc>
          <w:tcPr>
            <w:tcW w:w="708" w:type="dxa"/>
            <w:tcBorders>
              <w:top w:val="single" w:sz="4" w:space="0" w:color="auto"/>
            </w:tcBorders>
            <w:vAlign w:val="center"/>
          </w:tcPr>
          <w:p w14:paraId="781F3A94" w14:textId="57E7D508"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68.9</w:t>
            </w:r>
          </w:p>
        </w:tc>
        <w:tc>
          <w:tcPr>
            <w:tcW w:w="851" w:type="dxa"/>
            <w:tcBorders>
              <w:top w:val="single" w:sz="4" w:space="0" w:color="auto"/>
            </w:tcBorders>
            <w:vAlign w:val="center"/>
          </w:tcPr>
          <w:p w14:paraId="6117345A"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80.2</w:t>
            </w:r>
          </w:p>
        </w:tc>
        <w:tc>
          <w:tcPr>
            <w:tcW w:w="850" w:type="dxa"/>
            <w:tcBorders>
              <w:top w:val="single" w:sz="4" w:space="0" w:color="auto"/>
            </w:tcBorders>
            <w:vAlign w:val="center"/>
          </w:tcPr>
          <w:p w14:paraId="524052CF" w14:textId="73E46E44"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57</w:t>
            </w:r>
          </w:p>
        </w:tc>
        <w:tc>
          <w:tcPr>
            <w:tcW w:w="851" w:type="dxa"/>
            <w:tcBorders>
              <w:top w:val="single" w:sz="4" w:space="0" w:color="auto"/>
            </w:tcBorders>
            <w:vAlign w:val="center"/>
          </w:tcPr>
          <w:p w14:paraId="08B5C18B"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80</w:t>
            </w:r>
          </w:p>
        </w:tc>
        <w:tc>
          <w:tcPr>
            <w:tcW w:w="992" w:type="dxa"/>
            <w:tcBorders>
              <w:top w:val="single" w:sz="4" w:space="0" w:color="auto"/>
            </w:tcBorders>
            <w:vAlign w:val="center"/>
          </w:tcPr>
          <w:p w14:paraId="3FCEAC04" w14:textId="1D672928"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31</w:t>
            </w:r>
          </w:p>
        </w:tc>
        <w:tc>
          <w:tcPr>
            <w:tcW w:w="1134" w:type="dxa"/>
            <w:tcBorders>
              <w:top w:val="single" w:sz="4" w:space="0" w:color="auto"/>
            </w:tcBorders>
            <w:vAlign w:val="center"/>
          </w:tcPr>
          <w:p w14:paraId="76A9E9F8"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44</w:t>
            </w:r>
          </w:p>
        </w:tc>
        <w:tc>
          <w:tcPr>
            <w:tcW w:w="851" w:type="dxa"/>
            <w:tcBorders>
              <w:top w:val="single" w:sz="4" w:space="0" w:color="auto"/>
            </w:tcBorders>
            <w:vAlign w:val="center"/>
          </w:tcPr>
          <w:p w14:paraId="6F81CB19" w14:textId="19A2A02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21</w:t>
            </w:r>
          </w:p>
        </w:tc>
        <w:tc>
          <w:tcPr>
            <w:tcW w:w="992" w:type="dxa"/>
            <w:tcBorders>
              <w:top w:val="single" w:sz="4" w:space="0" w:color="auto"/>
            </w:tcBorders>
            <w:vAlign w:val="center"/>
          </w:tcPr>
          <w:p w14:paraId="61596F99"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18.5</w:t>
            </w:r>
          </w:p>
        </w:tc>
        <w:tc>
          <w:tcPr>
            <w:tcW w:w="709" w:type="dxa"/>
            <w:tcBorders>
              <w:top w:val="single" w:sz="4" w:space="0" w:color="auto"/>
            </w:tcBorders>
            <w:vAlign w:val="center"/>
          </w:tcPr>
          <w:p w14:paraId="3F1B219D" w14:textId="0EE6A9A0"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21</w:t>
            </w:r>
          </w:p>
        </w:tc>
        <w:tc>
          <w:tcPr>
            <w:tcW w:w="850" w:type="dxa"/>
            <w:tcBorders>
              <w:top w:val="single" w:sz="4" w:space="0" w:color="auto"/>
            </w:tcBorders>
            <w:vAlign w:val="center"/>
          </w:tcPr>
          <w:p w14:paraId="0EE5667F"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13</w:t>
            </w:r>
          </w:p>
        </w:tc>
        <w:tc>
          <w:tcPr>
            <w:tcW w:w="709" w:type="dxa"/>
            <w:tcBorders>
              <w:top w:val="single" w:sz="4" w:space="0" w:color="auto"/>
            </w:tcBorders>
            <w:vAlign w:val="center"/>
          </w:tcPr>
          <w:p w14:paraId="1199BD2D" w14:textId="42060E1B"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25</w:t>
            </w:r>
          </w:p>
        </w:tc>
        <w:tc>
          <w:tcPr>
            <w:tcW w:w="709" w:type="dxa"/>
            <w:tcBorders>
              <w:top w:val="single" w:sz="4" w:space="0" w:color="auto"/>
            </w:tcBorders>
            <w:vAlign w:val="center"/>
          </w:tcPr>
          <w:p w14:paraId="51FB332D"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w:t>
            </w:r>
          </w:p>
        </w:tc>
      </w:tr>
      <w:tr w:rsidR="000E3549" w:rsidRPr="00E0378B" w14:paraId="42055D09" w14:textId="77777777" w:rsidTr="00CF5A1D">
        <w:trPr>
          <w:jc w:val="center"/>
        </w:trPr>
        <w:tc>
          <w:tcPr>
            <w:tcW w:w="1101" w:type="dxa"/>
            <w:vAlign w:val="center"/>
          </w:tcPr>
          <w:p w14:paraId="389BD202" w14:textId="36512F86"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Koeth</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15]</w:t>
            </w:r>
          </w:p>
        </w:tc>
        <w:tc>
          <w:tcPr>
            <w:tcW w:w="992" w:type="dxa"/>
            <w:vAlign w:val="center"/>
          </w:tcPr>
          <w:p w14:paraId="4CD46B9F"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Germany</w:t>
            </w:r>
          </w:p>
        </w:tc>
        <w:tc>
          <w:tcPr>
            <w:tcW w:w="709" w:type="dxa"/>
            <w:vAlign w:val="center"/>
          </w:tcPr>
          <w:p w14:paraId="0C3184E3" w14:textId="7D57F760" w:rsidR="00A01440" w:rsidRPr="00E0378B" w:rsidRDefault="005379C5" w:rsidP="00CF5A1D">
            <w:pPr>
              <w:adjustRightInd w:val="0"/>
              <w:snapToGrid w:val="0"/>
              <w:spacing w:line="360" w:lineRule="auto"/>
              <w:jc w:val="both"/>
              <w:rPr>
                <w:rFonts w:ascii="Book Antiqua" w:hAnsi="Book Antiqua"/>
              </w:rPr>
            </w:pPr>
            <w:r w:rsidRPr="00E0378B">
              <w:rPr>
                <w:rFonts w:ascii="Book Antiqua" w:hAnsi="Book Antiqua"/>
              </w:rPr>
              <w:t xml:space="preserve"> </w:t>
            </w:r>
            <w:r w:rsidR="00A01440" w:rsidRPr="00E0378B">
              <w:rPr>
                <w:rFonts w:ascii="Book Antiqua" w:hAnsi="Book Antiqua"/>
              </w:rPr>
              <w:t>9.3</w:t>
            </w:r>
          </w:p>
        </w:tc>
        <w:tc>
          <w:tcPr>
            <w:tcW w:w="567" w:type="dxa"/>
            <w:vAlign w:val="center"/>
          </w:tcPr>
          <w:p w14:paraId="62C3AEF0"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12.9</w:t>
            </w:r>
          </w:p>
        </w:tc>
        <w:tc>
          <w:tcPr>
            <w:tcW w:w="708" w:type="dxa"/>
            <w:vAlign w:val="center"/>
          </w:tcPr>
          <w:p w14:paraId="081B090E" w14:textId="32BA0859"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68</w:t>
            </w:r>
          </w:p>
        </w:tc>
        <w:tc>
          <w:tcPr>
            <w:tcW w:w="851" w:type="dxa"/>
            <w:vAlign w:val="center"/>
          </w:tcPr>
          <w:p w14:paraId="103705BA"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76.3</w:t>
            </w:r>
          </w:p>
        </w:tc>
        <w:tc>
          <w:tcPr>
            <w:tcW w:w="850" w:type="dxa"/>
            <w:vAlign w:val="center"/>
          </w:tcPr>
          <w:p w14:paraId="29E3676B" w14:textId="25DF1C85"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37</w:t>
            </w:r>
          </w:p>
        </w:tc>
        <w:tc>
          <w:tcPr>
            <w:tcW w:w="851" w:type="dxa"/>
            <w:vAlign w:val="center"/>
          </w:tcPr>
          <w:p w14:paraId="14034C37"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45.3</w:t>
            </w:r>
          </w:p>
        </w:tc>
        <w:tc>
          <w:tcPr>
            <w:tcW w:w="992" w:type="dxa"/>
            <w:vAlign w:val="center"/>
          </w:tcPr>
          <w:p w14:paraId="5D8F9360" w14:textId="7B55DA2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25.2</w:t>
            </w:r>
          </w:p>
        </w:tc>
        <w:tc>
          <w:tcPr>
            <w:tcW w:w="1134" w:type="dxa"/>
            <w:vAlign w:val="center"/>
          </w:tcPr>
          <w:p w14:paraId="6815A8F5"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39.1</w:t>
            </w:r>
          </w:p>
        </w:tc>
        <w:tc>
          <w:tcPr>
            <w:tcW w:w="851" w:type="dxa"/>
            <w:vAlign w:val="center"/>
          </w:tcPr>
          <w:p w14:paraId="21FFAC1A" w14:textId="279F0115"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25.6</w:t>
            </w:r>
          </w:p>
        </w:tc>
        <w:tc>
          <w:tcPr>
            <w:tcW w:w="992" w:type="dxa"/>
            <w:vAlign w:val="center"/>
          </w:tcPr>
          <w:p w14:paraId="687A26E7"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19.9</w:t>
            </w:r>
          </w:p>
        </w:tc>
        <w:tc>
          <w:tcPr>
            <w:tcW w:w="709" w:type="dxa"/>
            <w:vAlign w:val="center"/>
          </w:tcPr>
          <w:p w14:paraId="3133545F" w14:textId="19F9404C"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13.2</w:t>
            </w:r>
          </w:p>
        </w:tc>
        <w:tc>
          <w:tcPr>
            <w:tcW w:w="850" w:type="dxa"/>
            <w:vAlign w:val="center"/>
          </w:tcPr>
          <w:p w14:paraId="19387BEF"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6.7</w:t>
            </w:r>
          </w:p>
        </w:tc>
        <w:tc>
          <w:tcPr>
            <w:tcW w:w="709" w:type="dxa"/>
            <w:vAlign w:val="center"/>
          </w:tcPr>
          <w:p w14:paraId="26F734E0" w14:textId="0A2469E5"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36</w:t>
            </w:r>
          </w:p>
        </w:tc>
        <w:tc>
          <w:tcPr>
            <w:tcW w:w="709" w:type="dxa"/>
            <w:vAlign w:val="center"/>
          </w:tcPr>
          <w:p w14:paraId="74B43FED"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17.9</w:t>
            </w:r>
          </w:p>
        </w:tc>
      </w:tr>
      <w:tr w:rsidR="000E3549" w:rsidRPr="00E0378B" w14:paraId="7E1E6444" w14:textId="77777777" w:rsidTr="00CF5A1D">
        <w:trPr>
          <w:jc w:val="center"/>
        </w:trPr>
        <w:tc>
          <w:tcPr>
            <w:tcW w:w="1101" w:type="dxa"/>
            <w:vAlign w:val="center"/>
          </w:tcPr>
          <w:p w14:paraId="62CEF883" w14:textId="7606DBE3"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Abdel-Qadir</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16]</w:t>
            </w:r>
          </w:p>
        </w:tc>
        <w:tc>
          <w:tcPr>
            <w:tcW w:w="992" w:type="dxa"/>
            <w:vAlign w:val="center"/>
          </w:tcPr>
          <w:p w14:paraId="3920960D"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Canada</w:t>
            </w:r>
          </w:p>
        </w:tc>
        <w:tc>
          <w:tcPr>
            <w:tcW w:w="709" w:type="dxa"/>
            <w:vAlign w:val="center"/>
          </w:tcPr>
          <w:p w14:paraId="3229501C" w14:textId="31FF3834"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2.7</w:t>
            </w:r>
          </w:p>
        </w:tc>
        <w:tc>
          <w:tcPr>
            <w:tcW w:w="567" w:type="dxa"/>
            <w:vAlign w:val="center"/>
          </w:tcPr>
          <w:p w14:paraId="75F2FE69"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3.7</w:t>
            </w:r>
          </w:p>
        </w:tc>
        <w:tc>
          <w:tcPr>
            <w:tcW w:w="708" w:type="dxa"/>
            <w:vAlign w:val="center"/>
          </w:tcPr>
          <w:p w14:paraId="061703D9" w14:textId="271BFDB5"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71.1</w:t>
            </w:r>
          </w:p>
        </w:tc>
        <w:tc>
          <w:tcPr>
            <w:tcW w:w="851" w:type="dxa"/>
            <w:vAlign w:val="center"/>
          </w:tcPr>
          <w:p w14:paraId="3BFB5F7E"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75.5</w:t>
            </w:r>
          </w:p>
        </w:tc>
        <w:tc>
          <w:tcPr>
            <w:tcW w:w="850" w:type="dxa"/>
            <w:vAlign w:val="center"/>
          </w:tcPr>
          <w:p w14:paraId="358B3F70"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851" w:type="dxa"/>
            <w:vAlign w:val="center"/>
          </w:tcPr>
          <w:p w14:paraId="3A0D7D49"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992" w:type="dxa"/>
            <w:vAlign w:val="center"/>
          </w:tcPr>
          <w:p w14:paraId="328C2BF1" w14:textId="77E0C1EC"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24.4</w:t>
            </w:r>
          </w:p>
        </w:tc>
        <w:tc>
          <w:tcPr>
            <w:tcW w:w="1134" w:type="dxa"/>
            <w:vAlign w:val="center"/>
          </w:tcPr>
          <w:p w14:paraId="467E8EE6"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26.9</w:t>
            </w:r>
          </w:p>
        </w:tc>
        <w:tc>
          <w:tcPr>
            <w:tcW w:w="851" w:type="dxa"/>
            <w:vAlign w:val="center"/>
          </w:tcPr>
          <w:p w14:paraId="003CD8F0"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992" w:type="dxa"/>
            <w:vAlign w:val="center"/>
          </w:tcPr>
          <w:p w14:paraId="395B1853"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76C0F746"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850" w:type="dxa"/>
            <w:vAlign w:val="center"/>
          </w:tcPr>
          <w:p w14:paraId="63DB3FD3"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6D2C642E"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5B0C3371"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r>
      <w:tr w:rsidR="000E3549" w:rsidRPr="00E0378B" w14:paraId="03152AB9" w14:textId="77777777" w:rsidTr="00CF5A1D">
        <w:trPr>
          <w:jc w:val="center"/>
        </w:trPr>
        <w:tc>
          <w:tcPr>
            <w:tcW w:w="1101" w:type="dxa"/>
            <w:vAlign w:val="center"/>
          </w:tcPr>
          <w:p w14:paraId="6EF98C52" w14:textId="092E2434"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Vallabhajosyula</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8]</w:t>
            </w:r>
          </w:p>
        </w:tc>
        <w:tc>
          <w:tcPr>
            <w:tcW w:w="992" w:type="dxa"/>
            <w:vAlign w:val="center"/>
          </w:tcPr>
          <w:p w14:paraId="76891D4C" w14:textId="1DF2331E" w:rsidR="00A01440" w:rsidRPr="00E0378B" w:rsidRDefault="000E3549" w:rsidP="00CF5A1D">
            <w:pPr>
              <w:adjustRightInd w:val="0"/>
              <w:snapToGrid w:val="0"/>
              <w:spacing w:line="360" w:lineRule="auto"/>
              <w:jc w:val="both"/>
              <w:rPr>
                <w:rFonts w:ascii="Book Antiqua" w:hAnsi="Book Antiqua"/>
              </w:rPr>
            </w:pPr>
            <w:r w:rsidRPr="00E0378B">
              <w:rPr>
                <w:rFonts w:ascii="Book Antiqua" w:hAnsi="Book Antiqua"/>
              </w:rPr>
              <w:t>United</w:t>
            </w:r>
            <w:r w:rsidR="005379C5" w:rsidRPr="00E0378B">
              <w:rPr>
                <w:rFonts w:ascii="Book Antiqua" w:hAnsi="Book Antiqua"/>
              </w:rPr>
              <w:t xml:space="preserve"> </w:t>
            </w:r>
            <w:r w:rsidRPr="00E0378B">
              <w:rPr>
                <w:rFonts w:ascii="Book Antiqua" w:hAnsi="Book Antiqua"/>
              </w:rPr>
              <w:t>States</w:t>
            </w:r>
          </w:p>
        </w:tc>
        <w:tc>
          <w:tcPr>
            <w:tcW w:w="709" w:type="dxa"/>
            <w:vAlign w:val="center"/>
          </w:tcPr>
          <w:p w14:paraId="0535E207" w14:textId="37667ABB"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567" w:type="dxa"/>
            <w:vAlign w:val="center"/>
          </w:tcPr>
          <w:p w14:paraId="7F2CCBEE"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8" w:type="dxa"/>
            <w:vAlign w:val="center"/>
          </w:tcPr>
          <w:p w14:paraId="74985BCC" w14:textId="047C6B48"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82</w:t>
            </w:r>
          </w:p>
        </w:tc>
        <w:tc>
          <w:tcPr>
            <w:tcW w:w="851" w:type="dxa"/>
            <w:vAlign w:val="center"/>
          </w:tcPr>
          <w:p w14:paraId="1406A882"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83.5</w:t>
            </w:r>
          </w:p>
        </w:tc>
        <w:tc>
          <w:tcPr>
            <w:tcW w:w="850" w:type="dxa"/>
            <w:vAlign w:val="center"/>
          </w:tcPr>
          <w:p w14:paraId="5E7B3F64"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851" w:type="dxa"/>
            <w:vAlign w:val="center"/>
          </w:tcPr>
          <w:p w14:paraId="393BDA10"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992" w:type="dxa"/>
            <w:vAlign w:val="center"/>
          </w:tcPr>
          <w:p w14:paraId="48295F85"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1134" w:type="dxa"/>
            <w:vAlign w:val="center"/>
          </w:tcPr>
          <w:p w14:paraId="764244A2"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851" w:type="dxa"/>
            <w:vAlign w:val="center"/>
          </w:tcPr>
          <w:p w14:paraId="674FFA74"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992" w:type="dxa"/>
            <w:vAlign w:val="center"/>
          </w:tcPr>
          <w:p w14:paraId="02481ADF"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233B919D"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850" w:type="dxa"/>
            <w:vAlign w:val="center"/>
          </w:tcPr>
          <w:p w14:paraId="3F4DFB25"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2DA89362"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372AE162"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r>
      <w:tr w:rsidR="000E3549" w:rsidRPr="00E0378B" w14:paraId="2EE9F60C" w14:textId="77777777" w:rsidTr="00CF5A1D">
        <w:trPr>
          <w:jc w:val="center"/>
        </w:trPr>
        <w:tc>
          <w:tcPr>
            <w:tcW w:w="1101" w:type="dxa"/>
            <w:vAlign w:val="center"/>
          </w:tcPr>
          <w:p w14:paraId="5E149E92" w14:textId="00CEA0B6"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lastRenderedPageBreak/>
              <w:t>Vallabhajosyula</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17]</w:t>
            </w:r>
          </w:p>
        </w:tc>
        <w:tc>
          <w:tcPr>
            <w:tcW w:w="992" w:type="dxa"/>
            <w:vAlign w:val="center"/>
          </w:tcPr>
          <w:p w14:paraId="58143D0D" w14:textId="72FE104A" w:rsidR="00A01440" w:rsidRPr="00E0378B" w:rsidRDefault="000E3549" w:rsidP="00CF5A1D">
            <w:pPr>
              <w:adjustRightInd w:val="0"/>
              <w:snapToGrid w:val="0"/>
              <w:spacing w:line="360" w:lineRule="auto"/>
              <w:jc w:val="both"/>
              <w:rPr>
                <w:rFonts w:ascii="Book Antiqua" w:hAnsi="Book Antiqua"/>
              </w:rPr>
            </w:pPr>
            <w:r w:rsidRPr="00E0378B">
              <w:rPr>
                <w:rFonts w:ascii="Book Antiqua" w:hAnsi="Book Antiqua"/>
              </w:rPr>
              <w:t>United</w:t>
            </w:r>
            <w:r w:rsidR="005379C5" w:rsidRPr="00E0378B">
              <w:rPr>
                <w:rFonts w:ascii="Book Antiqua" w:hAnsi="Book Antiqua"/>
              </w:rPr>
              <w:t xml:space="preserve"> </w:t>
            </w:r>
            <w:r w:rsidRPr="00E0378B">
              <w:rPr>
                <w:rFonts w:ascii="Book Antiqua" w:hAnsi="Book Antiqua"/>
              </w:rPr>
              <w:t>States</w:t>
            </w:r>
          </w:p>
        </w:tc>
        <w:tc>
          <w:tcPr>
            <w:tcW w:w="709" w:type="dxa"/>
            <w:vAlign w:val="center"/>
          </w:tcPr>
          <w:p w14:paraId="1B770FCA" w14:textId="35ED7E64"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567" w:type="dxa"/>
            <w:vAlign w:val="center"/>
          </w:tcPr>
          <w:p w14:paraId="41A579B8"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8" w:type="dxa"/>
            <w:vAlign w:val="center"/>
          </w:tcPr>
          <w:p w14:paraId="043B70AC" w14:textId="342C560A"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48.8</w:t>
            </w:r>
          </w:p>
        </w:tc>
        <w:tc>
          <w:tcPr>
            <w:tcW w:w="851" w:type="dxa"/>
            <w:vAlign w:val="center"/>
          </w:tcPr>
          <w:p w14:paraId="775E2E61"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48.3</w:t>
            </w:r>
          </w:p>
        </w:tc>
        <w:tc>
          <w:tcPr>
            <w:tcW w:w="850" w:type="dxa"/>
            <w:vAlign w:val="center"/>
          </w:tcPr>
          <w:p w14:paraId="73262C68"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851" w:type="dxa"/>
            <w:vAlign w:val="center"/>
          </w:tcPr>
          <w:p w14:paraId="1A8284A6"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992" w:type="dxa"/>
            <w:vAlign w:val="center"/>
          </w:tcPr>
          <w:p w14:paraId="1C279951"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1134" w:type="dxa"/>
            <w:vAlign w:val="center"/>
          </w:tcPr>
          <w:p w14:paraId="36317711"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851" w:type="dxa"/>
            <w:vAlign w:val="center"/>
          </w:tcPr>
          <w:p w14:paraId="22B19B53"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992" w:type="dxa"/>
            <w:vAlign w:val="center"/>
          </w:tcPr>
          <w:p w14:paraId="12A071F5"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30407D53"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850" w:type="dxa"/>
            <w:vAlign w:val="center"/>
          </w:tcPr>
          <w:p w14:paraId="3514B145"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75E16EEB"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646918D1"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r>
      <w:tr w:rsidR="000E3549" w:rsidRPr="00E0378B" w14:paraId="22219685" w14:textId="77777777" w:rsidTr="00CF5A1D">
        <w:trPr>
          <w:jc w:val="center"/>
        </w:trPr>
        <w:tc>
          <w:tcPr>
            <w:tcW w:w="1101" w:type="dxa"/>
            <w:vAlign w:val="center"/>
          </w:tcPr>
          <w:p w14:paraId="60910851" w14:textId="55917792"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Wong</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19]</w:t>
            </w:r>
          </w:p>
        </w:tc>
        <w:tc>
          <w:tcPr>
            <w:tcW w:w="992" w:type="dxa"/>
            <w:vAlign w:val="center"/>
          </w:tcPr>
          <w:p w14:paraId="36F90316" w14:textId="1F1FED84" w:rsidR="00A01440" w:rsidRPr="00E0378B" w:rsidRDefault="000E3549" w:rsidP="00CF5A1D">
            <w:pPr>
              <w:adjustRightInd w:val="0"/>
              <w:snapToGrid w:val="0"/>
              <w:spacing w:line="360" w:lineRule="auto"/>
              <w:jc w:val="both"/>
              <w:rPr>
                <w:rFonts w:ascii="Book Antiqua" w:hAnsi="Book Antiqua"/>
              </w:rPr>
            </w:pPr>
            <w:r w:rsidRPr="00E0378B">
              <w:rPr>
                <w:rFonts w:ascii="Book Antiqua" w:hAnsi="Book Antiqua"/>
              </w:rPr>
              <w:t>United</w:t>
            </w:r>
            <w:r w:rsidR="005379C5" w:rsidRPr="00E0378B">
              <w:rPr>
                <w:rFonts w:ascii="Book Antiqua" w:hAnsi="Book Antiqua"/>
              </w:rPr>
              <w:t xml:space="preserve"> </w:t>
            </w:r>
            <w:r w:rsidRPr="00E0378B">
              <w:rPr>
                <w:rFonts w:ascii="Book Antiqua" w:hAnsi="Book Antiqua"/>
              </w:rPr>
              <w:t>States</w:t>
            </w:r>
            <w:r w:rsidR="00A01440" w:rsidRPr="00E0378B">
              <w:rPr>
                <w:rFonts w:ascii="Book Antiqua" w:hAnsi="Book Antiqua"/>
              </w:rPr>
              <w:t>,</w:t>
            </w:r>
            <w:r w:rsidR="005379C5" w:rsidRPr="00E0378B">
              <w:rPr>
                <w:rFonts w:ascii="Book Antiqua" w:hAnsi="Book Antiqua"/>
              </w:rPr>
              <w:t xml:space="preserve"> </w:t>
            </w:r>
            <w:r w:rsidR="00A01440" w:rsidRPr="00E0378B">
              <w:rPr>
                <w:rFonts w:ascii="Book Antiqua" w:hAnsi="Book Antiqua"/>
              </w:rPr>
              <w:t>Canada</w:t>
            </w:r>
          </w:p>
        </w:tc>
        <w:tc>
          <w:tcPr>
            <w:tcW w:w="709" w:type="dxa"/>
            <w:vAlign w:val="center"/>
          </w:tcPr>
          <w:p w14:paraId="09F83FE8" w14:textId="427F5B28"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567" w:type="dxa"/>
            <w:vAlign w:val="center"/>
          </w:tcPr>
          <w:p w14:paraId="13B863C0"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color w:val="2E2E2E"/>
              </w:rPr>
              <w:t>NA</w:t>
            </w:r>
          </w:p>
        </w:tc>
        <w:tc>
          <w:tcPr>
            <w:tcW w:w="708" w:type="dxa"/>
            <w:vAlign w:val="center"/>
          </w:tcPr>
          <w:p w14:paraId="23D786A2" w14:textId="23ED8FE8"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66.8</w:t>
            </w:r>
          </w:p>
        </w:tc>
        <w:tc>
          <w:tcPr>
            <w:tcW w:w="851" w:type="dxa"/>
            <w:vAlign w:val="center"/>
          </w:tcPr>
          <w:p w14:paraId="1E54AC13"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71.4</w:t>
            </w:r>
          </w:p>
        </w:tc>
        <w:tc>
          <w:tcPr>
            <w:tcW w:w="850" w:type="dxa"/>
            <w:vAlign w:val="center"/>
          </w:tcPr>
          <w:p w14:paraId="315A29B9" w14:textId="6BB67BB0"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45.6</w:t>
            </w:r>
          </w:p>
        </w:tc>
        <w:tc>
          <w:tcPr>
            <w:tcW w:w="851" w:type="dxa"/>
            <w:vAlign w:val="center"/>
          </w:tcPr>
          <w:p w14:paraId="6AFF695C"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62.1</w:t>
            </w:r>
          </w:p>
        </w:tc>
        <w:tc>
          <w:tcPr>
            <w:tcW w:w="992" w:type="dxa"/>
            <w:vAlign w:val="center"/>
          </w:tcPr>
          <w:p w14:paraId="6379CF61" w14:textId="52B408EC"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28.3</w:t>
            </w:r>
          </w:p>
        </w:tc>
        <w:tc>
          <w:tcPr>
            <w:tcW w:w="1134" w:type="dxa"/>
            <w:vAlign w:val="center"/>
          </w:tcPr>
          <w:p w14:paraId="531597E0"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40.8</w:t>
            </w:r>
          </w:p>
        </w:tc>
        <w:tc>
          <w:tcPr>
            <w:tcW w:w="851" w:type="dxa"/>
            <w:vAlign w:val="center"/>
          </w:tcPr>
          <w:p w14:paraId="7E704BD5" w14:textId="5FC7147B"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44.7</w:t>
            </w:r>
          </w:p>
        </w:tc>
        <w:tc>
          <w:tcPr>
            <w:tcW w:w="992" w:type="dxa"/>
            <w:vAlign w:val="center"/>
          </w:tcPr>
          <w:p w14:paraId="351A13F4"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32</w:t>
            </w:r>
          </w:p>
        </w:tc>
        <w:tc>
          <w:tcPr>
            <w:tcW w:w="709" w:type="dxa"/>
            <w:vAlign w:val="center"/>
          </w:tcPr>
          <w:p w14:paraId="447C4EEF"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7.6</w:t>
            </w:r>
          </w:p>
        </w:tc>
        <w:tc>
          <w:tcPr>
            <w:tcW w:w="850" w:type="dxa"/>
            <w:vAlign w:val="center"/>
          </w:tcPr>
          <w:p w14:paraId="6FECF1C0"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5.1</w:t>
            </w:r>
          </w:p>
        </w:tc>
        <w:tc>
          <w:tcPr>
            <w:tcW w:w="709" w:type="dxa"/>
            <w:vAlign w:val="center"/>
          </w:tcPr>
          <w:p w14:paraId="7003452A" w14:textId="7369AF36"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57.5</w:t>
            </w:r>
          </w:p>
        </w:tc>
        <w:tc>
          <w:tcPr>
            <w:tcW w:w="709" w:type="dxa"/>
            <w:vAlign w:val="center"/>
          </w:tcPr>
          <w:p w14:paraId="4881442F"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40.7</w:t>
            </w:r>
          </w:p>
        </w:tc>
      </w:tr>
      <w:tr w:rsidR="000E3549" w:rsidRPr="00E0378B" w14:paraId="7DCD0987" w14:textId="77777777" w:rsidTr="00CF5A1D">
        <w:trPr>
          <w:jc w:val="center"/>
        </w:trPr>
        <w:tc>
          <w:tcPr>
            <w:tcW w:w="1101" w:type="dxa"/>
            <w:vAlign w:val="center"/>
          </w:tcPr>
          <w:p w14:paraId="7D981ED1" w14:textId="5C2B6BD1"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Fengler</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20]</w:t>
            </w:r>
          </w:p>
        </w:tc>
        <w:tc>
          <w:tcPr>
            <w:tcW w:w="992" w:type="dxa"/>
            <w:vAlign w:val="center"/>
          </w:tcPr>
          <w:p w14:paraId="4FE32219"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Germany</w:t>
            </w:r>
          </w:p>
        </w:tc>
        <w:tc>
          <w:tcPr>
            <w:tcW w:w="709" w:type="dxa"/>
            <w:vAlign w:val="center"/>
          </w:tcPr>
          <w:p w14:paraId="57A001C1" w14:textId="2AD8E666"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567" w:type="dxa"/>
            <w:vAlign w:val="center"/>
          </w:tcPr>
          <w:p w14:paraId="30703FCD"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8" w:type="dxa"/>
            <w:vAlign w:val="center"/>
          </w:tcPr>
          <w:p w14:paraId="5D4C6A85" w14:textId="3873A679"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68</w:t>
            </w:r>
          </w:p>
        </w:tc>
        <w:tc>
          <w:tcPr>
            <w:tcW w:w="851" w:type="dxa"/>
            <w:vAlign w:val="center"/>
          </w:tcPr>
          <w:p w14:paraId="579F625B"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74</w:t>
            </w:r>
          </w:p>
        </w:tc>
        <w:tc>
          <w:tcPr>
            <w:tcW w:w="850" w:type="dxa"/>
            <w:vAlign w:val="center"/>
          </w:tcPr>
          <w:p w14:paraId="188D286F" w14:textId="47C65389"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66</w:t>
            </w:r>
          </w:p>
        </w:tc>
        <w:tc>
          <w:tcPr>
            <w:tcW w:w="851" w:type="dxa"/>
            <w:vAlign w:val="center"/>
          </w:tcPr>
          <w:p w14:paraId="7A54E8F6"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76</w:t>
            </w:r>
          </w:p>
        </w:tc>
        <w:tc>
          <w:tcPr>
            <w:tcW w:w="992" w:type="dxa"/>
            <w:vAlign w:val="center"/>
          </w:tcPr>
          <w:p w14:paraId="267A1FE0" w14:textId="1E7F97F9"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29</w:t>
            </w:r>
          </w:p>
        </w:tc>
        <w:tc>
          <w:tcPr>
            <w:tcW w:w="1134" w:type="dxa"/>
            <w:vAlign w:val="center"/>
          </w:tcPr>
          <w:p w14:paraId="3625AD9E"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40</w:t>
            </w:r>
          </w:p>
        </w:tc>
        <w:tc>
          <w:tcPr>
            <w:tcW w:w="851" w:type="dxa"/>
            <w:vAlign w:val="center"/>
          </w:tcPr>
          <w:p w14:paraId="5E8246AF" w14:textId="1FF5DFD6"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25</w:t>
            </w:r>
          </w:p>
        </w:tc>
        <w:tc>
          <w:tcPr>
            <w:tcW w:w="992" w:type="dxa"/>
            <w:vAlign w:val="center"/>
          </w:tcPr>
          <w:p w14:paraId="46DEA1EF"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16</w:t>
            </w:r>
          </w:p>
        </w:tc>
        <w:tc>
          <w:tcPr>
            <w:tcW w:w="709" w:type="dxa"/>
            <w:vAlign w:val="center"/>
          </w:tcPr>
          <w:p w14:paraId="65F7190D" w14:textId="3698C6F2"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31</w:t>
            </w:r>
          </w:p>
        </w:tc>
        <w:tc>
          <w:tcPr>
            <w:tcW w:w="850" w:type="dxa"/>
            <w:vAlign w:val="center"/>
          </w:tcPr>
          <w:p w14:paraId="5388EFA6"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15</w:t>
            </w:r>
          </w:p>
        </w:tc>
        <w:tc>
          <w:tcPr>
            <w:tcW w:w="709" w:type="dxa"/>
            <w:vAlign w:val="center"/>
          </w:tcPr>
          <w:p w14:paraId="475E8AAC" w14:textId="1E15003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39</w:t>
            </w:r>
          </w:p>
        </w:tc>
        <w:tc>
          <w:tcPr>
            <w:tcW w:w="709" w:type="dxa"/>
            <w:vAlign w:val="center"/>
          </w:tcPr>
          <w:p w14:paraId="10FABA62"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25</w:t>
            </w:r>
          </w:p>
        </w:tc>
      </w:tr>
      <w:tr w:rsidR="000E3549" w:rsidRPr="00E0378B" w14:paraId="15C3F2FE" w14:textId="77777777" w:rsidTr="00CF5A1D">
        <w:trPr>
          <w:jc w:val="center"/>
        </w:trPr>
        <w:tc>
          <w:tcPr>
            <w:tcW w:w="1101" w:type="dxa"/>
            <w:vAlign w:val="center"/>
          </w:tcPr>
          <w:p w14:paraId="3DF38EA2" w14:textId="5B6ED2E1"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Gimenez</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21]</w:t>
            </w:r>
          </w:p>
        </w:tc>
        <w:tc>
          <w:tcPr>
            <w:tcW w:w="992" w:type="dxa"/>
            <w:vAlign w:val="center"/>
          </w:tcPr>
          <w:p w14:paraId="43B3A9CE" w14:textId="60A7BC04"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Switzerland,</w:t>
            </w:r>
            <w:r w:rsidR="005379C5" w:rsidRPr="00E0378B">
              <w:rPr>
                <w:rFonts w:ascii="Book Antiqua" w:hAnsi="Book Antiqua"/>
              </w:rPr>
              <w:t xml:space="preserve"> </w:t>
            </w:r>
            <w:r w:rsidRPr="00E0378B">
              <w:rPr>
                <w:rFonts w:ascii="Book Antiqua" w:hAnsi="Book Antiqua"/>
              </w:rPr>
              <w:t>Germany,</w:t>
            </w:r>
            <w:r w:rsidR="005379C5" w:rsidRPr="00E0378B">
              <w:rPr>
                <w:rFonts w:ascii="Book Antiqua" w:hAnsi="Book Antiqua"/>
              </w:rPr>
              <w:t xml:space="preserve"> </w:t>
            </w:r>
            <w:r w:rsidRPr="00E0378B">
              <w:rPr>
                <w:rFonts w:ascii="Book Antiqua" w:hAnsi="Book Antiqua"/>
              </w:rPr>
              <w:t>Poland,</w:t>
            </w:r>
            <w:r w:rsidR="005379C5" w:rsidRPr="00E0378B">
              <w:rPr>
                <w:rFonts w:ascii="Book Antiqua" w:hAnsi="Book Antiqua"/>
              </w:rPr>
              <w:t xml:space="preserve"> </w:t>
            </w:r>
            <w:r w:rsidRPr="00E0378B">
              <w:rPr>
                <w:rFonts w:ascii="Book Antiqua" w:hAnsi="Book Antiqua"/>
              </w:rPr>
              <w:t>Austria,</w:t>
            </w:r>
            <w:r w:rsidR="005379C5" w:rsidRPr="00E0378B">
              <w:rPr>
                <w:rFonts w:ascii="Book Antiqua" w:hAnsi="Book Antiqua"/>
              </w:rPr>
              <w:t xml:space="preserve"> </w:t>
            </w:r>
            <w:r w:rsidRPr="00E0378B">
              <w:rPr>
                <w:rFonts w:ascii="Book Antiqua" w:hAnsi="Book Antiqua"/>
              </w:rPr>
              <w:t>France,</w:t>
            </w:r>
            <w:r w:rsidR="005379C5" w:rsidRPr="00E0378B">
              <w:rPr>
                <w:rFonts w:ascii="Book Antiqua" w:hAnsi="Book Antiqua"/>
              </w:rPr>
              <w:t xml:space="preserve"> </w:t>
            </w:r>
            <w:r w:rsidRPr="00E0378B">
              <w:rPr>
                <w:rFonts w:ascii="Book Antiqua" w:hAnsi="Book Antiqua"/>
              </w:rPr>
              <w:t>Italy.</w:t>
            </w:r>
          </w:p>
        </w:tc>
        <w:tc>
          <w:tcPr>
            <w:tcW w:w="709" w:type="dxa"/>
            <w:vAlign w:val="center"/>
          </w:tcPr>
          <w:p w14:paraId="5E860C37" w14:textId="5E0B9ADD"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567" w:type="dxa"/>
            <w:vAlign w:val="center"/>
          </w:tcPr>
          <w:p w14:paraId="578F85A7"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8" w:type="dxa"/>
            <w:vAlign w:val="center"/>
          </w:tcPr>
          <w:p w14:paraId="3807322F" w14:textId="26B610B4"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67</w:t>
            </w:r>
          </w:p>
        </w:tc>
        <w:tc>
          <w:tcPr>
            <w:tcW w:w="851" w:type="dxa"/>
            <w:vAlign w:val="center"/>
          </w:tcPr>
          <w:p w14:paraId="071CF8BD"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75</w:t>
            </w:r>
          </w:p>
        </w:tc>
        <w:tc>
          <w:tcPr>
            <w:tcW w:w="850" w:type="dxa"/>
            <w:vAlign w:val="center"/>
          </w:tcPr>
          <w:p w14:paraId="7D7F1EF5" w14:textId="31AB9140"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58.3</w:t>
            </w:r>
          </w:p>
        </w:tc>
        <w:tc>
          <w:tcPr>
            <w:tcW w:w="851" w:type="dxa"/>
            <w:vAlign w:val="center"/>
          </w:tcPr>
          <w:p w14:paraId="10D394F8"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66.7</w:t>
            </w:r>
          </w:p>
        </w:tc>
        <w:tc>
          <w:tcPr>
            <w:tcW w:w="992" w:type="dxa"/>
            <w:vAlign w:val="center"/>
          </w:tcPr>
          <w:p w14:paraId="20069A3B" w14:textId="1DEFFF25"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30.3</w:t>
            </w:r>
          </w:p>
        </w:tc>
        <w:tc>
          <w:tcPr>
            <w:tcW w:w="1134" w:type="dxa"/>
            <w:vAlign w:val="center"/>
          </w:tcPr>
          <w:p w14:paraId="38577C63"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39.4</w:t>
            </w:r>
          </w:p>
        </w:tc>
        <w:tc>
          <w:tcPr>
            <w:tcW w:w="851" w:type="dxa"/>
            <w:vAlign w:val="center"/>
          </w:tcPr>
          <w:p w14:paraId="0F4BA93A" w14:textId="1B1BFF71"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18.5</w:t>
            </w:r>
          </w:p>
        </w:tc>
        <w:tc>
          <w:tcPr>
            <w:tcW w:w="992" w:type="dxa"/>
            <w:vAlign w:val="center"/>
          </w:tcPr>
          <w:p w14:paraId="64A7BF94"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11.3</w:t>
            </w:r>
          </w:p>
        </w:tc>
        <w:tc>
          <w:tcPr>
            <w:tcW w:w="709" w:type="dxa"/>
            <w:vAlign w:val="center"/>
          </w:tcPr>
          <w:p w14:paraId="126D82BC" w14:textId="1C23531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20.2</w:t>
            </w:r>
          </w:p>
        </w:tc>
        <w:tc>
          <w:tcPr>
            <w:tcW w:w="850" w:type="dxa"/>
            <w:vAlign w:val="center"/>
          </w:tcPr>
          <w:p w14:paraId="0E3D2457"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14.4</w:t>
            </w:r>
          </w:p>
          <w:p w14:paraId="5AA7E05E" w14:textId="77777777" w:rsidR="00A01440" w:rsidRPr="00E0378B" w:rsidRDefault="00A01440" w:rsidP="00CF5A1D">
            <w:pPr>
              <w:adjustRightInd w:val="0"/>
              <w:snapToGrid w:val="0"/>
              <w:spacing w:line="360" w:lineRule="auto"/>
              <w:jc w:val="both"/>
              <w:rPr>
                <w:rFonts w:ascii="Book Antiqua" w:hAnsi="Book Antiqua"/>
              </w:rPr>
            </w:pPr>
          </w:p>
          <w:p w14:paraId="755749EA" w14:textId="77777777" w:rsidR="00A01440" w:rsidRPr="00E0378B" w:rsidRDefault="00A01440" w:rsidP="00CF5A1D">
            <w:pPr>
              <w:adjustRightInd w:val="0"/>
              <w:snapToGrid w:val="0"/>
              <w:spacing w:line="360" w:lineRule="auto"/>
              <w:jc w:val="both"/>
              <w:rPr>
                <w:rFonts w:ascii="Book Antiqua" w:hAnsi="Book Antiqua"/>
              </w:rPr>
            </w:pPr>
          </w:p>
        </w:tc>
        <w:tc>
          <w:tcPr>
            <w:tcW w:w="709" w:type="dxa"/>
            <w:vAlign w:val="center"/>
          </w:tcPr>
          <w:p w14:paraId="30BB990F" w14:textId="1237664F"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29</w:t>
            </w:r>
          </w:p>
        </w:tc>
        <w:tc>
          <w:tcPr>
            <w:tcW w:w="709" w:type="dxa"/>
            <w:vAlign w:val="center"/>
          </w:tcPr>
          <w:p w14:paraId="27EBA274"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18.1</w:t>
            </w:r>
          </w:p>
        </w:tc>
      </w:tr>
    </w:tbl>
    <w:bookmarkEnd w:id="2"/>
    <w:p w14:paraId="194DAC41" w14:textId="725CAD14" w:rsidR="000E3549" w:rsidRPr="00E0378B" w:rsidRDefault="000E3549" w:rsidP="00E0378B">
      <w:pPr>
        <w:autoSpaceDE w:val="0"/>
        <w:autoSpaceDN w:val="0"/>
        <w:adjustRightInd w:val="0"/>
        <w:snapToGrid w:val="0"/>
        <w:spacing w:line="360" w:lineRule="auto"/>
        <w:jc w:val="both"/>
        <w:rPr>
          <w:rFonts w:ascii="Book Antiqua" w:eastAsia="SimSun" w:hAnsi="Book Antiqua" w:cs="Book Antiqua"/>
          <w:color w:val="000000"/>
          <w:shd w:val="clear" w:color="auto" w:fill="FFFFFF"/>
          <w:lang w:eastAsia="zh-CN"/>
        </w:rPr>
      </w:pPr>
      <w:r w:rsidRPr="00E0378B">
        <w:rPr>
          <w:rFonts w:ascii="Book Antiqua" w:eastAsia="SimSun" w:hAnsi="Book Antiqua" w:cs="Book Antiqua"/>
          <w:color w:val="000000"/>
          <w:shd w:val="clear" w:color="auto" w:fill="FFFFFF"/>
          <w:lang w:eastAsia="zh-CN"/>
        </w:rPr>
        <w:t>NA:</w:t>
      </w:r>
      <w:r w:rsidR="005379C5" w:rsidRPr="00E0378B">
        <w:rPr>
          <w:rFonts w:ascii="Book Antiqua" w:eastAsia="SimSun" w:hAnsi="Book Antiqua" w:cs="Book Antiqua"/>
          <w:color w:val="000000"/>
          <w:shd w:val="clear" w:color="auto" w:fill="FFFFFF"/>
          <w:lang w:eastAsia="zh-CN"/>
        </w:rPr>
        <w:t xml:space="preserve"> </w:t>
      </w:r>
      <w:r w:rsidRPr="00E0378B">
        <w:rPr>
          <w:rFonts w:ascii="Book Antiqua" w:eastAsia="SimSun" w:hAnsi="Book Antiqua" w:cs="Book Antiqua"/>
          <w:color w:val="000000"/>
          <w:shd w:val="clear" w:color="auto" w:fill="FFFFFF"/>
          <w:lang w:eastAsia="zh-CN"/>
        </w:rPr>
        <w:t>Not</w:t>
      </w:r>
      <w:r w:rsidR="005379C5" w:rsidRPr="00E0378B">
        <w:rPr>
          <w:rFonts w:ascii="Book Antiqua" w:eastAsia="SimSun" w:hAnsi="Book Antiqua" w:cs="Book Antiqua"/>
          <w:color w:val="000000"/>
          <w:shd w:val="clear" w:color="auto" w:fill="FFFFFF"/>
          <w:lang w:eastAsia="zh-CN"/>
        </w:rPr>
        <w:t xml:space="preserve"> </w:t>
      </w:r>
      <w:r w:rsidRPr="00E0378B">
        <w:rPr>
          <w:rFonts w:ascii="Book Antiqua" w:eastAsia="SimSun" w:hAnsi="Book Antiqua" w:cs="Book Antiqua"/>
          <w:color w:val="000000"/>
          <w:shd w:val="clear" w:color="auto" w:fill="FFFFFF"/>
          <w:lang w:eastAsia="zh-CN"/>
        </w:rPr>
        <w:t>available.</w:t>
      </w:r>
      <w:r w:rsidR="005379C5" w:rsidRPr="00E0378B">
        <w:rPr>
          <w:rFonts w:ascii="Book Antiqua" w:eastAsia="SimSun" w:hAnsi="Book Antiqua" w:cs="Book Antiqua"/>
          <w:color w:val="000000"/>
          <w:shd w:val="clear" w:color="auto" w:fill="FFFFFF"/>
          <w:lang w:eastAsia="zh-CN"/>
        </w:rPr>
        <w:t xml:space="preserve"> </w:t>
      </w:r>
    </w:p>
    <w:p w14:paraId="1D169512" w14:textId="2C5FE0F4" w:rsidR="00A01440" w:rsidRPr="00E0378B" w:rsidRDefault="000E3549" w:rsidP="00E0378B">
      <w:pPr>
        <w:autoSpaceDE w:val="0"/>
        <w:autoSpaceDN w:val="0"/>
        <w:adjustRightInd w:val="0"/>
        <w:snapToGrid w:val="0"/>
        <w:spacing w:line="360" w:lineRule="auto"/>
        <w:jc w:val="both"/>
        <w:rPr>
          <w:rFonts w:ascii="Book Antiqua" w:hAnsi="Book Antiqua"/>
          <w:b/>
          <w:bCs/>
        </w:rPr>
      </w:pPr>
      <w:r w:rsidRPr="00E0378B">
        <w:rPr>
          <w:rFonts w:ascii="Book Antiqua" w:eastAsia="SimSun" w:hAnsi="Book Antiqua" w:cs="Book Antiqua"/>
          <w:color w:val="000000"/>
          <w:shd w:val="clear" w:color="auto" w:fill="FFFFFF"/>
          <w:lang w:eastAsia="zh-CN"/>
        </w:rPr>
        <w:br w:type="page"/>
      </w:r>
      <w:r w:rsidR="00A01440" w:rsidRPr="00E0378B">
        <w:rPr>
          <w:rFonts w:ascii="Book Antiqua" w:hAnsi="Book Antiqua"/>
          <w:b/>
          <w:bCs/>
        </w:rPr>
        <w:lastRenderedPageBreak/>
        <w:t>Table</w:t>
      </w:r>
      <w:r w:rsidR="005379C5" w:rsidRPr="00E0378B">
        <w:rPr>
          <w:rFonts w:ascii="Book Antiqua" w:hAnsi="Book Antiqua"/>
          <w:b/>
          <w:bCs/>
        </w:rPr>
        <w:t xml:space="preserve"> </w:t>
      </w:r>
      <w:r w:rsidR="00A01440" w:rsidRPr="00E0378B">
        <w:rPr>
          <w:rFonts w:ascii="Book Antiqua" w:hAnsi="Book Antiqua"/>
          <w:b/>
          <w:bCs/>
        </w:rPr>
        <w:t>2</w:t>
      </w:r>
      <w:r w:rsidR="005379C5" w:rsidRPr="00E0378B">
        <w:rPr>
          <w:rFonts w:ascii="Book Antiqua" w:hAnsi="Book Antiqua"/>
          <w:b/>
          <w:bCs/>
        </w:rPr>
        <w:t xml:space="preserve"> </w:t>
      </w:r>
      <w:r w:rsidR="00A01440" w:rsidRPr="00E0378B">
        <w:rPr>
          <w:rFonts w:ascii="Book Antiqua" w:hAnsi="Book Antiqua"/>
          <w:b/>
          <w:bCs/>
        </w:rPr>
        <w:t>Sex</w:t>
      </w:r>
      <w:r w:rsidR="005379C5" w:rsidRPr="00E0378B">
        <w:rPr>
          <w:rFonts w:ascii="Book Antiqua" w:hAnsi="Book Antiqua"/>
          <w:b/>
          <w:bCs/>
        </w:rPr>
        <w:t xml:space="preserve"> </w:t>
      </w:r>
      <w:r w:rsidR="00A01440" w:rsidRPr="00E0378B">
        <w:rPr>
          <w:rFonts w:ascii="Book Antiqua" w:hAnsi="Book Antiqua"/>
          <w:b/>
          <w:bCs/>
        </w:rPr>
        <w:t>differences</w:t>
      </w:r>
      <w:r w:rsidR="005379C5" w:rsidRPr="00E0378B">
        <w:rPr>
          <w:rFonts w:ascii="Book Antiqua" w:hAnsi="Book Antiqua"/>
          <w:b/>
          <w:bCs/>
        </w:rPr>
        <w:t xml:space="preserve"> </w:t>
      </w:r>
      <w:r w:rsidR="00A01440" w:rsidRPr="00E0378B">
        <w:rPr>
          <w:rFonts w:ascii="Book Antiqua" w:hAnsi="Book Antiqua"/>
          <w:b/>
          <w:bCs/>
        </w:rPr>
        <w:t>in</w:t>
      </w:r>
      <w:r w:rsidR="005379C5" w:rsidRPr="00E0378B">
        <w:rPr>
          <w:rFonts w:ascii="Book Antiqua" w:hAnsi="Book Antiqua"/>
          <w:b/>
          <w:bCs/>
        </w:rPr>
        <w:t xml:space="preserve"> </w:t>
      </w:r>
      <w:r w:rsidR="00A01440" w:rsidRPr="00E0378B">
        <w:rPr>
          <w:rFonts w:ascii="Book Antiqua" w:hAnsi="Book Antiqua"/>
          <w:b/>
          <w:bCs/>
        </w:rPr>
        <w:t>in-hospital</w:t>
      </w:r>
      <w:r w:rsidR="005379C5" w:rsidRPr="00E0378B">
        <w:rPr>
          <w:rFonts w:ascii="Book Antiqua" w:hAnsi="Book Antiqua"/>
          <w:b/>
          <w:bCs/>
        </w:rPr>
        <w:t xml:space="preserve"> </w:t>
      </w:r>
      <w:r w:rsidR="00A01440" w:rsidRPr="00E0378B">
        <w:rPr>
          <w:rFonts w:ascii="Book Antiqua" w:hAnsi="Book Antiqua"/>
          <w:b/>
          <w:bCs/>
        </w:rPr>
        <w:t>procedures</w:t>
      </w:r>
    </w:p>
    <w:tbl>
      <w:tblPr>
        <w:tblStyle w:val="TableGrid"/>
        <w:tblW w:w="0" w:type="auto"/>
        <w:jc w:val="center"/>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1410"/>
        <w:gridCol w:w="1694"/>
        <w:gridCol w:w="1829"/>
        <w:gridCol w:w="1834"/>
        <w:gridCol w:w="1830"/>
        <w:gridCol w:w="1133"/>
      </w:tblGrid>
      <w:tr w:rsidR="00E0378B" w:rsidRPr="00E0378B" w14:paraId="1BD01D5F" w14:textId="77777777" w:rsidTr="00CF5A1D">
        <w:trPr>
          <w:trHeight w:val="871"/>
          <w:jc w:val="center"/>
        </w:trPr>
        <w:tc>
          <w:tcPr>
            <w:tcW w:w="3247" w:type="dxa"/>
            <w:tcBorders>
              <w:top w:val="single" w:sz="4" w:space="0" w:color="auto"/>
              <w:bottom w:val="nil"/>
            </w:tcBorders>
          </w:tcPr>
          <w:p w14:paraId="066195B4" w14:textId="77777777" w:rsidR="00A01440" w:rsidRPr="00E0378B" w:rsidRDefault="00A01440" w:rsidP="00E0378B">
            <w:pPr>
              <w:adjustRightInd w:val="0"/>
              <w:snapToGrid w:val="0"/>
              <w:spacing w:line="360" w:lineRule="auto"/>
              <w:jc w:val="both"/>
              <w:rPr>
                <w:rFonts w:ascii="Book Antiqua" w:hAnsi="Book Antiqua"/>
                <w:b/>
                <w:bCs/>
              </w:rPr>
            </w:pPr>
            <w:r w:rsidRPr="00E0378B">
              <w:rPr>
                <w:rFonts w:ascii="Book Antiqua" w:hAnsi="Book Antiqua"/>
                <w:b/>
                <w:bCs/>
              </w:rPr>
              <w:t>Studies</w:t>
            </w:r>
          </w:p>
        </w:tc>
        <w:tc>
          <w:tcPr>
            <w:tcW w:w="3119" w:type="dxa"/>
            <w:gridSpan w:val="2"/>
            <w:tcBorders>
              <w:top w:val="single" w:sz="4" w:space="0" w:color="auto"/>
              <w:bottom w:val="single" w:sz="4" w:space="0" w:color="auto"/>
            </w:tcBorders>
          </w:tcPr>
          <w:p w14:paraId="16FA9596" w14:textId="0F96D60F" w:rsidR="00A01440" w:rsidRPr="00E0378B" w:rsidRDefault="00A01440" w:rsidP="00E0378B">
            <w:pPr>
              <w:adjustRightInd w:val="0"/>
              <w:snapToGrid w:val="0"/>
              <w:spacing w:line="360" w:lineRule="auto"/>
              <w:jc w:val="both"/>
              <w:rPr>
                <w:rFonts w:ascii="Book Antiqua" w:hAnsi="Book Antiqua"/>
                <w:b/>
                <w:bCs/>
              </w:rPr>
            </w:pPr>
            <w:r w:rsidRPr="00E0378B">
              <w:rPr>
                <w:rFonts w:ascii="Book Antiqua" w:hAnsi="Book Antiqua"/>
                <w:b/>
                <w:bCs/>
              </w:rPr>
              <w:t>Percutaneous</w:t>
            </w:r>
            <w:r w:rsidR="005379C5" w:rsidRPr="00E0378B">
              <w:rPr>
                <w:rFonts w:ascii="Book Antiqua" w:hAnsi="Book Antiqua"/>
                <w:b/>
                <w:bCs/>
              </w:rPr>
              <w:t xml:space="preserve"> </w:t>
            </w:r>
            <w:r w:rsidRPr="00E0378B">
              <w:rPr>
                <w:rFonts w:ascii="Book Antiqua" w:hAnsi="Book Antiqua"/>
                <w:b/>
                <w:bCs/>
              </w:rPr>
              <w:t>coronary</w:t>
            </w:r>
            <w:r w:rsidR="005379C5" w:rsidRPr="00E0378B">
              <w:rPr>
                <w:rFonts w:ascii="Book Antiqua" w:hAnsi="Book Antiqua"/>
                <w:b/>
                <w:bCs/>
              </w:rPr>
              <w:t xml:space="preserve"> </w:t>
            </w:r>
            <w:r w:rsidRPr="00E0378B">
              <w:rPr>
                <w:rFonts w:ascii="Book Antiqua" w:hAnsi="Book Antiqua"/>
                <w:b/>
                <w:bCs/>
              </w:rPr>
              <w:t>intervention</w:t>
            </w:r>
            <w:r w:rsidR="005379C5" w:rsidRPr="00E0378B">
              <w:rPr>
                <w:rFonts w:ascii="Book Antiqua" w:hAnsi="Book Antiqua"/>
                <w:b/>
                <w:bCs/>
              </w:rPr>
              <w:t xml:space="preserve"> </w:t>
            </w:r>
            <w:r w:rsidR="000E3549" w:rsidRPr="00E0378B">
              <w:rPr>
                <w:rFonts w:ascii="Book Antiqua" w:hAnsi="Book Antiqua"/>
                <w:b/>
                <w:bCs/>
              </w:rPr>
              <w:t>(</w:t>
            </w:r>
            <w:r w:rsidRPr="00E0378B">
              <w:rPr>
                <w:rFonts w:ascii="Book Antiqua" w:hAnsi="Book Antiqua"/>
                <w:b/>
                <w:bCs/>
              </w:rPr>
              <w:t>%</w:t>
            </w:r>
            <w:r w:rsidR="000E3549" w:rsidRPr="00E0378B">
              <w:rPr>
                <w:rFonts w:ascii="Book Antiqua" w:hAnsi="Book Antiqua"/>
                <w:b/>
                <w:bCs/>
              </w:rPr>
              <w:t>)</w:t>
            </w:r>
          </w:p>
        </w:tc>
        <w:tc>
          <w:tcPr>
            <w:tcW w:w="3685" w:type="dxa"/>
            <w:gridSpan w:val="2"/>
            <w:tcBorders>
              <w:top w:val="single" w:sz="4" w:space="0" w:color="auto"/>
              <w:bottom w:val="single" w:sz="4" w:space="0" w:color="auto"/>
            </w:tcBorders>
          </w:tcPr>
          <w:p w14:paraId="2649666C" w14:textId="4907B9FD" w:rsidR="00A01440" w:rsidRPr="00E0378B" w:rsidRDefault="00A01440" w:rsidP="00E0378B">
            <w:pPr>
              <w:adjustRightInd w:val="0"/>
              <w:snapToGrid w:val="0"/>
              <w:spacing w:line="360" w:lineRule="auto"/>
              <w:jc w:val="both"/>
              <w:rPr>
                <w:rFonts w:ascii="Book Antiqua" w:hAnsi="Book Antiqua"/>
                <w:b/>
                <w:bCs/>
              </w:rPr>
            </w:pPr>
            <w:r w:rsidRPr="00E0378B">
              <w:rPr>
                <w:rFonts w:ascii="Book Antiqua" w:hAnsi="Book Antiqua"/>
                <w:b/>
                <w:bCs/>
              </w:rPr>
              <w:t>Coronary</w:t>
            </w:r>
            <w:r w:rsidR="005379C5" w:rsidRPr="00E0378B">
              <w:rPr>
                <w:rFonts w:ascii="Book Antiqua" w:hAnsi="Book Antiqua"/>
                <w:b/>
                <w:bCs/>
              </w:rPr>
              <w:t xml:space="preserve"> </w:t>
            </w:r>
            <w:r w:rsidRPr="00E0378B">
              <w:rPr>
                <w:rFonts w:ascii="Book Antiqua" w:hAnsi="Book Antiqua"/>
                <w:b/>
                <w:bCs/>
              </w:rPr>
              <w:t>artery</w:t>
            </w:r>
            <w:r w:rsidR="005379C5" w:rsidRPr="00E0378B">
              <w:rPr>
                <w:rFonts w:ascii="Book Antiqua" w:hAnsi="Book Antiqua"/>
                <w:b/>
                <w:bCs/>
              </w:rPr>
              <w:t xml:space="preserve"> </w:t>
            </w:r>
            <w:r w:rsidRPr="00E0378B">
              <w:rPr>
                <w:rFonts w:ascii="Book Antiqua" w:hAnsi="Book Antiqua"/>
                <w:b/>
                <w:bCs/>
              </w:rPr>
              <w:t>bypass</w:t>
            </w:r>
            <w:r w:rsidR="005379C5" w:rsidRPr="00E0378B">
              <w:rPr>
                <w:rFonts w:ascii="Book Antiqua" w:hAnsi="Book Antiqua"/>
                <w:b/>
                <w:bCs/>
              </w:rPr>
              <w:t xml:space="preserve"> </w:t>
            </w:r>
            <w:r w:rsidRPr="00E0378B">
              <w:rPr>
                <w:rFonts w:ascii="Book Antiqua" w:hAnsi="Book Antiqua"/>
                <w:b/>
                <w:bCs/>
              </w:rPr>
              <w:t>graft</w:t>
            </w:r>
            <w:r w:rsidR="005379C5" w:rsidRPr="00E0378B">
              <w:rPr>
                <w:rFonts w:ascii="Book Antiqua" w:hAnsi="Book Antiqua"/>
                <w:b/>
                <w:bCs/>
              </w:rPr>
              <w:t xml:space="preserve"> </w:t>
            </w:r>
            <w:r w:rsidR="000E3549" w:rsidRPr="00E0378B">
              <w:rPr>
                <w:rFonts w:ascii="Book Antiqua" w:hAnsi="Book Antiqua"/>
                <w:b/>
                <w:bCs/>
              </w:rPr>
              <w:t>(%)</w:t>
            </w:r>
          </w:p>
        </w:tc>
        <w:tc>
          <w:tcPr>
            <w:tcW w:w="2977" w:type="dxa"/>
            <w:gridSpan w:val="2"/>
            <w:tcBorders>
              <w:top w:val="single" w:sz="4" w:space="0" w:color="auto"/>
              <w:bottom w:val="single" w:sz="4" w:space="0" w:color="auto"/>
            </w:tcBorders>
          </w:tcPr>
          <w:p w14:paraId="68EB0949" w14:textId="7E40F8E2" w:rsidR="00A01440" w:rsidRPr="00E0378B" w:rsidRDefault="00A01440" w:rsidP="00E0378B">
            <w:pPr>
              <w:adjustRightInd w:val="0"/>
              <w:snapToGrid w:val="0"/>
              <w:spacing w:line="360" w:lineRule="auto"/>
              <w:jc w:val="both"/>
              <w:rPr>
                <w:rFonts w:ascii="Book Antiqua" w:hAnsi="Book Antiqua"/>
                <w:b/>
                <w:bCs/>
              </w:rPr>
            </w:pPr>
            <w:r w:rsidRPr="00E0378B">
              <w:rPr>
                <w:rFonts w:ascii="Book Antiqua" w:hAnsi="Book Antiqua"/>
                <w:b/>
                <w:bCs/>
              </w:rPr>
              <w:t>Mechanical</w:t>
            </w:r>
            <w:r w:rsidR="005379C5" w:rsidRPr="00E0378B">
              <w:rPr>
                <w:rFonts w:ascii="Book Antiqua" w:hAnsi="Book Antiqua"/>
                <w:b/>
                <w:bCs/>
              </w:rPr>
              <w:t xml:space="preserve"> </w:t>
            </w:r>
            <w:r w:rsidRPr="00E0378B">
              <w:rPr>
                <w:rFonts w:ascii="Book Antiqua" w:hAnsi="Book Antiqua"/>
                <w:b/>
                <w:bCs/>
              </w:rPr>
              <w:t>circulatory</w:t>
            </w:r>
            <w:r w:rsidR="005379C5" w:rsidRPr="00E0378B">
              <w:rPr>
                <w:rFonts w:ascii="Book Antiqua" w:hAnsi="Book Antiqua"/>
                <w:b/>
                <w:bCs/>
              </w:rPr>
              <w:t xml:space="preserve"> </w:t>
            </w:r>
            <w:r w:rsidRPr="00E0378B">
              <w:rPr>
                <w:rFonts w:ascii="Book Antiqua" w:hAnsi="Book Antiqua"/>
                <w:b/>
                <w:bCs/>
              </w:rPr>
              <w:t>support</w:t>
            </w:r>
            <w:r w:rsidR="005379C5" w:rsidRPr="00E0378B">
              <w:rPr>
                <w:rFonts w:ascii="Book Antiqua" w:hAnsi="Book Antiqua"/>
                <w:b/>
                <w:bCs/>
              </w:rPr>
              <w:t xml:space="preserve"> </w:t>
            </w:r>
            <w:r w:rsidR="000E3549" w:rsidRPr="00E0378B">
              <w:rPr>
                <w:rFonts w:ascii="Book Antiqua" w:hAnsi="Book Antiqua"/>
                <w:b/>
                <w:bCs/>
              </w:rPr>
              <w:t>(%)</w:t>
            </w:r>
          </w:p>
        </w:tc>
      </w:tr>
      <w:tr w:rsidR="000915AB" w:rsidRPr="00E0378B" w14:paraId="3FB1E97A" w14:textId="77777777" w:rsidTr="00CF5A1D">
        <w:trPr>
          <w:trHeight w:val="519"/>
          <w:jc w:val="center"/>
        </w:trPr>
        <w:tc>
          <w:tcPr>
            <w:tcW w:w="3247" w:type="dxa"/>
            <w:tcBorders>
              <w:top w:val="nil"/>
              <w:bottom w:val="single" w:sz="4" w:space="0" w:color="auto"/>
            </w:tcBorders>
          </w:tcPr>
          <w:p w14:paraId="1A0395EA" w14:textId="77777777" w:rsidR="00A01440" w:rsidRPr="00CF5A1D" w:rsidRDefault="00A01440" w:rsidP="00E0378B">
            <w:pPr>
              <w:adjustRightInd w:val="0"/>
              <w:snapToGrid w:val="0"/>
              <w:spacing w:line="360" w:lineRule="auto"/>
              <w:jc w:val="both"/>
              <w:rPr>
                <w:rFonts w:ascii="Book Antiqua" w:hAnsi="Book Antiqua"/>
                <w:b/>
                <w:bCs/>
              </w:rPr>
            </w:pPr>
          </w:p>
        </w:tc>
        <w:tc>
          <w:tcPr>
            <w:tcW w:w="1418" w:type="dxa"/>
            <w:tcBorders>
              <w:top w:val="single" w:sz="4" w:space="0" w:color="auto"/>
              <w:bottom w:val="single" w:sz="4" w:space="0" w:color="auto"/>
            </w:tcBorders>
          </w:tcPr>
          <w:p w14:paraId="169AE1AA" w14:textId="77777777" w:rsidR="00A01440" w:rsidRPr="00CF5A1D" w:rsidRDefault="00A01440" w:rsidP="00E0378B">
            <w:pPr>
              <w:adjustRightInd w:val="0"/>
              <w:snapToGrid w:val="0"/>
              <w:spacing w:line="360" w:lineRule="auto"/>
              <w:jc w:val="both"/>
              <w:rPr>
                <w:rFonts w:ascii="Book Antiqua" w:hAnsi="Book Antiqua"/>
                <w:b/>
                <w:bCs/>
              </w:rPr>
            </w:pPr>
            <w:r w:rsidRPr="00CF5A1D">
              <w:rPr>
                <w:rFonts w:ascii="Book Antiqua" w:hAnsi="Book Antiqua"/>
                <w:b/>
                <w:bCs/>
              </w:rPr>
              <w:t>Men</w:t>
            </w:r>
          </w:p>
        </w:tc>
        <w:tc>
          <w:tcPr>
            <w:tcW w:w="1701" w:type="dxa"/>
            <w:tcBorders>
              <w:top w:val="single" w:sz="4" w:space="0" w:color="auto"/>
              <w:bottom w:val="single" w:sz="4" w:space="0" w:color="auto"/>
            </w:tcBorders>
          </w:tcPr>
          <w:p w14:paraId="4ECFFE50" w14:textId="77777777" w:rsidR="00A01440" w:rsidRPr="00CF5A1D" w:rsidRDefault="00A01440" w:rsidP="00E0378B">
            <w:pPr>
              <w:adjustRightInd w:val="0"/>
              <w:snapToGrid w:val="0"/>
              <w:spacing w:line="360" w:lineRule="auto"/>
              <w:jc w:val="both"/>
              <w:rPr>
                <w:rFonts w:ascii="Book Antiqua" w:hAnsi="Book Antiqua"/>
                <w:b/>
                <w:bCs/>
              </w:rPr>
            </w:pPr>
            <w:r w:rsidRPr="00CF5A1D">
              <w:rPr>
                <w:rFonts w:ascii="Book Antiqua" w:hAnsi="Book Antiqua"/>
                <w:b/>
                <w:bCs/>
              </w:rPr>
              <w:t>Women</w:t>
            </w:r>
          </w:p>
        </w:tc>
        <w:tc>
          <w:tcPr>
            <w:tcW w:w="1842" w:type="dxa"/>
            <w:tcBorders>
              <w:top w:val="single" w:sz="4" w:space="0" w:color="auto"/>
              <w:bottom w:val="single" w:sz="4" w:space="0" w:color="auto"/>
            </w:tcBorders>
          </w:tcPr>
          <w:p w14:paraId="1C5C2ED0" w14:textId="77777777" w:rsidR="00A01440" w:rsidRPr="00CF5A1D" w:rsidRDefault="00A01440" w:rsidP="00E0378B">
            <w:pPr>
              <w:adjustRightInd w:val="0"/>
              <w:snapToGrid w:val="0"/>
              <w:spacing w:line="360" w:lineRule="auto"/>
              <w:jc w:val="both"/>
              <w:rPr>
                <w:rFonts w:ascii="Book Antiqua" w:hAnsi="Book Antiqua"/>
                <w:b/>
                <w:bCs/>
              </w:rPr>
            </w:pPr>
            <w:r w:rsidRPr="00CF5A1D">
              <w:rPr>
                <w:rFonts w:ascii="Book Antiqua" w:hAnsi="Book Antiqua"/>
                <w:b/>
                <w:bCs/>
              </w:rPr>
              <w:t>Men</w:t>
            </w:r>
          </w:p>
        </w:tc>
        <w:tc>
          <w:tcPr>
            <w:tcW w:w="1843" w:type="dxa"/>
            <w:tcBorders>
              <w:top w:val="single" w:sz="4" w:space="0" w:color="auto"/>
              <w:bottom w:val="single" w:sz="4" w:space="0" w:color="auto"/>
            </w:tcBorders>
          </w:tcPr>
          <w:p w14:paraId="177C9CAF" w14:textId="77777777" w:rsidR="00A01440" w:rsidRPr="00CF5A1D" w:rsidRDefault="00A01440" w:rsidP="00E0378B">
            <w:pPr>
              <w:adjustRightInd w:val="0"/>
              <w:snapToGrid w:val="0"/>
              <w:spacing w:line="360" w:lineRule="auto"/>
              <w:jc w:val="both"/>
              <w:rPr>
                <w:rFonts w:ascii="Book Antiqua" w:hAnsi="Book Antiqua"/>
                <w:b/>
                <w:bCs/>
              </w:rPr>
            </w:pPr>
            <w:r w:rsidRPr="00CF5A1D">
              <w:rPr>
                <w:rFonts w:ascii="Book Antiqua" w:hAnsi="Book Antiqua"/>
                <w:b/>
                <w:bCs/>
              </w:rPr>
              <w:t>Women</w:t>
            </w:r>
          </w:p>
        </w:tc>
        <w:tc>
          <w:tcPr>
            <w:tcW w:w="1843" w:type="dxa"/>
            <w:tcBorders>
              <w:top w:val="single" w:sz="4" w:space="0" w:color="auto"/>
              <w:bottom w:val="single" w:sz="4" w:space="0" w:color="auto"/>
            </w:tcBorders>
          </w:tcPr>
          <w:p w14:paraId="2293A51E" w14:textId="77777777" w:rsidR="00A01440" w:rsidRPr="00CF5A1D" w:rsidRDefault="00A01440" w:rsidP="00E0378B">
            <w:pPr>
              <w:adjustRightInd w:val="0"/>
              <w:snapToGrid w:val="0"/>
              <w:spacing w:line="360" w:lineRule="auto"/>
              <w:jc w:val="both"/>
              <w:rPr>
                <w:rFonts w:ascii="Book Antiqua" w:hAnsi="Book Antiqua"/>
                <w:b/>
                <w:bCs/>
              </w:rPr>
            </w:pPr>
            <w:r w:rsidRPr="00CF5A1D">
              <w:rPr>
                <w:rFonts w:ascii="Book Antiqua" w:hAnsi="Book Antiqua"/>
                <w:b/>
                <w:bCs/>
              </w:rPr>
              <w:t>Men</w:t>
            </w:r>
          </w:p>
        </w:tc>
        <w:tc>
          <w:tcPr>
            <w:tcW w:w="1134" w:type="dxa"/>
            <w:tcBorders>
              <w:top w:val="single" w:sz="4" w:space="0" w:color="auto"/>
              <w:bottom w:val="single" w:sz="4" w:space="0" w:color="auto"/>
            </w:tcBorders>
          </w:tcPr>
          <w:p w14:paraId="15322493" w14:textId="77777777" w:rsidR="00A01440" w:rsidRPr="00CF5A1D" w:rsidRDefault="00A01440" w:rsidP="00E0378B">
            <w:pPr>
              <w:adjustRightInd w:val="0"/>
              <w:snapToGrid w:val="0"/>
              <w:spacing w:line="360" w:lineRule="auto"/>
              <w:jc w:val="both"/>
              <w:rPr>
                <w:rFonts w:ascii="Book Antiqua" w:hAnsi="Book Antiqua"/>
                <w:b/>
                <w:bCs/>
              </w:rPr>
            </w:pPr>
            <w:r w:rsidRPr="00CF5A1D">
              <w:rPr>
                <w:rFonts w:ascii="Book Antiqua" w:hAnsi="Book Antiqua"/>
                <w:b/>
                <w:bCs/>
              </w:rPr>
              <w:t>Women</w:t>
            </w:r>
          </w:p>
        </w:tc>
      </w:tr>
      <w:tr w:rsidR="000915AB" w:rsidRPr="00E0378B" w14:paraId="77776228" w14:textId="77777777" w:rsidTr="00CF5A1D">
        <w:trPr>
          <w:trHeight w:val="833"/>
          <w:jc w:val="center"/>
        </w:trPr>
        <w:tc>
          <w:tcPr>
            <w:tcW w:w="3247" w:type="dxa"/>
            <w:tcBorders>
              <w:top w:val="single" w:sz="4" w:space="0" w:color="auto"/>
            </w:tcBorders>
          </w:tcPr>
          <w:p w14:paraId="2756D180" w14:textId="01CABBD3"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Isorni</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9]</w:t>
            </w:r>
          </w:p>
        </w:tc>
        <w:tc>
          <w:tcPr>
            <w:tcW w:w="1418" w:type="dxa"/>
            <w:tcBorders>
              <w:top w:val="single" w:sz="4" w:space="0" w:color="auto"/>
            </w:tcBorders>
          </w:tcPr>
          <w:p w14:paraId="48AFEFB8" w14:textId="7959BB5A"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76.5</w:t>
            </w:r>
          </w:p>
        </w:tc>
        <w:tc>
          <w:tcPr>
            <w:tcW w:w="1701" w:type="dxa"/>
            <w:tcBorders>
              <w:top w:val="single" w:sz="4" w:space="0" w:color="auto"/>
            </w:tcBorders>
          </w:tcPr>
          <w:p w14:paraId="208C45FB"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68.5</w:t>
            </w:r>
          </w:p>
        </w:tc>
        <w:tc>
          <w:tcPr>
            <w:tcW w:w="1842" w:type="dxa"/>
            <w:tcBorders>
              <w:top w:val="single" w:sz="4" w:space="0" w:color="auto"/>
            </w:tcBorders>
          </w:tcPr>
          <w:p w14:paraId="40656362"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c>
          <w:tcPr>
            <w:tcW w:w="1843" w:type="dxa"/>
            <w:tcBorders>
              <w:top w:val="single" w:sz="4" w:space="0" w:color="auto"/>
            </w:tcBorders>
          </w:tcPr>
          <w:p w14:paraId="0CA27F18"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c>
          <w:tcPr>
            <w:tcW w:w="1843" w:type="dxa"/>
            <w:tcBorders>
              <w:top w:val="single" w:sz="4" w:space="0" w:color="auto"/>
            </w:tcBorders>
          </w:tcPr>
          <w:p w14:paraId="50F2830D"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c>
          <w:tcPr>
            <w:tcW w:w="1134" w:type="dxa"/>
            <w:tcBorders>
              <w:top w:val="single" w:sz="4" w:space="0" w:color="auto"/>
            </w:tcBorders>
          </w:tcPr>
          <w:p w14:paraId="029A6092"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r>
      <w:tr w:rsidR="000915AB" w:rsidRPr="00E0378B" w14:paraId="2158EE64" w14:textId="77777777" w:rsidTr="000915AB">
        <w:trPr>
          <w:trHeight w:val="871"/>
          <w:jc w:val="center"/>
        </w:trPr>
        <w:tc>
          <w:tcPr>
            <w:tcW w:w="3247" w:type="dxa"/>
          </w:tcPr>
          <w:p w14:paraId="39FD7D50" w14:textId="62C2D5C3"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Koeth</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15]</w:t>
            </w:r>
          </w:p>
        </w:tc>
        <w:tc>
          <w:tcPr>
            <w:tcW w:w="1418" w:type="dxa"/>
          </w:tcPr>
          <w:p w14:paraId="4CBD3C4E" w14:textId="02755BA4"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18</w:t>
            </w:r>
          </w:p>
        </w:tc>
        <w:tc>
          <w:tcPr>
            <w:tcW w:w="1701" w:type="dxa"/>
          </w:tcPr>
          <w:p w14:paraId="12BF58CD"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11</w:t>
            </w:r>
          </w:p>
        </w:tc>
        <w:tc>
          <w:tcPr>
            <w:tcW w:w="1842" w:type="dxa"/>
          </w:tcPr>
          <w:p w14:paraId="51BE697E"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c>
          <w:tcPr>
            <w:tcW w:w="1843" w:type="dxa"/>
          </w:tcPr>
          <w:p w14:paraId="10E1E962"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c>
          <w:tcPr>
            <w:tcW w:w="1843" w:type="dxa"/>
          </w:tcPr>
          <w:p w14:paraId="45C30993"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c>
          <w:tcPr>
            <w:tcW w:w="1134" w:type="dxa"/>
          </w:tcPr>
          <w:p w14:paraId="66533659"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r>
      <w:tr w:rsidR="000915AB" w:rsidRPr="00E0378B" w14:paraId="1136A571" w14:textId="77777777" w:rsidTr="000915AB">
        <w:trPr>
          <w:trHeight w:val="871"/>
          <w:jc w:val="center"/>
        </w:trPr>
        <w:tc>
          <w:tcPr>
            <w:tcW w:w="3247" w:type="dxa"/>
          </w:tcPr>
          <w:p w14:paraId="6BBE480B" w14:textId="73F165EC"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Abdel-Qadir</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16]</w:t>
            </w:r>
          </w:p>
        </w:tc>
        <w:tc>
          <w:tcPr>
            <w:tcW w:w="1418" w:type="dxa"/>
          </w:tcPr>
          <w:p w14:paraId="7DDEC667" w14:textId="6B496470"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14</w:t>
            </w:r>
          </w:p>
        </w:tc>
        <w:tc>
          <w:tcPr>
            <w:tcW w:w="1701" w:type="dxa"/>
          </w:tcPr>
          <w:p w14:paraId="666E59B9"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10.6</w:t>
            </w:r>
          </w:p>
        </w:tc>
        <w:tc>
          <w:tcPr>
            <w:tcW w:w="1842" w:type="dxa"/>
          </w:tcPr>
          <w:p w14:paraId="3274F53C" w14:textId="799F0FED"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4.3</w:t>
            </w:r>
          </w:p>
        </w:tc>
        <w:tc>
          <w:tcPr>
            <w:tcW w:w="1843" w:type="dxa"/>
          </w:tcPr>
          <w:p w14:paraId="4BF0CF45"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2.3</w:t>
            </w:r>
          </w:p>
        </w:tc>
        <w:tc>
          <w:tcPr>
            <w:tcW w:w="1843" w:type="dxa"/>
          </w:tcPr>
          <w:p w14:paraId="704C670D"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c>
          <w:tcPr>
            <w:tcW w:w="1134" w:type="dxa"/>
          </w:tcPr>
          <w:p w14:paraId="3E1A4786"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r>
      <w:tr w:rsidR="000915AB" w:rsidRPr="00E0378B" w14:paraId="4F6619E6" w14:textId="77777777" w:rsidTr="000915AB">
        <w:trPr>
          <w:trHeight w:val="871"/>
          <w:jc w:val="center"/>
        </w:trPr>
        <w:tc>
          <w:tcPr>
            <w:tcW w:w="3247" w:type="dxa"/>
          </w:tcPr>
          <w:p w14:paraId="787597A5" w14:textId="59E77B7F"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Vallabhajosyula</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8]</w:t>
            </w:r>
          </w:p>
        </w:tc>
        <w:tc>
          <w:tcPr>
            <w:tcW w:w="1418" w:type="dxa"/>
          </w:tcPr>
          <w:p w14:paraId="52478C9A" w14:textId="6632F5F3"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36.3</w:t>
            </w:r>
          </w:p>
        </w:tc>
        <w:tc>
          <w:tcPr>
            <w:tcW w:w="1701" w:type="dxa"/>
          </w:tcPr>
          <w:p w14:paraId="1DE9CCEF"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34.4</w:t>
            </w:r>
          </w:p>
        </w:tc>
        <w:tc>
          <w:tcPr>
            <w:tcW w:w="1842" w:type="dxa"/>
          </w:tcPr>
          <w:p w14:paraId="2D67B043" w14:textId="4C12590C"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12</w:t>
            </w:r>
          </w:p>
        </w:tc>
        <w:tc>
          <w:tcPr>
            <w:tcW w:w="1843" w:type="dxa"/>
          </w:tcPr>
          <w:p w14:paraId="7DE1C018"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8.1</w:t>
            </w:r>
          </w:p>
        </w:tc>
        <w:tc>
          <w:tcPr>
            <w:tcW w:w="1843" w:type="dxa"/>
          </w:tcPr>
          <w:p w14:paraId="58935D0A" w14:textId="76EEFF2B"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34.3</w:t>
            </w:r>
          </w:p>
        </w:tc>
        <w:tc>
          <w:tcPr>
            <w:tcW w:w="1134" w:type="dxa"/>
          </w:tcPr>
          <w:p w14:paraId="28654072"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27.2</w:t>
            </w:r>
          </w:p>
        </w:tc>
      </w:tr>
      <w:tr w:rsidR="000915AB" w:rsidRPr="00E0378B" w14:paraId="425A7FEC" w14:textId="77777777" w:rsidTr="000915AB">
        <w:trPr>
          <w:trHeight w:val="871"/>
          <w:jc w:val="center"/>
        </w:trPr>
        <w:tc>
          <w:tcPr>
            <w:tcW w:w="3247" w:type="dxa"/>
          </w:tcPr>
          <w:p w14:paraId="1AFC6725" w14:textId="31C35118"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Vallabhajosyula</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17]</w:t>
            </w:r>
          </w:p>
        </w:tc>
        <w:tc>
          <w:tcPr>
            <w:tcW w:w="1418" w:type="dxa"/>
          </w:tcPr>
          <w:p w14:paraId="600DC111" w14:textId="49BFFE58"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64</w:t>
            </w:r>
          </w:p>
        </w:tc>
        <w:tc>
          <w:tcPr>
            <w:tcW w:w="1701" w:type="dxa"/>
          </w:tcPr>
          <w:p w14:paraId="0AB4A616"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59.2</w:t>
            </w:r>
          </w:p>
        </w:tc>
        <w:tc>
          <w:tcPr>
            <w:tcW w:w="1842" w:type="dxa"/>
          </w:tcPr>
          <w:p w14:paraId="4F54459A" w14:textId="658D5B32"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20.1</w:t>
            </w:r>
          </w:p>
        </w:tc>
        <w:tc>
          <w:tcPr>
            <w:tcW w:w="1843" w:type="dxa"/>
          </w:tcPr>
          <w:p w14:paraId="6EFEF3D8"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18.3</w:t>
            </w:r>
          </w:p>
        </w:tc>
        <w:tc>
          <w:tcPr>
            <w:tcW w:w="1843" w:type="dxa"/>
          </w:tcPr>
          <w:p w14:paraId="45DD8993" w14:textId="7AF07636"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59.2</w:t>
            </w:r>
          </w:p>
        </w:tc>
        <w:tc>
          <w:tcPr>
            <w:tcW w:w="1134" w:type="dxa"/>
          </w:tcPr>
          <w:p w14:paraId="5EF399A7"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50.3</w:t>
            </w:r>
          </w:p>
        </w:tc>
      </w:tr>
      <w:tr w:rsidR="000915AB" w:rsidRPr="00E0378B" w14:paraId="3CFD8AF9" w14:textId="77777777" w:rsidTr="000915AB">
        <w:trPr>
          <w:trHeight w:val="871"/>
          <w:jc w:val="center"/>
        </w:trPr>
        <w:tc>
          <w:tcPr>
            <w:tcW w:w="3247" w:type="dxa"/>
          </w:tcPr>
          <w:p w14:paraId="24EA5BED" w14:textId="73218EE2"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Wong</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19]</w:t>
            </w:r>
          </w:p>
        </w:tc>
        <w:tc>
          <w:tcPr>
            <w:tcW w:w="1418" w:type="dxa"/>
          </w:tcPr>
          <w:p w14:paraId="4DD548BF"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31.1</w:t>
            </w:r>
          </w:p>
        </w:tc>
        <w:tc>
          <w:tcPr>
            <w:tcW w:w="1701" w:type="dxa"/>
          </w:tcPr>
          <w:p w14:paraId="0A54A354"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35.4</w:t>
            </w:r>
          </w:p>
        </w:tc>
        <w:tc>
          <w:tcPr>
            <w:tcW w:w="1842" w:type="dxa"/>
          </w:tcPr>
          <w:p w14:paraId="6C0A7C1E"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17.3</w:t>
            </w:r>
          </w:p>
        </w:tc>
        <w:tc>
          <w:tcPr>
            <w:tcW w:w="1843" w:type="dxa"/>
          </w:tcPr>
          <w:p w14:paraId="69488A59"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12.1</w:t>
            </w:r>
          </w:p>
        </w:tc>
        <w:tc>
          <w:tcPr>
            <w:tcW w:w="1843" w:type="dxa"/>
          </w:tcPr>
          <w:p w14:paraId="1EF0777D" w14:textId="75F3E8C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55.2</w:t>
            </w:r>
          </w:p>
        </w:tc>
        <w:tc>
          <w:tcPr>
            <w:tcW w:w="1134" w:type="dxa"/>
          </w:tcPr>
          <w:p w14:paraId="0A24B341"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48.1</w:t>
            </w:r>
          </w:p>
        </w:tc>
      </w:tr>
      <w:tr w:rsidR="000915AB" w:rsidRPr="00E0378B" w14:paraId="2B37E7F2" w14:textId="77777777" w:rsidTr="000915AB">
        <w:trPr>
          <w:trHeight w:val="833"/>
          <w:jc w:val="center"/>
        </w:trPr>
        <w:tc>
          <w:tcPr>
            <w:tcW w:w="3247" w:type="dxa"/>
          </w:tcPr>
          <w:p w14:paraId="65C93B6F" w14:textId="5782803F"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Fengler</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20]</w:t>
            </w:r>
          </w:p>
        </w:tc>
        <w:tc>
          <w:tcPr>
            <w:tcW w:w="1418" w:type="dxa"/>
          </w:tcPr>
          <w:p w14:paraId="73FA0E60"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96.6</w:t>
            </w:r>
          </w:p>
        </w:tc>
        <w:tc>
          <w:tcPr>
            <w:tcW w:w="1701" w:type="dxa"/>
          </w:tcPr>
          <w:p w14:paraId="5B067F25"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94.1</w:t>
            </w:r>
          </w:p>
        </w:tc>
        <w:tc>
          <w:tcPr>
            <w:tcW w:w="1842" w:type="dxa"/>
          </w:tcPr>
          <w:p w14:paraId="23489B77"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0.7</w:t>
            </w:r>
          </w:p>
        </w:tc>
        <w:tc>
          <w:tcPr>
            <w:tcW w:w="1843" w:type="dxa"/>
          </w:tcPr>
          <w:p w14:paraId="3380E2B9"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1.6</w:t>
            </w:r>
          </w:p>
        </w:tc>
        <w:tc>
          <w:tcPr>
            <w:tcW w:w="1843" w:type="dxa"/>
          </w:tcPr>
          <w:p w14:paraId="72869969" w14:textId="2936218A"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52</w:t>
            </w:r>
          </w:p>
        </w:tc>
        <w:tc>
          <w:tcPr>
            <w:tcW w:w="1134" w:type="dxa"/>
          </w:tcPr>
          <w:p w14:paraId="30B858EA"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48</w:t>
            </w:r>
          </w:p>
        </w:tc>
      </w:tr>
      <w:tr w:rsidR="000915AB" w:rsidRPr="00E0378B" w14:paraId="60B87105" w14:textId="77777777" w:rsidTr="00CF5A1D">
        <w:trPr>
          <w:trHeight w:val="495"/>
          <w:jc w:val="center"/>
        </w:trPr>
        <w:tc>
          <w:tcPr>
            <w:tcW w:w="3247" w:type="dxa"/>
          </w:tcPr>
          <w:p w14:paraId="1AC9E7B6" w14:textId="0D4C601D"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Gimenez</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21]</w:t>
            </w:r>
          </w:p>
        </w:tc>
        <w:tc>
          <w:tcPr>
            <w:tcW w:w="1418" w:type="dxa"/>
          </w:tcPr>
          <w:p w14:paraId="4ECAFED1"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100</w:t>
            </w:r>
          </w:p>
        </w:tc>
        <w:tc>
          <w:tcPr>
            <w:tcW w:w="1701" w:type="dxa"/>
          </w:tcPr>
          <w:p w14:paraId="5C9E7FA0"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100</w:t>
            </w:r>
          </w:p>
        </w:tc>
        <w:tc>
          <w:tcPr>
            <w:tcW w:w="1842" w:type="dxa"/>
          </w:tcPr>
          <w:p w14:paraId="479305F3"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w:t>
            </w:r>
          </w:p>
        </w:tc>
        <w:tc>
          <w:tcPr>
            <w:tcW w:w="1843" w:type="dxa"/>
          </w:tcPr>
          <w:p w14:paraId="6E581989"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w:t>
            </w:r>
          </w:p>
        </w:tc>
        <w:tc>
          <w:tcPr>
            <w:tcW w:w="1843" w:type="dxa"/>
          </w:tcPr>
          <w:p w14:paraId="44D889F1"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28.6</w:t>
            </w:r>
          </w:p>
        </w:tc>
        <w:tc>
          <w:tcPr>
            <w:tcW w:w="1134" w:type="dxa"/>
          </w:tcPr>
          <w:p w14:paraId="4230AF0E"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27.2</w:t>
            </w:r>
          </w:p>
        </w:tc>
      </w:tr>
    </w:tbl>
    <w:p w14:paraId="37938649" w14:textId="6BAB3CB2" w:rsidR="007624E7" w:rsidRPr="00E0378B" w:rsidRDefault="000E3549" w:rsidP="00E0378B">
      <w:pPr>
        <w:autoSpaceDE w:val="0"/>
        <w:autoSpaceDN w:val="0"/>
        <w:adjustRightInd w:val="0"/>
        <w:snapToGrid w:val="0"/>
        <w:spacing w:line="360" w:lineRule="auto"/>
        <w:jc w:val="both"/>
        <w:rPr>
          <w:rFonts w:ascii="Book Antiqua" w:eastAsia="SimSun" w:hAnsi="Book Antiqua" w:cs="Book Antiqua"/>
          <w:color w:val="000000"/>
          <w:shd w:val="clear" w:color="auto" w:fill="FFFFFF"/>
          <w:lang w:eastAsia="zh-CN"/>
        </w:rPr>
      </w:pPr>
      <w:r w:rsidRPr="00E0378B">
        <w:rPr>
          <w:rFonts w:ascii="Book Antiqua" w:eastAsia="SimSun" w:hAnsi="Book Antiqua" w:cs="Book Antiqua"/>
          <w:color w:val="000000"/>
          <w:shd w:val="clear" w:color="auto" w:fill="FFFFFF"/>
          <w:lang w:eastAsia="zh-CN"/>
        </w:rPr>
        <w:t>NA:</w:t>
      </w:r>
      <w:r w:rsidR="005379C5" w:rsidRPr="00E0378B">
        <w:rPr>
          <w:rFonts w:ascii="Book Antiqua" w:eastAsia="SimSun" w:hAnsi="Book Antiqua" w:cs="Book Antiqua"/>
          <w:color w:val="000000"/>
          <w:shd w:val="clear" w:color="auto" w:fill="FFFFFF"/>
          <w:lang w:eastAsia="zh-CN"/>
        </w:rPr>
        <w:t xml:space="preserve"> </w:t>
      </w:r>
      <w:r w:rsidRPr="00E0378B">
        <w:rPr>
          <w:rFonts w:ascii="Book Antiqua" w:eastAsia="SimSun" w:hAnsi="Book Antiqua" w:cs="Book Antiqua"/>
          <w:color w:val="000000"/>
          <w:shd w:val="clear" w:color="auto" w:fill="FFFFFF"/>
          <w:lang w:eastAsia="zh-CN"/>
        </w:rPr>
        <w:t>Not</w:t>
      </w:r>
      <w:r w:rsidR="005379C5" w:rsidRPr="00E0378B">
        <w:rPr>
          <w:rFonts w:ascii="Book Antiqua" w:eastAsia="SimSun" w:hAnsi="Book Antiqua" w:cs="Book Antiqua"/>
          <w:color w:val="000000"/>
          <w:shd w:val="clear" w:color="auto" w:fill="FFFFFF"/>
          <w:lang w:eastAsia="zh-CN"/>
        </w:rPr>
        <w:t xml:space="preserve"> </w:t>
      </w:r>
      <w:r w:rsidRPr="00E0378B">
        <w:rPr>
          <w:rFonts w:ascii="Book Antiqua" w:eastAsia="SimSun" w:hAnsi="Book Antiqua" w:cs="Book Antiqua"/>
          <w:color w:val="000000"/>
          <w:shd w:val="clear" w:color="auto" w:fill="FFFFFF"/>
          <w:lang w:eastAsia="zh-CN"/>
        </w:rPr>
        <w:t>available.</w:t>
      </w:r>
    </w:p>
    <w:sectPr w:rsidR="007624E7" w:rsidRPr="00E0378B" w:rsidSect="000E354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0CFBF" w14:textId="77777777" w:rsidR="007B02D5" w:rsidRDefault="007B02D5" w:rsidP="008542F1">
      <w:r>
        <w:separator/>
      </w:r>
    </w:p>
  </w:endnote>
  <w:endnote w:type="continuationSeparator" w:id="0">
    <w:p w14:paraId="61CF804B" w14:textId="77777777" w:rsidR="007B02D5" w:rsidRDefault="007B02D5" w:rsidP="0085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649232"/>
      <w:docPartObj>
        <w:docPartGallery w:val="Page Numbers (Bottom of Page)"/>
        <w:docPartUnique/>
      </w:docPartObj>
    </w:sdtPr>
    <w:sdtEndPr/>
    <w:sdtContent>
      <w:sdt>
        <w:sdtPr>
          <w:id w:val="-1705238520"/>
          <w:docPartObj>
            <w:docPartGallery w:val="Page Numbers (Top of Page)"/>
            <w:docPartUnique/>
          </w:docPartObj>
        </w:sdtPr>
        <w:sdtEndPr/>
        <w:sdtContent>
          <w:p w14:paraId="58412BDD" w14:textId="4AC09552" w:rsidR="008542F1" w:rsidRDefault="008542F1" w:rsidP="008542F1">
            <w:pPr>
              <w:pStyle w:val="Footer"/>
              <w:jc w:val="right"/>
            </w:pPr>
            <w:r w:rsidRPr="008542F1">
              <w:rPr>
                <w:rFonts w:ascii="Book Antiqua" w:hAnsi="Book Antiqua"/>
                <w:sz w:val="24"/>
                <w:szCs w:val="24"/>
                <w:lang w:val="zh-CN" w:eastAsia="zh-CN"/>
              </w:rPr>
              <w:t xml:space="preserve"> </w:t>
            </w:r>
            <w:r w:rsidRPr="008542F1">
              <w:rPr>
                <w:rFonts w:ascii="Book Antiqua" w:hAnsi="Book Antiqua"/>
                <w:b/>
                <w:bCs/>
                <w:sz w:val="24"/>
                <w:szCs w:val="24"/>
              </w:rPr>
              <w:fldChar w:fldCharType="begin"/>
            </w:r>
            <w:r w:rsidRPr="008542F1">
              <w:rPr>
                <w:rFonts w:ascii="Book Antiqua" w:hAnsi="Book Antiqua"/>
                <w:b/>
                <w:bCs/>
                <w:sz w:val="24"/>
                <w:szCs w:val="24"/>
              </w:rPr>
              <w:instrText>PAGE</w:instrText>
            </w:r>
            <w:r w:rsidRPr="008542F1">
              <w:rPr>
                <w:rFonts w:ascii="Book Antiqua" w:hAnsi="Book Antiqua"/>
                <w:b/>
                <w:bCs/>
                <w:sz w:val="24"/>
                <w:szCs w:val="24"/>
              </w:rPr>
              <w:fldChar w:fldCharType="separate"/>
            </w:r>
            <w:r w:rsidRPr="008542F1">
              <w:rPr>
                <w:rFonts w:ascii="Book Antiqua" w:hAnsi="Book Antiqua"/>
                <w:b/>
                <w:bCs/>
                <w:sz w:val="24"/>
                <w:szCs w:val="24"/>
                <w:lang w:val="zh-CN" w:eastAsia="zh-CN"/>
              </w:rPr>
              <w:t>2</w:t>
            </w:r>
            <w:r w:rsidRPr="008542F1">
              <w:rPr>
                <w:rFonts w:ascii="Book Antiqua" w:hAnsi="Book Antiqua"/>
                <w:b/>
                <w:bCs/>
                <w:sz w:val="24"/>
                <w:szCs w:val="24"/>
              </w:rPr>
              <w:fldChar w:fldCharType="end"/>
            </w:r>
            <w:r w:rsidRPr="008542F1">
              <w:rPr>
                <w:rFonts w:ascii="Book Antiqua" w:hAnsi="Book Antiqua"/>
                <w:sz w:val="24"/>
                <w:szCs w:val="24"/>
                <w:lang w:val="zh-CN" w:eastAsia="zh-CN"/>
              </w:rPr>
              <w:t xml:space="preserve"> / </w:t>
            </w:r>
            <w:r w:rsidRPr="008542F1">
              <w:rPr>
                <w:rFonts w:ascii="Book Antiqua" w:hAnsi="Book Antiqua"/>
                <w:b/>
                <w:bCs/>
                <w:sz w:val="24"/>
                <w:szCs w:val="24"/>
              </w:rPr>
              <w:fldChar w:fldCharType="begin"/>
            </w:r>
            <w:r w:rsidRPr="008542F1">
              <w:rPr>
                <w:rFonts w:ascii="Book Antiqua" w:hAnsi="Book Antiqua"/>
                <w:b/>
                <w:bCs/>
                <w:sz w:val="24"/>
                <w:szCs w:val="24"/>
              </w:rPr>
              <w:instrText>NUMPAGES</w:instrText>
            </w:r>
            <w:r w:rsidRPr="008542F1">
              <w:rPr>
                <w:rFonts w:ascii="Book Antiqua" w:hAnsi="Book Antiqua"/>
                <w:b/>
                <w:bCs/>
                <w:sz w:val="24"/>
                <w:szCs w:val="24"/>
              </w:rPr>
              <w:fldChar w:fldCharType="separate"/>
            </w:r>
            <w:r w:rsidRPr="008542F1">
              <w:rPr>
                <w:rFonts w:ascii="Book Antiqua" w:hAnsi="Book Antiqua"/>
                <w:b/>
                <w:bCs/>
                <w:sz w:val="24"/>
                <w:szCs w:val="24"/>
                <w:lang w:val="zh-CN" w:eastAsia="zh-CN"/>
              </w:rPr>
              <w:t>2</w:t>
            </w:r>
            <w:r w:rsidRPr="008542F1">
              <w:rPr>
                <w:rFonts w:ascii="Book Antiqua" w:hAnsi="Book Antiqua"/>
                <w:b/>
                <w:bCs/>
                <w:sz w:val="24"/>
                <w:szCs w:val="24"/>
              </w:rPr>
              <w:fldChar w:fldCharType="end"/>
            </w:r>
          </w:p>
        </w:sdtContent>
      </w:sdt>
    </w:sdtContent>
  </w:sdt>
  <w:p w14:paraId="07C4492D" w14:textId="77777777" w:rsidR="008542F1" w:rsidRDefault="00854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92FA4" w14:textId="77777777" w:rsidR="007B02D5" w:rsidRDefault="007B02D5" w:rsidP="008542F1">
      <w:r>
        <w:separator/>
      </w:r>
    </w:p>
  </w:footnote>
  <w:footnote w:type="continuationSeparator" w:id="0">
    <w:p w14:paraId="48333473" w14:textId="77777777" w:rsidR="007B02D5" w:rsidRDefault="007B02D5" w:rsidP="00854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bordersDoNotSurroundHeader/>
  <w:bordersDoNotSurroundFooter/>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15AB"/>
    <w:rsid w:val="000E3549"/>
    <w:rsid w:val="001F1465"/>
    <w:rsid w:val="0027177E"/>
    <w:rsid w:val="003F4D5F"/>
    <w:rsid w:val="005379C5"/>
    <w:rsid w:val="005D485D"/>
    <w:rsid w:val="005D625E"/>
    <w:rsid w:val="005F07FC"/>
    <w:rsid w:val="00605376"/>
    <w:rsid w:val="00702BDE"/>
    <w:rsid w:val="00737683"/>
    <w:rsid w:val="007624E7"/>
    <w:rsid w:val="007A4562"/>
    <w:rsid w:val="007B02D5"/>
    <w:rsid w:val="008542F1"/>
    <w:rsid w:val="008807D7"/>
    <w:rsid w:val="00921874"/>
    <w:rsid w:val="00971D82"/>
    <w:rsid w:val="00977E84"/>
    <w:rsid w:val="009E0BA8"/>
    <w:rsid w:val="00A01440"/>
    <w:rsid w:val="00A77B3E"/>
    <w:rsid w:val="00AD7FFA"/>
    <w:rsid w:val="00B24F37"/>
    <w:rsid w:val="00B911AE"/>
    <w:rsid w:val="00CA2A55"/>
    <w:rsid w:val="00CF5A1D"/>
    <w:rsid w:val="00D63EED"/>
    <w:rsid w:val="00DE63FC"/>
    <w:rsid w:val="00E0378B"/>
    <w:rsid w:val="00FC11B7"/>
    <w:rsid w:val="00FF35F5"/>
    <w:rsid w:val="06291087"/>
    <w:rsid w:val="16E2386C"/>
    <w:rsid w:val="18626A08"/>
    <w:rsid w:val="357A1F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10DEB"/>
  <w15:docId w15:val="{F5E23D90-6254-4259-A1F4-1F8E71A5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D7FFA"/>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E3549"/>
    <w:rPr>
      <w:sz w:val="21"/>
      <w:szCs w:val="21"/>
    </w:rPr>
  </w:style>
  <w:style w:type="paragraph" w:styleId="CommentText">
    <w:name w:val="annotation text"/>
    <w:basedOn w:val="Normal"/>
    <w:link w:val="CommentTextChar"/>
    <w:rsid w:val="000E3549"/>
  </w:style>
  <w:style w:type="character" w:customStyle="1" w:styleId="CommentTextChar">
    <w:name w:val="Comment Text Char"/>
    <w:basedOn w:val="DefaultParagraphFont"/>
    <w:link w:val="CommentText"/>
    <w:rsid w:val="000E3549"/>
    <w:rPr>
      <w:rFonts w:eastAsia="Times New Roman"/>
      <w:sz w:val="24"/>
      <w:szCs w:val="24"/>
      <w:lang w:eastAsia="en-US"/>
    </w:rPr>
  </w:style>
  <w:style w:type="paragraph" w:styleId="CommentSubject">
    <w:name w:val="annotation subject"/>
    <w:basedOn w:val="CommentText"/>
    <w:next w:val="CommentText"/>
    <w:link w:val="CommentSubjectChar"/>
    <w:rsid w:val="000E3549"/>
    <w:rPr>
      <w:b/>
      <w:bCs/>
    </w:rPr>
  </w:style>
  <w:style w:type="character" w:customStyle="1" w:styleId="CommentSubjectChar">
    <w:name w:val="Comment Subject Char"/>
    <w:basedOn w:val="CommentTextChar"/>
    <w:link w:val="CommentSubject"/>
    <w:rsid w:val="000E3549"/>
    <w:rPr>
      <w:rFonts w:eastAsia="Times New Roman"/>
      <w:b/>
      <w:bCs/>
      <w:sz w:val="24"/>
      <w:szCs w:val="24"/>
      <w:lang w:eastAsia="en-US"/>
    </w:rPr>
  </w:style>
  <w:style w:type="paragraph" w:styleId="NormalWeb">
    <w:name w:val="Normal (Web)"/>
    <w:basedOn w:val="Normal"/>
    <w:uiPriority w:val="99"/>
    <w:unhideWhenUsed/>
    <w:rsid w:val="005379C5"/>
    <w:pPr>
      <w:spacing w:before="100" w:beforeAutospacing="1" w:after="100" w:afterAutospacing="1"/>
    </w:pPr>
    <w:rPr>
      <w:rFonts w:ascii="SimSun" w:eastAsia="SimSun" w:hAnsi="SimSun" w:cs="SimSun"/>
      <w:lang w:eastAsia="zh-CN"/>
    </w:rPr>
  </w:style>
  <w:style w:type="paragraph" w:styleId="Header">
    <w:name w:val="header"/>
    <w:basedOn w:val="Normal"/>
    <w:link w:val="HeaderChar"/>
    <w:rsid w:val="008542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542F1"/>
    <w:rPr>
      <w:rFonts w:eastAsia="Times New Roman"/>
      <w:sz w:val="18"/>
      <w:szCs w:val="18"/>
      <w:lang w:eastAsia="en-US"/>
    </w:rPr>
  </w:style>
  <w:style w:type="paragraph" w:styleId="Footer">
    <w:name w:val="footer"/>
    <w:basedOn w:val="Normal"/>
    <w:link w:val="FooterChar"/>
    <w:uiPriority w:val="99"/>
    <w:rsid w:val="008542F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542F1"/>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796463">
      <w:bodyDiv w:val="1"/>
      <w:marLeft w:val="0"/>
      <w:marRight w:val="0"/>
      <w:marTop w:val="0"/>
      <w:marBottom w:val="0"/>
      <w:divBdr>
        <w:top w:val="none" w:sz="0" w:space="0" w:color="auto"/>
        <w:left w:val="none" w:sz="0" w:space="0" w:color="auto"/>
        <w:bottom w:val="none" w:sz="0" w:space="0" w:color="auto"/>
        <w:right w:val="none" w:sz="0" w:space="0" w:color="auto"/>
      </w:divBdr>
    </w:div>
    <w:div w:id="203719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3957</Words>
  <Characters>22557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manman</dc:creator>
  <cp:lastModifiedBy>Donna Fox</cp:lastModifiedBy>
  <cp:revision>2</cp:revision>
  <dcterms:created xsi:type="dcterms:W3CDTF">2021-05-31T00:58:00Z</dcterms:created>
  <dcterms:modified xsi:type="dcterms:W3CDTF">2021-05-31T00:58:00Z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