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0751" w14:textId="77777777" w:rsidR="00A77B3E" w:rsidRDefault="005D0E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45E92AE" w14:textId="77777777" w:rsidR="00A77B3E" w:rsidRDefault="005D0E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65660</w:t>
      </w:r>
    </w:p>
    <w:p w14:paraId="2B2DF866" w14:textId="77777777" w:rsidR="00A77B3E" w:rsidRDefault="005D0E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1D9F3D12" w14:textId="77777777" w:rsidR="00A77B3E" w:rsidRDefault="00A77B3E">
      <w:pPr>
        <w:spacing w:line="360" w:lineRule="auto"/>
        <w:jc w:val="both"/>
      </w:pPr>
    </w:p>
    <w:p w14:paraId="00F6911E" w14:textId="77777777" w:rsidR="00A77B3E" w:rsidRPr="00075D8D" w:rsidRDefault="005D0E0B">
      <w:pPr>
        <w:spacing w:line="360" w:lineRule="auto"/>
        <w:jc w:val="both"/>
        <w:rPr>
          <w:lang w:eastAsia="zh-CN"/>
        </w:rPr>
      </w:pPr>
      <w:r>
        <w:rPr>
          <w:rFonts w:ascii="Book Antiqua" w:eastAsia="Book Antiqua" w:hAnsi="Book Antiqua" w:cs="Book Antiqua"/>
          <w:b/>
          <w:color w:val="000000"/>
        </w:rPr>
        <w:t xml:space="preserve">Biomarkers for gastrointestinal adverse events related to </w:t>
      </w:r>
      <w:proofErr w:type="spellStart"/>
      <w:r>
        <w:rPr>
          <w:rFonts w:ascii="Book Antiqua" w:eastAsia="Book Antiqua" w:hAnsi="Book Antiqua" w:cs="Book Antiqua"/>
          <w:b/>
          <w:color w:val="000000"/>
        </w:rPr>
        <w:t>thiopurine</w:t>
      </w:r>
      <w:proofErr w:type="spellEnd"/>
      <w:r>
        <w:rPr>
          <w:rFonts w:ascii="Book Antiqua" w:eastAsia="Book Antiqua" w:hAnsi="Book Antiqua" w:cs="Book Antiqua"/>
          <w:b/>
          <w:color w:val="000000"/>
        </w:rPr>
        <w:t xml:space="preserve"> therapy</w:t>
      </w:r>
    </w:p>
    <w:p w14:paraId="0E29DA82" w14:textId="77777777" w:rsidR="00A77B3E" w:rsidRDefault="00A77B3E">
      <w:pPr>
        <w:spacing w:line="360" w:lineRule="auto"/>
        <w:jc w:val="both"/>
      </w:pPr>
    </w:p>
    <w:p w14:paraId="76B05FF4" w14:textId="77777777" w:rsidR="00A77B3E" w:rsidRPr="00075D8D" w:rsidRDefault="00075D8D">
      <w:pPr>
        <w:spacing w:line="360" w:lineRule="auto"/>
        <w:jc w:val="both"/>
        <w:rPr>
          <w:lang w:eastAsia="zh-CN"/>
        </w:rPr>
      </w:pPr>
      <w:proofErr w:type="spellStart"/>
      <w:r>
        <w:rPr>
          <w:rFonts w:ascii="Book Antiqua" w:eastAsia="Book Antiqua" w:hAnsi="Book Antiqua" w:cs="Book Antiqua"/>
          <w:color w:val="000000"/>
        </w:rPr>
        <w:t>Zudeh</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075D8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D0E0B">
        <w:rPr>
          <w:rFonts w:ascii="Book Antiqua" w:eastAsia="Book Antiqua" w:hAnsi="Book Antiqua" w:cs="Book Antiqua"/>
          <w:color w:val="000000"/>
        </w:rPr>
        <w:t xml:space="preserve">Biomarkers for </w:t>
      </w:r>
      <w:proofErr w:type="spellStart"/>
      <w:r w:rsidR="005D0E0B">
        <w:rPr>
          <w:rFonts w:ascii="Book Antiqua" w:eastAsia="Book Antiqua" w:hAnsi="Book Antiqua" w:cs="Book Antiqua"/>
          <w:color w:val="000000"/>
        </w:rPr>
        <w:t>thiopurine</w:t>
      </w:r>
      <w:proofErr w:type="spellEnd"/>
      <w:r w:rsidR="005D0E0B">
        <w:rPr>
          <w:rFonts w:ascii="Book Antiqua" w:eastAsia="Book Antiqua" w:hAnsi="Book Antiqua" w:cs="Book Antiqua"/>
          <w:color w:val="000000"/>
        </w:rPr>
        <w:t xml:space="preserve"> gastrointestinal adverse events</w:t>
      </w:r>
    </w:p>
    <w:p w14:paraId="675DF7DB" w14:textId="77777777" w:rsidR="00A77B3E" w:rsidRDefault="00A77B3E">
      <w:pPr>
        <w:spacing w:line="360" w:lineRule="auto"/>
        <w:jc w:val="both"/>
      </w:pPr>
    </w:p>
    <w:p w14:paraId="1AFA777C" w14:textId="77777777" w:rsidR="00A77B3E" w:rsidRPr="00854F3E" w:rsidRDefault="005D0E0B">
      <w:pPr>
        <w:spacing w:line="360" w:lineRule="auto"/>
        <w:jc w:val="both"/>
      </w:pPr>
      <w:r w:rsidRPr="00854F3E">
        <w:rPr>
          <w:rFonts w:ascii="Book Antiqua" w:eastAsia="Book Antiqua" w:hAnsi="Book Antiqua" w:cs="Book Antiqua"/>
          <w:color w:val="000000"/>
        </w:rPr>
        <w:t xml:space="preserve">Giulia </w:t>
      </w:r>
      <w:proofErr w:type="spellStart"/>
      <w:r w:rsidRPr="00854F3E">
        <w:rPr>
          <w:rFonts w:ascii="Book Antiqua" w:eastAsia="Book Antiqua" w:hAnsi="Book Antiqua" w:cs="Book Antiqua"/>
          <w:color w:val="000000"/>
        </w:rPr>
        <w:t>Zudeh</w:t>
      </w:r>
      <w:proofErr w:type="spellEnd"/>
      <w:r w:rsidRPr="00854F3E">
        <w:rPr>
          <w:rFonts w:ascii="Book Antiqua" w:eastAsia="Book Antiqua" w:hAnsi="Book Antiqua" w:cs="Book Antiqua"/>
          <w:color w:val="000000"/>
        </w:rPr>
        <w:t xml:space="preserve">, </w:t>
      </w:r>
      <w:proofErr w:type="spellStart"/>
      <w:r w:rsidRPr="00854F3E">
        <w:rPr>
          <w:rFonts w:ascii="Book Antiqua" w:eastAsia="Book Antiqua" w:hAnsi="Book Antiqua" w:cs="Book Antiqua"/>
          <w:color w:val="000000"/>
        </w:rPr>
        <w:t>Raffaella</w:t>
      </w:r>
      <w:proofErr w:type="spellEnd"/>
      <w:r w:rsidRPr="00854F3E">
        <w:rPr>
          <w:rFonts w:ascii="Book Antiqua" w:eastAsia="Book Antiqua" w:hAnsi="Book Antiqua" w:cs="Book Antiqua"/>
          <w:color w:val="000000"/>
        </w:rPr>
        <w:t xml:space="preserve"> Franca, Gabriele </w:t>
      </w:r>
      <w:proofErr w:type="spellStart"/>
      <w:r w:rsidRPr="00854F3E">
        <w:rPr>
          <w:rFonts w:ascii="Book Antiqua" w:eastAsia="Book Antiqua" w:hAnsi="Book Antiqua" w:cs="Book Antiqua"/>
          <w:color w:val="000000"/>
        </w:rPr>
        <w:t>Stocco</w:t>
      </w:r>
      <w:proofErr w:type="spellEnd"/>
      <w:r w:rsidRPr="00854F3E">
        <w:rPr>
          <w:rFonts w:ascii="Book Antiqua" w:eastAsia="Book Antiqua" w:hAnsi="Book Antiqua" w:cs="Book Antiqua"/>
          <w:color w:val="000000"/>
        </w:rPr>
        <w:t xml:space="preserve">, Giuliana </w:t>
      </w:r>
      <w:proofErr w:type="spellStart"/>
      <w:r w:rsidRPr="00854F3E">
        <w:rPr>
          <w:rFonts w:ascii="Book Antiqua" w:eastAsia="Book Antiqua" w:hAnsi="Book Antiqua" w:cs="Book Antiqua"/>
          <w:color w:val="000000"/>
        </w:rPr>
        <w:t>Decorti</w:t>
      </w:r>
      <w:proofErr w:type="spellEnd"/>
    </w:p>
    <w:p w14:paraId="15C68B3E" w14:textId="77777777" w:rsidR="00A77B3E" w:rsidRPr="00854F3E" w:rsidRDefault="00A77B3E">
      <w:pPr>
        <w:spacing w:line="360" w:lineRule="auto"/>
        <w:jc w:val="both"/>
      </w:pPr>
    </w:p>
    <w:p w14:paraId="7CD89007" w14:textId="6C322D3D" w:rsidR="00A77B3E" w:rsidRDefault="005D0E0B">
      <w:pPr>
        <w:spacing w:line="360" w:lineRule="auto"/>
        <w:jc w:val="both"/>
      </w:pPr>
      <w:r>
        <w:rPr>
          <w:rFonts w:ascii="Book Antiqua" w:eastAsia="Book Antiqua" w:hAnsi="Book Antiqua" w:cs="Book Antiqua"/>
          <w:b/>
          <w:bCs/>
          <w:color w:val="000000"/>
        </w:rPr>
        <w:t xml:space="preserve">Giulia </w:t>
      </w:r>
      <w:proofErr w:type="spellStart"/>
      <w:r>
        <w:rPr>
          <w:rFonts w:ascii="Book Antiqua" w:eastAsia="Book Antiqua" w:hAnsi="Book Antiqua" w:cs="Book Antiqua"/>
          <w:b/>
          <w:bCs/>
          <w:color w:val="000000"/>
        </w:rPr>
        <w:t>Zudeh</w:t>
      </w:r>
      <w:proofErr w:type="spellEnd"/>
      <w:r>
        <w:rPr>
          <w:rFonts w:ascii="Book Antiqua" w:eastAsia="Book Antiqua" w:hAnsi="Book Antiqua" w:cs="Book Antiqua"/>
          <w:b/>
          <w:bCs/>
          <w:color w:val="000000"/>
        </w:rPr>
        <w:t xml:space="preserve">, Gabriele </w:t>
      </w:r>
      <w:proofErr w:type="spellStart"/>
      <w:r>
        <w:rPr>
          <w:rFonts w:ascii="Book Antiqua" w:eastAsia="Book Antiqua" w:hAnsi="Book Antiqua" w:cs="Book Antiqua"/>
          <w:b/>
          <w:bCs/>
          <w:color w:val="000000"/>
        </w:rPr>
        <w:t>Stocco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Life Sciences, University of Trieste, Trieste </w:t>
      </w:r>
      <w:r w:rsidR="00183A58">
        <w:rPr>
          <w:rFonts w:ascii="Book Antiqua" w:eastAsia="Book Antiqua" w:hAnsi="Book Antiqua" w:cs="Book Antiqua"/>
          <w:color w:val="000000"/>
        </w:rPr>
        <w:t>34127</w:t>
      </w:r>
      <w:r>
        <w:rPr>
          <w:rFonts w:ascii="Book Antiqua" w:eastAsia="Book Antiqua" w:hAnsi="Book Antiqua" w:cs="Book Antiqua"/>
          <w:color w:val="000000"/>
        </w:rPr>
        <w:t>, Italy</w:t>
      </w:r>
    </w:p>
    <w:p w14:paraId="1B1A59D3" w14:textId="77777777" w:rsidR="00A77B3E" w:rsidRDefault="00A77B3E">
      <w:pPr>
        <w:spacing w:line="360" w:lineRule="auto"/>
        <w:jc w:val="both"/>
      </w:pPr>
    </w:p>
    <w:p w14:paraId="5CF4C21A" w14:textId="77777777" w:rsidR="00A77B3E" w:rsidRDefault="005D0E0B">
      <w:pPr>
        <w:spacing w:line="360" w:lineRule="auto"/>
        <w:jc w:val="both"/>
      </w:pPr>
      <w:proofErr w:type="spellStart"/>
      <w:r>
        <w:rPr>
          <w:rFonts w:ascii="Book Antiqua" w:eastAsia="Book Antiqua" w:hAnsi="Book Antiqua" w:cs="Book Antiqua"/>
          <w:b/>
          <w:bCs/>
          <w:color w:val="000000"/>
        </w:rPr>
        <w:t>Raffaella</w:t>
      </w:r>
      <w:proofErr w:type="spellEnd"/>
      <w:r>
        <w:rPr>
          <w:rFonts w:ascii="Book Antiqua" w:eastAsia="Book Antiqua" w:hAnsi="Book Antiqua" w:cs="Book Antiqua"/>
          <w:b/>
          <w:bCs/>
          <w:color w:val="000000"/>
        </w:rPr>
        <w:t xml:space="preserve"> Franca, Giuliana </w:t>
      </w:r>
      <w:proofErr w:type="spellStart"/>
      <w:r>
        <w:rPr>
          <w:rFonts w:ascii="Book Antiqua" w:eastAsia="Book Antiqua" w:hAnsi="Book Antiqua" w:cs="Book Antiqua"/>
          <w:b/>
          <w:bCs/>
          <w:color w:val="000000"/>
        </w:rPr>
        <w:t>Decorti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Surgical and Health Sciences, University of Trieste, Trieste 34149, Italy</w:t>
      </w:r>
    </w:p>
    <w:p w14:paraId="34C7401B" w14:textId="77777777" w:rsidR="00A77B3E" w:rsidRDefault="00A77B3E">
      <w:pPr>
        <w:spacing w:line="360" w:lineRule="auto"/>
        <w:jc w:val="both"/>
      </w:pPr>
    </w:p>
    <w:p w14:paraId="5AF30B6C" w14:textId="1A7FE7A6" w:rsidR="00A77B3E" w:rsidRDefault="005D0E0B">
      <w:pPr>
        <w:spacing w:line="360" w:lineRule="auto"/>
        <w:jc w:val="both"/>
      </w:pPr>
      <w:r>
        <w:rPr>
          <w:rFonts w:ascii="Book Antiqua" w:eastAsia="Book Antiqua" w:hAnsi="Book Antiqua" w:cs="Book Antiqua"/>
          <w:b/>
          <w:bCs/>
          <w:color w:val="000000"/>
        </w:rPr>
        <w:t xml:space="preserve">Giuliana </w:t>
      </w:r>
      <w:proofErr w:type="spellStart"/>
      <w:r>
        <w:rPr>
          <w:rFonts w:ascii="Book Antiqua" w:eastAsia="Book Antiqua" w:hAnsi="Book Antiqua" w:cs="Book Antiqua"/>
          <w:b/>
          <w:bCs/>
          <w:color w:val="000000"/>
        </w:rPr>
        <w:t>Decorti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for Maternal and Child Health I.R.C.C.S </w:t>
      </w:r>
      <w:proofErr w:type="spellStart"/>
      <w:r>
        <w:rPr>
          <w:rFonts w:ascii="Book Antiqua" w:eastAsia="Book Antiqua" w:hAnsi="Book Antiqua" w:cs="Book Antiqua"/>
          <w:color w:val="000000"/>
        </w:rPr>
        <w:t>Burlo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Garofolo</w:t>
      </w:r>
      <w:proofErr w:type="spellEnd"/>
      <w:r>
        <w:rPr>
          <w:rFonts w:ascii="Book Antiqua" w:eastAsia="Book Antiqua" w:hAnsi="Book Antiqua" w:cs="Book Antiqua"/>
          <w:color w:val="000000"/>
        </w:rPr>
        <w:t xml:space="preserve">, Trieste </w:t>
      </w:r>
      <w:r w:rsidR="00183A58">
        <w:rPr>
          <w:rFonts w:ascii="Book Antiqua" w:eastAsia="Book Antiqua" w:hAnsi="Book Antiqua" w:cs="Book Antiqua"/>
          <w:color w:val="000000"/>
        </w:rPr>
        <w:t>34137</w:t>
      </w:r>
      <w:r>
        <w:rPr>
          <w:rFonts w:ascii="Book Antiqua" w:eastAsia="Book Antiqua" w:hAnsi="Book Antiqua" w:cs="Book Antiqua"/>
          <w:color w:val="000000"/>
        </w:rPr>
        <w:t>, Italy</w:t>
      </w:r>
    </w:p>
    <w:p w14:paraId="390A103E" w14:textId="77777777" w:rsidR="00A77B3E" w:rsidRDefault="00A77B3E">
      <w:pPr>
        <w:spacing w:line="360" w:lineRule="auto"/>
        <w:jc w:val="both"/>
      </w:pPr>
    </w:p>
    <w:p w14:paraId="521DE47A" w14:textId="574CC9C1" w:rsidR="00A77B3E" w:rsidRDefault="005D0E0B">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Zudeh</w:t>
      </w:r>
      <w:proofErr w:type="spellEnd"/>
      <w:r>
        <w:rPr>
          <w:rFonts w:ascii="Book Antiqua" w:eastAsia="Book Antiqua" w:hAnsi="Book Antiqua" w:cs="Book Antiqua"/>
          <w:color w:val="000000"/>
        </w:rPr>
        <w:t xml:space="preserve"> G and Franca R </w:t>
      </w:r>
      <w:r>
        <w:rPr>
          <w:rFonts w:ascii="Book Antiqua" w:eastAsia="Book Antiqua" w:hAnsi="Book Antiqua" w:cs="Book Antiqua"/>
          <w:color w:val="000000"/>
        </w:rPr>
        <w:t>wrote, revised</w:t>
      </w:r>
      <w:r w:rsidR="00086B5F">
        <w:rPr>
          <w:rFonts w:ascii="Book Antiqua" w:eastAsia="Book Antiqua" w:hAnsi="Book Antiqua" w:cs="Book Antiqua"/>
          <w:color w:val="000000"/>
        </w:rPr>
        <w:t>,</w:t>
      </w:r>
      <w:r>
        <w:rPr>
          <w:rFonts w:ascii="Book Antiqua" w:eastAsia="Book Antiqua" w:hAnsi="Book Antiqua" w:cs="Book Antiqua"/>
          <w:color w:val="000000"/>
        </w:rPr>
        <w:t xml:space="preserve"> and edited the manuscript;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G conceptualized, edited</w:t>
      </w:r>
      <w:r w:rsidR="00086B5F">
        <w:rPr>
          <w:rFonts w:ascii="Book Antiqua" w:eastAsia="Book Antiqua" w:hAnsi="Book Antiqua" w:cs="Book Antiqua"/>
          <w:color w:val="000000"/>
        </w:rPr>
        <w:t>,</w:t>
      </w:r>
      <w:r>
        <w:rPr>
          <w:rFonts w:ascii="Book Antiqua" w:eastAsia="Book Antiqua" w:hAnsi="Book Antiqua" w:cs="Book Antiqua"/>
          <w:color w:val="000000"/>
        </w:rPr>
        <w:t xml:space="preserve"> and revised the manuscript; </w:t>
      </w:r>
      <w:proofErr w:type="spellStart"/>
      <w:r>
        <w:rPr>
          <w:rFonts w:ascii="Book Antiqua" w:eastAsia="Book Antiqua" w:hAnsi="Book Antiqua" w:cs="Book Antiqua"/>
          <w:color w:val="000000"/>
        </w:rPr>
        <w:t>Decorti</w:t>
      </w:r>
      <w:proofErr w:type="spellEnd"/>
      <w:r>
        <w:rPr>
          <w:rFonts w:ascii="Book Antiqua" w:eastAsia="Book Antiqua" w:hAnsi="Book Antiqua" w:cs="Book Antiqua"/>
          <w:color w:val="000000"/>
        </w:rPr>
        <w:t xml:space="preserve"> G conceptualized, wrote, revised</w:t>
      </w:r>
      <w:r w:rsidR="00086B5F">
        <w:rPr>
          <w:rFonts w:ascii="Book Antiqua" w:eastAsia="Book Antiqua" w:hAnsi="Book Antiqua" w:cs="Book Antiqua"/>
          <w:color w:val="000000"/>
        </w:rPr>
        <w:t>,</w:t>
      </w:r>
      <w:r>
        <w:rPr>
          <w:rFonts w:ascii="Book Antiqua" w:eastAsia="Book Antiqua" w:hAnsi="Book Antiqua" w:cs="Book Antiqua"/>
          <w:color w:val="000000"/>
        </w:rPr>
        <w:t xml:space="preserve"> edited</w:t>
      </w:r>
      <w:r w:rsidR="00086B5F">
        <w:rPr>
          <w:rFonts w:ascii="Book Antiqua" w:eastAsia="Book Antiqua" w:hAnsi="Book Antiqua" w:cs="Book Antiqua"/>
          <w:color w:val="000000"/>
        </w:rPr>
        <w:t xml:space="preserve">, </w:t>
      </w:r>
      <w:r>
        <w:rPr>
          <w:rFonts w:ascii="Book Antiqua" w:eastAsia="Book Antiqua" w:hAnsi="Book Antiqua" w:cs="Book Antiqua"/>
          <w:color w:val="000000"/>
        </w:rPr>
        <w:t xml:space="preserve">and supervised the </w:t>
      </w:r>
      <w:r>
        <w:rPr>
          <w:rFonts w:ascii="Book Antiqua" w:eastAsia="Book Antiqua" w:hAnsi="Book Antiqua" w:cs="Book Antiqua"/>
          <w:color w:val="000000"/>
        </w:rPr>
        <w:t>manuscript; all authors read and approved the final manuscript.</w:t>
      </w:r>
    </w:p>
    <w:p w14:paraId="5FD300DF" w14:textId="77777777" w:rsidR="00A77B3E" w:rsidRDefault="00A77B3E">
      <w:pPr>
        <w:spacing w:line="360" w:lineRule="auto"/>
        <w:jc w:val="both"/>
      </w:pPr>
    </w:p>
    <w:p w14:paraId="2D07DF66" w14:textId="385712ED" w:rsidR="00A77B3E" w:rsidRDefault="005D0E0B">
      <w:pPr>
        <w:spacing w:line="360" w:lineRule="auto"/>
        <w:jc w:val="both"/>
      </w:pPr>
      <w:r>
        <w:rPr>
          <w:rFonts w:ascii="Book Antiqua" w:eastAsia="Book Antiqua" w:hAnsi="Book Antiqua" w:cs="Book Antiqua"/>
          <w:b/>
          <w:bCs/>
          <w:color w:val="000000"/>
        </w:rPr>
        <w:t xml:space="preserve">Corresponding author: Gabriele </w:t>
      </w:r>
      <w:proofErr w:type="spellStart"/>
      <w:r>
        <w:rPr>
          <w:rFonts w:ascii="Book Antiqua" w:eastAsia="Book Antiqua" w:hAnsi="Book Antiqua" w:cs="Book Antiqua"/>
          <w:b/>
          <w:bCs/>
          <w:color w:val="000000"/>
        </w:rPr>
        <w:t>Stocco</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 xml:space="preserve">Department of Life Sciences, University of Trieste, </w:t>
      </w:r>
      <w:r w:rsidRPr="00C72A13">
        <w:rPr>
          <w:rFonts w:ascii="Book Antiqua" w:eastAsia="Book Antiqua" w:hAnsi="Book Antiqua" w:cs="Book Antiqua"/>
          <w:color w:val="000000"/>
        </w:rPr>
        <w:t>via</w:t>
      </w:r>
      <w:r>
        <w:rPr>
          <w:rFonts w:ascii="Book Antiqua" w:eastAsia="Book Antiqua" w:hAnsi="Book Antiqua" w:cs="Book Antiqua"/>
          <w:color w:val="000000"/>
        </w:rPr>
        <w:t xml:space="preserve"> Fleming 22, Trieste </w:t>
      </w:r>
      <w:r w:rsidR="00455888">
        <w:rPr>
          <w:rFonts w:ascii="Book Antiqua" w:eastAsia="Book Antiqua" w:hAnsi="Book Antiqua" w:cs="Book Antiqua"/>
          <w:color w:val="000000"/>
        </w:rPr>
        <w:t>34127</w:t>
      </w:r>
      <w:r>
        <w:rPr>
          <w:rFonts w:ascii="Book Antiqua" w:eastAsia="Book Antiqua" w:hAnsi="Book Antiqua" w:cs="Book Antiqua"/>
          <w:color w:val="000000"/>
        </w:rPr>
        <w:t>, Italy. stoccog@units.it</w:t>
      </w:r>
    </w:p>
    <w:p w14:paraId="221212F0" w14:textId="77777777" w:rsidR="00A77B3E" w:rsidRDefault="00A77B3E">
      <w:pPr>
        <w:spacing w:line="360" w:lineRule="auto"/>
        <w:jc w:val="both"/>
      </w:pPr>
    </w:p>
    <w:p w14:paraId="2A6D5496" w14:textId="77777777" w:rsidR="00A77B3E" w:rsidRDefault="005D0E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3F52B856" w14:textId="77777777" w:rsidR="00A77B3E" w:rsidRDefault="005D0E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2021</w:t>
      </w:r>
    </w:p>
    <w:p w14:paraId="63769DC5" w14:textId="7B00B5C3" w:rsidR="00A77B3E" w:rsidRDefault="005D0E0B">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72A13">
        <w:rPr>
          <w:rFonts w:ascii="Book Antiqua" w:eastAsia="宋体" w:hAnsi="Book Antiqua" w:hint="eastAsia"/>
          <w:color w:val="000000" w:themeColor="text1"/>
        </w:rPr>
        <w:t>Se</w:t>
      </w:r>
      <w:r w:rsidR="00C72A13">
        <w:rPr>
          <w:rFonts w:ascii="Book Antiqua" w:eastAsia="宋体" w:hAnsi="Book Antiqua"/>
          <w:color w:val="000000" w:themeColor="text1"/>
        </w:rPr>
        <w:t>ptember</w:t>
      </w:r>
      <w:r w:rsidR="00C72A13" w:rsidRPr="00F06907">
        <w:rPr>
          <w:rFonts w:ascii="Book Antiqua" w:eastAsia="宋体" w:hAnsi="Book Antiqua"/>
          <w:color w:val="000000" w:themeColor="text1"/>
        </w:rPr>
        <w:t xml:space="preserve"> </w:t>
      </w:r>
      <w:r w:rsidR="00C72A13">
        <w:rPr>
          <w:rFonts w:ascii="Book Antiqua" w:eastAsia="宋体" w:hAnsi="Book Antiqua"/>
          <w:color w:val="000000" w:themeColor="text1"/>
        </w:rPr>
        <w:t>3</w:t>
      </w:r>
      <w:r w:rsidR="00C72A13" w:rsidRPr="00F06907">
        <w:rPr>
          <w:rFonts w:ascii="Book Antiqua" w:eastAsia="宋体" w:hAnsi="Book Antiqua"/>
          <w:color w:val="000000" w:themeColor="text1"/>
        </w:rPr>
        <w:t>, 2021</w:t>
      </w:r>
      <w:bookmarkEnd w:id="0"/>
      <w:bookmarkEnd w:id="1"/>
      <w:bookmarkEnd w:id="2"/>
    </w:p>
    <w:p w14:paraId="588F894C" w14:textId="77777777" w:rsidR="00A77B3E" w:rsidRDefault="005D0E0B">
      <w:pPr>
        <w:spacing w:line="360" w:lineRule="auto"/>
        <w:jc w:val="both"/>
      </w:pPr>
      <w:r>
        <w:rPr>
          <w:rFonts w:ascii="Book Antiqua" w:eastAsia="Book Antiqua" w:hAnsi="Book Antiqua" w:cs="Book Antiqua"/>
          <w:b/>
          <w:bCs/>
          <w:color w:val="000000"/>
        </w:rPr>
        <w:lastRenderedPageBreak/>
        <w:t xml:space="preserve">Published online: </w:t>
      </w:r>
    </w:p>
    <w:p w14:paraId="159316AF" w14:textId="77777777" w:rsidR="003463EE" w:rsidRDefault="003463EE">
      <w:pPr>
        <w:spacing w:line="360" w:lineRule="auto"/>
        <w:jc w:val="both"/>
        <w:rPr>
          <w:rFonts w:ascii="Book Antiqua" w:hAnsi="Book Antiqua" w:cs="Book Antiqua"/>
          <w:b/>
          <w:color w:val="000000"/>
          <w:lang w:eastAsia="zh-CN"/>
        </w:rPr>
      </w:pPr>
    </w:p>
    <w:p w14:paraId="46D9E488" w14:textId="77777777" w:rsidR="003463EE" w:rsidRDefault="003463EE">
      <w:pPr>
        <w:spacing w:line="360" w:lineRule="auto"/>
        <w:jc w:val="both"/>
        <w:rPr>
          <w:rFonts w:ascii="Book Antiqua" w:hAnsi="Book Antiqua" w:cs="Book Antiqua"/>
          <w:b/>
          <w:color w:val="000000"/>
          <w:lang w:eastAsia="zh-CN"/>
        </w:rPr>
      </w:pPr>
    </w:p>
    <w:p w14:paraId="30210EA6" w14:textId="77777777" w:rsidR="00A77B3E" w:rsidRDefault="005D0E0B">
      <w:pPr>
        <w:spacing w:line="360" w:lineRule="auto"/>
        <w:jc w:val="both"/>
      </w:pPr>
      <w:r>
        <w:rPr>
          <w:rFonts w:ascii="Book Antiqua" w:eastAsia="Book Antiqua" w:hAnsi="Book Antiqua" w:cs="Book Antiqua"/>
          <w:b/>
          <w:color w:val="000000"/>
        </w:rPr>
        <w:t>Abstract</w:t>
      </w:r>
    </w:p>
    <w:p w14:paraId="7F3BB697" w14:textId="6045D86F" w:rsidR="00A77B3E" w:rsidRDefault="005D0E0B">
      <w:pPr>
        <w:spacing w:line="360" w:lineRule="auto"/>
        <w:jc w:val="both"/>
      </w:pP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are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used in the treatment of acute lymphoblastic leukemia and inflammatory bowel diseases. Adverse reactions to these agents are one of the main causes of treatment discontinuation or interruption. Myelosuppression is the most frequent adverse effect; however, approximately 5</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20% of patients develop gastrointestinal toxicity. The identification of biomarkers able to prevent and/or monitor these adverse reactions would be useful for clinicians for the proactive management of long-term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therapy. In this editorial, we discuss evidence supporting the use of</w:t>
      </w:r>
      <w:r>
        <w:rPr>
          <w:rFonts w:ascii="Book Antiqua" w:eastAsia="Book Antiqua" w:hAnsi="Book Antiqua" w:cs="Book Antiqua"/>
          <w:color w:val="000000"/>
        </w:rPr>
        <w:t xml:space="preserv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w:t>
      </w:r>
      <w:r w:rsidR="00086B5F">
        <w:rPr>
          <w:rFonts w:ascii="Book Antiqua" w:eastAsia="Book Antiqua" w:hAnsi="Book Antiqua" w:cs="Book Antiqua"/>
          <w:i/>
          <w:iCs/>
          <w:color w:val="000000"/>
        </w:rPr>
        <w:t>RAC1</w:t>
      </w:r>
      <w:r w:rsidR="00086B5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ITPA</w:t>
      </w:r>
      <w:r>
        <w:rPr>
          <w:rFonts w:ascii="Book Antiqua" w:eastAsia="Book Antiqua" w:hAnsi="Book Antiqua" w:cs="Book Antiqua"/>
          <w:color w:val="000000"/>
        </w:rPr>
        <w:t xml:space="preserve"> genes, in addition to </w:t>
      </w:r>
      <w:r>
        <w:rPr>
          <w:rFonts w:ascii="Book Antiqua" w:eastAsia="Book Antiqua" w:hAnsi="Book Antiqua" w:cs="Book Antiqua"/>
          <w:i/>
          <w:iCs/>
          <w:color w:val="000000"/>
        </w:rPr>
        <w:t>TPMT</w:t>
      </w:r>
      <w:r>
        <w:rPr>
          <w:rFonts w:ascii="Book Antiqua" w:eastAsia="Book Antiqua" w:hAnsi="Book Antiqua" w:cs="Book Antiqua"/>
          <w:color w:val="000000"/>
        </w:rPr>
        <w:t xml:space="preserve"> and </w:t>
      </w:r>
      <w:r>
        <w:rPr>
          <w:rFonts w:ascii="Book Antiqua" w:eastAsia="Book Antiqua" w:hAnsi="Book Antiqua" w:cs="Book Antiqua"/>
          <w:i/>
          <w:iCs/>
          <w:color w:val="000000"/>
        </w:rPr>
        <w:t>NUDT15,</w:t>
      </w:r>
      <w:r>
        <w:rPr>
          <w:rFonts w:ascii="Book Antiqua" w:eastAsia="Book Antiqua" w:hAnsi="Book Antiqua" w:cs="Book Antiqua"/>
          <w:color w:val="000000"/>
        </w:rPr>
        <w:t xml:space="preserve"> as possible biomarkers </w:t>
      </w:r>
      <w:r w:rsidR="00086B5F">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-related g</w:t>
      </w:r>
      <w:r>
        <w:rPr>
          <w:rFonts w:ascii="Book Antiqua" w:eastAsia="Book Antiqua" w:hAnsi="Book Antiqua" w:cs="Book Antiqua"/>
          <w:color w:val="000000"/>
        </w:rPr>
        <w:t>astrointestinal toxicity.</w:t>
      </w:r>
    </w:p>
    <w:p w14:paraId="30D8B937" w14:textId="77777777" w:rsidR="00A77B3E" w:rsidRDefault="00A77B3E">
      <w:pPr>
        <w:spacing w:line="360" w:lineRule="auto"/>
        <w:jc w:val="both"/>
      </w:pPr>
    </w:p>
    <w:p w14:paraId="05463E4A" w14:textId="2E8E41B6" w:rsidR="00A77B3E" w:rsidRPr="003463EE" w:rsidRDefault="005D0E0B">
      <w:pPr>
        <w:spacing w:line="360" w:lineRule="auto"/>
        <w:jc w:val="both"/>
        <w:rPr>
          <w:lang w:eastAsia="zh-CN"/>
        </w:rPr>
      </w:pPr>
      <w:r>
        <w:rPr>
          <w:rFonts w:ascii="Book Antiqua" w:eastAsia="Book Antiqua" w:hAnsi="Book Antiqua" w:cs="Book Antiqua"/>
          <w:b/>
          <w:bCs/>
          <w:color w:val="000000"/>
          <w:szCs w:val="22"/>
        </w:rPr>
        <w:t xml:space="preserve">Key Words: </w:t>
      </w:r>
      <w:proofErr w:type="spellStart"/>
      <w:r>
        <w:rPr>
          <w:rFonts w:ascii="Book Antiqua" w:eastAsia="Book Antiqua" w:hAnsi="Book Antiqua" w:cs="Book Antiqua"/>
          <w:color w:val="000000"/>
        </w:rPr>
        <w:t>Thiopurines</w:t>
      </w:r>
      <w:proofErr w:type="spellEnd"/>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63EE">
        <w:rPr>
          <w:rFonts w:ascii="Book Antiqua" w:hAnsi="Book Antiqua" w:cs="Book Antiqua" w:hint="eastAsia"/>
          <w:color w:val="000000"/>
          <w:lang w:eastAsia="zh-CN"/>
        </w:rPr>
        <w:t>G</w:t>
      </w:r>
      <w:r>
        <w:rPr>
          <w:rFonts w:ascii="Book Antiqua" w:eastAsia="Book Antiqua" w:hAnsi="Book Antiqua" w:cs="Book Antiqua"/>
          <w:color w:val="000000"/>
        </w:rPr>
        <w:t>astrointestinal adverse effects</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63EE">
        <w:rPr>
          <w:rFonts w:ascii="Book Antiqua" w:hAnsi="Book Antiqua" w:cs="Book Antiqua" w:hint="eastAsia"/>
          <w:color w:val="000000"/>
          <w:lang w:eastAsia="zh-CN"/>
        </w:rPr>
        <w:t>B</w:t>
      </w:r>
      <w:r>
        <w:rPr>
          <w:rFonts w:ascii="Book Antiqua" w:eastAsia="Book Antiqua" w:hAnsi="Book Antiqua" w:cs="Book Antiqua"/>
          <w:color w:val="000000"/>
        </w:rPr>
        <w:t>iomarkers</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463EE">
        <w:rPr>
          <w:rFonts w:ascii="Book Antiqua" w:eastAsia="Book Antiqua" w:hAnsi="Book Antiqua" w:cs="Book Antiqua"/>
          <w:i/>
          <w:color w:val="000000"/>
        </w:rPr>
        <w:t>PACSIN2</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463EE">
        <w:rPr>
          <w:rFonts w:ascii="Book Antiqua" w:eastAsia="Book Antiqua" w:hAnsi="Book Antiqua" w:cs="Book Antiqua"/>
          <w:i/>
          <w:color w:val="000000"/>
        </w:rPr>
        <w:t>RAC1</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463EE">
        <w:rPr>
          <w:rFonts w:ascii="Book Antiqua" w:eastAsia="Book Antiqua" w:hAnsi="Book Antiqua" w:cs="Book Antiqua"/>
          <w:i/>
          <w:color w:val="000000"/>
        </w:rPr>
        <w:t>ITPA</w:t>
      </w:r>
    </w:p>
    <w:p w14:paraId="72D03F0C" w14:textId="77777777" w:rsidR="00A77B3E" w:rsidRDefault="00A77B3E">
      <w:pPr>
        <w:spacing w:line="360" w:lineRule="auto"/>
        <w:jc w:val="both"/>
      </w:pPr>
    </w:p>
    <w:p w14:paraId="3A0FA8F8" w14:textId="77777777" w:rsidR="00A77B3E" w:rsidRDefault="005D0E0B">
      <w:pPr>
        <w:spacing w:line="360" w:lineRule="auto"/>
        <w:jc w:val="both"/>
      </w:pPr>
      <w:proofErr w:type="spellStart"/>
      <w:r>
        <w:rPr>
          <w:rFonts w:ascii="Book Antiqua" w:eastAsia="Book Antiqua" w:hAnsi="Book Antiqua" w:cs="Book Antiqua"/>
          <w:color w:val="000000"/>
        </w:rPr>
        <w:t>Zudeh</w:t>
      </w:r>
      <w:proofErr w:type="spellEnd"/>
      <w:r>
        <w:rPr>
          <w:rFonts w:ascii="Book Antiqua" w:eastAsia="Book Antiqua" w:hAnsi="Book Antiqua" w:cs="Book Antiqua"/>
          <w:color w:val="000000"/>
        </w:rPr>
        <w:t xml:space="preserve"> G, Franca R,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Decorti</w:t>
      </w:r>
      <w:proofErr w:type="spellEnd"/>
      <w:r>
        <w:rPr>
          <w:rFonts w:ascii="Book Antiqua" w:eastAsia="Book Antiqua" w:hAnsi="Book Antiqua" w:cs="Book Antiqua"/>
          <w:color w:val="000000"/>
        </w:rPr>
        <w:t xml:space="preserve"> G. Biomarkers for gastrointestinal adverse events related to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5D20472" w14:textId="77777777" w:rsidR="00A77B3E" w:rsidRDefault="00A77B3E">
      <w:pPr>
        <w:spacing w:line="360" w:lineRule="auto"/>
        <w:jc w:val="both"/>
      </w:pPr>
    </w:p>
    <w:p w14:paraId="65012E6D" w14:textId="61E5F4E0" w:rsidR="00A77B3E" w:rsidRDefault="005D0E0B">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Adverse reactions to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are one of the main causes of treatment discontinuation or interruption. In addition to myelosuppression, approximately 5–20% of patients develop gastrointestinal toxicity; the identification of biomarkers to prevent and/or monitor these adverse reactions is important for the proactive management of long-term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therapy. In this editorial, we discuss evidence supporting the use of </w:t>
      </w:r>
      <w:r>
        <w:rPr>
          <w:rFonts w:ascii="Book Antiqua" w:eastAsia="Book Antiqua" w:hAnsi="Book Antiqua" w:cs="Book Antiqua"/>
          <w:i/>
          <w:iCs/>
          <w:color w:val="000000"/>
        </w:rPr>
        <w:t>PACS</w:t>
      </w:r>
      <w:r>
        <w:rPr>
          <w:rFonts w:ascii="Book Antiqua" w:eastAsia="Book Antiqua" w:hAnsi="Book Antiqua" w:cs="Book Antiqua"/>
          <w:i/>
          <w:iCs/>
          <w:color w:val="000000"/>
        </w:rPr>
        <w:t>IN2</w:t>
      </w:r>
      <w:r>
        <w:rPr>
          <w:rFonts w:ascii="Book Antiqua" w:eastAsia="Book Antiqua" w:hAnsi="Book Antiqua" w:cs="Book Antiqua"/>
          <w:color w:val="000000"/>
        </w:rPr>
        <w:t xml:space="preserve">, </w:t>
      </w:r>
      <w:r w:rsidR="00086B5F">
        <w:rPr>
          <w:rFonts w:ascii="Book Antiqua" w:eastAsia="Book Antiqua" w:hAnsi="Book Antiqua" w:cs="Book Antiqua"/>
          <w:i/>
          <w:iCs/>
          <w:color w:val="000000"/>
        </w:rPr>
        <w:t>RAC1</w:t>
      </w:r>
      <w:r w:rsidR="00086B5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ITPA</w:t>
      </w:r>
      <w:r>
        <w:rPr>
          <w:rFonts w:ascii="Book Antiqua" w:eastAsia="Book Antiqua" w:hAnsi="Book Antiqua" w:cs="Book Antiqua"/>
          <w:color w:val="000000"/>
        </w:rPr>
        <w:t xml:space="preserve"> genes, in addition to </w:t>
      </w:r>
      <w:r>
        <w:rPr>
          <w:rFonts w:ascii="Book Antiqua" w:eastAsia="Book Antiqua" w:hAnsi="Book Antiqua" w:cs="Book Antiqua"/>
          <w:i/>
          <w:iCs/>
          <w:color w:val="000000"/>
        </w:rPr>
        <w:t>TPMT</w:t>
      </w:r>
      <w:r>
        <w:rPr>
          <w:rFonts w:ascii="Book Antiqua" w:eastAsia="Book Antiqua" w:hAnsi="Book Antiqua" w:cs="Book Antiqua"/>
          <w:color w:val="000000"/>
        </w:rPr>
        <w:t xml:space="preserve"> and </w:t>
      </w:r>
      <w:r>
        <w:rPr>
          <w:rFonts w:ascii="Book Antiqua" w:eastAsia="Book Antiqua" w:hAnsi="Book Antiqua" w:cs="Book Antiqua"/>
          <w:i/>
          <w:iCs/>
          <w:color w:val="000000"/>
        </w:rPr>
        <w:t>NUDT15</w:t>
      </w:r>
      <w:r>
        <w:rPr>
          <w:rFonts w:ascii="Book Antiqua" w:eastAsia="Book Antiqua" w:hAnsi="Book Antiqua" w:cs="Book Antiqua"/>
          <w:color w:val="000000"/>
        </w:rPr>
        <w:t xml:space="preserve">, as possible biomarkers </w:t>
      </w:r>
      <w:r w:rsidR="00086B5F">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-rela</w:t>
      </w:r>
      <w:r>
        <w:rPr>
          <w:rFonts w:ascii="Book Antiqua" w:eastAsia="Book Antiqua" w:hAnsi="Book Antiqua" w:cs="Book Antiqua"/>
          <w:color w:val="000000"/>
        </w:rPr>
        <w:t>ted gastrointestinal toxicity.</w:t>
      </w:r>
    </w:p>
    <w:p w14:paraId="795F0175" w14:textId="691F9FF2" w:rsidR="000725B1" w:rsidRDefault="000725B1">
      <w:r>
        <w:br w:type="page"/>
      </w:r>
    </w:p>
    <w:p w14:paraId="4CC7DAFE" w14:textId="77777777" w:rsidR="00A77B3E" w:rsidRDefault="005D0E0B">
      <w:pPr>
        <w:spacing w:line="360" w:lineRule="auto"/>
        <w:jc w:val="both"/>
      </w:pPr>
      <w:r>
        <w:rPr>
          <w:rFonts w:ascii="Book Antiqua" w:eastAsia="Book Antiqua" w:hAnsi="Book Antiqua" w:cs="Book Antiqua"/>
          <w:b/>
          <w:caps/>
          <w:color w:val="000000"/>
          <w:u w:val="single"/>
        </w:rPr>
        <w:lastRenderedPageBreak/>
        <w:t>INTRODUCTION</w:t>
      </w:r>
    </w:p>
    <w:p w14:paraId="2A2914EC" w14:textId="4DF00E8A" w:rsidR="00A77B3E" w:rsidRPr="003463EE" w:rsidRDefault="00086B5F">
      <w:pPr>
        <w:spacing w:line="360" w:lineRule="auto"/>
        <w:jc w:val="both"/>
        <w:rPr>
          <w:i/>
        </w:rPr>
      </w:pPr>
      <w:r>
        <w:rPr>
          <w:rFonts w:ascii="Book Antiqua" w:eastAsia="Book Antiqua" w:hAnsi="Book Antiqua" w:cs="Book Antiqua"/>
          <w:b/>
          <w:bCs/>
          <w:i/>
          <w:color w:val="000000"/>
        </w:rPr>
        <w:t>M</w:t>
      </w:r>
      <w:r w:rsidR="005D0E0B" w:rsidRPr="003463EE">
        <w:rPr>
          <w:rFonts w:ascii="Book Antiqua" w:eastAsia="Book Antiqua" w:hAnsi="Book Antiqua" w:cs="Book Antiqua"/>
          <w:b/>
          <w:bCs/>
          <w:i/>
          <w:color w:val="000000"/>
        </w:rPr>
        <w:t>echanisms of action and adverse effects</w:t>
      </w:r>
      <w:r w:rsidRPr="00086B5F">
        <w:rPr>
          <w:rFonts w:ascii="Book Antiqua" w:eastAsia="Book Antiqua" w:hAnsi="Book Antiqua" w:cs="Book Antiqua"/>
          <w:b/>
          <w:bCs/>
          <w:i/>
          <w:color w:val="000000"/>
        </w:rPr>
        <w:t xml:space="preserve"> </w:t>
      </w:r>
      <w:r>
        <w:rPr>
          <w:rFonts w:ascii="Book Antiqua" w:eastAsia="Book Antiqua" w:hAnsi="Book Antiqua" w:cs="Book Antiqua"/>
          <w:b/>
          <w:bCs/>
          <w:i/>
          <w:color w:val="000000"/>
        </w:rPr>
        <w:t xml:space="preserve">of </w:t>
      </w:r>
      <w:proofErr w:type="spellStart"/>
      <w:r>
        <w:rPr>
          <w:rFonts w:ascii="Book Antiqua" w:eastAsia="Book Antiqua" w:hAnsi="Book Antiqua" w:cs="Book Antiqua"/>
          <w:b/>
          <w:bCs/>
          <w:i/>
          <w:color w:val="000000"/>
        </w:rPr>
        <w:t>t</w:t>
      </w:r>
      <w:r w:rsidRPr="003463EE">
        <w:rPr>
          <w:rFonts w:ascii="Book Antiqua" w:eastAsia="Book Antiqua" w:hAnsi="Book Antiqua" w:cs="Book Antiqua"/>
          <w:b/>
          <w:bCs/>
          <w:i/>
          <w:color w:val="000000"/>
        </w:rPr>
        <w:t>hiopurine</w:t>
      </w:r>
      <w:proofErr w:type="spellEnd"/>
    </w:p>
    <w:p w14:paraId="051462A0" w14:textId="46284947" w:rsidR="00A77B3E" w:rsidRPr="003463EE" w:rsidRDefault="005D0E0B">
      <w:pPr>
        <w:spacing w:line="360" w:lineRule="auto"/>
        <w:jc w:val="both"/>
        <w:rPr>
          <w:lang w:eastAsia="zh-CN"/>
        </w:rPr>
      </w:pP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mercaptopurine</w:t>
      </w:r>
      <w:proofErr w:type="spellEnd"/>
      <w:r>
        <w:rPr>
          <w:rFonts w:ascii="Book Antiqua" w:eastAsia="Book Antiqua" w:hAnsi="Book Antiqua" w:cs="Book Antiqua"/>
          <w:color w:val="000000"/>
        </w:rPr>
        <w:t xml:space="preserve"> (MP) and its prodrug azathioprine (AZA), are immunomodulatory drugs used in the treatment of pediatric acute lymphoblastic leukemia (ALL) and nonmalignant conditions, such as inflammatory bowel diseases (IBDs</w:t>
      </w:r>
      <w:proofErr w:type="gramStart"/>
      <w:r>
        <w:rPr>
          <w:rFonts w:ascii="Book Antiqua" w:eastAsia="Book Antiqua" w:hAnsi="Book Antiqua" w:cs="Book Antiqua"/>
          <w:color w:val="000000"/>
        </w:rPr>
        <w:t>)</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1</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undergo a complex biotransformation that leads to the production of different </w:t>
      </w:r>
      <w:proofErr w:type="spellStart"/>
      <w:r>
        <w:rPr>
          <w:rFonts w:ascii="Book Antiqua" w:eastAsia="Book Antiqua" w:hAnsi="Book Antiqua" w:cs="Book Antiqua"/>
          <w:color w:val="000000"/>
        </w:rPr>
        <w:t>thionucleotides</w:t>
      </w:r>
      <w:proofErr w:type="spellEnd"/>
      <w:r>
        <w:rPr>
          <w:rFonts w:ascii="Book Antiqua" w:eastAsia="Book Antiqua" w:hAnsi="Book Antiqua" w:cs="Book Antiqua"/>
          <w:color w:val="000000"/>
        </w:rPr>
        <w:t xml:space="preserve"> (TGNs), such as </w:t>
      </w:r>
      <w:proofErr w:type="spellStart"/>
      <w:r>
        <w:rPr>
          <w:rFonts w:ascii="Book Antiqua" w:eastAsia="Book Antiqua" w:hAnsi="Book Antiqua" w:cs="Book Antiqua"/>
          <w:color w:val="000000"/>
        </w:rPr>
        <w:t>thioguanosine</w:t>
      </w:r>
      <w:proofErr w:type="spellEnd"/>
      <w:r>
        <w:rPr>
          <w:rFonts w:ascii="Book Antiqua" w:eastAsia="Book Antiqua" w:hAnsi="Book Antiqua" w:cs="Book Antiqua"/>
          <w:color w:val="000000"/>
        </w:rPr>
        <w:t xml:space="preserve"> mono-, di-, and triphosphate (</w:t>
      </w:r>
      <w:proofErr w:type="spellStart"/>
      <w:r>
        <w:rPr>
          <w:rFonts w:ascii="Book Antiqua" w:eastAsia="Book Antiqua" w:hAnsi="Book Antiqua" w:cs="Book Antiqua"/>
          <w:color w:val="000000"/>
        </w:rPr>
        <w:t>tGMP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tGDP</w:t>
      </w:r>
      <w:proofErr w:type="spellEnd"/>
      <w:r>
        <w:rPr>
          <w:rFonts w:ascii="Book Antiqua" w:eastAsia="Book Antiqua" w:hAnsi="Book Antiqua" w:cs="Book Antiqua"/>
          <w:color w:val="000000"/>
        </w:rPr>
        <w:t xml:space="preserve">, </w:t>
      </w:r>
      <w:r w:rsidR="005C314D">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tGTP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deoxythioguanosine</w:t>
      </w:r>
      <w:proofErr w:type="spellEnd"/>
      <w:r>
        <w:rPr>
          <w:rFonts w:ascii="Book Antiqua" w:eastAsia="Book Antiqua" w:hAnsi="Book Antiqua" w:cs="Book Antiqua"/>
          <w:color w:val="000000"/>
        </w:rPr>
        <w:t xml:space="preserve"> mono-, di-, and triphosphate (</w:t>
      </w:r>
      <w:proofErr w:type="spellStart"/>
      <w:r>
        <w:rPr>
          <w:rFonts w:ascii="Book Antiqua" w:eastAsia="Book Antiqua" w:hAnsi="Book Antiqua" w:cs="Book Antiqua"/>
          <w:color w:val="000000"/>
        </w:rPr>
        <w:t>tdGMP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tdGDP</w:t>
      </w:r>
      <w:proofErr w:type="spellEnd"/>
      <w:r>
        <w:rPr>
          <w:rFonts w:ascii="Book Antiqua" w:eastAsia="Book Antiqua" w:hAnsi="Book Antiqua" w:cs="Book Antiqua"/>
          <w:color w:val="000000"/>
        </w:rPr>
        <w:t xml:space="preserve">, </w:t>
      </w:r>
      <w:r w:rsidR="005C314D">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tdGTP</w:t>
      </w:r>
      <w:proofErr w:type="spellEnd"/>
      <w:r>
        <w:rPr>
          <w:rFonts w:ascii="Book Antiqua" w:eastAsia="Book Antiqua" w:hAnsi="Book Antiqua" w:cs="Book Antiqua"/>
          <w:color w:val="000000"/>
        </w:rPr>
        <w:t xml:space="preserve">) (Figure 1). These purine antimetabolites exert their cytotoxic activity through different mechanisms, such as inhibition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purine synthesis, interference with the incorporation of guanosine nucleotides into DNA and RNA</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induction of apoptosis due to inhibition of the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-related C3 botulinum toxin substrate 1 (Rac-1) protein, a Rho-</w:t>
      </w:r>
      <w:proofErr w:type="spellStart"/>
      <w:proofErr w:type="gramStart"/>
      <w:r>
        <w:rPr>
          <w:rFonts w:ascii="Book Antiqua" w:eastAsia="Book Antiqua" w:hAnsi="Book Antiqua" w:cs="Book Antiqua"/>
          <w:color w:val="000000"/>
        </w:rPr>
        <w:t>GTPase</w:t>
      </w:r>
      <w:proofErr w:type="spellEnd"/>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Under physiological conditions, Rac-1-GTP activates the MEKK/</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STAT3 survival pathways in activated lymphocytes, resulting in an increase in </w:t>
      </w:r>
      <w:r w:rsidR="005C314D">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antiapoptotic</w:t>
      </w:r>
      <w:proofErr w:type="spellEnd"/>
      <w:r>
        <w:rPr>
          <w:rFonts w:ascii="Book Antiqua" w:eastAsia="Book Antiqua" w:hAnsi="Book Antiqua" w:cs="Book Antiqua"/>
          <w:color w:val="000000"/>
        </w:rPr>
        <w:t xml:space="preserve"> protein</w:t>
      </w:r>
      <w:r w:rsidR="005C314D">
        <w:rPr>
          <w:rFonts w:ascii="Book Antiqua" w:eastAsia="Book Antiqua" w:hAnsi="Book Antiqua" w:cs="Book Antiqua"/>
          <w:color w:val="000000"/>
        </w:rPr>
        <w:t xml:space="preserve"> </w:t>
      </w:r>
      <w:proofErr w:type="spellStart"/>
      <w:r w:rsidR="005C314D">
        <w:rPr>
          <w:rFonts w:ascii="Book Antiqua" w:eastAsia="Book Antiqua" w:hAnsi="Book Antiqua" w:cs="Book Antiqua"/>
          <w:color w:val="000000"/>
        </w:rPr>
        <w:t>Bcl-xL</w:t>
      </w:r>
      <w:proofErr w:type="spellEnd"/>
      <w:r>
        <w:rPr>
          <w:rFonts w:ascii="Book Antiqua" w:eastAsia="Book Antiqua" w:hAnsi="Book Antiqua" w:cs="Book Antiqua"/>
          <w:color w:val="000000"/>
        </w:rPr>
        <w:t>, w</w:t>
      </w:r>
      <w:r>
        <w:rPr>
          <w:rFonts w:ascii="Book Antiqua" w:eastAsia="Book Antiqua" w:hAnsi="Book Antiqua" w:cs="Book Antiqua"/>
          <w:color w:val="000000"/>
        </w:rPr>
        <w:t xml:space="preserve">hereas during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treatment, the binding of </w:t>
      </w:r>
      <w:proofErr w:type="spellStart"/>
      <w:r>
        <w:rPr>
          <w:rFonts w:ascii="Book Antiqua" w:eastAsia="Book Antiqua" w:hAnsi="Book Antiqua" w:cs="Book Antiqua"/>
          <w:color w:val="000000"/>
        </w:rPr>
        <w:t>tGTP</w:t>
      </w:r>
      <w:proofErr w:type="spellEnd"/>
      <w:r>
        <w:rPr>
          <w:rFonts w:ascii="Book Antiqua" w:eastAsia="Book Antiqua" w:hAnsi="Book Antiqua" w:cs="Book Antiqua"/>
          <w:color w:val="000000"/>
        </w:rPr>
        <w:t xml:space="preserve"> to Rac-1 impairs these pathways, enhancing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are also processed through catabolic pathways, in which xanthine oxidase and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(TPMT) are the main enzymes involved, producing inactive metabolites such as </w:t>
      </w:r>
      <w:proofErr w:type="spellStart"/>
      <w:r>
        <w:rPr>
          <w:rFonts w:ascii="Book Antiqua" w:eastAsia="Book Antiqua" w:hAnsi="Book Antiqua" w:cs="Book Antiqua"/>
          <w:color w:val="000000"/>
        </w:rPr>
        <w:t>thiouric</w:t>
      </w:r>
      <w:proofErr w:type="spellEnd"/>
      <w:r>
        <w:rPr>
          <w:rFonts w:ascii="Book Antiqua" w:eastAsia="Book Antiqua" w:hAnsi="Book Antiqua" w:cs="Book Antiqua"/>
          <w:color w:val="000000"/>
        </w:rPr>
        <w:t xml:space="preserve"> acid and </w:t>
      </w:r>
      <w:proofErr w:type="spellStart"/>
      <w:r w:rsidR="00C30010">
        <w:rPr>
          <w:rFonts w:ascii="Book Antiqua" w:eastAsia="Book Antiqua" w:hAnsi="Book Antiqua" w:cs="Book Antiqua"/>
          <w:color w:val="000000"/>
        </w:rPr>
        <w:t>methylmercaptopurine</w:t>
      </w:r>
      <w:proofErr w:type="spellEnd"/>
      <w:r>
        <w:rPr>
          <w:rFonts w:ascii="Book Antiqua" w:eastAsia="Book Antiqua" w:hAnsi="Book Antiqua" w:cs="Book Antiqua"/>
          <w:color w:val="000000"/>
        </w:rPr>
        <w:t xml:space="preserve">, respectively. TPMT also catalyzes the S-methylation of intermediates resulting from MP conversion to TGN, leading to the production of secondary methylated nucleotides (MMPNs) (Figure 1). The role of MMPN metabolites is not fully characterized; however, they could contribute to the inhibition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purine synthesis. Factors affecting the TGN/MMPN ratio could influence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efficacy and toxicity. For example, the amount of TGN in white blood cells is responsible for the immunosuppressive effects; when TPMT activity is compromised, TGN levels increase, leading to dangerous </w:t>
      </w:r>
      <w:proofErr w:type="gramStart"/>
      <w:r>
        <w:rPr>
          <w:rFonts w:ascii="Book Antiqua" w:eastAsia="Book Antiqua" w:hAnsi="Book Antiqua" w:cs="Book Antiqua"/>
          <w:color w:val="000000"/>
        </w:rPr>
        <w:t>myelosuppression</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A185323" w14:textId="505266D7" w:rsidR="00A77B3E" w:rsidRPr="003463EE" w:rsidRDefault="005D0E0B" w:rsidP="003463EE">
      <w:pPr>
        <w:spacing w:line="360" w:lineRule="auto"/>
        <w:ind w:firstLineChars="100" w:firstLine="240"/>
        <w:jc w:val="both"/>
        <w:rPr>
          <w:lang w:eastAsia="zh-CN"/>
        </w:rPr>
      </w:pP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have a narrow therapeutic index, with an increased risk of severe toxicity and treatment </w:t>
      </w:r>
      <w:proofErr w:type="gramStart"/>
      <w:r>
        <w:rPr>
          <w:rFonts w:ascii="Book Antiqua" w:eastAsia="Book Antiqua" w:hAnsi="Book Antiqua" w:cs="Book Antiqua"/>
          <w:color w:val="000000"/>
        </w:rPr>
        <w:t>discontinuation</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Direct cytotoxic damage can occur in proliferating cells of different tissues and organs. In particular,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have been associated with the </w:t>
      </w:r>
      <w:r>
        <w:rPr>
          <w:rFonts w:ascii="Book Antiqua" w:eastAsia="Book Antiqua" w:hAnsi="Book Antiqua" w:cs="Book Antiqua"/>
          <w:color w:val="000000"/>
        </w:rPr>
        <w:lastRenderedPageBreak/>
        <w:t>dose-dependent hematological toxicity observed in approximately 80% of ALL cases; in IBD patients, the incidence of bone marrow toxicity is lower (approximately 10%</w:t>
      </w:r>
      <w:proofErr w:type="gramStart"/>
      <w:r>
        <w:rPr>
          <w:rFonts w:ascii="Book Antiqua" w:eastAsia="Book Antiqua" w:hAnsi="Book Antiqua" w:cs="Book Antiqua"/>
          <w:color w:val="000000"/>
        </w:rPr>
        <w:t>)</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5</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Neutropenia and leukopenia are the most frequent outcomes</w:t>
      </w:r>
      <w:r w:rsidR="00195BCA">
        <w:rPr>
          <w:rFonts w:ascii="Book Antiqua" w:eastAsia="Book Antiqua" w:hAnsi="Book Antiqua" w:cs="Book Antiqua"/>
          <w:color w:val="000000"/>
        </w:rPr>
        <w:t xml:space="preserve"> </w:t>
      </w:r>
      <w:r>
        <w:rPr>
          <w:rFonts w:ascii="Book Antiqua" w:eastAsia="Book Antiqua" w:hAnsi="Book Antiqua" w:cs="Book Antiqua"/>
          <w:color w:val="000000"/>
        </w:rPr>
        <w:t>of myelosuppression,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related to an increased risk of infection, and the main reasons for therapy discontinuation or interruption that can lead to disease aggravation in both ALL and </w:t>
      </w:r>
      <w:proofErr w:type="gramStart"/>
      <w:r>
        <w:rPr>
          <w:rFonts w:ascii="Book Antiqua" w:eastAsia="Book Antiqua" w:hAnsi="Book Antiqua" w:cs="Book Antiqua"/>
          <w:color w:val="000000"/>
        </w:rPr>
        <w:t>IBD</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7</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-induced gastrointestinal (GI) toxicity occurs in approximately 5</w:t>
      </w:r>
      <w:r w:rsidR="003463EE">
        <w:rPr>
          <w:rFonts w:ascii="Book Antiqua" w:hAnsi="Book Antiqua" w:cs="Book Antiqua" w:hint="eastAsia"/>
          <w:color w:val="000000"/>
          <w:lang w:eastAsia="zh-CN"/>
        </w:rPr>
        <w:t>%-</w:t>
      </w:r>
      <w:r>
        <w:rPr>
          <w:rFonts w:ascii="Book Antiqua" w:eastAsia="Book Antiqua" w:hAnsi="Book Antiqua" w:cs="Book Antiqua"/>
          <w:color w:val="000000"/>
        </w:rPr>
        <w:t>20% of ALL and IBD patients; the main symptoms are nausea, vomiting, stomatitis, abdominal pain or cramping, gastritis, gastric ulcer, G</w:t>
      </w:r>
      <w:r>
        <w:rPr>
          <w:rFonts w:ascii="Book Antiqua" w:eastAsia="Book Antiqua" w:hAnsi="Book Antiqua" w:cs="Book Antiqua"/>
          <w:color w:val="000000"/>
        </w:rPr>
        <w:t>I bleeding</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diarrhea</w:t>
      </w:r>
      <w:r w:rsidR="003463EE">
        <w:rPr>
          <w:rFonts w:ascii="Book Antiqua" w:eastAsia="Book Antiqua" w:hAnsi="Book Antiqua" w:cs="Book Antiqua"/>
          <w:color w:val="000000"/>
          <w:szCs w:val="30"/>
          <w:vertAlign w:val="superscript"/>
        </w:rPr>
        <w:t>[10</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Moreover, these </w:t>
      </w:r>
      <w:proofErr w:type="spellStart"/>
      <w:r>
        <w:rPr>
          <w:rFonts w:ascii="Book Antiqua" w:eastAsia="Book Antiqua" w:hAnsi="Book Antiqua" w:cs="Book Antiqua"/>
          <w:color w:val="000000"/>
        </w:rPr>
        <w:t>immunosuppressors</w:t>
      </w:r>
      <w:proofErr w:type="spellEnd"/>
      <w:r>
        <w:rPr>
          <w:rFonts w:ascii="Book Antiqua" w:eastAsia="Book Antiqua" w:hAnsi="Book Antiqua" w:cs="Book Antiqua"/>
          <w:color w:val="000000"/>
        </w:rPr>
        <w:t xml:space="preserve"> are associated with the risk of neurological complications, hepatotoxicity, pancreatitis, arthralgia</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skin </w:t>
      </w:r>
      <w:proofErr w:type="gramStart"/>
      <w:r>
        <w:rPr>
          <w:rFonts w:ascii="Book Antiqua" w:eastAsia="Book Antiqua" w:hAnsi="Book Antiqua" w:cs="Book Antiqua"/>
          <w:color w:val="000000"/>
        </w:rPr>
        <w:t>rush</w:t>
      </w:r>
      <w:r w:rsidR="003463EE">
        <w:rPr>
          <w:rFonts w:ascii="Book Antiqua" w:eastAsia="Book Antiqua" w:hAnsi="Book Antiqua" w:cs="Book Antiqua"/>
          <w:color w:val="000000"/>
          <w:szCs w:val="30"/>
          <w:vertAlign w:val="superscript"/>
        </w:rPr>
        <w:t>[</w:t>
      </w:r>
      <w:proofErr w:type="gramEnd"/>
      <w:r w:rsidR="003463EE">
        <w:rPr>
          <w:rFonts w:ascii="Book Antiqua" w:hAnsi="Book Antiqua" w:cs="Book Antiqua" w:hint="eastAsia"/>
          <w:color w:val="000000"/>
          <w:szCs w:val="30"/>
          <w:vertAlign w:val="superscript"/>
          <w:lang w:eastAsia="zh-CN"/>
        </w:rPr>
        <w:t>10,</w:t>
      </w:r>
      <w:r w:rsidR="003463EE">
        <w:rPr>
          <w:rFonts w:ascii="Book Antiqua" w:eastAsia="Book Antiqua" w:hAnsi="Book Antiqua" w:cs="Book Antiqua"/>
          <w:color w:val="000000"/>
          <w:szCs w:val="30"/>
          <w:vertAlign w:val="superscript"/>
        </w:rPr>
        <w:t>12</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23A5CB4" w14:textId="129014C5" w:rsidR="00A77B3E" w:rsidRPr="003463EE" w:rsidRDefault="005D0E0B" w:rsidP="003463EE">
      <w:pPr>
        <w:spacing w:line="360" w:lineRule="auto"/>
        <w:ind w:firstLineChars="100" w:firstLine="240"/>
        <w:jc w:val="both"/>
        <w:rPr>
          <w:lang w:eastAsia="zh-CN"/>
        </w:rPr>
      </w:pPr>
      <w:r>
        <w:rPr>
          <w:rFonts w:ascii="Book Antiqua" w:eastAsia="Book Antiqua" w:hAnsi="Book Antiqua" w:cs="Book Antiqua"/>
          <w:color w:val="000000"/>
        </w:rPr>
        <w:t xml:space="preserve">In the clinic, white blood cell counting is commonly performed to monitor the immunosuppressive effects of these drugs; however, recently, </w:t>
      </w:r>
      <w:proofErr w:type="spellStart"/>
      <w:r>
        <w:rPr>
          <w:rFonts w:ascii="Book Antiqua" w:eastAsia="Book Antiqua" w:hAnsi="Book Antiqua" w:cs="Book Antiqua"/>
          <w:color w:val="000000"/>
        </w:rPr>
        <w:t>pharmacogenetic</w:t>
      </w:r>
      <w:proofErr w:type="spellEnd"/>
      <w:r>
        <w:rPr>
          <w:rFonts w:ascii="Book Antiqua" w:eastAsia="Book Antiqua" w:hAnsi="Book Antiqua" w:cs="Book Antiqua"/>
          <w:color w:val="000000"/>
        </w:rPr>
        <w:t xml:space="preserve"> biomarkers for predicting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-induced hematological adverse events have been identified. From a </w:t>
      </w:r>
      <w:proofErr w:type="spellStart"/>
      <w:r>
        <w:rPr>
          <w:rFonts w:ascii="Book Antiqua" w:eastAsia="Book Antiqua" w:hAnsi="Book Antiqua" w:cs="Book Antiqua"/>
          <w:color w:val="000000"/>
        </w:rPr>
        <w:t>pharmacogenetic</w:t>
      </w:r>
      <w:proofErr w:type="spellEnd"/>
      <w:r>
        <w:rPr>
          <w:rFonts w:ascii="Book Antiqua" w:eastAsia="Book Antiqua" w:hAnsi="Book Antiqua" w:cs="Book Antiqua"/>
          <w:color w:val="000000"/>
        </w:rPr>
        <w:t xml:space="preserve"> point of view, </w:t>
      </w:r>
      <w:r>
        <w:rPr>
          <w:rFonts w:ascii="Book Antiqua" w:eastAsia="Book Antiqua" w:hAnsi="Book Antiqua" w:cs="Book Antiqua"/>
          <w:i/>
          <w:iCs/>
          <w:color w:val="000000"/>
        </w:rPr>
        <w:t>TPMT</w:t>
      </w:r>
      <w:r>
        <w:rPr>
          <w:rFonts w:ascii="Book Antiqua" w:eastAsia="Book Antiqua" w:hAnsi="Book Antiqua" w:cs="Book Antiqua"/>
          <w:color w:val="000000"/>
        </w:rPr>
        <w:t xml:space="preserve"> is one of the best characterized </w:t>
      </w:r>
      <w:proofErr w:type="gramStart"/>
      <w:r>
        <w:rPr>
          <w:rFonts w:ascii="Book Antiqua" w:eastAsia="Book Antiqua" w:hAnsi="Book Antiqua" w:cs="Book Antiqua"/>
          <w:color w:val="000000"/>
        </w:rPr>
        <w:t>genes</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Both TPMT protein expression and enzymatic activity are affected by the presence of variants in the </w:t>
      </w:r>
      <w:r>
        <w:rPr>
          <w:rFonts w:ascii="Book Antiqua" w:eastAsia="Book Antiqua" w:hAnsi="Book Antiqua" w:cs="Book Antiqua"/>
          <w:i/>
          <w:iCs/>
          <w:color w:val="000000"/>
        </w:rPr>
        <w:t>TPMT</w:t>
      </w:r>
      <w:r>
        <w:rPr>
          <w:rFonts w:ascii="Book Antiqua" w:eastAsia="Book Antiqua" w:hAnsi="Book Antiqua" w:cs="Book Antiqua"/>
          <w:color w:val="000000"/>
        </w:rPr>
        <w:t xml:space="preserve"> gene. More than 44 </w:t>
      </w:r>
      <w:r>
        <w:rPr>
          <w:rFonts w:ascii="Book Antiqua" w:eastAsia="Book Antiqua" w:hAnsi="Book Antiqua" w:cs="Book Antiqua"/>
          <w:i/>
          <w:iCs/>
          <w:color w:val="000000"/>
        </w:rPr>
        <w:t>TPMT</w:t>
      </w:r>
      <w:r>
        <w:rPr>
          <w:rFonts w:ascii="Book Antiqua" w:eastAsia="Book Antiqua" w:hAnsi="Book Antiqua" w:cs="Book Antiqua"/>
          <w:color w:val="000000"/>
        </w:rPr>
        <w:t xml:space="preserve"> variant alleles have been described; </w:t>
      </w:r>
      <w:r>
        <w:rPr>
          <w:rFonts w:ascii="Book Antiqua" w:eastAsia="Book Antiqua" w:hAnsi="Book Antiqua" w:cs="Book Antiqua"/>
          <w:i/>
          <w:iCs/>
          <w:color w:val="000000"/>
        </w:rPr>
        <w:t>TPMT*2</w:t>
      </w:r>
      <w:r>
        <w:rPr>
          <w:rFonts w:ascii="Book Antiqua" w:eastAsia="Book Antiqua" w:hAnsi="Book Antiqua" w:cs="Book Antiqua"/>
          <w:color w:val="000000"/>
        </w:rPr>
        <w:t xml:space="preserve"> (rs1800462, 238G&gt;C, pAla80Pro), </w:t>
      </w:r>
      <w:r>
        <w:rPr>
          <w:rFonts w:ascii="Book Antiqua" w:eastAsia="Book Antiqua" w:hAnsi="Book Antiqua" w:cs="Book Antiqua"/>
          <w:i/>
          <w:iCs/>
          <w:color w:val="000000"/>
        </w:rPr>
        <w:t>TPMT *3B</w:t>
      </w:r>
      <w:r>
        <w:rPr>
          <w:rFonts w:ascii="Book Antiqua" w:eastAsia="Book Antiqua" w:hAnsi="Book Antiqua" w:cs="Book Antiqua"/>
          <w:color w:val="000000"/>
        </w:rPr>
        <w:t xml:space="preserve"> (rs1800460, 460G&gt;A, p. Ala154Thr), </w:t>
      </w:r>
      <w:r>
        <w:rPr>
          <w:rFonts w:ascii="Book Antiqua" w:eastAsia="Book Antiqua" w:hAnsi="Book Antiqua" w:cs="Book Antiqua"/>
          <w:i/>
          <w:iCs/>
          <w:color w:val="000000"/>
        </w:rPr>
        <w:t>TPMT*3C</w:t>
      </w:r>
      <w:r>
        <w:rPr>
          <w:rFonts w:ascii="Book Antiqua" w:eastAsia="Book Antiqua" w:hAnsi="Book Antiqua" w:cs="Book Antiqua"/>
          <w:color w:val="000000"/>
        </w:rPr>
        <w:t xml:space="preserve"> (rs1142345, 719A&gt;G, p. T</w:t>
      </w:r>
      <w:r>
        <w:rPr>
          <w:rFonts w:ascii="Book Antiqua" w:eastAsia="Book Antiqua" w:hAnsi="Book Antiqua" w:cs="Book Antiqua"/>
          <w:color w:val="000000"/>
        </w:rPr>
        <w:t>yr240Cys</w:t>
      </w:r>
      <w:r w:rsidR="005C314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TP</w:t>
      </w:r>
      <w:r>
        <w:rPr>
          <w:rFonts w:ascii="Book Antiqua" w:eastAsia="Book Antiqua" w:hAnsi="Book Antiqua" w:cs="Book Antiqua"/>
          <w:i/>
          <w:iCs/>
          <w:color w:val="000000"/>
        </w:rPr>
        <w:t>MT*3A</w:t>
      </w:r>
      <w:r>
        <w:rPr>
          <w:rFonts w:ascii="Book Antiqua" w:eastAsia="Book Antiqua" w:hAnsi="Book Antiqua" w:cs="Book Antiqua"/>
          <w:color w:val="000000"/>
        </w:rPr>
        <w:t xml:space="preserve"> (rs1800460 and rs1142345 haplotypes) are the most frequent variants in Europeans and can explain up to 95% of TPMT deficiencies</w:t>
      </w:r>
      <w:r w:rsidR="003463EE">
        <w:rPr>
          <w:rFonts w:ascii="Book Antiqua" w:eastAsia="Book Antiqua" w:hAnsi="Book Antiqua" w:cs="Book Antiqua"/>
          <w:color w:val="000000"/>
          <w:szCs w:val="30"/>
          <w:vertAlign w:val="superscript"/>
        </w:rPr>
        <w:t>[18</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As reported above, decreased TPMT activity leads to higher TGN levels and lower MMPN in white blood cells; these variants are indeed associated with a higher risk of </w:t>
      </w:r>
      <w:proofErr w:type="gramStart"/>
      <w:r>
        <w:rPr>
          <w:rFonts w:ascii="Book Antiqua" w:eastAsia="Book Antiqua" w:hAnsi="Book Antiqua" w:cs="Book Antiqua"/>
          <w:color w:val="000000"/>
        </w:rPr>
        <w:t>myelosuppression</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Variable number tandem repeats (VNTRs) in the </w:t>
      </w:r>
      <w:r>
        <w:rPr>
          <w:rFonts w:ascii="Book Antiqua" w:eastAsia="Book Antiqua" w:hAnsi="Book Antiqua" w:cs="Book Antiqua"/>
          <w:i/>
          <w:iCs/>
          <w:color w:val="000000"/>
        </w:rPr>
        <w:t xml:space="preserve">TPMT </w:t>
      </w:r>
      <w:r>
        <w:rPr>
          <w:rFonts w:ascii="Book Antiqua" w:eastAsia="Book Antiqua" w:hAnsi="Book Antiqua" w:cs="Book Antiqua"/>
          <w:color w:val="000000"/>
        </w:rPr>
        <w:t xml:space="preserve">promoter are associated with reduced </w:t>
      </w:r>
      <w:r>
        <w:rPr>
          <w:rFonts w:ascii="Book Antiqua" w:eastAsia="Book Antiqua" w:hAnsi="Book Antiqua" w:cs="Book Antiqua"/>
          <w:i/>
          <w:iCs/>
          <w:color w:val="000000"/>
        </w:rPr>
        <w:t>TPMT</w:t>
      </w:r>
      <w:r>
        <w:rPr>
          <w:rFonts w:ascii="Book Antiqua" w:eastAsia="Book Antiqua" w:hAnsi="Book Antiqua" w:cs="Book Antiqua"/>
          <w:color w:val="000000"/>
        </w:rPr>
        <w:t xml:space="preserve"> expression levels and a higher risk of MP hematological </w:t>
      </w:r>
      <w:proofErr w:type="gramStart"/>
      <w:r>
        <w:rPr>
          <w:rFonts w:ascii="Book Antiqua" w:eastAsia="Book Antiqua" w:hAnsi="Book Antiqua" w:cs="Book Antiqua"/>
          <w:color w:val="000000"/>
        </w:rPr>
        <w:t>toxicity</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Furthermore, genetic variants in </w:t>
      </w:r>
      <w:proofErr w:type="spellStart"/>
      <w:r>
        <w:rPr>
          <w:rFonts w:ascii="Book Antiqua" w:eastAsia="Book Antiqua" w:hAnsi="Book Antiqua" w:cs="Book Antiqua"/>
          <w:color w:val="000000"/>
        </w:rPr>
        <w:t>nudix</w:t>
      </w:r>
      <w:proofErr w:type="spellEnd"/>
      <w:r>
        <w:rPr>
          <w:rFonts w:ascii="Book Antiqua" w:eastAsia="Book Antiqua" w:hAnsi="Book Antiqua" w:cs="Book Antiqua"/>
          <w:color w:val="000000"/>
        </w:rPr>
        <w:t xml:space="preserve"> hydrolase 15 (</w:t>
      </w:r>
      <w:r>
        <w:rPr>
          <w:rFonts w:ascii="Book Antiqua" w:eastAsia="Book Antiqua" w:hAnsi="Book Antiqua" w:cs="Book Antiqua"/>
          <w:i/>
          <w:iCs/>
          <w:color w:val="000000"/>
        </w:rPr>
        <w:t>NUDT15</w:t>
      </w:r>
      <w:r>
        <w:rPr>
          <w:rFonts w:ascii="Book Antiqua" w:eastAsia="Book Antiqua" w:hAnsi="Book Antiqua" w:cs="Book Antiqua"/>
          <w:color w:val="000000"/>
        </w:rPr>
        <w:t xml:space="preserve">) have been identified as additional </w:t>
      </w:r>
      <w:proofErr w:type="spellStart"/>
      <w:r>
        <w:rPr>
          <w:rFonts w:ascii="Book Antiqua" w:eastAsia="Book Antiqua" w:hAnsi="Book Antiqua" w:cs="Book Antiqua"/>
          <w:color w:val="000000"/>
        </w:rPr>
        <w:t>pharmacogenetic</w:t>
      </w:r>
      <w:proofErr w:type="spellEnd"/>
      <w:r>
        <w:rPr>
          <w:rFonts w:ascii="Book Antiqua" w:eastAsia="Book Antiqua" w:hAnsi="Book Antiqua" w:cs="Book Antiqua"/>
          <w:color w:val="000000"/>
        </w:rPr>
        <w:t xml:space="preserve"> markers for the prediction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-induced toxicities, especially in Asian individuals. NUDT15 removes a pyrophosphate group by canonical GTP and drug-derived </w:t>
      </w:r>
      <w:proofErr w:type="spellStart"/>
      <w:r>
        <w:rPr>
          <w:rFonts w:ascii="Book Antiqua" w:eastAsia="Book Antiqua" w:hAnsi="Book Antiqua" w:cs="Book Antiqua"/>
          <w:color w:val="000000"/>
        </w:rPr>
        <w:t>tGTP</w:t>
      </w:r>
      <w:proofErr w:type="spellEnd"/>
      <w:r>
        <w:rPr>
          <w:rFonts w:ascii="Book Antiqua" w:eastAsia="Book Antiqua" w:hAnsi="Book Antiqua" w:cs="Book Antiqua"/>
          <w:color w:val="000000"/>
        </w:rPr>
        <w:t xml:space="preserve"> active metabolites. The most studied </w:t>
      </w:r>
      <w:r>
        <w:rPr>
          <w:rFonts w:ascii="Book Antiqua" w:eastAsia="Book Antiqua" w:hAnsi="Book Antiqua" w:cs="Book Antiqua"/>
          <w:i/>
          <w:iCs/>
          <w:color w:val="000000"/>
        </w:rPr>
        <w:t>NUDT15</w:t>
      </w:r>
      <w:r>
        <w:rPr>
          <w:rFonts w:ascii="Book Antiqua" w:eastAsia="Book Antiqua" w:hAnsi="Book Antiqua" w:cs="Book Antiqua"/>
          <w:color w:val="000000"/>
        </w:rPr>
        <w:t xml:space="preserve"> variants are rs116855232 (c.415C&gt; T, p. Arg139Cys), rs147390019 (G&gt;A, p. Arg139His), rs186364861 (G&gt;A, p. Val18Il</w:t>
      </w:r>
      <w:r>
        <w:rPr>
          <w:rFonts w:ascii="Book Antiqua" w:eastAsia="Book Antiqua" w:hAnsi="Book Antiqua" w:cs="Book Antiqua"/>
          <w:color w:val="000000"/>
        </w:rPr>
        <w:t>e)</w:t>
      </w:r>
      <w:r w:rsidR="005C314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rs746071566 (36_37insGGAGTC insertion, p.Val18_Val19insGlyVal). Variant alleles encode NUDT15 with compromised activity, leading to a higher </w:t>
      </w:r>
      <w:proofErr w:type="spellStart"/>
      <w:r>
        <w:rPr>
          <w:rFonts w:ascii="Book Antiqua" w:eastAsia="Book Antiqua" w:hAnsi="Book Antiqua" w:cs="Book Antiqua"/>
          <w:color w:val="000000"/>
        </w:rPr>
        <w:t>tGTP</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tGMP</w:t>
      </w:r>
      <w:proofErr w:type="spellEnd"/>
      <w:r>
        <w:rPr>
          <w:rFonts w:ascii="Book Antiqua" w:eastAsia="Book Antiqua" w:hAnsi="Book Antiqua" w:cs="Book Antiqua"/>
          <w:color w:val="000000"/>
        </w:rPr>
        <w:t xml:space="preserve"> ratio and incorporation of TGN into </w:t>
      </w:r>
      <w:proofErr w:type="gramStart"/>
      <w:r>
        <w:rPr>
          <w:rFonts w:ascii="Book Antiqua" w:eastAsia="Book Antiqua" w:hAnsi="Book Antiqua" w:cs="Book Antiqua"/>
          <w:color w:val="000000"/>
        </w:rPr>
        <w:t>DNA</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23</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Indeed, these variants have been associated with MP and AZA </w:t>
      </w:r>
      <w:proofErr w:type="gramStart"/>
      <w:r>
        <w:rPr>
          <w:rFonts w:ascii="Book Antiqua" w:eastAsia="Book Antiqua" w:hAnsi="Book Antiqua" w:cs="Book Antiqua"/>
          <w:color w:val="000000"/>
        </w:rPr>
        <w:t>intolerance</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23</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On these bases, different guidelines 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dose adjustment based on </w:t>
      </w:r>
      <w:r>
        <w:rPr>
          <w:rFonts w:ascii="Book Antiqua" w:eastAsia="Book Antiqua" w:hAnsi="Book Antiqua" w:cs="Book Antiqua"/>
          <w:i/>
          <w:iCs/>
          <w:color w:val="000000"/>
        </w:rPr>
        <w:t>TPMT</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NUDT15 </w:t>
      </w:r>
      <w:r>
        <w:rPr>
          <w:rFonts w:ascii="Book Antiqua" w:eastAsia="Book Antiqua" w:hAnsi="Book Antiqua" w:cs="Book Antiqua"/>
          <w:color w:val="000000"/>
        </w:rPr>
        <w:t>genotypes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have been released to reduce the occurrence of drug-related side </w:t>
      </w:r>
      <w:proofErr w:type="gramStart"/>
      <w:r>
        <w:rPr>
          <w:rFonts w:ascii="Book Antiqua" w:eastAsia="Book Antiqua" w:hAnsi="Book Antiqua" w:cs="Book Antiqua"/>
          <w:color w:val="000000"/>
        </w:rPr>
        <w:t>effects</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40329F3" w14:textId="77777777" w:rsidR="00A77B3E" w:rsidRPr="003463EE" w:rsidRDefault="005D0E0B" w:rsidP="003463EE">
      <w:pPr>
        <w:spacing w:line="360" w:lineRule="auto"/>
        <w:ind w:firstLineChars="100" w:firstLine="240"/>
        <w:jc w:val="both"/>
        <w:rPr>
          <w:lang w:eastAsia="zh-CN"/>
        </w:rPr>
      </w:pPr>
      <w:r>
        <w:rPr>
          <w:rFonts w:ascii="Book Antiqua" w:eastAsia="Book Antiqua" w:hAnsi="Book Antiqua" w:cs="Book Antiqua"/>
          <w:color w:val="000000"/>
        </w:rPr>
        <w:t xml:space="preserve">In addition to </w:t>
      </w:r>
      <w:proofErr w:type="spellStart"/>
      <w:r>
        <w:rPr>
          <w:rFonts w:ascii="Book Antiqua" w:eastAsia="Book Antiqua" w:hAnsi="Book Antiqua" w:cs="Book Antiqua"/>
          <w:color w:val="000000"/>
        </w:rPr>
        <w:t>pharmacogenetic</w:t>
      </w:r>
      <w:proofErr w:type="spellEnd"/>
      <w:r>
        <w:rPr>
          <w:rFonts w:ascii="Book Antiqua" w:eastAsia="Book Antiqua" w:hAnsi="Book Antiqua" w:cs="Book Antiqua"/>
          <w:color w:val="000000"/>
        </w:rPr>
        <w:t xml:space="preserve"> markers, TGN levels could be monitored in erythrocytes to avoid severe myelosuppression during therapy. In particular, TGN levels higher than 450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/8</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red blood cells (RBCs) and higher than 1000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/8</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RBCs have been shown to be associated with myelotoxicity in IBD and ALL patients, respectively, while levels of MMPN above 5700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/8 ×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RBCs have been shown to be related to a higher hepatotoxicity risk in IBD </w:t>
      </w:r>
      <w:proofErr w:type="gramStart"/>
      <w:r>
        <w:rPr>
          <w:rFonts w:ascii="Book Antiqua" w:eastAsia="Book Antiqua" w:hAnsi="Book Antiqua" w:cs="Book Antiqua"/>
          <w:color w:val="000000"/>
        </w:rPr>
        <w:t>patients</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27</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86D30D5" w14:textId="77777777" w:rsidR="00A77B3E" w:rsidRDefault="00A77B3E">
      <w:pPr>
        <w:spacing w:line="360" w:lineRule="auto"/>
        <w:jc w:val="both"/>
      </w:pPr>
    </w:p>
    <w:p w14:paraId="3FF74840" w14:textId="4DCE8F72" w:rsidR="00A77B3E" w:rsidRPr="003463EE" w:rsidRDefault="005D0E0B">
      <w:pPr>
        <w:spacing w:line="360" w:lineRule="auto"/>
        <w:jc w:val="both"/>
        <w:rPr>
          <w:lang w:eastAsia="zh-CN"/>
        </w:rPr>
      </w:pPr>
      <w:r>
        <w:rPr>
          <w:rFonts w:ascii="Book Antiqua" w:eastAsia="Book Antiqua" w:hAnsi="Book Antiqua" w:cs="Book Antiqua"/>
          <w:b/>
          <w:bCs/>
          <w:caps/>
          <w:color w:val="000000"/>
          <w:u w:val="single"/>
        </w:rPr>
        <w:t>Biomarkers fo</w:t>
      </w:r>
      <w:r>
        <w:rPr>
          <w:rFonts w:ascii="Book Antiqua" w:eastAsia="Book Antiqua" w:hAnsi="Book Antiqua" w:cs="Book Antiqua"/>
          <w:b/>
          <w:bCs/>
          <w:caps/>
          <w:color w:val="000000"/>
          <w:u w:val="single"/>
        </w:rPr>
        <w:t>r</w:t>
      </w:r>
      <w:r w:rsidR="005C314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 xml:space="preserve">thiopurine-induced </w:t>
      </w:r>
      <w:r w:rsidR="008C03AA">
        <w:rPr>
          <w:rFonts w:ascii="Book Antiqua" w:eastAsia="Book Antiqua" w:hAnsi="Book Antiqua" w:cs="Book Antiqua"/>
          <w:b/>
          <w:bCs/>
          <w:caps/>
          <w:color w:val="000000"/>
          <w:u w:val="single"/>
        </w:rPr>
        <w:t>gastrointestinal</w:t>
      </w:r>
      <w:r w:rsidR="005C314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 xml:space="preserve">adverse </w:t>
      </w:r>
      <w:r>
        <w:rPr>
          <w:rFonts w:ascii="Book Antiqua" w:eastAsia="Book Antiqua" w:hAnsi="Book Antiqua" w:cs="Book Antiqua"/>
          <w:b/>
          <w:bCs/>
          <w:caps/>
          <w:color w:val="000000"/>
          <w:u w:val="single"/>
        </w:rPr>
        <w:t>events</w:t>
      </w:r>
    </w:p>
    <w:p w14:paraId="0C9B962C" w14:textId="77C5AA60" w:rsidR="00A77B3E" w:rsidRDefault="005D0E0B">
      <w:pPr>
        <w:spacing w:line="360" w:lineRule="auto"/>
        <w:jc w:val="both"/>
      </w:pPr>
      <w:r>
        <w:rPr>
          <w:rFonts w:ascii="Book Antiqua" w:eastAsia="Book Antiqua" w:hAnsi="Book Antiqua" w:cs="Book Antiqua"/>
          <w:color w:val="000000"/>
        </w:rPr>
        <w:t>Although genome-wide association studies (GWAS) have indicated that TPMT activity is predominantly a monogenic trait</w:t>
      </w:r>
      <w:r w:rsidR="003463EE">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 percentage of </w:t>
      </w:r>
      <w:r w:rsidRPr="008C03AA">
        <w:rPr>
          <w:rFonts w:ascii="Book Antiqua" w:eastAsia="Book Antiqua" w:hAnsi="Book Antiqua" w:cs="Book Antiqua"/>
          <w:iCs/>
          <w:color w:val="000000"/>
        </w:rPr>
        <w:t>wild-type</w:t>
      </w:r>
      <w:r>
        <w:rPr>
          <w:rFonts w:ascii="Book Antiqua" w:eastAsia="Book Antiqua" w:hAnsi="Book Antiqua" w:cs="Book Antiqua"/>
          <w:color w:val="000000"/>
        </w:rPr>
        <w:t xml:space="preserve"> </w:t>
      </w:r>
      <w:r>
        <w:rPr>
          <w:rFonts w:ascii="Book Antiqua" w:eastAsia="Book Antiqua" w:hAnsi="Book Antiqua" w:cs="Book Antiqua"/>
          <w:i/>
          <w:iCs/>
          <w:color w:val="000000"/>
        </w:rPr>
        <w:t>TPMT</w:t>
      </w:r>
      <w:r>
        <w:rPr>
          <w:rFonts w:ascii="Book Antiqua" w:eastAsia="Book Antiqua" w:hAnsi="Book Antiqua" w:cs="Book Antiqua"/>
          <w:color w:val="000000"/>
        </w:rPr>
        <w:t xml:space="preserve"> carriers present reduced TPMT activity, suggesting the existence of other regulatory mechanisms able to modulate its function</w:t>
      </w:r>
      <w:r w:rsidR="003463EE">
        <w:rPr>
          <w:rFonts w:ascii="Book Antiqua" w:eastAsia="Book Antiqua" w:hAnsi="Book Antiqua" w:cs="Book Antiqua"/>
          <w:color w:val="000000"/>
          <w:szCs w:val="30"/>
          <w:vertAlign w:val="superscript"/>
        </w:rPr>
        <w:t>[30</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2012,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w:t>
      </w:r>
      <w:r w:rsidR="003463EE" w:rsidRPr="003463EE">
        <w:rPr>
          <w:rFonts w:ascii="Book Antiqua" w:hAnsi="Book Antiqua" w:cs="Book Antiqua" w:hint="eastAsia"/>
          <w:i/>
          <w:color w:val="000000"/>
          <w:lang w:eastAsia="zh-CN"/>
        </w:rPr>
        <w:t xml:space="preserve">et </w:t>
      </w:r>
      <w:proofErr w:type="gramStart"/>
      <w:r w:rsidR="003463EE" w:rsidRPr="003463EE">
        <w:rPr>
          <w:rFonts w:ascii="Book Antiqua" w:hAnsi="Book Antiqua" w:cs="Book Antiqua" w:hint="eastAsia"/>
          <w:i/>
          <w:color w:val="000000"/>
          <w:lang w:eastAsia="zh-CN"/>
        </w:rPr>
        <w:t>al</w:t>
      </w:r>
      <w:r w:rsidR="003463EE">
        <w:rPr>
          <w:rFonts w:ascii="Book Antiqua" w:eastAsia="Book Antiqua" w:hAnsi="Book Antiqua" w:cs="Book Antiqua"/>
          <w:color w:val="000000"/>
          <w:szCs w:val="30"/>
          <w:vertAlign w:val="superscript"/>
        </w:rPr>
        <w:t>[</w:t>
      </w:r>
      <w:proofErr w:type="gramEnd"/>
      <w:r w:rsidR="003463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demonstrated that the expression levels </w:t>
      </w:r>
      <w:r w:rsidR="00C30010">
        <w:rPr>
          <w:rFonts w:ascii="Book Antiqua" w:eastAsia="Book Antiqua" w:hAnsi="Book Antiqua" w:cs="Book Antiqua"/>
          <w:color w:val="000000"/>
        </w:rPr>
        <w:t xml:space="preserve">and </w:t>
      </w:r>
      <w:r>
        <w:rPr>
          <w:rFonts w:ascii="Book Antiqua" w:eastAsia="Book Antiqua" w:hAnsi="Book Antiqua" w:cs="Book Antiqua"/>
          <w:color w:val="000000"/>
        </w:rPr>
        <w:t>the single nucleotide polymorphism (SNP) rs2413739 of the protein kinase C and casein kinase substrate in neurons 2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gene were associated with TPMT activity in </w:t>
      </w:r>
      <w:proofErr w:type="spellStart"/>
      <w:r>
        <w:rPr>
          <w:rFonts w:ascii="Book Antiqua" w:eastAsia="Book Antiqua" w:hAnsi="Book Antiqua" w:cs="Book Antiqua"/>
          <w:color w:val="000000"/>
        </w:rPr>
        <w:t>HapMap</w:t>
      </w:r>
      <w:proofErr w:type="spellEnd"/>
      <w:r>
        <w:rPr>
          <w:rFonts w:ascii="Book Antiqua" w:eastAsia="Book Antiqua" w:hAnsi="Book Antiqua" w:cs="Book Antiqua"/>
          <w:color w:val="000000"/>
        </w:rPr>
        <w:t xml:space="preserve"> cell lines and in a cohort of ALL pediatric patients enrolled at St. Jude Research Children Hospital (SJRCH, Memphis, U</w:t>
      </w:r>
      <w:r w:rsidR="003463EE">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suggesting a possible role of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as a TPMT modulator</w:t>
      </w:r>
      <w:r w:rsidR="003463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 authors found that the </w:t>
      </w:r>
      <w:proofErr w:type="spellStart"/>
      <w:r>
        <w:rPr>
          <w:rFonts w:ascii="Book Antiqua" w:eastAsia="Book Antiqua" w:hAnsi="Book Antiqua" w:cs="Book Antiqua"/>
          <w:color w:val="000000"/>
        </w:rPr>
        <w:t>intronic</w:t>
      </w:r>
      <w:proofErr w:type="spellEnd"/>
      <w:r>
        <w:rPr>
          <w:rFonts w:ascii="Book Antiqua" w:eastAsia="Book Antiqua" w:hAnsi="Book Antiqua" w:cs="Book Antiqua"/>
          <w:color w:val="000000"/>
        </w:rPr>
        <w:t xml:space="preserve"> variant rs2413739 (C&gt;T) was associated with an increased risk of severe G</w:t>
      </w:r>
      <w:r w:rsidR="00183A58">
        <w:rPr>
          <w:rFonts w:ascii="Book Antiqua" w:eastAsia="Book Antiqua" w:hAnsi="Book Antiqua" w:cs="Book Antiqua"/>
          <w:color w:val="000000"/>
        </w:rPr>
        <w:t>I</w:t>
      </w:r>
      <w:r>
        <w:rPr>
          <w:rFonts w:ascii="Book Antiqua" w:eastAsia="Book Antiqua" w:hAnsi="Book Antiqua" w:cs="Book Antiqua"/>
          <w:color w:val="000000"/>
        </w:rPr>
        <w:t xml:space="preserve"> toxicity during consolidation therapy in two independent cohorts of ALL pediatric patients treated according to the SJRCH</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Total</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13B protocol</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3463E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Associazione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sidR="003463EE">
        <w:rPr>
          <w:rFonts w:ascii="Book Antiqua" w:eastAsia="Book Antiqua" w:hAnsi="Book Antiqua" w:cs="Book Antiqua"/>
          <w:color w:val="000000"/>
        </w:rPr>
        <w:t>taliana</w:t>
      </w:r>
      <w:proofErr w:type="spellEnd"/>
      <w:r w:rsidR="003463E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Ematologia</w:t>
      </w:r>
      <w:proofErr w:type="spellEnd"/>
      <w:r w:rsidR="003463E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Oncologia</w:t>
      </w:r>
      <w:proofErr w:type="spellEnd"/>
      <w:r w:rsidR="003463E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Pediatrica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Berlin-Frankfurt-Münster</w:t>
      </w:r>
      <w:proofErr w:type="spellEnd"/>
      <w:r>
        <w:rPr>
          <w:rFonts w:ascii="Book Antiqua" w:eastAsia="Book Antiqua" w:hAnsi="Book Antiqua" w:cs="Book Antiqua"/>
          <w:color w:val="000000"/>
        </w:rPr>
        <w:t xml:space="preserve"> (AIEOP-BFM) 2000 protocol</w:t>
      </w:r>
      <w:r w:rsidR="003463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Patients received 75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MP daily and 2 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high-dose methotrexate (HD-MTX) </w:t>
      </w:r>
      <w:proofErr w:type="spellStart"/>
      <w:r>
        <w:rPr>
          <w:rFonts w:ascii="Book Antiqua" w:eastAsia="Book Antiqua" w:hAnsi="Book Antiqua" w:cs="Book Antiqua"/>
          <w:color w:val="000000"/>
        </w:rPr>
        <w:t>i.v.</w:t>
      </w:r>
      <w:proofErr w:type="spellEnd"/>
      <w:r>
        <w:rPr>
          <w:rFonts w:ascii="Book Antiqua" w:eastAsia="Book Antiqua" w:hAnsi="Book Antiqua" w:cs="Book Antiqua"/>
          <w:color w:val="000000"/>
        </w:rPr>
        <w:t xml:space="preserve"> twice a </w:t>
      </w:r>
      <w:r>
        <w:rPr>
          <w:rFonts w:ascii="Book Antiqua" w:eastAsia="Book Antiqua" w:hAnsi="Book Antiqua" w:cs="Book Antiqua"/>
          <w:color w:val="000000"/>
        </w:rPr>
        <w:lastRenderedPageBreak/>
        <w:t xml:space="preserve">week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at SJRCH, whereas those undergoing the AIEOP-BFM 2000 protocol were treated daily with 25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MP and received four HD-MTX (2</w:t>
      </w:r>
      <w:r w:rsidR="003A704A">
        <w:rPr>
          <w:rFonts w:ascii="Book Antiqua" w:hAnsi="Book Antiqua" w:cs="Book Antiqua" w:hint="eastAsia"/>
          <w:color w:val="000000"/>
          <w:lang w:eastAsia="zh-CN"/>
        </w:rPr>
        <w:t>-</w:t>
      </w:r>
      <w:r>
        <w:rPr>
          <w:rFonts w:ascii="Book Antiqua" w:eastAsia="Book Antiqua" w:hAnsi="Book Antiqua" w:cs="Book Antiqua"/>
          <w:color w:val="000000"/>
        </w:rPr>
        <w:t>5 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infusions once ever</w:t>
      </w:r>
      <w:r>
        <w:rPr>
          <w:rFonts w:ascii="Book Antiqua" w:eastAsia="Book Antiqua" w:hAnsi="Book Antiqua" w:cs="Book Antiqua"/>
          <w:color w:val="000000"/>
        </w:rPr>
        <w:t xml:space="preserve">y </w:t>
      </w:r>
      <w:r w:rsidR="005C314D">
        <w:rPr>
          <w:rFonts w:ascii="Book Antiqua" w:eastAsia="Book Antiqua" w:hAnsi="Book Antiqua" w:cs="Book Antiqua"/>
          <w:color w:val="000000"/>
        </w:rPr>
        <w:t xml:space="preserve">2 </w:t>
      </w:r>
      <w:r>
        <w:rPr>
          <w:rFonts w:ascii="Book Antiqua" w:eastAsia="Book Antiqua" w:hAnsi="Book Antiqua" w:cs="Book Antiqua"/>
          <w:color w:val="000000"/>
        </w:rPr>
        <w:t>wk. T</w:t>
      </w:r>
      <w:r>
        <w:rPr>
          <w:rFonts w:ascii="Book Antiqua" w:eastAsia="Book Antiqua" w:hAnsi="Book Antiqua" w:cs="Book Antiqua"/>
          <w:color w:val="000000"/>
        </w:rPr>
        <w:t xml:space="preserve">o further validate these results, Franca </w:t>
      </w:r>
      <w:r w:rsidR="003463EE" w:rsidRPr="003463EE">
        <w:rPr>
          <w:rFonts w:ascii="Book Antiqua" w:hAnsi="Book Antiqua" w:cs="Book Antiqua" w:hint="eastAsia"/>
          <w:i/>
          <w:color w:val="000000"/>
          <w:lang w:eastAsia="zh-CN"/>
        </w:rPr>
        <w:t xml:space="preserve">et </w:t>
      </w:r>
      <w:proofErr w:type="gramStart"/>
      <w:r w:rsidR="003463EE" w:rsidRPr="003463EE">
        <w:rPr>
          <w:rFonts w:ascii="Book Antiqua" w:hAnsi="Book Antiqua" w:cs="Book Antiqua" w:hint="eastAsia"/>
          <w:i/>
          <w:color w:val="000000"/>
          <w:lang w:eastAsia="zh-CN"/>
        </w:rPr>
        <w:t>al</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w:t>
      </w:r>
      <w:r w:rsidR="003A704A">
        <w:rPr>
          <w:rFonts w:ascii="Book Antiqua" w:hAnsi="Book Antiqua" w:cs="Book Antiqua" w:hint="eastAsia"/>
          <w:color w:val="000000"/>
          <w:szCs w:val="30"/>
          <w:vertAlign w:val="superscript"/>
          <w:lang w:eastAsia="zh-CN"/>
        </w:rPr>
        <w:t>3</w:t>
      </w:r>
      <w:r w:rsidR="003A70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investigated the possible role of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rs2413739</w:t>
      </w:r>
      <w:r>
        <w:rPr>
          <w:rFonts w:ascii="Book Antiqua" w:eastAsia="Book Antiqua" w:hAnsi="Book Antiqua" w:cs="Book Antiqua"/>
          <w:i/>
          <w:iCs/>
          <w:color w:val="000000"/>
        </w:rPr>
        <w:t xml:space="preserve"> </w:t>
      </w:r>
      <w:r>
        <w:rPr>
          <w:rFonts w:ascii="Book Antiqua" w:eastAsia="Book Antiqua" w:hAnsi="Book Antiqua" w:cs="Book Antiqua"/>
          <w:color w:val="000000"/>
        </w:rPr>
        <w:t>in an additional cohort of ALL pediatric patients treated according to the AIEOP-BFM 2009 protocol, with the same consolidation phase as AIEOP-BFM ALL 2000, and in a cohort of IBD pediatric patients undergoing AZA therapy. In the ALL cohort, the</w:t>
      </w:r>
      <w:r>
        <w:rPr>
          <w:rFonts w:ascii="Book Antiqua" w:eastAsia="Book Antiqua" w:hAnsi="Book Antiqua" w:cs="Book Antiqua"/>
          <w:i/>
          <w:iCs/>
          <w:color w:val="000000"/>
        </w:rPr>
        <w:t xml:space="preserve"> PACSIN2</w:t>
      </w:r>
      <w:r>
        <w:rPr>
          <w:rFonts w:ascii="Book Antiqua" w:eastAsia="Book Antiqua" w:hAnsi="Book Antiqua" w:cs="Book Antiqua"/>
          <w:color w:val="000000"/>
        </w:rPr>
        <w:t xml:space="preserve"> T allele was associated with decreased TPMT activity during maintenance therapy, particularly in patients heterozygous for </w:t>
      </w:r>
      <w:r>
        <w:rPr>
          <w:rFonts w:ascii="Book Antiqua" w:eastAsia="Book Antiqua" w:hAnsi="Book Antiqua" w:cs="Book Antiqua"/>
          <w:i/>
          <w:iCs/>
          <w:color w:val="000000"/>
        </w:rPr>
        <w:t>TPMT</w:t>
      </w:r>
      <w:r>
        <w:rPr>
          <w:rFonts w:ascii="Book Antiqua" w:eastAsia="Book Antiqua" w:hAnsi="Book Antiqua" w:cs="Book Antiqua"/>
          <w:color w:val="000000"/>
        </w:rPr>
        <w:t xml:space="preserve"> rs1142345 and rs1800460. Moreover,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TT genotype was associated with a higher risk of GI toxicity during the consolidation phase. The latter association was borderline, likely because of the limited number of clinical data available (</w:t>
      </w:r>
      <w:r>
        <w:rPr>
          <w:rFonts w:ascii="Book Antiqua" w:eastAsia="Book Antiqua" w:hAnsi="Book Antiqua" w:cs="Book Antiqua"/>
          <w:i/>
          <w:iCs/>
          <w:color w:val="000000"/>
        </w:rPr>
        <w:t>n</w:t>
      </w:r>
      <w:r>
        <w:rPr>
          <w:rFonts w:ascii="Book Antiqua" w:eastAsia="Book Antiqua" w:hAnsi="Book Antiqua" w:cs="Book Antiqua"/>
          <w:color w:val="000000"/>
        </w:rPr>
        <w:t xml:space="preserve"> = 81); however, it was in line with the findings of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w:t>
      </w:r>
      <w:r w:rsidR="003463EE" w:rsidRPr="003463EE">
        <w:rPr>
          <w:rFonts w:ascii="Book Antiqua" w:hAnsi="Book Antiqua" w:cs="Book Antiqua" w:hint="eastAsia"/>
          <w:i/>
          <w:color w:val="000000"/>
          <w:lang w:eastAsia="zh-CN"/>
        </w:rPr>
        <w:t xml:space="preserve">et </w:t>
      </w:r>
      <w:proofErr w:type="gramStart"/>
      <w:r w:rsidR="003463EE" w:rsidRPr="003463EE">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Far more complex to understand is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-induced GI toxicities in IBD patients, where the occurrence of adverse effects can overlap with clinical manifestations of the disease. Interestingly, Franca </w:t>
      </w:r>
      <w:r w:rsidR="003463EE" w:rsidRPr="003463EE">
        <w:rPr>
          <w:rFonts w:ascii="Book Antiqua" w:hAnsi="Book Antiqua" w:cs="Book Antiqua" w:hint="eastAsia"/>
          <w:i/>
          <w:color w:val="000000"/>
          <w:lang w:eastAsia="zh-CN"/>
        </w:rPr>
        <w:t>et al</w:t>
      </w:r>
      <w:r w:rsidR="003A704A">
        <w:rPr>
          <w:rFonts w:ascii="Book Antiqua" w:eastAsia="Book Antiqua" w:hAnsi="Book Antiqua" w:cs="Book Antiqua"/>
          <w:color w:val="000000"/>
          <w:szCs w:val="30"/>
          <w:vertAlign w:val="superscript"/>
        </w:rPr>
        <w:t>[3</w:t>
      </w:r>
      <w:r w:rsidR="003A704A">
        <w:rPr>
          <w:rFonts w:ascii="Book Antiqua" w:hAnsi="Book Antiqua" w:cs="Book Antiqua" w:hint="eastAsia"/>
          <w:color w:val="000000"/>
          <w:szCs w:val="30"/>
          <w:vertAlign w:val="superscript"/>
          <w:lang w:eastAsia="zh-CN"/>
        </w:rPr>
        <w:t>3</w:t>
      </w:r>
      <w:r w:rsidR="003A70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IBD patients carrying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T allele and undergoing AZA treatment presented a more active disease, measured as pediatric ulcerative colitis activity/pediatric Crohn's disease activity (PUCAI/PCDAI) indices &gt;</w:t>
      </w:r>
      <w:r w:rsidR="003A7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according to standard clinical practice. No association between the rs2413739 variant and either TPMT activity or TGN/MMPN levels was found, suggesting a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-independent effect on the clinical </w:t>
      </w:r>
      <w:proofErr w:type="gramStart"/>
      <w:r>
        <w:rPr>
          <w:rFonts w:ascii="Book Antiqua" w:eastAsia="Book Antiqua" w:hAnsi="Book Antiqua" w:cs="Book Antiqua"/>
          <w:color w:val="000000"/>
        </w:rPr>
        <w:t>phenotype</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Enzymatic activity was significantly higher in the ALL patients than in the IBD </w:t>
      </w:r>
      <w:proofErr w:type="gramStart"/>
      <w:r>
        <w:rPr>
          <w:rFonts w:ascii="Book Antiqua" w:eastAsia="Book Antiqua" w:hAnsi="Book Antiqua" w:cs="Book Antiqua"/>
          <w:color w:val="000000"/>
        </w:rPr>
        <w:t>patients</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different impact of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SNP rs2413739 on TPMT activity could be partially explained by patient</w:t>
      </w:r>
      <w:r>
        <w:rPr>
          <w:rFonts w:ascii="Book Antiqua" w:eastAsia="Book Antiqua" w:hAnsi="Book Antiqua" w:cs="Book Antiqua"/>
          <w:color w:val="000000"/>
        </w:rPr>
        <w:t xml:space="preserve"> age: </w:t>
      </w:r>
      <w:r w:rsidR="005C314D">
        <w:rPr>
          <w:rFonts w:ascii="Book Antiqua" w:eastAsia="Book Antiqua" w:hAnsi="Book Antiqua" w:cs="Book Antiqua"/>
          <w:color w:val="000000"/>
        </w:rPr>
        <w:t xml:space="preserve">The </w:t>
      </w:r>
      <w:r>
        <w:rPr>
          <w:rFonts w:ascii="Book Antiqua" w:eastAsia="Book Antiqua" w:hAnsi="Book Antiqua" w:cs="Book Antiqua"/>
          <w:color w:val="000000"/>
        </w:rPr>
        <w:t>ALL cohort c</w:t>
      </w:r>
      <w:r>
        <w:rPr>
          <w:rFonts w:ascii="Book Antiqua" w:eastAsia="Book Antiqua" w:hAnsi="Book Antiqua" w:cs="Book Antiqua"/>
          <w:color w:val="000000"/>
        </w:rPr>
        <w:t xml:space="preserve">omprised children under 10 years, while the IBD patients were mainly teenagers. The authors hypothesized that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genetic impact on TPMT activity could be more evident in younger patients, who seemed to have increased TPMT </w:t>
      </w:r>
      <w:proofErr w:type="gramStart"/>
      <w:r>
        <w:rPr>
          <w:rFonts w:ascii="Book Antiqua" w:eastAsia="Book Antiqua" w:hAnsi="Book Antiqua" w:cs="Book Antiqua"/>
          <w:color w:val="000000"/>
        </w:rPr>
        <w:t>activity</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34</w:t>
      </w:r>
      <w:r w:rsidR="003A704A">
        <w:rPr>
          <w:rFonts w:ascii="Book Antiqua" w:hAnsi="Book Antiqua" w:cs="Book Antiqua" w:hint="eastAsia"/>
          <w:color w:val="000000"/>
          <w:szCs w:val="30"/>
          <w:vertAlign w:val="superscript"/>
          <w:lang w:eastAsia="zh-CN"/>
        </w:rPr>
        <w:t>,</w:t>
      </w:r>
      <w:r w:rsidR="003A704A">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Moreover, concomitant treatment with MTX in the ALL cohort could contribute to discrepancies in the results; MTX could impact S-</w:t>
      </w:r>
      <w:proofErr w:type="spellStart"/>
      <w:r>
        <w:rPr>
          <w:rFonts w:ascii="Book Antiqua" w:eastAsia="Book Antiqua" w:hAnsi="Book Antiqua" w:cs="Book Antiqua"/>
          <w:color w:val="000000"/>
        </w:rPr>
        <w:t>adenosyl</w:t>
      </w:r>
      <w:proofErr w:type="spellEnd"/>
      <w:r>
        <w:rPr>
          <w:rFonts w:ascii="Book Antiqua" w:eastAsia="Book Antiqua" w:hAnsi="Book Antiqua" w:cs="Book Antiqua"/>
          <w:color w:val="000000"/>
        </w:rPr>
        <w:t xml:space="preserve"> methionine levels, a TPMT cofactor responsible for the stability of the </w:t>
      </w:r>
      <w:proofErr w:type="gramStart"/>
      <w:r>
        <w:rPr>
          <w:rFonts w:ascii="Book Antiqua" w:eastAsia="Book Antiqua" w:hAnsi="Book Antiqua" w:cs="Book Antiqua"/>
          <w:color w:val="000000"/>
        </w:rPr>
        <w:t>protein</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Since Franca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did not detect significant changes in TGN levels in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T allele carriers, they hypothesized a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-independent effect of PACSIN2 on GI toxicity </w:t>
      </w:r>
      <w:r>
        <w:rPr>
          <w:rFonts w:ascii="Book Antiqua" w:eastAsia="Book Antiqua" w:hAnsi="Book Antiqua" w:cs="Book Antiqua"/>
          <w:color w:val="000000"/>
        </w:rPr>
        <w:lastRenderedPageBreak/>
        <w:t xml:space="preserve">and a tissue-specific role of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in the intestine. Notably, the Genotype-Tissue Expression Portal (</w:t>
      </w:r>
      <w:proofErr w:type="spellStart"/>
      <w:r>
        <w:rPr>
          <w:rFonts w:ascii="Book Antiqua" w:eastAsia="Book Antiqua" w:hAnsi="Book Antiqua" w:cs="Book Antiqua"/>
          <w:color w:val="000000"/>
        </w:rPr>
        <w:t>GTEx</w:t>
      </w:r>
      <w:proofErr w:type="spellEnd"/>
      <w:r>
        <w:rPr>
          <w:rFonts w:ascii="Book Antiqua" w:eastAsia="Book Antiqua" w:hAnsi="Book Antiqua" w:cs="Book Antiqua"/>
          <w:color w:val="000000"/>
        </w:rPr>
        <w:t xml:space="preserve">) shows that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and</w:t>
      </w:r>
      <w:r>
        <w:rPr>
          <w:rFonts w:ascii="Book Antiqua" w:eastAsia="Book Antiqua" w:hAnsi="Book Antiqua" w:cs="Book Antiqua"/>
          <w:i/>
          <w:iCs/>
          <w:color w:val="000000"/>
        </w:rPr>
        <w:t xml:space="preserve"> TPMT </w:t>
      </w:r>
      <w:r>
        <w:rPr>
          <w:rFonts w:ascii="Book Antiqua" w:eastAsia="Book Antiqua" w:hAnsi="Book Antiqua" w:cs="Book Antiqua"/>
          <w:color w:val="000000"/>
        </w:rPr>
        <w:t>expression levels are increased in blood an</w:t>
      </w:r>
      <w:r>
        <w:rPr>
          <w:rFonts w:ascii="Book Antiqua" w:eastAsia="Book Antiqua" w:hAnsi="Book Antiqua" w:cs="Book Antiqua"/>
          <w:color w:val="000000"/>
        </w:rPr>
        <w:t>d in</w:t>
      </w:r>
      <w:r w:rsidR="005C314D">
        <w:rPr>
          <w:rFonts w:ascii="Book Antiqua" w:eastAsia="Book Antiqua" w:hAnsi="Book Antiqua" w:cs="Book Antiqua"/>
          <w:color w:val="000000"/>
        </w:rPr>
        <w:t xml:space="preserve"> the</w:t>
      </w:r>
      <w:r>
        <w:rPr>
          <w:rFonts w:ascii="Book Antiqua" w:eastAsia="Book Antiqua" w:hAnsi="Book Antiqua" w:cs="Book Antiqua"/>
          <w:color w:val="000000"/>
        </w:rPr>
        <w:t xml:space="preserve"> esophageal mucosa of</w:t>
      </w:r>
      <w:r w:rsidR="005C314D" w:rsidRPr="005C314D">
        <w:rPr>
          <w:rFonts w:ascii="Book Antiqua" w:eastAsia="Book Antiqua" w:hAnsi="Book Antiqua" w:cs="Book Antiqua"/>
          <w:color w:val="000000"/>
        </w:rPr>
        <w:t xml:space="preserve"> </w:t>
      </w:r>
      <w:r w:rsidR="005C314D">
        <w:rPr>
          <w:rFonts w:ascii="Book Antiqua" w:eastAsia="Book Antiqua" w:hAnsi="Book Antiqua" w:cs="Book Antiqua"/>
          <w:color w:val="000000"/>
        </w:rPr>
        <w:t>healthy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rs2413739 T allele</w:t>
      </w:r>
      <w:r w:rsidR="005C314D">
        <w:rPr>
          <w:rFonts w:ascii="Book Antiqua" w:eastAsia="Book Antiqua" w:hAnsi="Book Antiqua" w:cs="Book Antiqua"/>
          <w:color w:val="000000"/>
        </w:rPr>
        <w:t xml:space="preserve"> </w:t>
      </w:r>
      <w:r>
        <w:rPr>
          <w:rFonts w:ascii="Book Antiqua" w:eastAsia="Book Antiqua" w:hAnsi="Book Antiqua" w:cs="Book Antiqua"/>
          <w:color w:val="000000"/>
        </w:rPr>
        <w:t xml:space="preserve">carriers but not in the small intestine and colon of these subjects, supporting the idea that the enhanced GI toxicity observed in TT patients is not related to differential expression </w:t>
      </w:r>
      <w:r>
        <w:rPr>
          <w:rFonts w:ascii="Book Antiqua" w:eastAsia="Book Antiqua" w:hAnsi="Book Antiqua" w:cs="Book Antiqua"/>
          <w:color w:val="000000"/>
        </w:rPr>
        <w:t xml:space="preserve">of </w:t>
      </w:r>
      <w:r>
        <w:rPr>
          <w:rFonts w:ascii="Book Antiqua" w:eastAsia="Book Antiqua" w:hAnsi="Book Antiqua" w:cs="Book Antiqua"/>
          <w:i/>
          <w:iCs/>
          <w:color w:val="000000"/>
        </w:rPr>
        <w:t xml:space="preserve">TPMT </w:t>
      </w:r>
      <w:r>
        <w:rPr>
          <w:rFonts w:ascii="Book Antiqua" w:eastAsia="Book Antiqua" w:hAnsi="Book Antiqua" w:cs="Book Antiqua"/>
          <w:color w:val="000000"/>
        </w:rPr>
        <w:t xml:space="preserve">in the GI </w:t>
      </w:r>
      <w:proofErr w:type="gramStart"/>
      <w:r>
        <w:rPr>
          <w:rFonts w:ascii="Book Antiqua" w:eastAsia="Book Antiqua" w:hAnsi="Book Antiqua" w:cs="Book Antiqua"/>
          <w:color w:val="000000"/>
        </w:rPr>
        <w:t>tract</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Other evidence regarding PACSIN2 suggests its role as a regulator of intestinal mucosal homeostasis and inflammation. Intriguingly, an </w:t>
      </w:r>
      <w:proofErr w:type="spellStart"/>
      <w:r>
        <w:rPr>
          <w:rFonts w:ascii="Book Antiqua" w:eastAsia="Book Antiqua" w:hAnsi="Book Antiqua" w:cs="Book Antiqua"/>
          <w:color w:val="000000"/>
        </w:rPr>
        <w:t>underinvestigated</w:t>
      </w:r>
      <w:proofErr w:type="spellEnd"/>
      <w:r>
        <w:rPr>
          <w:rFonts w:ascii="Book Antiqua" w:eastAsia="Book Antiqua" w:hAnsi="Book Antiqua" w:cs="Book Antiqua"/>
          <w:color w:val="000000"/>
        </w:rPr>
        <w:t xml:space="preserve"> mechanism of IBD pathogenesis is VE-cadherin-directed vascular barrier </w:t>
      </w:r>
      <w:proofErr w:type="gramStart"/>
      <w:r>
        <w:rPr>
          <w:rFonts w:ascii="Book Antiqua" w:eastAsia="Book Antiqua" w:hAnsi="Book Antiqua" w:cs="Book Antiqua"/>
          <w:color w:val="000000"/>
        </w:rPr>
        <w:t>disruption</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and PACSIN2 has been recognized as a regulator of cell–cell adhesion in the endothelium through the inhibition of asymmetric VE-cadherin internalization from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junctions</w:t>
      </w:r>
      <w:r w:rsidR="003A704A">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w:t>
      </w:r>
      <w:r w:rsidR="003463EE" w:rsidRPr="003463EE">
        <w:rPr>
          <w:rFonts w:ascii="Book Antiqua" w:hAnsi="Book Antiqua" w:cs="Book Antiqua" w:hint="eastAsia"/>
          <w:i/>
          <w:color w:val="000000"/>
          <w:lang w:eastAsia="zh-CN"/>
        </w:rPr>
        <w:t>et al</w:t>
      </w:r>
      <w:r w:rsidR="003A704A">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performed an agnostic gene expression analysis in the human B leukemia cell line NALM6 and identified autophagy as one of the pathways significantly affected by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knockdown, thus suggesting a possible role of this gene in autophagy, another mechanism involved in IBD pathogenesis</w:t>
      </w:r>
      <w:r w:rsidR="003A704A">
        <w:rPr>
          <w:rFonts w:ascii="Book Antiqua" w:eastAsia="Book Antiqua" w:hAnsi="Book Antiqua" w:cs="Book Antiqua"/>
          <w:color w:val="000000"/>
          <w:szCs w:val="30"/>
          <w:vertAlign w:val="superscript"/>
        </w:rPr>
        <w:t>[</w:t>
      </w:r>
      <w:r w:rsidR="003A704A">
        <w:rPr>
          <w:rFonts w:ascii="Book Antiqua" w:hAnsi="Book Antiqua" w:cs="Book Antiqua" w:hint="eastAsia"/>
          <w:color w:val="000000"/>
          <w:szCs w:val="30"/>
          <w:vertAlign w:val="superscript"/>
          <w:lang w:eastAsia="zh-CN"/>
        </w:rPr>
        <w:t>32,</w:t>
      </w:r>
      <w:r w:rsidR="003A704A">
        <w:rPr>
          <w:rFonts w:ascii="Book Antiqua" w:eastAsia="Book Antiqua" w:hAnsi="Book Antiqua" w:cs="Book Antiqua"/>
          <w:color w:val="000000"/>
          <w:szCs w:val="30"/>
          <w:vertAlign w:val="superscript"/>
        </w:rPr>
        <w:t>40</w:t>
      </w:r>
      <w:r w:rsidR="003A704A">
        <w:rPr>
          <w:rFonts w:ascii="Book Antiqua" w:hAnsi="Book Antiqua" w:cs="Book Antiqua" w:hint="eastAsia"/>
          <w:color w:val="000000"/>
          <w:szCs w:val="30"/>
          <w:vertAlign w:val="superscript"/>
          <w:lang w:eastAsia="zh-CN"/>
        </w:rPr>
        <w:t>,</w:t>
      </w:r>
      <w:r w:rsidR="003A704A">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Moreover, the human protein ATLAS report shows that lower levels of </w:t>
      </w:r>
      <w:r w:rsidRPr="008C03AA">
        <w:rPr>
          <w:rFonts w:ascii="Book Antiqua" w:eastAsia="Book Antiqua" w:hAnsi="Book Antiqua" w:cs="Book Antiqua"/>
          <w:iCs/>
          <w:color w:val="000000"/>
        </w:rPr>
        <w:t>PACSIN2</w:t>
      </w:r>
      <w:r>
        <w:rPr>
          <w:rFonts w:ascii="Book Antiqua" w:eastAsia="Book Antiqua" w:hAnsi="Book Antiqua" w:cs="Book Antiqua"/>
          <w:color w:val="000000"/>
        </w:rPr>
        <w:t xml:space="preserve"> are related to a reduced survival probability in colorectal adenocarcinoma patients, leaving open the question of whether PACSIN2 is a marker of therapeutic response or a contributing factor to intestinal cancer </w:t>
      </w:r>
      <w:proofErr w:type="gramStart"/>
      <w:r>
        <w:rPr>
          <w:rFonts w:ascii="Book Antiqua" w:eastAsia="Book Antiqua" w:hAnsi="Book Antiqua" w:cs="Book Antiqua"/>
          <w:color w:val="000000"/>
        </w:rPr>
        <w:t>progression</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Dedicated studies to clarify the issue of PACSIN2 and GI pathology are needed; however, all this evidence supports the hypothesis that PACSIN2 could be a susceptibility factor for intestinal tissue damage.</w:t>
      </w:r>
    </w:p>
    <w:p w14:paraId="47DCBE12" w14:textId="77777777" w:rsidR="00A77B3E" w:rsidRDefault="005D0E0B" w:rsidP="003A704A">
      <w:pPr>
        <w:spacing w:line="360" w:lineRule="auto"/>
        <w:ind w:firstLineChars="100" w:firstLine="240"/>
        <w:jc w:val="both"/>
      </w:pP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-derived </w:t>
      </w:r>
      <w:proofErr w:type="spellStart"/>
      <w:r>
        <w:rPr>
          <w:rFonts w:ascii="Book Antiqua" w:eastAsia="Book Antiqua" w:hAnsi="Book Antiqua" w:cs="Book Antiqua"/>
          <w:color w:val="000000"/>
        </w:rPr>
        <w:t>tGTPs</w:t>
      </w:r>
      <w:proofErr w:type="spellEnd"/>
      <w:r>
        <w:rPr>
          <w:rFonts w:ascii="Book Antiqua" w:eastAsia="Book Antiqua" w:hAnsi="Book Antiqua" w:cs="Book Antiqua"/>
          <w:color w:val="000000"/>
        </w:rPr>
        <w:t xml:space="preserve"> are able to compete with GTP on Rac-1, a Rho-</w:t>
      </w:r>
      <w:proofErr w:type="spellStart"/>
      <w:r>
        <w:rPr>
          <w:rFonts w:ascii="Book Antiqua" w:eastAsia="Book Antiqua" w:hAnsi="Book Antiqua" w:cs="Book Antiqua"/>
          <w:color w:val="000000"/>
        </w:rPr>
        <w:t>GTPase</w:t>
      </w:r>
      <w:proofErr w:type="spellEnd"/>
      <w:r>
        <w:rPr>
          <w:rFonts w:ascii="Book Antiqua" w:eastAsia="Book Antiqua" w:hAnsi="Book Antiqua" w:cs="Book Antiqua"/>
          <w:color w:val="000000"/>
        </w:rPr>
        <w:t xml:space="preserve"> involved in cellular proliferation. It can be hypothesized that factors reducing Rac-1 expression or activity could influence cell susceptibility to cytotoxic </w:t>
      </w:r>
      <w:r w:rsidRPr="008C03AA">
        <w:rPr>
          <w:rFonts w:ascii="Book Antiqua" w:eastAsia="Book Antiqua" w:hAnsi="Book Antiqua" w:cs="Book Antiqua"/>
          <w:iCs/>
          <w:color w:val="000000"/>
        </w:rPr>
        <w:t>stimuli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thus contributing to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efficacy and toxicity. Interestingly, Rac-1 was able to bind PACSIN2 through a physical </w:t>
      </w:r>
      <w:proofErr w:type="gramStart"/>
      <w:r>
        <w:rPr>
          <w:rFonts w:ascii="Book Antiqua" w:eastAsia="Book Antiqua" w:hAnsi="Book Antiqua" w:cs="Book Antiqua"/>
          <w:color w:val="000000"/>
        </w:rPr>
        <w:t>interaction</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protein–protein interaction seemed to be responsible for reciprocal regulation: Rac-1 activity controlled PACSIN2 cellular distribution, whereas PACSIN2 could negatively modulate Rac-1 activity</w:t>
      </w:r>
      <w:r w:rsidR="003A704A">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data showed decreased activity of Rac-1 in the presence of the rs34932801 (G&gt;C) SNP in the </w:t>
      </w:r>
      <w:r>
        <w:rPr>
          <w:rFonts w:ascii="Book Antiqua" w:eastAsia="Book Antiqua" w:hAnsi="Book Antiqua" w:cs="Book Antiqua"/>
          <w:i/>
          <w:iCs/>
          <w:color w:val="000000"/>
        </w:rPr>
        <w:lastRenderedPageBreak/>
        <w:t>RAC1</w:t>
      </w:r>
      <w:r>
        <w:rPr>
          <w:rFonts w:ascii="Book Antiqua" w:eastAsia="Book Antiqua" w:hAnsi="Book Antiqua" w:cs="Book Antiqua"/>
          <w:color w:val="000000"/>
        </w:rPr>
        <w:t xml:space="preserve"> promoter, and interestingly, this polymorphism was associated with MP hematologic toxicity in a cohort of European IBD </w:t>
      </w:r>
      <w:proofErr w:type="gramStart"/>
      <w:r>
        <w:rPr>
          <w:rFonts w:ascii="Book Antiqua" w:eastAsia="Book Antiqua" w:hAnsi="Book Antiqua" w:cs="Book Antiqua"/>
          <w:color w:val="000000"/>
        </w:rPr>
        <w:t>patients</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Another study reported that Rac-1 expression levels decreased during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maintenance therapy in IBD patients and that MP responders presented lower Rac-1 expression and activity levels, whereas in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these parameters were increased. On these bases, Rac-1 was proposed as a potential biomarker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effectiveness in </w:t>
      </w:r>
      <w:proofErr w:type="gramStart"/>
      <w:r>
        <w:rPr>
          <w:rFonts w:ascii="Book Antiqua" w:eastAsia="Book Antiqua" w:hAnsi="Book Antiqua" w:cs="Book Antiqua"/>
          <w:color w:val="000000"/>
        </w:rPr>
        <w:t>IBD</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Intriguingly, conditional disruption of Rac-1 in phagocytes of mice resulted in protection from </w:t>
      </w:r>
      <w:proofErr w:type="gramStart"/>
      <w:r>
        <w:rPr>
          <w:rFonts w:ascii="Book Antiqua" w:eastAsia="Book Antiqua" w:hAnsi="Book Antiqua" w:cs="Book Antiqua"/>
          <w:color w:val="000000"/>
        </w:rPr>
        <w:t>colitis</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contrast, Rac-1 and STAT3 signaling have been considered contributing factors to IBD </w:t>
      </w:r>
      <w:proofErr w:type="gramStart"/>
      <w:r>
        <w:rPr>
          <w:rFonts w:ascii="Book Antiqua" w:eastAsia="Book Antiqua" w:hAnsi="Book Antiqua" w:cs="Book Antiqua"/>
          <w:color w:val="000000"/>
        </w:rPr>
        <w:t>development</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and it was found that both the expression and activity levels of Rac-1 were directly related to colon inflammation grade</w:t>
      </w:r>
      <w:r w:rsidR="003A704A">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Sustained Rac-1-GTP activity in </w:t>
      </w:r>
      <w:r w:rsidRPr="008C03AA">
        <w:rPr>
          <w:rFonts w:ascii="Book Antiqua" w:eastAsia="Book Antiqua" w:hAnsi="Book Antiqua" w:cs="Book Antiqua"/>
          <w:iCs/>
          <w:color w:val="000000"/>
        </w:rPr>
        <w:t xml:space="preserve">lamina </w:t>
      </w:r>
      <w:proofErr w:type="spellStart"/>
      <w:r w:rsidRPr="008C03AA">
        <w:rPr>
          <w:rFonts w:ascii="Book Antiqua" w:eastAsia="Book Antiqua" w:hAnsi="Book Antiqua" w:cs="Book Antiqua"/>
          <w:iCs/>
          <w:color w:val="000000"/>
        </w:rPr>
        <w:t>propria</w:t>
      </w:r>
      <w:proofErr w:type="spellEnd"/>
      <w:r>
        <w:rPr>
          <w:rFonts w:ascii="Book Antiqua" w:eastAsia="Book Antiqua" w:hAnsi="Book Antiqua" w:cs="Book Antiqua"/>
          <w:color w:val="000000"/>
        </w:rPr>
        <w:t xml:space="preserve"> T lymphocytes could be more difficult to counteract by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and lead to resistance of T lymphocytes to apoptosis and thus to their unrestrained accumulation, which subsequently results in the amplification of the inflammatory response in the GI tract. In this sense, in IBD patients, Rac-1 could represent a biomarker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-induced GI toxicity and of disease severity and progression, without a clear discrimination between the two clinical phenotypes.</w:t>
      </w:r>
    </w:p>
    <w:p w14:paraId="7A749931" w14:textId="3A194801" w:rsidR="00A77B3E" w:rsidRPr="003A704A" w:rsidRDefault="005D0E0B" w:rsidP="003A704A">
      <w:pPr>
        <w:spacing w:line="360" w:lineRule="auto"/>
        <w:ind w:firstLineChars="100" w:firstLine="240"/>
        <w:jc w:val="both"/>
        <w:rPr>
          <w:lang w:eastAsia="zh-CN"/>
        </w:rPr>
      </w:pPr>
      <w:r>
        <w:rPr>
          <w:rFonts w:ascii="Book Antiqua" w:eastAsia="Book Antiqua" w:hAnsi="Book Antiqua" w:cs="Book Antiqua"/>
          <w:color w:val="000000"/>
        </w:rPr>
        <w:t xml:space="preserve">Another potential biomarker 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GI toxicity is the inosine triphosphate </w:t>
      </w:r>
      <w:proofErr w:type="spellStart"/>
      <w:r>
        <w:rPr>
          <w:rFonts w:ascii="Book Antiqua" w:eastAsia="Book Antiqua" w:hAnsi="Book Antiqua" w:cs="Book Antiqua"/>
          <w:color w:val="000000"/>
        </w:rPr>
        <w:t>pyrophosphatase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ITPA</w:t>
      </w:r>
      <w:r>
        <w:rPr>
          <w:rFonts w:ascii="Book Antiqua" w:eastAsia="Book Antiqua" w:hAnsi="Book Antiqua" w:cs="Book Antiqua"/>
          <w:color w:val="000000"/>
        </w:rPr>
        <w:t xml:space="preserve">) gene. ITPA is one of the enzymes involved in the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metabolic pathway. By hydrolyzing inosine triphosphate (ITP) and </w:t>
      </w:r>
      <w:proofErr w:type="spellStart"/>
      <w:r>
        <w:rPr>
          <w:rFonts w:ascii="Book Antiqua" w:eastAsia="Book Antiqua" w:hAnsi="Book Antiqua" w:cs="Book Antiqua"/>
          <w:color w:val="000000"/>
        </w:rPr>
        <w:t>xanthosine</w:t>
      </w:r>
      <w:proofErr w:type="spellEnd"/>
      <w:r>
        <w:rPr>
          <w:rFonts w:ascii="Book Antiqua" w:eastAsia="Book Antiqua" w:hAnsi="Book Antiqua" w:cs="Book Antiqua"/>
          <w:color w:val="000000"/>
        </w:rPr>
        <w:t xml:space="preserve"> triphosphate nucleotides (XTP) into their monophosphate derivatives (IMP and XMP, respectively), ITPA prevents the accumulation of these </w:t>
      </w:r>
      <w:proofErr w:type="spellStart"/>
      <w:r>
        <w:rPr>
          <w:rFonts w:ascii="Book Antiqua" w:eastAsia="Book Antiqua" w:hAnsi="Book Antiqua" w:cs="Book Antiqua"/>
          <w:color w:val="000000"/>
        </w:rPr>
        <w:t>noncanonical</w:t>
      </w:r>
      <w:proofErr w:type="spellEnd"/>
      <w:r>
        <w:rPr>
          <w:rFonts w:ascii="Book Antiqua" w:eastAsia="Book Antiqua" w:hAnsi="Book Antiqua" w:cs="Book Antiqua"/>
          <w:color w:val="000000"/>
        </w:rPr>
        <w:t xml:space="preserve"> metabolites in cells and their incorporation into DNA or RNA, where they can interact with DNA/RNA polymerase </w:t>
      </w:r>
      <w:proofErr w:type="gramStart"/>
      <w:r>
        <w:rPr>
          <w:rFonts w:ascii="Book Antiqua" w:eastAsia="Book Antiqua" w:hAnsi="Book Antiqua" w:cs="Book Antiqua"/>
          <w:color w:val="000000"/>
        </w:rPr>
        <w:t>activity</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thioinosine</w:t>
      </w:r>
      <w:proofErr w:type="spellEnd"/>
      <w:r>
        <w:rPr>
          <w:rFonts w:ascii="Book Antiqua" w:eastAsia="Book Antiqua" w:hAnsi="Book Antiqua" w:cs="Book Antiqua"/>
          <w:color w:val="000000"/>
        </w:rPr>
        <w:t xml:space="preserve"> analog (</w:t>
      </w:r>
      <w:proofErr w:type="spellStart"/>
      <w:r>
        <w:rPr>
          <w:rFonts w:ascii="Book Antiqua" w:eastAsia="Book Antiqua" w:hAnsi="Book Antiqua" w:cs="Book Antiqua"/>
          <w:color w:val="000000"/>
        </w:rPr>
        <w:t>tIMP</w:t>
      </w:r>
      <w:proofErr w:type="spellEnd"/>
      <w:r>
        <w:rPr>
          <w:rFonts w:ascii="Book Antiqua" w:eastAsia="Book Antiqua" w:hAnsi="Book Antiqua" w:cs="Book Antiqua"/>
          <w:color w:val="000000"/>
        </w:rPr>
        <w:t xml:space="preserve">), an intermediate of MP conversion to TGN, is converted to </w:t>
      </w:r>
      <w:proofErr w:type="spellStart"/>
      <w:r>
        <w:rPr>
          <w:rFonts w:ascii="Book Antiqua" w:eastAsia="Book Antiqua" w:hAnsi="Book Antiqua" w:cs="Book Antiqua"/>
          <w:color w:val="000000"/>
        </w:rPr>
        <w:t>tITP</w:t>
      </w:r>
      <w:proofErr w:type="spellEnd"/>
      <w:r>
        <w:rPr>
          <w:rFonts w:ascii="Book Antiqua" w:eastAsia="Book Antiqua" w:hAnsi="Book Antiqua" w:cs="Book Antiqua"/>
          <w:color w:val="000000"/>
        </w:rPr>
        <w:t>, which is also an ITPA substrate (Figure 1). A study performed on a large childhood ALL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511), treated according to the AIEOP-BFM-2000 protocol, showed that the missense variant rs1127354 (C&gt;A, p. Pro32Thr) in </w:t>
      </w:r>
      <w:r>
        <w:rPr>
          <w:rFonts w:ascii="Book Antiqua" w:eastAsia="Book Antiqua" w:hAnsi="Book Antiqua" w:cs="Book Antiqua"/>
          <w:i/>
          <w:iCs/>
          <w:color w:val="000000"/>
        </w:rPr>
        <w:t>ITPA</w:t>
      </w:r>
      <w:r>
        <w:rPr>
          <w:rFonts w:ascii="Book Antiqua" w:eastAsia="Book Antiqua" w:hAnsi="Book Antiqua" w:cs="Book Antiqua"/>
          <w:color w:val="000000"/>
        </w:rPr>
        <w:t xml:space="preserve"> was associated with a higher risk of severe GI toxicity during induction/consolidation </w:t>
      </w:r>
      <w:proofErr w:type="gramStart"/>
      <w:r>
        <w:rPr>
          <w:rFonts w:ascii="Book Antiqua" w:eastAsia="Book Antiqua" w:hAnsi="Book Antiqua" w:cs="Book Antiqua"/>
          <w:color w:val="000000"/>
        </w:rPr>
        <w:t>therapy</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This missense variant partially reduces ITPA enzymatic activity in heterozygotes and completely reduces ITPA enzymatic activity in </w:t>
      </w:r>
      <w:r>
        <w:rPr>
          <w:rFonts w:ascii="Book Antiqua" w:eastAsia="Book Antiqua" w:hAnsi="Book Antiqua" w:cs="Book Antiqua"/>
          <w:color w:val="000000"/>
        </w:rPr>
        <w:lastRenderedPageBreak/>
        <w:t xml:space="preserve">variant </w:t>
      </w:r>
      <w:proofErr w:type="gramStart"/>
      <w:r>
        <w:rPr>
          <w:rFonts w:ascii="Book Antiqua" w:eastAsia="Book Antiqua" w:hAnsi="Book Antiqua" w:cs="Book Antiqua"/>
          <w:color w:val="000000"/>
        </w:rPr>
        <w:t>homozygotes</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49</w:t>
      </w:r>
      <w:r w:rsidR="003A704A">
        <w:rPr>
          <w:rFonts w:ascii="Book Antiqua" w:hAnsi="Book Antiqua" w:cs="Book Antiqua" w:hint="eastAsia"/>
          <w:color w:val="000000"/>
          <w:szCs w:val="30"/>
          <w:vertAlign w:val="superscript"/>
          <w:lang w:eastAsia="zh-CN"/>
        </w:rPr>
        <w:t>,</w:t>
      </w:r>
      <w:r w:rsidR="003A704A">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stimulating the accumulation of unusual </w:t>
      </w:r>
      <w:proofErr w:type="spellStart"/>
      <w:r>
        <w:rPr>
          <w:rFonts w:ascii="Book Antiqua" w:eastAsia="Book Antiqua" w:hAnsi="Book Antiqua" w:cs="Book Antiqua"/>
          <w:color w:val="000000"/>
        </w:rPr>
        <w:t>tITP</w:t>
      </w:r>
      <w:proofErr w:type="spellEnd"/>
      <w:r>
        <w:rPr>
          <w:rFonts w:ascii="Book Antiqua" w:eastAsia="Book Antiqua" w:hAnsi="Book Antiqua" w:cs="Book Antiqua"/>
          <w:color w:val="000000"/>
        </w:rPr>
        <w:t xml:space="preserve"> with the potential to cause adverse metabolic effects</w:t>
      </w:r>
      <w:r w:rsidR="003A704A">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Other studies in pediatric ALL patients showed contradictory results on the </w:t>
      </w:r>
      <w:r>
        <w:rPr>
          <w:rFonts w:ascii="Book Antiqua" w:eastAsia="Book Antiqua" w:hAnsi="Book Antiqua" w:cs="Book Antiqua"/>
          <w:i/>
          <w:iCs/>
          <w:color w:val="000000"/>
        </w:rPr>
        <w:t>ITPA</w:t>
      </w:r>
      <w:r>
        <w:rPr>
          <w:rFonts w:ascii="Book Antiqua" w:eastAsia="Book Antiqua" w:hAnsi="Book Antiqua" w:cs="Book Antiqua"/>
          <w:color w:val="000000"/>
        </w:rPr>
        <w:t xml:space="preserve"> rs1127354 association with </w:t>
      </w:r>
      <w:proofErr w:type="gramStart"/>
      <w:r>
        <w:rPr>
          <w:rFonts w:ascii="Book Antiqua" w:eastAsia="Book Antiqua" w:hAnsi="Book Antiqua" w:cs="Book Antiqua"/>
          <w:color w:val="000000"/>
        </w:rPr>
        <w:t>myelotoxicity</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52</w:t>
      </w:r>
      <w:r w:rsidR="003A704A">
        <w:rPr>
          <w:rFonts w:ascii="Book Antiqua" w:hAnsi="Book Antiqua" w:cs="Book Antiqua" w:hint="eastAsia"/>
          <w:color w:val="000000"/>
          <w:szCs w:val="30"/>
          <w:vertAlign w:val="superscript"/>
          <w:lang w:eastAsia="zh-CN"/>
        </w:rPr>
        <w:t>-54</w:t>
      </w:r>
      <w:r w:rsidR="003A70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w:t>
      </w:r>
      <w:r w:rsidR="003463EE" w:rsidRPr="003463EE">
        <w:rPr>
          <w:rFonts w:ascii="Book Antiqua" w:hAnsi="Book Antiqua" w:cs="Book Antiqua" w:hint="eastAsia"/>
          <w:i/>
          <w:color w:val="000000"/>
          <w:lang w:eastAsia="zh-CN"/>
        </w:rPr>
        <w:t xml:space="preserve">et </w:t>
      </w:r>
      <w:proofErr w:type="gramStart"/>
      <w:r w:rsidR="003463EE" w:rsidRPr="003463EE">
        <w:rPr>
          <w:rFonts w:ascii="Book Antiqua" w:hAnsi="Book Antiqua" w:cs="Book Antiqua" w:hint="eastAsia"/>
          <w:i/>
          <w:color w:val="000000"/>
          <w:lang w:eastAsia="zh-CN"/>
        </w:rPr>
        <w:t>al</w:t>
      </w:r>
      <w:r w:rsidR="003A704A">
        <w:rPr>
          <w:rFonts w:ascii="Book Antiqua" w:eastAsia="Book Antiqua" w:hAnsi="Book Antiqua" w:cs="Book Antiqua"/>
          <w:color w:val="000000"/>
          <w:szCs w:val="30"/>
          <w:vertAlign w:val="superscript"/>
        </w:rPr>
        <w:t>[</w:t>
      </w:r>
      <w:proofErr w:type="gramEnd"/>
      <w:r w:rsidR="003A704A">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found significantly higher concentrations of MMP</w:t>
      </w:r>
      <w:r w:rsidR="00455888">
        <w:rPr>
          <w:rFonts w:ascii="Book Antiqua" w:eastAsia="Book Antiqua" w:hAnsi="Book Antiqua" w:cs="Book Antiqua"/>
          <w:color w:val="000000"/>
        </w:rPr>
        <w:t>N</w:t>
      </w:r>
      <w:r>
        <w:rPr>
          <w:rFonts w:ascii="Book Antiqua" w:eastAsia="Book Antiqua" w:hAnsi="Book Antiqua" w:cs="Book Antiqua"/>
          <w:color w:val="000000"/>
        </w:rPr>
        <w:t xml:space="preserve"> in patients with the nonfunctional </w:t>
      </w:r>
      <w:r>
        <w:rPr>
          <w:rFonts w:ascii="Book Antiqua" w:eastAsia="Book Antiqua" w:hAnsi="Book Antiqua" w:cs="Book Antiqua"/>
          <w:i/>
          <w:iCs/>
          <w:color w:val="000000"/>
        </w:rPr>
        <w:t>ITPA</w:t>
      </w:r>
      <w:r>
        <w:rPr>
          <w:rFonts w:ascii="Book Antiqua" w:eastAsia="Book Antiqua" w:hAnsi="Book Antiqua" w:cs="Book Antiqua"/>
          <w:color w:val="000000"/>
        </w:rPr>
        <w:t xml:space="preserve"> allele. The association between the </w:t>
      </w:r>
      <w:r>
        <w:rPr>
          <w:rFonts w:ascii="Book Antiqua" w:eastAsia="Book Antiqua" w:hAnsi="Book Antiqua" w:cs="Book Antiqua"/>
          <w:i/>
          <w:iCs/>
          <w:color w:val="000000"/>
        </w:rPr>
        <w:t>ITPA</w:t>
      </w:r>
      <w:r>
        <w:rPr>
          <w:rFonts w:ascii="Book Antiqua" w:eastAsia="Book Antiqua" w:hAnsi="Book Antiqua" w:cs="Book Antiqua"/>
          <w:color w:val="000000"/>
        </w:rPr>
        <w:t xml:space="preserve"> polymorphism and MP metabolism or neutropenia in ALL patients treated with an MP dose adjusted on the basis of the </w:t>
      </w:r>
      <w:r>
        <w:rPr>
          <w:rFonts w:ascii="Book Antiqua" w:eastAsia="Book Antiqua" w:hAnsi="Book Antiqua" w:cs="Book Antiqua"/>
          <w:i/>
          <w:iCs/>
          <w:color w:val="000000"/>
        </w:rPr>
        <w:t>TPMT</w:t>
      </w:r>
      <w:r>
        <w:rPr>
          <w:rFonts w:ascii="Book Antiqua" w:eastAsia="Book Antiqua" w:hAnsi="Book Antiqua" w:cs="Book Antiqua"/>
          <w:color w:val="000000"/>
        </w:rPr>
        <w:t xml:space="preserve"> genotype underlined the important role of this gene in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toxicity.</w:t>
      </w:r>
    </w:p>
    <w:p w14:paraId="6625F924" w14:textId="77777777" w:rsidR="00A77B3E" w:rsidRDefault="00A77B3E">
      <w:pPr>
        <w:spacing w:line="360" w:lineRule="auto"/>
        <w:jc w:val="both"/>
      </w:pPr>
    </w:p>
    <w:p w14:paraId="59D3BC28" w14:textId="77777777" w:rsidR="00A77B3E" w:rsidRDefault="005D0E0B">
      <w:pPr>
        <w:spacing w:line="360" w:lineRule="auto"/>
        <w:jc w:val="both"/>
      </w:pPr>
      <w:r>
        <w:rPr>
          <w:rFonts w:ascii="Book Antiqua" w:eastAsia="Book Antiqua" w:hAnsi="Book Antiqua" w:cs="Book Antiqua"/>
          <w:b/>
          <w:bCs/>
          <w:caps/>
          <w:color w:val="000000"/>
          <w:u w:val="single"/>
        </w:rPr>
        <w:t>Clinical implementations</w:t>
      </w:r>
    </w:p>
    <w:p w14:paraId="2AE641D2" w14:textId="77777777" w:rsidR="00A77B3E" w:rsidRDefault="005D0E0B">
      <w:pPr>
        <w:spacing w:line="360" w:lineRule="auto"/>
        <w:jc w:val="both"/>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rs2413739 SNP could be considered a potential biomarker 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-related GI toxicity, being associated with this clinical phenotype in three independent ALL cohorts and with increased active disease in a cohort of IBD patients. Further investigations are needed to understand the molecular basis of this genetic effect and the functional role of the PACSIN2 protein in the healthy and damaged GI epithelium before its possible translation into the clinic. Additionally, the contribution of </w:t>
      </w:r>
      <w:r>
        <w:rPr>
          <w:rFonts w:ascii="Book Antiqua" w:eastAsia="Book Antiqua" w:hAnsi="Book Antiqua" w:cs="Book Antiqua"/>
          <w:i/>
          <w:iCs/>
          <w:color w:val="000000"/>
        </w:rPr>
        <w:t>RAC1</w:t>
      </w:r>
      <w:r>
        <w:rPr>
          <w:rFonts w:ascii="Book Antiqua" w:eastAsia="Book Antiqua" w:hAnsi="Book Antiqua" w:cs="Book Antiqua"/>
          <w:color w:val="000000"/>
        </w:rPr>
        <w:t xml:space="preserve"> and </w:t>
      </w:r>
      <w:r>
        <w:rPr>
          <w:rFonts w:ascii="Book Antiqua" w:eastAsia="Book Antiqua" w:hAnsi="Book Antiqua" w:cs="Book Antiqua"/>
          <w:i/>
          <w:iCs/>
          <w:color w:val="000000"/>
        </w:rPr>
        <w:t>ITPA</w:t>
      </w:r>
      <w:r>
        <w:rPr>
          <w:rFonts w:ascii="Book Antiqua" w:eastAsia="Book Antiqua" w:hAnsi="Book Antiqua" w:cs="Book Antiqua"/>
          <w:color w:val="000000"/>
        </w:rPr>
        <w:t xml:space="preserve"> SNPs, as potential biomarkers 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-related GI toxicity, requires further validation in patients undergoing therapy with these drugs. Currently, there are no clinical trials focusing on the role of these genes/proteins in GI toxicity in ALL and IBD patients.</w:t>
      </w:r>
    </w:p>
    <w:p w14:paraId="5E77CF5B" w14:textId="75261FC1" w:rsidR="00A77B3E" w:rsidRDefault="005D0E0B" w:rsidP="003A704A">
      <w:pPr>
        <w:spacing w:line="360" w:lineRule="auto"/>
        <w:ind w:firstLineChars="100" w:firstLine="240"/>
        <w:jc w:val="both"/>
      </w:pPr>
      <w:r>
        <w:rPr>
          <w:rFonts w:ascii="Book Antiqua" w:eastAsia="Book Antiqua" w:hAnsi="Book Antiqua" w:cs="Book Antiqua"/>
          <w:color w:val="000000"/>
        </w:rPr>
        <w:t>If these candidates would be confirmed as mark</w:t>
      </w:r>
      <w:r>
        <w:rPr>
          <w:rFonts w:ascii="Book Antiqua" w:eastAsia="Book Antiqua" w:hAnsi="Book Antiqua" w:cs="Book Antiqua"/>
          <w:color w:val="000000"/>
        </w:rPr>
        <w:t xml:space="preserve">ers </w:t>
      </w:r>
      <w:r w:rsidR="00624656">
        <w:rPr>
          <w:rFonts w:ascii="Book Antiqua" w:eastAsia="Book Antiqua" w:hAnsi="Book Antiqua" w:cs="Book Antiqua"/>
          <w:color w:val="000000"/>
        </w:rPr>
        <w:t xml:space="preserve">for </w:t>
      </w:r>
      <w:r>
        <w:rPr>
          <w:rFonts w:ascii="Book Antiqua" w:eastAsia="Book Antiqua" w:hAnsi="Book Antiqua" w:cs="Book Antiqua"/>
          <w:color w:val="000000"/>
        </w:rPr>
        <w:t>GI toxicit</w:t>
      </w:r>
      <w:r>
        <w:rPr>
          <w:rFonts w:ascii="Book Antiqua" w:eastAsia="Book Antiqua" w:hAnsi="Book Antiqua" w:cs="Book Antiqua"/>
          <w:color w:val="000000"/>
        </w:rPr>
        <w:t xml:space="preserve">y, several applications could be speculated in clinical practice. For example, in patients treated with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clinicians could be warned of the patients’ genetic predisposition to GI damage (</w:t>
      </w:r>
      <w:r w:rsidRPr="003A704A">
        <w:rPr>
          <w:rFonts w:ascii="Book Antiqua" w:eastAsia="Book Antiqua" w:hAnsi="Book Antiqua" w:cs="Book Antiqua"/>
          <w:i/>
          <w:color w:val="000000"/>
        </w:rPr>
        <w:t>e.g.</w:t>
      </w:r>
      <w:r>
        <w:rPr>
          <w:rFonts w:ascii="Book Antiqua" w:eastAsia="Book Antiqua" w:hAnsi="Book Antiqua" w:cs="Book Antiqua"/>
          <w:color w:val="000000"/>
        </w:rPr>
        <w:t xml:space="preserve">, patients carrying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rs2413739 or </w:t>
      </w:r>
      <w:r>
        <w:rPr>
          <w:rFonts w:ascii="Book Antiqua" w:eastAsia="Book Antiqua" w:hAnsi="Book Antiqua" w:cs="Book Antiqua"/>
          <w:i/>
          <w:iCs/>
          <w:color w:val="000000"/>
        </w:rPr>
        <w:t>ITPA</w:t>
      </w:r>
      <w:r>
        <w:rPr>
          <w:rFonts w:ascii="Book Antiqua" w:eastAsia="Book Antiqua" w:hAnsi="Book Antiqua" w:cs="Book Antiqua"/>
          <w:color w:val="000000"/>
        </w:rPr>
        <w:t xml:space="preserve"> rs1127354 homozygous variant genotypes). </w:t>
      </w:r>
      <w:proofErr w:type="spellStart"/>
      <w:r>
        <w:rPr>
          <w:rFonts w:ascii="Book Antiqua" w:eastAsia="Book Antiqua" w:hAnsi="Book Antiqua" w:cs="Book Antiqua"/>
          <w:color w:val="000000"/>
        </w:rPr>
        <w:t>Pharmacogenetic</w:t>
      </w:r>
      <w:proofErr w:type="spellEnd"/>
      <w:r>
        <w:rPr>
          <w:rFonts w:ascii="Book Antiqua" w:eastAsia="Book Antiqua" w:hAnsi="Book Antiqua" w:cs="Book Antiqua"/>
          <w:color w:val="000000"/>
        </w:rPr>
        <w:t xml:space="preserve"> information could be used as an alert for physicians, identifying patients who need intensive monitoring for adverse effects or those who should undergo supportive care earlier, even when less severe episodes of toxicity occur.</w:t>
      </w:r>
    </w:p>
    <w:p w14:paraId="355ACD7F" w14:textId="77777777" w:rsidR="00A77B3E" w:rsidRDefault="00A77B3E">
      <w:pPr>
        <w:spacing w:line="360" w:lineRule="auto"/>
        <w:jc w:val="both"/>
      </w:pPr>
    </w:p>
    <w:p w14:paraId="778A4924" w14:textId="77777777" w:rsidR="00A77B3E" w:rsidRDefault="005D0E0B">
      <w:pPr>
        <w:spacing w:line="360" w:lineRule="auto"/>
        <w:jc w:val="both"/>
      </w:pPr>
      <w:r>
        <w:rPr>
          <w:rFonts w:ascii="Book Antiqua" w:eastAsia="Book Antiqua" w:hAnsi="Book Antiqua" w:cs="Book Antiqua"/>
          <w:b/>
          <w:caps/>
          <w:color w:val="000000"/>
          <w:u w:val="single"/>
        </w:rPr>
        <w:t>CONCLUSION</w:t>
      </w:r>
    </w:p>
    <w:p w14:paraId="0F24D946" w14:textId="529D2B1E" w:rsidR="00A77B3E" w:rsidRDefault="005D0E0B">
      <w:pPr>
        <w:spacing w:line="360" w:lineRule="auto"/>
        <w:jc w:val="both"/>
      </w:pPr>
      <w:r>
        <w:rPr>
          <w:rFonts w:ascii="Book Antiqua" w:eastAsia="Book Antiqua" w:hAnsi="Book Antiqua" w:cs="Book Antiqua"/>
          <w:color w:val="000000"/>
        </w:rPr>
        <w:lastRenderedPageBreak/>
        <w:t xml:space="preserve">While highly effective,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are responsible for serious toxicities in ALL and IBD. This scenario points out the im</w:t>
      </w:r>
      <w:r>
        <w:rPr>
          <w:rFonts w:ascii="Book Antiqua" w:eastAsia="Book Antiqua" w:hAnsi="Book Antiqua" w:cs="Book Antiqua"/>
          <w:color w:val="000000"/>
        </w:rPr>
        <w:t>portance of identifying predictive biomarkers for detecting and monitoring</w:t>
      </w:r>
      <w:r w:rsidR="00624656">
        <w:rPr>
          <w:rFonts w:ascii="Book Antiqua" w:eastAsia="Book Antiqua" w:hAnsi="Book Antiqua" w:cs="Book Antiqua"/>
          <w:color w:val="000000"/>
        </w:rPr>
        <w:t xml:space="preserve"> the</w:t>
      </w:r>
      <w:r>
        <w:rPr>
          <w:rFonts w:ascii="Book Antiqua" w:eastAsia="Book Antiqua" w:hAnsi="Book Antiqua" w:cs="Book Antiqua"/>
          <w:color w:val="000000"/>
        </w:rPr>
        <w:t xml:space="preserve"> tissue-specific side effects</w:t>
      </w:r>
      <w:r w:rsidR="00624656" w:rsidRPr="00624656">
        <w:rPr>
          <w:rFonts w:ascii="Book Antiqua" w:eastAsia="Book Antiqua" w:hAnsi="Book Antiqua" w:cs="Book Antiqua"/>
          <w:color w:val="000000"/>
        </w:rPr>
        <w:t xml:space="preserve"> </w:t>
      </w:r>
      <w:r w:rsidR="00624656">
        <w:rPr>
          <w:rFonts w:ascii="Book Antiqua" w:eastAsia="Book Antiqua" w:hAnsi="Book Antiqua" w:cs="Book Antiqua"/>
          <w:color w:val="000000"/>
        </w:rPr>
        <w:t xml:space="preserve">of </w:t>
      </w:r>
      <w:proofErr w:type="spellStart"/>
      <w:r w:rsidR="00624656">
        <w:rPr>
          <w:rFonts w:ascii="Book Antiqua" w:eastAsia="Book Antiqua" w:hAnsi="Book Antiqua" w:cs="Book Antiqua"/>
          <w:color w:val="000000"/>
        </w:rPr>
        <w:t>thiopurine</w:t>
      </w:r>
      <w:proofErr w:type="spellEnd"/>
      <w:r>
        <w:rPr>
          <w:rFonts w:ascii="Book Antiqua" w:eastAsia="Book Antiqua" w:hAnsi="Book Antiqua" w:cs="Book Antiqua"/>
          <w:color w:val="000000"/>
        </w:rPr>
        <w:t>. Data report</w:t>
      </w:r>
      <w:r>
        <w:rPr>
          <w:rFonts w:ascii="Book Antiqua" w:eastAsia="Book Antiqua" w:hAnsi="Book Antiqua" w:cs="Book Antiqua"/>
          <w:color w:val="000000"/>
        </w:rPr>
        <w:t xml:space="preserve">ed in this editorial underline the complexity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pharmacokinetic mechanisms, which could be influenced by multiple genes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able to exert their function on the whole body or through a tissue-specific mechanism of action.</w:t>
      </w:r>
    </w:p>
    <w:p w14:paraId="13B01B30" w14:textId="77777777" w:rsidR="00A77B3E" w:rsidRDefault="00A77B3E">
      <w:pPr>
        <w:spacing w:line="360" w:lineRule="auto"/>
        <w:jc w:val="both"/>
      </w:pPr>
    </w:p>
    <w:p w14:paraId="660FC239" w14:textId="77777777" w:rsidR="00A77B3E" w:rsidRDefault="005D0E0B">
      <w:pPr>
        <w:spacing w:line="360" w:lineRule="auto"/>
        <w:jc w:val="both"/>
      </w:pPr>
      <w:r>
        <w:rPr>
          <w:rFonts w:ascii="Book Antiqua" w:eastAsia="Book Antiqua" w:hAnsi="Book Antiqua" w:cs="Book Antiqua"/>
          <w:b/>
          <w:color w:val="000000"/>
        </w:rPr>
        <w:t>REFERENCES</w:t>
      </w:r>
    </w:p>
    <w:p w14:paraId="059AF0FB" w14:textId="77777777" w:rsidR="00A77B3E" w:rsidRDefault="005D0E0B">
      <w:pPr>
        <w:spacing w:line="360" w:lineRule="auto"/>
        <w:jc w:val="both"/>
      </w:pPr>
      <w:bookmarkStart w:id="3" w:name="OLE_LINK67"/>
      <w:r>
        <w:rPr>
          <w:rFonts w:ascii="Book Antiqua" w:eastAsia="Book Antiqua" w:hAnsi="Book Antiqua" w:cs="Book Antiqua"/>
          <w:color w:val="000000"/>
        </w:rPr>
        <w:t xml:space="preserve">1 </w:t>
      </w:r>
      <w:r>
        <w:rPr>
          <w:rFonts w:ascii="Book Antiqua" w:eastAsia="Book Antiqua" w:hAnsi="Book Antiqua" w:cs="Book Antiqua"/>
          <w:b/>
          <w:bCs/>
          <w:color w:val="000000"/>
        </w:rPr>
        <w:t>Cooper SL</w:t>
      </w:r>
      <w:r>
        <w:rPr>
          <w:rFonts w:ascii="Book Antiqua" w:eastAsia="Book Antiqua" w:hAnsi="Book Antiqua" w:cs="Book Antiqua"/>
          <w:color w:val="000000"/>
        </w:rPr>
        <w:t xml:space="preserve">, Brown PA. Treatment of pediatric acute lymphoblastic leukemia.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61-73 [PMID: 25435112 DOI: 10.1016/j.pcl.2014.09.006]</w:t>
      </w:r>
    </w:p>
    <w:p w14:paraId="241B92B8" w14:textId="77777777" w:rsidR="00A77B3E" w:rsidRDefault="005D0E0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Chande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Patton PH, </w:t>
      </w:r>
      <w:proofErr w:type="spellStart"/>
      <w:r>
        <w:rPr>
          <w:rFonts w:ascii="Book Antiqua" w:eastAsia="Book Antiqua" w:hAnsi="Book Antiqua" w:cs="Book Antiqua"/>
          <w:color w:val="000000"/>
        </w:rPr>
        <w:t>Tsoulis</w:t>
      </w:r>
      <w:proofErr w:type="spellEnd"/>
      <w:r>
        <w:rPr>
          <w:rFonts w:ascii="Book Antiqua" w:eastAsia="Book Antiqua" w:hAnsi="Book Antiqua" w:cs="Book Antiqua"/>
          <w:color w:val="000000"/>
        </w:rPr>
        <w:t xml:space="preserve"> DJ, Thomas BS, MacDonald JK. Azathioprine or 6-mercaptopurine for maintenance of remission in Crohn's disease.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CD000067 [PMID: 26517527 DOI: 10.1002/14651858.CD000067.pub3]</w:t>
      </w:r>
    </w:p>
    <w:p w14:paraId="50D865E6" w14:textId="77777777" w:rsidR="00A77B3E" w:rsidRDefault="005D0E0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Tiede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Fritz G, Strand S, </w:t>
      </w:r>
      <w:proofErr w:type="spellStart"/>
      <w:r>
        <w:rPr>
          <w:rFonts w:ascii="Book Antiqua" w:eastAsia="Book Antiqua" w:hAnsi="Book Antiqua" w:cs="Book Antiqua"/>
          <w:color w:val="000000"/>
        </w:rPr>
        <w:t>Poppe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Dvorsky</w:t>
      </w:r>
      <w:proofErr w:type="spellEnd"/>
      <w:r>
        <w:rPr>
          <w:rFonts w:ascii="Book Antiqua" w:eastAsia="Book Antiqua" w:hAnsi="Book Antiqua" w:cs="Book Antiqua"/>
          <w:color w:val="000000"/>
        </w:rPr>
        <w:t xml:space="preserve"> R, Strand D, Lehr HA, </w:t>
      </w:r>
      <w:proofErr w:type="spellStart"/>
      <w:r>
        <w:rPr>
          <w:rFonts w:ascii="Book Antiqua" w:eastAsia="Book Antiqua" w:hAnsi="Book Antiqua" w:cs="Book Antiqua"/>
          <w:color w:val="000000"/>
        </w:rPr>
        <w:t>Wirtz</w:t>
      </w:r>
      <w:proofErr w:type="spellEnd"/>
      <w:r>
        <w:rPr>
          <w:rFonts w:ascii="Book Antiqua" w:eastAsia="Book Antiqua" w:hAnsi="Book Antiqua" w:cs="Book Antiqua"/>
          <w:color w:val="000000"/>
        </w:rPr>
        <w:t xml:space="preserve"> S, Becker C,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Mudter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Hildner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Bartsch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M, Blumberg R, </w:t>
      </w:r>
      <w:proofErr w:type="spellStart"/>
      <w:r>
        <w:rPr>
          <w:rFonts w:ascii="Book Antiqua" w:eastAsia="Book Antiqua" w:hAnsi="Book Antiqua" w:cs="Book Antiqua"/>
          <w:color w:val="000000"/>
        </w:rPr>
        <w:t>Walczak</w:t>
      </w:r>
      <w:proofErr w:type="spellEnd"/>
      <w:r>
        <w:rPr>
          <w:rFonts w:ascii="Book Antiqua" w:eastAsia="Book Antiqua" w:hAnsi="Book Antiqua" w:cs="Book Antiqua"/>
          <w:color w:val="000000"/>
        </w:rPr>
        <w:t xml:space="preserve"> H, Iven H, Galle PR, </w:t>
      </w:r>
      <w:proofErr w:type="spellStart"/>
      <w:r>
        <w:rPr>
          <w:rFonts w:ascii="Book Antiqua" w:eastAsia="Book Antiqua" w:hAnsi="Book Antiqua" w:cs="Book Antiqua"/>
          <w:color w:val="000000"/>
        </w:rPr>
        <w:t>Ahmadian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CD28-dependent Rac1 activation is the molecular target of azathioprine in primary human CD4+ T lymphocytes.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111</w:t>
      </w:r>
      <w:r>
        <w:rPr>
          <w:rFonts w:ascii="Book Antiqua" w:eastAsia="Book Antiqua" w:hAnsi="Book Antiqua" w:cs="Book Antiqua"/>
          <w:color w:val="000000"/>
        </w:rPr>
        <w:t>: 1133-1145 [PMID: 12697733 DOI: 10.1172/JCI16432]</w:t>
      </w:r>
    </w:p>
    <w:p w14:paraId="18CA0638" w14:textId="77777777" w:rsidR="00A77B3E" w:rsidRDefault="005D0E0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Coulthard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Hogarth L. The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an update.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523-532 [PMID: 16267626 DOI: 10.1007/s10637-005-4020-8]</w:t>
      </w:r>
    </w:p>
    <w:p w14:paraId="195D47C5" w14:textId="77777777" w:rsidR="00A77B3E" w:rsidRDefault="005D0E0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Hindorf</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Lindqvist</w:t>
      </w:r>
      <w:proofErr w:type="spellEnd"/>
      <w:r>
        <w:rPr>
          <w:rFonts w:ascii="Book Antiqua" w:eastAsia="Book Antiqua" w:hAnsi="Book Antiqua" w:cs="Book Antiqua"/>
          <w:color w:val="000000"/>
        </w:rPr>
        <w:t xml:space="preserve"> M, Peterson C, </w:t>
      </w:r>
      <w:proofErr w:type="spellStart"/>
      <w:r>
        <w:rPr>
          <w:rFonts w:ascii="Book Antiqua" w:eastAsia="Book Antiqua" w:hAnsi="Book Antiqua" w:cs="Book Antiqua"/>
          <w:color w:val="000000"/>
        </w:rPr>
        <w:t>Söderkvist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Ström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Hjortswang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Pousette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Almer</w:t>
      </w:r>
      <w:proofErr w:type="spellEnd"/>
      <w:r>
        <w:rPr>
          <w:rFonts w:ascii="Book Antiqua" w:eastAsia="Book Antiqua" w:hAnsi="Book Antiqua" w:cs="Book Antiqua"/>
          <w:color w:val="000000"/>
        </w:rPr>
        <w:t xml:space="preserve"> S. Pharmacogenetics during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initiation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treatment in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1423-1431 [PMID: 16543290 DOI: 10.1136/gut.2005.074930]</w:t>
      </w:r>
    </w:p>
    <w:p w14:paraId="2A97179A" w14:textId="77777777" w:rsidR="00A77B3E" w:rsidRDefault="005D0E0B">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Fan CH, Xu SM. Current views of common pediatric cancers - an update.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20-24 [PMID: 29165770]</w:t>
      </w:r>
    </w:p>
    <w:p w14:paraId="017129EB" w14:textId="77777777" w:rsidR="00A77B3E" w:rsidRDefault="005D0E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Boer NKH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Jharap</w:t>
      </w:r>
      <w:proofErr w:type="spellEnd"/>
      <w:r>
        <w:rPr>
          <w:rFonts w:ascii="Book Antiqua" w:eastAsia="Book Antiqua" w:hAnsi="Book Antiqua" w:cs="Book Antiqua"/>
          <w:color w:val="000000"/>
        </w:rPr>
        <w:t xml:space="preserve"> B, Sanderson JD, Meijer B,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I, Barclay ML,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Lopez A,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AM,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lastRenderedPageBreak/>
        <w:t>Thiopurines</w:t>
      </w:r>
      <w:proofErr w:type="spellEnd"/>
      <w:r>
        <w:rPr>
          <w:rFonts w:ascii="Book Antiqua" w:eastAsia="Book Antiqua" w:hAnsi="Book Antiqua" w:cs="Book Antiqua"/>
          <w:color w:val="000000"/>
        </w:rPr>
        <w:t xml:space="preserve"> in Inflammatory Bowel Disease: New Findings and Perspectives.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610-620 [PMID: 29293971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/jjx181]</w:t>
      </w:r>
    </w:p>
    <w:p w14:paraId="6D61CDF9" w14:textId="77777777" w:rsidR="00A77B3E" w:rsidRDefault="005D0E0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Lennard L</w:t>
      </w:r>
      <w:r>
        <w:rPr>
          <w:rFonts w:ascii="Book Antiqua" w:eastAsia="Book Antiqua" w:hAnsi="Book Antiqua" w:cs="Book Antiqua"/>
          <w:color w:val="000000"/>
        </w:rPr>
        <w:t xml:space="preserve">, Rees CA, </w:t>
      </w:r>
      <w:proofErr w:type="spellStart"/>
      <w:r>
        <w:rPr>
          <w:rFonts w:ascii="Book Antiqua" w:eastAsia="Book Antiqua" w:hAnsi="Book Antiqua" w:cs="Book Antiqua"/>
          <w:color w:val="000000"/>
        </w:rPr>
        <w:t>Lilleyman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Maddocks</w:t>
      </w:r>
      <w:proofErr w:type="spellEnd"/>
      <w:r>
        <w:rPr>
          <w:rFonts w:ascii="Book Antiqua" w:eastAsia="Book Antiqua" w:hAnsi="Book Antiqua" w:cs="Book Antiqua"/>
          <w:color w:val="000000"/>
        </w:rPr>
        <w:t xml:space="preserve"> JL. Childhood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 relationship between intracellular 6-mercaptopurine metabolites and neutropenia.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16</w:t>
      </w:r>
      <w:r>
        <w:rPr>
          <w:rFonts w:ascii="Book Antiqua" w:eastAsia="Book Antiqua" w:hAnsi="Book Antiqua" w:cs="Book Antiqua"/>
          <w:color w:val="000000"/>
        </w:rPr>
        <w:t>: 359-363 [PMID: 6578834 DOI: 10.1111/j.1365-2125.1983.tb02178.x]</w:t>
      </w:r>
    </w:p>
    <w:p w14:paraId="5C27ACBD" w14:textId="77777777" w:rsidR="00A77B3E" w:rsidRDefault="005D0E0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Goel</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Blaker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Mentzer</w:t>
      </w:r>
      <w:proofErr w:type="spellEnd"/>
      <w:r>
        <w:rPr>
          <w:rFonts w:ascii="Book Antiqua" w:eastAsia="Book Antiqua" w:hAnsi="Book Antiqua" w:cs="Book Antiqua"/>
          <w:color w:val="000000"/>
        </w:rPr>
        <w:t xml:space="preserve"> A, Fong SC,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AM, Sanderson JD. Optimizing the use of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in inflammatory bowel disease.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Chronic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138-146 [PMID: 25954498 DOI: 10.1177/2040622315579063]</w:t>
      </w:r>
    </w:p>
    <w:p w14:paraId="791AA799" w14:textId="77777777" w:rsidR="00A77B3E" w:rsidRDefault="005D0E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Franca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Rebora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Bertorello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Fagioli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Conter</w:t>
      </w:r>
      <w:proofErr w:type="spellEnd"/>
      <w:r>
        <w:rPr>
          <w:rFonts w:ascii="Book Antiqua" w:eastAsia="Book Antiqua" w:hAnsi="Book Antiqua" w:cs="Book Antiqua"/>
          <w:color w:val="000000"/>
        </w:rPr>
        <w:t xml:space="preserve"> V, Biondi A, </w:t>
      </w:r>
      <w:proofErr w:type="spellStart"/>
      <w:r>
        <w:rPr>
          <w:rFonts w:ascii="Book Antiqua" w:eastAsia="Book Antiqua" w:hAnsi="Book Antiqua" w:cs="Book Antiqua"/>
          <w:color w:val="000000"/>
        </w:rPr>
        <w:t>Colombini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Micalizzi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Parasole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F, Basso G, Putti MC, Locatelli F, </w:t>
      </w:r>
      <w:proofErr w:type="spellStart"/>
      <w:r>
        <w:rPr>
          <w:rFonts w:ascii="Book Antiqua" w:eastAsia="Book Antiqua" w:hAnsi="Book Antiqua" w:cs="Book Antiqua"/>
          <w:color w:val="000000"/>
        </w:rPr>
        <w:t>d'Adamo</w:t>
      </w:r>
      <w:proofErr w:type="spellEnd"/>
      <w:r>
        <w:rPr>
          <w:rFonts w:ascii="Book Antiqua" w:eastAsia="Book Antiqua" w:hAnsi="Book Antiqua" w:cs="Book Antiqua"/>
          <w:color w:val="000000"/>
        </w:rPr>
        <w:t xml:space="preserve"> P, Valsecchi MG, </w:t>
      </w:r>
      <w:proofErr w:type="spellStart"/>
      <w:r>
        <w:rPr>
          <w:rFonts w:ascii="Book Antiqua" w:eastAsia="Book Antiqua" w:hAnsi="Book Antiqua" w:cs="Book Antiqua"/>
          <w:color w:val="000000"/>
        </w:rPr>
        <w:t>Decorti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Rabusin</w:t>
      </w:r>
      <w:proofErr w:type="spellEnd"/>
      <w:r>
        <w:rPr>
          <w:rFonts w:ascii="Book Antiqua" w:eastAsia="Book Antiqua" w:hAnsi="Book Antiqua" w:cs="Book Antiqua"/>
          <w:color w:val="000000"/>
        </w:rPr>
        <w:t xml:space="preserve"> M. Pharmacogenetics and induction/consolidation therapy toxicities in acute lymphoblastic leukemia patients treated with AIEOP-BFM ALL 2000 protocol.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4-10 [PMID: 26644204 DOI: 10.1038/tpj.2015.83]</w:t>
      </w:r>
    </w:p>
    <w:p w14:paraId="0E9C89BA" w14:textId="77777777" w:rsidR="00A77B3E" w:rsidRDefault="005D0E0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Heckmann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Lambson</w:t>
      </w:r>
      <w:proofErr w:type="spellEnd"/>
      <w:r>
        <w:rPr>
          <w:rFonts w:ascii="Book Antiqua" w:eastAsia="Book Antiqua" w:hAnsi="Book Antiqua" w:cs="Book Antiqua"/>
          <w:color w:val="000000"/>
        </w:rPr>
        <w:t xml:space="preserve"> EM, Little F, Owen EP.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(TPMT) heterozygosity and enzyme activity as predictive tests for the development of azathioprine-related adverse events.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231</w:t>
      </w:r>
      <w:r>
        <w:rPr>
          <w:rFonts w:ascii="Book Antiqua" w:eastAsia="Book Antiqua" w:hAnsi="Book Antiqua" w:cs="Book Antiqua"/>
          <w:color w:val="000000"/>
        </w:rPr>
        <w:t>: 71-80 [PMID: 15792824 DOI: 10.1016/j.jns.2005.01.003]</w:t>
      </w:r>
    </w:p>
    <w:p w14:paraId="265C62D6" w14:textId="77777777" w:rsidR="00A77B3E" w:rsidRDefault="005D0E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Franca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Zudeh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Lucafò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Rabusin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G. Genome wide association studies for treatment-related adverse effects of pediatric acute lymphoblastic leukemia.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e1509 [PMID: 33016644 DOI: 10.1002/wsbm.1509]</w:t>
      </w:r>
    </w:p>
    <w:p w14:paraId="41488369" w14:textId="77777777" w:rsidR="00A77B3E" w:rsidRDefault="005D0E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Gisbert</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González-Lama Y, </w:t>
      </w:r>
      <w:proofErr w:type="spellStart"/>
      <w:r>
        <w:rPr>
          <w:rFonts w:ascii="Book Antiqua" w:eastAsia="Book Antiqua" w:hAnsi="Book Antiqua" w:cs="Book Antiqua"/>
          <w:color w:val="000000"/>
        </w:rPr>
        <w:t>Maté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-induced liver injury in patients with inflammatory bowel disease: a systematic review.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1518-1527 [PMID: 17391318 DOI: 10.1111/j.1572-0241.2007.01187.x]</w:t>
      </w:r>
    </w:p>
    <w:p w14:paraId="15E61A8E" w14:textId="77777777" w:rsidR="00A77B3E" w:rsidRDefault="005D0E0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Toksvang</w:t>
      </w:r>
      <w:proofErr w:type="spellEnd"/>
      <w:r>
        <w:rPr>
          <w:rFonts w:ascii="Book Antiqua" w:eastAsia="Book Antiqua" w:hAnsi="Book Antiqua" w:cs="Book Antiqua"/>
          <w:b/>
          <w:bCs/>
          <w:color w:val="000000"/>
        </w:rPr>
        <w:t xml:space="preserve"> LN</w:t>
      </w:r>
      <w:r>
        <w:rPr>
          <w:rFonts w:ascii="Book Antiqua" w:eastAsia="Book Antiqua" w:hAnsi="Book Antiqua" w:cs="Book Antiqua"/>
          <w:color w:val="000000"/>
        </w:rPr>
        <w:t xml:space="preserve">, Schmidt MS, Arup S, Larsen RH, </w:t>
      </w:r>
      <w:proofErr w:type="spellStart"/>
      <w:r>
        <w:rPr>
          <w:rFonts w:ascii="Book Antiqua" w:eastAsia="Book Antiqua" w:hAnsi="Book Antiqua" w:cs="Book Antiqua"/>
          <w:color w:val="000000"/>
        </w:rPr>
        <w:t>Frandsen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K, Rank CU. Hepatotoxicity during 6-thioguanine treatment in inflammatory bowel disease and childhood acute lymphoblastic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e0212157 [PMID: 31125338 DOI: 10.1371/journal.pone.0212157]</w:t>
      </w:r>
    </w:p>
    <w:p w14:paraId="37957109" w14:textId="77777777" w:rsidR="00A77B3E" w:rsidRDefault="005D0E0B">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Chande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Townsend CM, Parker CE, MacDonald JK. Azathioprine or 6-mercaptopurine for induction of remission in Crohn's disease.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CD000545 [PMID: 27783843 DOI: 10.1002/14651858.CD000545.pub5]</w:t>
      </w:r>
    </w:p>
    <w:p w14:paraId="7B1E29A0" w14:textId="77777777" w:rsidR="00A77B3E" w:rsidRDefault="005D0E0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Nygaard</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Toft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K. Methylated metabolites of 6-mercaptopurine are associated with hepatotoxicity.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75</w:t>
      </w:r>
      <w:r>
        <w:rPr>
          <w:rFonts w:ascii="Book Antiqua" w:eastAsia="Book Antiqua" w:hAnsi="Book Antiqua" w:cs="Book Antiqua"/>
          <w:color w:val="000000"/>
        </w:rPr>
        <w:t>: 274-281 [PMID: 15060506 DOI: 10.1016/j.clpt.2003.12.001]</w:t>
      </w:r>
    </w:p>
    <w:p w14:paraId="4F2FEAA4" w14:textId="77777777" w:rsidR="00A77B3E" w:rsidRDefault="005D0E0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Zhou S</w:t>
      </w:r>
      <w:r>
        <w:rPr>
          <w:rFonts w:ascii="Book Antiqua" w:eastAsia="Book Antiqua" w:hAnsi="Book Antiqua" w:cs="Book Antiqua"/>
          <w:color w:val="000000"/>
        </w:rPr>
        <w:t xml:space="preserve">. Clinical pharmacogenomics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S-methyltransferase.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119-128 [PMID: 18666383 DOI: 10.2174/157488406784111627]</w:t>
      </w:r>
    </w:p>
    <w:p w14:paraId="7C4977CE" w14:textId="77777777" w:rsidR="00A77B3E" w:rsidRDefault="005D0E0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Appell</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Berg J, </w:t>
      </w:r>
      <w:proofErr w:type="spellStart"/>
      <w:r>
        <w:rPr>
          <w:rFonts w:ascii="Book Antiqua" w:eastAsia="Book Antiqua" w:hAnsi="Book Antiqua" w:cs="Book Antiqua"/>
          <w:color w:val="000000"/>
        </w:rPr>
        <w:t>Duley</w:t>
      </w:r>
      <w:proofErr w:type="spellEnd"/>
      <w:r>
        <w:rPr>
          <w:rFonts w:ascii="Book Antiqua" w:eastAsia="Book Antiqua" w:hAnsi="Book Antiqua" w:cs="Book Antiqua"/>
          <w:color w:val="000000"/>
        </w:rPr>
        <w:t xml:space="preserve"> J, Evans WE, Kennedy MA, Lennard L,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T, McLeod HL,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Schaeffeler</w:t>
      </w:r>
      <w:proofErr w:type="spellEnd"/>
      <w:r>
        <w:rPr>
          <w:rFonts w:ascii="Book Antiqua" w:eastAsia="Book Antiqua" w:hAnsi="Book Antiqua" w:cs="Book Antiqua"/>
          <w:color w:val="000000"/>
        </w:rPr>
        <w:t xml:space="preserve"> E, Schwab M, </w:t>
      </w:r>
      <w:proofErr w:type="spellStart"/>
      <w:r>
        <w:rPr>
          <w:rFonts w:ascii="Book Antiqua" w:eastAsia="Book Antiqua" w:hAnsi="Book Antiqua" w:cs="Book Antiqua"/>
          <w:color w:val="000000"/>
        </w:rPr>
        <w:t>Weinshilboum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McDonagh</w:t>
      </w:r>
      <w:proofErr w:type="spellEnd"/>
      <w:r>
        <w:rPr>
          <w:rFonts w:ascii="Book Antiqua" w:eastAsia="Book Antiqua" w:hAnsi="Book Antiqua" w:cs="Book Antiqua"/>
          <w:color w:val="000000"/>
        </w:rPr>
        <w:t xml:space="preserve"> EM, Hebert JM, Klein TE, </w:t>
      </w:r>
      <w:proofErr w:type="spellStart"/>
      <w:r>
        <w:rPr>
          <w:rFonts w:ascii="Book Antiqua" w:eastAsia="Book Antiqua" w:hAnsi="Book Antiqua" w:cs="Book Antiqua"/>
          <w:color w:val="000000"/>
        </w:rPr>
        <w:t>Coulthard</w:t>
      </w:r>
      <w:proofErr w:type="spellEnd"/>
      <w:r>
        <w:rPr>
          <w:rFonts w:ascii="Book Antiqua" w:eastAsia="Book Antiqua" w:hAnsi="Book Antiqua" w:cs="Book Antiqua"/>
          <w:color w:val="000000"/>
        </w:rPr>
        <w:t xml:space="preserve"> SA. Nomenclature for alleles of the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gene. </w:t>
      </w:r>
      <w:proofErr w:type="spellStart"/>
      <w:r>
        <w:rPr>
          <w:rFonts w:ascii="Book Antiqua" w:eastAsia="Book Antiqua" w:hAnsi="Book Antiqua" w:cs="Book Antiqua"/>
          <w:i/>
          <w:iCs/>
          <w:color w:val="000000"/>
        </w:rPr>
        <w:t>Pharmacogenet</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242-248 [PMID: 23407052 DOI: 10.1097/FPC.0b013e32835f1cc0]</w:t>
      </w:r>
    </w:p>
    <w:p w14:paraId="29861F0F" w14:textId="77777777" w:rsidR="00A77B3E" w:rsidRDefault="005D0E0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Spire-</w:t>
      </w:r>
      <w:proofErr w:type="spellStart"/>
      <w:r>
        <w:rPr>
          <w:rFonts w:ascii="Book Antiqua" w:eastAsia="Book Antiqua" w:hAnsi="Book Antiqua" w:cs="Book Antiqua"/>
          <w:b/>
          <w:bCs/>
          <w:color w:val="000000"/>
        </w:rPr>
        <w:t>Vayron</w:t>
      </w:r>
      <w:proofErr w:type="spellEnd"/>
      <w:r>
        <w:rPr>
          <w:rFonts w:ascii="Book Antiqua" w:eastAsia="Book Antiqua" w:hAnsi="Book Antiqua" w:cs="Book Antiqua"/>
          <w:b/>
          <w:bCs/>
          <w:color w:val="000000"/>
        </w:rPr>
        <w:t xml:space="preserve"> de la </w:t>
      </w:r>
      <w:proofErr w:type="spellStart"/>
      <w:r>
        <w:rPr>
          <w:rFonts w:ascii="Book Antiqua" w:eastAsia="Book Antiqua" w:hAnsi="Book Antiqua" w:cs="Book Antiqua"/>
          <w:b/>
          <w:bCs/>
          <w:color w:val="000000"/>
        </w:rPr>
        <w:t>Moureyre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Debuysere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Mastain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Vinner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Marez</w:t>
      </w:r>
      <w:proofErr w:type="spellEnd"/>
      <w:r>
        <w:rPr>
          <w:rFonts w:ascii="Book Antiqua" w:eastAsia="Book Antiqua" w:hAnsi="Book Antiqua" w:cs="Book Antiqua"/>
          <w:color w:val="000000"/>
        </w:rPr>
        <w:t xml:space="preserve"> D, Lo </w:t>
      </w:r>
      <w:proofErr w:type="spellStart"/>
      <w:r>
        <w:rPr>
          <w:rFonts w:ascii="Book Antiqua" w:eastAsia="Book Antiqua" w:hAnsi="Book Antiqua" w:cs="Book Antiqua"/>
          <w:color w:val="000000"/>
        </w:rPr>
        <w:t>Guidice</w:t>
      </w:r>
      <w:proofErr w:type="spellEnd"/>
      <w:r>
        <w:rPr>
          <w:rFonts w:ascii="Book Antiqua" w:eastAsia="Book Antiqua" w:hAnsi="Book Antiqua" w:cs="Book Antiqua"/>
          <w:color w:val="000000"/>
        </w:rPr>
        <w:t xml:space="preserve"> JM, Chevalier D, </w:t>
      </w:r>
      <w:proofErr w:type="spellStart"/>
      <w:r>
        <w:rPr>
          <w:rFonts w:ascii="Book Antiqua" w:eastAsia="Book Antiqua" w:hAnsi="Book Antiqua" w:cs="Book Antiqua"/>
          <w:color w:val="000000"/>
        </w:rPr>
        <w:t>Brique</w:t>
      </w:r>
      <w:proofErr w:type="spellEnd"/>
      <w:r>
        <w:rPr>
          <w:rFonts w:ascii="Book Antiqua" w:eastAsia="Book Antiqua" w:hAnsi="Book Antiqua" w:cs="Book Antiqua"/>
          <w:color w:val="000000"/>
        </w:rPr>
        <w:t xml:space="preserve"> S, Motte K,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Turck</w:t>
      </w:r>
      <w:proofErr w:type="spellEnd"/>
      <w:r>
        <w:rPr>
          <w:rFonts w:ascii="Book Antiqua" w:eastAsia="Book Antiqua" w:hAnsi="Book Antiqua" w:cs="Book Antiqua"/>
          <w:color w:val="000000"/>
        </w:rPr>
        <w:t xml:space="preserve"> D, Noel C, </w:t>
      </w:r>
      <w:proofErr w:type="spellStart"/>
      <w:r>
        <w:rPr>
          <w:rFonts w:ascii="Book Antiqua" w:eastAsia="Book Antiqua" w:hAnsi="Book Antiqua" w:cs="Book Antiqua"/>
          <w:color w:val="000000"/>
        </w:rPr>
        <w:t>Flipo</w:t>
      </w:r>
      <w:proofErr w:type="spellEnd"/>
      <w:r>
        <w:rPr>
          <w:rFonts w:ascii="Book Antiqua" w:eastAsia="Book Antiqua" w:hAnsi="Book Antiqua" w:cs="Book Antiqua"/>
          <w:color w:val="000000"/>
        </w:rPr>
        <w:t xml:space="preserve"> RM, Pol A, </w:t>
      </w:r>
      <w:proofErr w:type="spellStart"/>
      <w:r>
        <w:rPr>
          <w:rFonts w:ascii="Book Antiqua" w:eastAsia="Book Antiqua" w:hAnsi="Book Antiqua" w:cs="Book Antiqua"/>
          <w:color w:val="000000"/>
        </w:rPr>
        <w:t>Lhermitte</w:t>
      </w:r>
      <w:proofErr w:type="spellEnd"/>
      <w:r>
        <w:rPr>
          <w:rFonts w:ascii="Book Antiqua" w:eastAsia="Book Antiqua" w:hAnsi="Book Antiqua" w:cs="Book Antiqua"/>
          <w:color w:val="000000"/>
        </w:rPr>
        <w:t xml:space="preserve"> M, Lafitte JJ, </w:t>
      </w:r>
      <w:proofErr w:type="spellStart"/>
      <w:r>
        <w:rPr>
          <w:rFonts w:ascii="Book Antiqua" w:eastAsia="Book Antiqua" w:hAnsi="Book Antiqua" w:cs="Book Antiqua"/>
          <w:color w:val="000000"/>
        </w:rPr>
        <w:t>Libersa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Broly</w:t>
      </w:r>
      <w:proofErr w:type="spellEnd"/>
      <w:r>
        <w:rPr>
          <w:rFonts w:ascii="Book Antiqua" w:eastAsia="Book Antiqua" w:hAnsi="Book Antiqua" w:cs="Book Antiqua"/>
          <w:color w:val="000000"/>
        </w:rPr>
        <w:t xml:space="preserve"> F. Genotypic and phenotypic analysis of the polymorphic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S-methyltransferase gene (TPMT) in a European population.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125</w:t>
      </w:r>
      <w:r>
        <w:rPr>
          <w:rFonts w:ascii="Book Antiqua" w:eastAsia="Book Antiqua" w:hAnsi="Book Antiqua" w:cs="Book Antiqua"/>
          <w:color w:val="000000"/>
        </w:rPr>
        <w:t>: 879-887 [PMID: 9831928 DOI: 10.1038/sj.bjp.0702152]</w:t>
      </w:r>
    </w:p>
    <w:p w14:paraId="19625ACB" w14:textId="77777777" w:rsidR="00A77B3E" w:rsidRDefault="005D0E0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Chouchana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Narjoz</w:t>
      </w:r>
      <w:proofErr w:type="spellEnd"/>
      <w:r>
        <w:rPr>
          <w:rFonts w:ascii="Book Antiqua" w:eastAsia="Book Antiqua" w:hAnsi="Book Antiqua" w:cs="Book Antiqua"/>
          <w:color w:val="000000"/>
        </w:rPr>
        <w:t xml:space="preserve"> C, Roche D, </w:t>
      </w:r>
      <w:proofErr w:type="spellStart"/>
      <w:r>
        <w:rPr>
          <w:rFonts w:ascii="Book Antiqua" w:eastAsia="Book Antiqua" w:hAnsi="Book Antiqua" w:cs="Book Antiqua"/>
          <w:color w:val="000000"/>
        </w:rPr>
        <w:t>Golmard</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Chatellier</w:t>
      </w:r>
      <w:proofErr w:type="spellEnd"/>
      <w:r>
        <w:rPr>
          <w:rFonts w:ascii="Book Antiqua" w:eastAsia="Book Antiqua" w:hAnsi="Book Antiqua" w:cs="Book Antiqua"/>
          <w:color w:val="000000"/>
        </w:rPr>
        <w:t xml:space="preserve"> G, Beaune P,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Interindividual</w:t>
      </w:r>
      <w:proofErr w:type="spellEnd"/>
      <w:r>
        <w:rPr>
          <w:rFonts w:ascii="Book Antiqua" w:eastAsia="Book Antiqua" w:hAnsi="Book Antiqua" w:cs="Book Antiqua"/>
          <w:color w:val="000000"/>
        </w:rPr>
        <w:t xml:space="preserve"> variability in TPMT enzyme activity: 10 years of experience with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pharmacogenetics and therapeutic drug monitoring.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745-757 [PMID: 24897283 DOI: 10.2217/pgs.14.32]</w:t>
      </w:r>
    </w:p>
    <w:p w14:paraId="6D41D724" w14:textId="77777777" w:rsidR="00A77B3E" w:rsidRDefault="005D0E0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Lennard L</w:t>
      </w:r>
      <w:r>
        <w:rPr>
          <w:rFonts w:ascii="Book Antiqua" w:eastAsia="Book Antiqua" w:hAnsi="Book Antiqua" w:cs="Book Antiqua"/>
          <w:color w:val="000000"/>
        </w:rPr>
        <w:t xml:space="preserve">, Cartwright CS, Wade R, Richards SM, </w:t>
      </w:r>
      <w:proofErr w:type="spellStart"/>
      <w:r>
        <w:rPr>
          <w:rFonts w:ascii="Book Antiqua" w:eastAsia="Book Antiqua" w:hAnsi="Book Antiqua" w:cs="Book Antiqua"/>
          <w:color w:val="000000"/>
        </w:rPr>
        <w:t>Vora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genotype-phenotype discordance and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active metabolite formation in childhood acute lymphoblastic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76</w:t>
      </w:r>
      <w:r>
        <w:rPr>
          <w:rFonts w:ascii="Book Antiqua" w:eastAsia="Book Antiqua" w:hAnsi="Book Antiqua" w:cs="Book Antiqua"/>
          <w:color w:val="000000"/>
        </w:rPr>
        <w:t>: 125-136 [PMID: 23252716 DOI: 10.1111/bcp.12066]</w:t>
      </w:r>
    </w:p>
    <w:p w14:paraId="11E75F2A" w14:textId="77777777" w:rsidR="00A77B3E" w:rsidRDefault="005D0E0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Burgueño</w:t>
      </w:r>
      <w:proofErr w:type="spellEnd"/>
      <w:r>
        <w:rPr>
          <w:rFonts w:ascii="Book Antiqua" w:eastAsia="Book Antiqua" w:hAnsi="Book Antiqua" w:cs="Book Antiqua"/>
          <w:b/>
          <w:bCs/>
          <w:color w:val="000000"/>
        </w:rPr>
        <w:t>-Rodríguez G</w:t>
      </w:r>
      <w:r>
        <w:rPr>
          <w:rFonts w:ascii="Book Antiqua" w:eastAsia="Book Antiqua" w:hAnsi="Book Antiqua" w:cs="Book Antiqua"/>
          <w:color w:val="000000"/>
        </w:rPr>
        <w:t xml:space="preserve">, Méndez Y, </w:t>
      </w:r>
      <w:proofErr w:type="spellStart"/>
      <w:r>
        <w:rPr>
          <w:rFonts w:ascii="Book Antiqua" w:eastAsia="Book Antiqua" w:hAnsi="Book Antiqua" w:cs="Book Antiqua"/>
          <w:color w:val="000000"/>
        </w:rPr>
        <w:t>Olano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Dabezies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J, Castillo L, da Luz J, </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AM. Ancestry and TPMT-VNTR Polymorphism: Relationship with </w:t>
      </w:r>
      <w:r>
        <w:rPr>
          <w:rFonts w:ascii="Book Antiqua" w:eastAsia="Book Antiqua" w:hAnsi="Book Antiqua" w:cs="Book Antiqua"/>
          <w:color w:val="000000"/>
        </w:rPr>
        <w:lastRenderedPageBreak/>
        <w:t xml:space="preserve">Hematological Toxicity in Uruguayan Patients with Acute Lymphoblastic Leukemia.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594262 [PMID: 33424606 DOI: 10.3389/fphar.2020.594262]</w:t>
      </w:r>
    </w:p>
    <w:p w14:paraId="743A9510" w14:textId="77777777" w:rsidR="00A77B3E" w:rsidRDefault="005D0E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Moriyama T</w:t>
      </w:r>
      <w:r>
        <w:rPr>
          <w:rFonts w:ascii="Book Antiqua" w:eastAsia="Book Antiqua" w:hAnsi="Book Antiqua" w:cs="Book Antiqua"/>
          <w:color w:val="000000"/>
        </w:rPr>
        <w:t xml:space="preserve">, Nishii R, Perez-Andreu V, Yang W, </w:t>
      </w:r>
      <w:proofErr w:type="spellStart"/>
      <w:r>
        <w:rPr>
          <w:rFonts w:ascii="Book Antiqua" w:eastAsia="Book Antiqua" w:hAnsi="Book Antiqua" w:cs="Book Antiqua"/>
          <w:color w:val="000000"/>
        </w:rPr>
        <w:t>Klussmann</w:t>
      </w:r>
      <w:proofErr w:type="spellEnd"/>
      <w:r>
        <w:rPr>
          <w:rFonts w:ascii="Book Antiqua" w:eastAsia="Book Antiqua" w:hAnsi="Book Antiqua" w:cs="Book Antiqua"/>
          <w:color w:val="000000"/>
        </w:rPr>
        <w:t xml:space="preserve"> FA, Zhao X, Lin TN, </w:t>
      </w:r>
      <w:proofErr w:type="spellStart"/>
      <w:r>
        <w:rPr>
          <w:rFonts w:ascii="Book Antiqua" w:eastAsia="Book Antiqua" w:hAnsi="Book Antiqua" w:cs="Book Antiqua"/>
          <w:color w:val="000000"/>
        </w:rPr>
        <w:t>Hoshitsuki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Nersting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Kihira</w:t>
      </w:r>
      <w:proofErr w:type="spellEnd"/>
      <w:r>
        <w:rPr>
          <w:rFonts w:ascii="Book Antiqua" w:eastAsia="Book Antiqua" w:hAnsi="Book Antiqua" w:cs="Book Antiqua"/>
          <w:color w:val="000000"/>
        </w:rPr>
        <w:t xml:space="preserve"> K, Hofmann U, </w:t>
      </w:r>
      <w:proofErr w:type="spellStart"/>
      <w:r>
        <w:rPr>
          <w:rFonts w:ascii="Book Antiqua" w:eastAsia="Book Antiqua" w:hAnsi="Book Antiqua" w:cs="Book Antiqua"/>
          <w:color w:val="000000"/>
        </w:rPr>
        <w:t>Komada</w:t>
      </w:r>
      <w:proofErr w:type="spellEnd"/>
      <w:r>
        <w:rPr>
          <w:rFonts w:ascii="Book Antiqua" w:eastAsia="Book Antiqua" w:hAnsi="Book Antiqua" w:cs="Book Antiqua"/>
          <w:color w:val="000000"/>
        </w:rPr>
        <w:t xml:space="preserve"> Y, Kato M, McCorkle R, Li L,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K, Najera CR, Kham SK,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T, Chen Z, </w:t>
      </w:r>
      <w:proofErr w:type="spellStart"/>
      <w:r>
        <w:rPr>
          <w:rFonts w:ascii="Book Antiqua" w:eastAsia="Book Antiqua" w:hAnsi="Book Antiqua" w:cs="Book Antiqua"/>
          <w:color w:val="000000"/>
        </w:rPr>
        <w:t>Chiew</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Bhojwani</w:t>
      </w:r>
      <w:proofErr w:type="spellEnd"/>
      <w:r>
        <w:rPr>
          <w:rFonts w:ascii="Book Antiqua" w:eastAsia="Book Antiqua" w:hAnsi="Book Antiqua" w:cs="Book Antiqua"/>
          <w:color w:val="000000"/>
        </w:rPr>
        <w:t xml:space="preserve"> D, Jeffries C, Lu Y, Schwab M,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Manabe</w:t>
      </w:r>
      <w:proofErr w:type="spellEnd"/>
      <w:r>
        <w:rPr>
          <w:rFonts w:ascii="Book Antiqua" w:eastAsia="Book Antiqua" w:hAnsi="Book Antiqua" w:cs="Book Antiqua"/>
          <w:color w:val="000000"/>
        </w:rPr>
        <w:t xml:space="preserve"> A, Hori H,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AE, Evans WE, Yang JJ. NUDT15 polymorphisms alter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metabolism and hematopoietic toxicity.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367-373 [PMID: 26878724 DOI: 10.1038/ng.3508]</w:t>
      </w:r>
    </w:p>
    <w:p w14:paraId="0675799B" w14:textId="77777777" w:rsidR="00A77B3E" w:rsidRDefault="005D0E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Suiter CC</w:t>
      </w:r>
      <w:r>
        <w:rPr>
          <w:rFonts w:ascii="Book Antiqua" w:eastAsia="Book Antiqua" w:hAnsi="Book Antiqua" w:cs="Book Antiqua"/>
          <w:color w:val="000000"/>
        </w:rPr>
        <w:t xml:space="preserve">, Moriyama T, </w:t>
      </w:r>
      <w:proofErr w:type="spellStart"/>
      <w:r>
        <w:rPr>
          <w:rFonts w:ascii="Book Antiqua" w:eastAsia="Book Antiqua" w:hAnsi="Book Antiqua" w:cs="Book Antiqua"/>
          <w:color w:val="000000"/>
        </w:rPr>
        <w:t>Matreyek</w:t>
      </w:r>
      <w:proofErr w:type="spellEnd"/>
      <w:r>
        <w:rPr>
          <w:rFonts w:ascii="Book Antiqua" w:eastAsia="Book Antiqua" w:hAnsi="Book Antiqua" w:cs="Book Antiqua"/>
          <w:color w:val="000000"/>
        </w:rPr>
        <w:t xml:space="preserve"> KA, Yang W, </w:t>
      </w:r>
      <w:proofErr w:type="spellStart"/>
      <w:r>
        <w:rPr>
          <w:rFonts w:ascii="Book Antiqua" w:eastAsia="Book Antiqua" w:hAnsi="Book Antiqua" w:cs="Book Antiqua"/>
          <w:color w:val="000000"/>
        </w:rPr>
        <w:t>Scaletti</w:t>
      </w:r>
      <w:proofErr w:type="spellEnd"/>
      <w:r>
        <w:rPr>
          <w:rFonts w:ascii="Book Antiqua" w:eastAsia="Book Antiqua" w:hAnsi="Book Antiqua" w:cs="Book Antiqua"/>
          <w:color w:val="000000"/>
        </w:rPr>
        <w:t xml:space="preserve"> ER, Nishii R, Yang W, </w:t>
      </w:r>
      <w:proofErr w:type="spellStart"/>
      <w:r>
        <w:rPr>
          <w:rFonts w:ascii="Book Antiqua" w:eastAsia="Book Antiqua" w:hAnsi="Book Antiqua" w:cs="Book Antiqua"/>
          <w:color w:val="000000"/>
        </w:rPr>
        <w:t>Hoshitsuki</w:t>
      </w:r>
      <w:proofErr w:type="spellEnd"/>
      <w:r>
        <w:rPr>
          <w:rFonts w:ascii="Book Antiqua" w:eastAsia="Book Antiqua" w:hAnsi="Book Antiqua" w:cs="Book Antiqua"/>
          <w:color w:val="000000"/>
        </w:rPr>
        <w:t xml:space="preserve"> K, Singh M, </w:t>
      </w:r>
      <w:proofErr w:type="spellStart"/>
      <w:r>
        <w:rPr>
          <w:rFonts w:ascii="Book Antiqua" w:eastAsia="Book Antiqua" w:hAnsi="Book Antiqua" w:cs="Book Antiqua"/>
          <w:color w:val="000000"/>
        </w:rPr>
        <w:t>Trehan</w:t>
      </w:r>
      <w:proofErr w:type="spellEnd"/>
      <w:r>
        <w:rPr>
          <w:rFonts w:ascii="Book Antiqua" w:eastAsia="Book Antiqua" w:hAnsi="Book Antiqua" w:cs="Book Antiqua"/>
          <w:color w:val="000000"/>
        </w:rPr>
        <w:t xml:space="preserve"> A, Parish C, Smith C, Li L, </w:t>
      </w:r>
      <w:proofErr w:type="spellStart"/>
      <w:r>
        <w:rPr>
          <w:rFonts w:ascii="Book Antiqua" w:eastAsia="Book Antiqua" w:hAnsi="Book Antiqua" w:cs="Book Antiqua"/>
          <w:color w:val="000000"/>
        </w:rPr>
        <w:t>Bhojwani</w:t>
      </w:r>
      <w:proofErr w:type="spellEnd"/>
      <w:r>
        <w:rPr>
          <w:rFonts w:ascii="Book Antiqua" w:eastAsia="Book Antiqua" w:hAnsi="Book Antiqua" w:cs="Book Antiqua"/>
          <w:color w:val="000000"/>
        </w:rPr>
        <w:t xml:space="preserve"> D, Yuen LYP, Li CK, Li CH, Yang YL, Walker GJ, </w:t>
      </w:r>
      <w:proofErr w:type="spellStart"/>
      <w:r>
        <w:rPr>
          <w:rFonts w:ascii="Book Antiqua" w:eastAsia="Book Antiqua" w:hAnsi="Book Antiqua" w:cs="Book Antiqua"/>
          <w:color w:val="000000"/>
        </w:rPr>
        <w:t>Goodhand</w:t>
      </w:r>
      <w:proofErr w:type="spellEnd"/>
      <w:r>
        <w:rPr>
          <w:rFonts w:ascii="Book Antiqua" w:eastAsia="Book Antiqua" w:hAnsi="Book Antiqua" w:cs="Book Antiqua"/>
          <w:color w:val="000000"/>
        </w:rPr>
        <w:t xml:space="preserve"> JR, Kennedy NA, </w:t>
      </w:r>
      <w:proofErr w:type="spellStart"/>
      <w:r>
        <w:rPr>
          <w:rFonts w:ascii="Book Antiqua" w:eastAsia="Book Antiqua" w:hAnsi="Book Antiqua" w:cs="Book Antiqua"/>
          <w:color w:val="000000"/>
        </w:rPr>
        <w:t>Klussmann</w:t>
      </w:r>
      <w:proofErr w:type="spellEnd"/>
      <w:r>
        <w:rPr>
          <w:rFonts w:ascii="Book Antiqua" w:eastAsia="Book Antiqua" w:hAnsi="Book Antiqua" w:cs="Book Antiqua"/>
          <w:color w:val="000000"/>
        </w:rPr>
        <w:t xml:space="preserve"> FA, Bhatia S,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Kato M, Hori H, Bhatia P, Ahmad T,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AEJ, </w:t>
      </w:r>
      <w:proofErr w:type="spellStart"/>
      <w:r>
        <w:rPr>
          <w:rFonts w:ascii="Book Antiqua" w:eastAsia="Book Antiqua" w:hAnsi="Book Antiqua" w:cs="Book Antiqua"/>
          <w:color w:val="000000"/>
        </w:rPr>
        <w:t>Stenmark</w:t>
      </w:r>
      <w:proofErr w:type="spellEnd"/>
      <w:r>
        <w:rPr>
          <w:rFonts w:ascii="Book Antiqua" w:eastAsia="Book Antiqua" w:hAnsi="Book Antiqua" w:cs="Book Antiqua"/>
          <w:color w:val="000000"/>
        </w:rPr>
        <w:t xml:space="preserve"> P, Fowler DM, Yang JJ. Massively parallel variant characterization identifies </w:t>
      </w:r>
      <w:r>
        <w:rPr>
          <w:rFonts w:ascii="Book Antiqua" w:eastAsia="Book Antiqua" w:hAnsi="Book Antiqua" w:cs="Book Antiqua"/>
          <w:i/>
          <w:iCs/>
          <w:color w:val="000000"/>
        </w:rPr>
        <w:t>NUDT15</w:t>
      </w:r>
      <w:r>
        <w:rPr>
          <w:rFonts w:ascii="Book Antiqua" w:eastAsia="Book Antiqua" w:hAnsi="Book Antiqua" w:cs="Book Antiqua"/>
          <w:color w:val="000000"/>
        </w:rPr>
        <w:t xml:space="preserve"> alleles associated with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toxicity.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5394-5401 [PMID: 32094176 DOI: 10.1073/pnas.1915680117]</w:t>
      </w:r>
    </w:p>
    <w:p w14:paraId="63C6ED46" w14:textId="77777777" w:rsidR="00A77B3E" w:rsidRDefault="005D0E0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Moriyama T</w:t>
      </w:r>
      <w:r>
        <w:rPr>
          <w:rFonts w:ascii="Book Antiqua" w:eastAsia="Book Antiqua" w:hAnsi="Book Antiqua" w:cs="Book Antiqua"/>
          <w:color w:val="000000"/>
        </w:rPr>
        <w:t xml:space="preserve">, Nishii R, Lin TN, </w:t>
      </w:r>
      <w:proofErr w:type="spellStart"/>
      <w:r>
        <w:rPr>
          <w:rFonts w:ascii="Book Antiqua" w:eastAsia="Book Antiqua" w:hAnsi="Book Antiqua" w:cs="Book Antiqua"/>
          <w:color w:val="000000"/>
        </w:rPr>
        <w:t>Kihira</w:t>
      </w:r>
      <w:proofErr w:type="spellEnd"/>
      <w:r>
        <w:rPr>
          <w:rFonts w:ascii="Book Antiqua" w:eastAsia="Book Antiqua" w:hAnsi="Book Antiqua" w:cs="Book Antiqua"/>
          <w:color w:val="000000"/>
        </w:rPr>
        <w:t xml:space="preserve"> K, Toyoda H, Jacob N, Kato 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Manabe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K, Yang JJ, Hori H. The effects of inherited NUDT15 polymorphisms on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active metabolites in Japanese children with acute lymphoblastic leukemia. </w:t>
      </w:r>
      <w:proofErr w:type="spellStart"/>
      <w:r>
        <w:rPr>
          <w:rFonts w:ascii="Book Antiqua" w:eastAsia="Book Antiqua" w:hAnsi="Book Antiqua" w:cs="Book Antiqua"/>
          <w:i/>
          <w:iCs/>
          <w:color w:val="000000"/>
        </w:rPr>
        <w:t>Pharmacogenet</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236-239 [PMID: 28445187 DOI: 10.1097/FPC.0000000000000282]</w:t>
      </w:r>
    </w:p>
    <w:p w14:paraId="61897896" w14:textId="77777777" w:rsidR="00A77B3E" w:rsidRDefault="005D0E0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Relling</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Schwab M, Whirl-Carrillo M, Suarez-Kurtz G,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 CH, Stein CM, Moyer AM, Evans WE, Klein TE, </w:t>
      </w:r>
      <w:proofErr w:type="spellStart"/>
      <w:r>
        <w:rPr>
          <w:rFonts w:ascii="Book Antiqua" w:eastAsia="Book Antiqua" w:hAnsi="Book Antiqua" w:cs="Book Antiqua"/>
          <w:color w:val="000000"/>
        </w:rPr>
        <w:t>Antillon-Klussmann</w:t>
      </w:r>
      <w:proofErr w:type="spellEnd"/>
      <w:r>
        <w:rPr>
          <w:rFonts w:ascii="Book Antiqua" w:eastAsia="Book Antiqua" w:hAnsi="Book Antiqua" w:cs="Book Antiqua"/>
          <w:color w:val="000000"/>
        </w:rPr>
        <w:t xml:space="preserve"> FG, Caudle KE, Kato M,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AEJ,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K, Yang JJ. Clinical Pharmacogenetics Implementation Consortium Guideline 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Dosing Based on TPMT and NUDT15 Genotypes: 2018 Update.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1095-1105 [PMID: 30447069 DOI: 10.1002/cpt.1304]</w:t>
      </w:r>
    </w:p>
    <w:p w14:paraId="71E3EA61" w14:textId="77777777" w:rsidR="00A77B3E" w:rsidRDefault="005D0E0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Dubinsky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Lamothe</w:t>
      </w:r>
      <w:proofErr w:type="spellEnd"/>
      <w:r>
        <w:rPr>
          <w:rFonts w:ascii="Book Antiqua" w:eastAsia="Book Antiqua" w:hAnsi="Book Antiqua" w:cs="Book Antiqua"/>
          <w:color w:val="000000"/>
        </w:rPr>
        <w:t xml:space="preserve"> S, Yang HY,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Sinnett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Théorêt</w:t>
      </w:r>
      <w:proofErr w:type="spellEnd"/>
      <w:r>
        <w:rPr>
          <w:rFonts w:ascii="Book Antiqua" w:eastAsia="Book Antiqua" w:hAnsi="Book Antiqua" w:cs="Book Antiqua"/>
          <w:color w:val="000000"/>
        </w:rPr>
        <w:t xml:space="preserve"> Y, Seidman EG. Pharmacogenomics and metabolite measurement for 6-mercaptopurine therapy in </w:t>
      </w:r>
      <w:r>
        <w:rPr>
          <w:rFonts w:ascii="Book Antiqua" w:eastAsia="Book Antiqua" w:hAnsi="Book Antiqua" w:cs="Book Antiqua"/>
          <w:color w:val="000000"/>
        </w:rPr>
        <w:lastRenderedPageBreak/>
        <w:t xml:space="preserve">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118</w:t>
      </w:r>
      <w:r>
        <w:rPr>
          <w:rFonts w:ascii="Book Antiqua" w:eastAsia="Book Antiqua" w:hAnsi="Book Antiqua" w:cs="Book Antiqua"/>
          <w:color w:val="000000"/>
        </w:rPr>
        <w:t>: 705-713 [PMID: 10734022 DOI: 10.1016/s0016-5085(00)70140-5]</w:t>
      </w:r>
    </w:p>
    <w:p w14:paraId="4FA38DEA" w14:textId="77777777" w:rsidR="00A77B3E" w:rsidRDefault="005D0E0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Adam de </w:t>
      </w:r>
      <w:proofErr w:type="spellStart"/>
      <w:r>
        <w:rPr>
          <w:rFonts w:ascii="Book Antiqua" w:eastAsia="Book Antiqua" w:hAnsi="Book Antiqua" w:cs="Book Antiqua"/>
          <w:b/>
          <w:bCs/>
          <w:color w:val="000000"/>
        </w:rPr>
        <w:t>Beaumais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Fakhoury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Medard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Azougagh</w:t>
      </w:r>
      <w:proofErr w:type="spellEnd"/>
      <w:r>
        <w:rPr>
          <w:rFonts w:ascii="Book Antiqua" w:eastAsia="Book Antiqua" w:hAnsi="Book Antiqua" w:cs="Book Antiqua"/>
          <w:color w:val="000000"/>
        </w:rPr>
        <w:t xml:space="preserve"> S, Zhang D, </w:t>
      </w:r>
      <w:proofErr w:type="spellStart"/>
      <w:r>
        <w:rPr>
          <w:rFonts w:ascii="Book Antiqua" w:eastAsia="Book Antiqua" w:hAnsi="Book Antiqua" w:cs="Book Antiqua"/>
          <w:color w:val="000000"/>
        </w:rPr>
        <w:t>Yakouben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Jacqz-Aigrain</w:t>
      </w:r>
      <w:proofErr w:type="spellEnd"/>
      <w:r>
        <w:rPr>
          <w:rFonts w:ascii="Book Antiqua" w:eastAsia="Book Antiqua" w:hAnsi="Book Antiqua" w:cs="Book Antiqua"/>
          <w:color w:val="000000"/>
        </w:rPr>
        <w:t xml:space="preserve"> E. Determinants of </w:t>
      </w:r>
      <w:proofErr w:type="spellStart"/>
      <w:r>
        <w:rPr>
          <w:rFonts w:ascii="Book Antiqua" w:eastAsia="Book Antiqua" w:hAnsi="Book Antiqua" w:cs="Book Antiqua"/>
          <w:color w:val="000000"/>
        </w:rPr>
        <w:t>mercaptopurine</w:t>
      </w:r>
      <w:proofErr w:type="spellEnd"/>
      <w:r>
        <w:rPr>
          <w:rFonts w:ascii="Book Antiqua" w:eastAsia="Book Antiqua" w:hAnsi="Book Antiqua" w:cs="Book Antiqua"/>
          <w:color w:val="000000"/>
        </w:rPr>
        <w:t xml:space="preserve"> toxicity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acute lymphoblastic leukemia maintenance therapy.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575-584 [PMID: 21395650 DOI: 10.1111/j.1365-2125.2010.03867.x]</w:t>
      </w:r>
    </w:p>
    <w:p w14:paraId="50881B74" w14:textId="77777777" w:rsidR="00A77B3E" w:rsidRDefault="005D0E0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C</w:t>
      </w:r>
      <w:r>
        <w:rPr>
          <w:rFonts w:ascii="Book Antiqua" w:eastAsia="Book Antiqua" w:hAnsi="Book Antiqua" w:cs="Book Antiqua"/>
          <w:color w:val="000000"/>
        </w:rPr>
        <w:t xml:space="preserve">, Yang W, Pei D, Cheng C, Smith C, </w:t>
      </w:r>
      <w:proofErr w:type="spellStart"/>
      <w:r>
        <w:rPr>
          <w:rFonts w:ascii="Book Antiqua" w:eastAsia="Book Antiqua" w:hAnsi="Book Antiqua" w:cs="Book Antiqua"/>
          <w:color w:val="000000"/>
        </w:rPr>
        <w:t>Landier</w:t>
      </w:r>
      <w:proofErr w:type="spellEnd"/>
      <w:r>
        <w:rPr>
          <w:rFonts w:ascii="Book Antiqua" w:eastAsia="Book Antiqua" w:hAnsi="Book Antiqua" w:cs="Book Antiqua"/>
          <w:color w:val="000000"/>
        </w:rPr>
        <w:t xml:space="preserve"> W, Hageman L, Chen Y, Yang JJ, Crews KR, </w:t>
      </w:r>
      <w:proofErr w:type="spellStart"/>
      <w:r>
        <w:rPr>
          <w:rFonts w:ascii="Book Antiqua" w:eastAsia="Book Antiqua" w:hAnsi="Book Antiqua" w:cs="Book Antiqua"/>
          <w:color w:val="000000"/>
        </w:rPr>
        <w:t>Kornegay</w:t>
      </w:r>
      <w:proofErr w:type="spellEnd"/>
      <w:r>
        <w:rPr>
          <w:rFonts w:ascii="Book Antiqua" w:eastAsia="Book Antiqua" w:hAnsi="Book Antiqua" w:cs="Book Antiqua"/>
          <w:color w:val="000000"/>
        </w:rPr>
        <w:t xml:space="preserve"> N, Karol SE, Wong FL, </w:t>
      </w:r>
      <w:proofErr w:type="spellStart"/>
      <w:r>
        <w:rPr>
          <w:rFonts w:ascii="Book Antiqua" w:eastAsia="Book Antiqua" w:hAnsi="Book Antiqua" w:cs="Book Antiqua"/>
          <w:color w:val="000000"/>
        </w:rPr>
        <w:t>Jeha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Sandlund</w:t>
      </w:r>
      <w:proofErr w:type="spellEnd"/>
      <w:r>
        <w:rPr>
          <w:rFonts w:ascii="Book Antiqua" w:eastAsia="Book Antiqua" w:hAnsi="Book Antiqua" w:cs="Book Antiqua"/>
          <w:color w:val="000000"/>
        </w:rPr>
        <w:t xml:space="preserve"> JT, Ribeiro RC, Rubnitz JE, Metzger ML,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 CH, Evans WE, Bhatia S,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Genomewide</w:t>
      </w:r>
      <w:proofErr w:type="spellEnd"/>
      <w:r>
        <w:rPr>
          <w:rFonts w:ascii="Book Antiqua" w:eastAsia="Book Antiqua" w:hAnsi="Book Antiqua" w:cs="Book Antiqua"/>
          <w:color w:val="000000"/>
        </w:rPr>
        <w:t xml:space="preserve"> Approach Validates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Activity Is a Monogenic </w:t>
      </w:r>
      <w:proofErr w:type="spellStart"/>
      <w:r>
        <w:rPr>
          <w:rFonts w:ascii="Book Antiqua" w:eastAsia="Book Antiqua" w:hAnsi="Book Antiqua" w:cs="Book Antiqua"/>
          <w:color w:val="000000"/>
        </w:rPr>
        <w:t>Pharmacogenomic</w:t>
      </w:r>
      <w:proofErr w:type="spellEnd"/>
      <w:r>
        <w:rPr>
          <w:rFonts w:ascii="Book Antiqua" w:eastAsia="Book Antiqua" w:hAnsi="Book Antiqua" w:cs="Book Antiqua"/>
          <w:color w:val="000000"/>
        </w:rPr>
        <w:t xml:space="preserve"> Trait.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373-381 [PMID: 27564568 DOI: 10.1002/cpt.463]</w:t>
      </w:r>
    </w:p>
    <w:p w14:paraId="10921BFE" w14:textId="77777777" w:rsidR="00A77B3E" w:rsidRDefault="005D0E0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McLeod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Krynetski</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Evans WE. Genetic polymorphism of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and its clinical relevance for childhood acute lymphoblastic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567-572 [PMID: 10764140 DOI: 10.1038/sj.leu.2401723]</w:t>
      </w:r>
    </w:p>
    <w:p w14:paraId="5048937F" w14:textId="77777777" w:rsidR="00A77B3E" w:rsidRDefault="005D0E0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Fakhoury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Andreu-</w:t>
      </w:r>
      <w:proofErr w:type="spellStart"/>
      <w:r>
        <w:rPr>
          <w:rFonts w:ascii="Book Antiqua" w:eastAsia="Book Antiqua" w:hAnsi="Book Antiqua" w:cs="Book Antiqua"/>
          <w:color w:val="000000"/>
        </w:rPr>
        <w:t>Gallien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Mahr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Medard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Azougagh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Vilmer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Jacqz-Aigrain</w:t>
      </w:r>
      <w:proofErr w:type="spellEnd"/>
      <w:r>
        <w:rPr>
          <w:rFonts w:ascii="Book Antiqua" w:eastAsia="Book Antiqua" w:hAnsi="Book Antiqua" w:cs="Book Antiqua"/>
          <w:color w:val="000000"/>
        </w:rPr>
        <w:t xml:space="preserve"> E. Should TPMT genotype and activity be used to monitor 6-mercaptopurine treatment in children with acute lymphoblastic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633-639 [PMID: 18021342 DOI: 10.1111/j.1365-2710.2007.00858.x]</w:t>
      </w:r>
    </w:p>
    <w:p w14:paraId="0B4F6022" w14:textId="77777777" w:rsidR="00A77B3E" w:rsidRDefault="005D0E0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Stocco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Yang W, Crews KR, </w:t>
      </w:r>
      <w:proofErr w:type="spellStart"/>
      <w:r>
        <w:rPr>
          <w:rFonts w:ascii="Book Antiqua" w:eastAsia="Book Antiqua" w:hAnsi="Book Antiqua" w:cs="Book Antiqua"/>
          <w:color w:val="000000"/>
        </w:rPr>
        <w:t>Thierfelder</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Decorti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Londero</w:t>
      </w:r>
      <w:proofErr w:type="spellEnd"/>
      <w:r>
        <w:rPr>
          <w:rFonts w:ascii="Book Antiqua" w:eastAsia="Book Antiqua" w:hAnsi="Book Antiqua" w:cs="Book Antiqua"/>
          <w:color w:val="000000"/>
        </w:rPr>
        <w:t xml:space="preserve"> M, Franca R, </w:t>
      </w:r>
      <w:proofErr w:type="spellStart"/>
      <w:r>
        <w:rPr>
          <w:rFonts w:ascii="Book Antiqua" w:eastAsia="Book Antiqua" w:hAnsi="Book Antiqua" w:cs="Book Antiqua"/>
          <w:color w:val="000000"/>
        </w:rPr>
        <w:t>Rabusin</w:t>
      </w:r>
      <w:proofErr w:type="spellEnd"/>
      <w:r>
        <w:rPr>
          <w:rFonts w:ascii="Book Antiqua" w:eastAsia="Book Antiqua" w:hAnsi="Book Antiqua" w:cs="Book Antiqua"/>
          <w:color w:val="000000"/>
        </w:rPr>
        <w:t xml:space="preserve"> M, Valsecchi MG, Pei D, Cheng C, Paugh SW, Ramsey LB, </w:t>
      </w:r>
      <w:proofErr w:type="spellStart"/>
      <w:r>
        <w:rPr>
          <w:rFonts w:ascii="Book Antiqua" w:eastAsia="Book Antiqua" w:hAnsi="Book Antiqua" w:cs="Book Antiqua"/>
          <w:color w:val="000000"/>
        </w:rPr>
        <w:t>Diouf</w:t>
      </w:r>
      <w:proofErr w:type="spellEnd"/>
      <w:r>
        <w:rPr>
          <w:rFonts w:ascii="Book Antiqua" w:eastAsia="Book Antiqua" w:hAnsi="Book Antiqua" w:cs="Book Antiqua"/>
          <w:color w:val="000000"/>
        </w:rPr>
        <w:t xml:space="preserve"> B, McCorkle JR, Jones TS,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Evans WE. PACSIN2 polymorphism influences TPMT activity and </w:t>
      </w:r>
      <w:proofErr w:type="spellStart"/>
      <w:r>
        <w:rPr>
          <w:rFonts w:ascii="Book Antiqua" w:eastAsia="Book Antiqua" w:hAnsi="Book Antiqua" w:cs="Book Antiqua"/>
          <w:color w:val="000000"/>
        </w:rPr>
        <w:t>mercaptopurine</w:t>
      </w:r>
      <w:proofErr w:type="spellEnd"/>
      <w:r>
        <w:rPr>
          <w:rFonts w:ascii="Book Antiqua" w:eastAsia="Book Antiqua" w:hAnsi="Book Antiqua" w:cs="Book Antiqua"/>
          <w:color w:val="000000"/>
        </w:rPr>
        <w:t xml:space="preserve">-related gastrointestinal toxicity.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4793-4804 [PMID: 22846425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/dds302]</w:t>
      </w:r>
    </w:p>
    <w:p w14:paraId="7F27A887" w14:textId="77777777" w:rsidR="00A77B3E" w:rsidRDefault="005D0E0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Franca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Favretto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Giurici</w:t>
      </w:r>
      <w:proofErr w:type="spellEnd"/>
      <w:r>
        <w:rPr>
          <w:rFonts w:ascii="Book Antiqua" w:eastAsia="Book Antiqua" w:hAnsi="Book Antiqua" w:cs="Book Antiqua"/>
          <w:color w:val="000000"/>
        </w:rPr>
        <w:t xml:space="preserve"> N, Del Rizzo I, Locatelli F, </w:t>
      </w:r>
      <w:proofErr w:type="spellStart"/>
      <w:r>
        <w:rPr>
          <w:rFonts w:ascii="Book Antiqua" w:eastAsia="Book Antiqua" w:hAnsi="Book Antiqua" w:cs="Book Antiqua"/>
          <w:color w:val="000000"/>
        </w:rPr>
        <w:t>Vinti</w:t>
      </w:r>
      <w:proofErr w:type="spellEnd"/>
      <w:r>
        <w:rPr>
          <w:rFonts w:ascii="Book Antiqua" w:eastAsia="Book Antiqua" w:hAnsi="Book Antiqua" w:cs="Book Antiqua"/>
          <w:color w:val="000000"/>
        </w:rPr>
        <w:t xml:space="preserve"> L, Biondi A, </w:t>
      </w:r>
      <w:proofErr w:type="spellStart"/>
      <w:r>
        <w:rPr>
          <w:rFonts w:ascii="Book Antiqua" w:eastAsia="Book Antiqua" w:hAnsi="Book Antiqua" w:cs="Book Antiqua"/>
          <w:color w:val="000000"/>
        </w:rPr>
        <w:t>Colombini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Fagioli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Barisone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Martellossi</w:t>
      </w:r>
      <w:proofErr w:type="spellEnd"/>
      <w:r>
        <w:rPr>
          <w:rFonts w:ascii="Book Antiqua" w:eastAsia="Book Antiqua" w:hAnsi="Book Antiqua" w:cs="Book Antiqua"/>
          <w:color w:val="000000"/>
        </w:rPr>
        <w:t xml:space="preserve"> S, Ventura A, </w:t>
      </w:r>
      <w:proofErr w:type="spellStart"/>
      <w:r>
        <w:rPr>
          <w:rFonts w:ascii="Book Antiqua" w:eastAsia="Book Antiqua" w:hAnsi="Book Antiqua" w:cs="Book Antiqua"/>
          <w:color w:val="000000"/>
        </w:rPr>
        <w:t>Decorti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Rabusin</w:t>
      </w:r>
      <w:proofErr w:type="spellEnd"/>
      <w:r>
        <w:rPr>
          <w:rFonts w:ascii="Book Antiqua" w:eastAsia="Book Antiqua" w:hAnsi="Book Antiqua" w:cs="Book Antiqua"/>
          <w:color w:val="000000"/>
        </w:rPr>
        <w:t xml:space="preserve"> M. PACSIN2 rs2413739 influence on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pharmacokinetics: validation studies in pediatric patients.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415-425 [PMID: 31792371 DOI: 10.1038/s41397-019-0130-0]</w:t>
      </w:r>
    </w:p>
    <w:p w14:paraId="2F793B61" w14:textId="77777777" w:rsidR="00A77B3E" w:rsidRDefault="005D0E0B">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McLeod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Krynetski</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Wilimas</w:t>
      </w:r>
      <w:proofErr w:type="spellEnd"/>
      <w:r>
        <w:rPr>
          <w:rFonts w:ascii="Book Antiqua" w:eastAsia="Book Antiqua" w:hAnsi="Book Antiqua" w:cs="Book Antiqua"/>
          <w:color w:val="000000"/>
        </w:rPr>
        <w:t xml:space="preserve"> JA, Evans WE. Higher activity of polymorphic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S-methyltransferase in erythrocytes from neonates compared to adults.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1995; </w:t>
      </w:r>
      <w:r>
        <w:rPr>
          <w:rFonts w:ascii="Book Antiqua" w:eastAsia="Book Antiqua" w:hAnsi="Book Antiqua" w:cs="Book Antiqua"/>
          <w:b/>
          <w:bCs/>
          <w:color w:val="000000"/>
        </w:rPr>
        <w:t>5</w:t>
      </w:r>
      <w:r>
        <w:rPr>
          <w:rFonts w:ascii="Book Antiqua" w:eastAsia="Book Antiqua" w:hAnsi="Book Antiqua" w:cs="Book Antiqua"/>
          <w:color w:val="000000"/>
        </w:rPr>
        <w:t>: 281-286 [PMID: 8563768 DOI: 10.1097/00008571-199510000-00003]</w:t>
      </w:r>
    </w:p>
    <w:p w14:paraId="58E7C749" w14:textId="77777777" w:rsidR="00A77B3E" w:rsidRDefault="005D0E0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Pettersson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Albertioni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Söderhäll</w:t>
      </w:r>
      <w:proofErr w:type="spellEnd"/>
      <w:r>
        <w:rPr>
          <w:rFonts w:ascii="Book Antiqua" w:eastAsia="Book Antiqua" w:hAnsi="Book Antiqua" w:cs="Book Antiqua"/>
          <w:color w:val="000000"/>
        </w:rPr>
        <w:t xml:space="preserve"> S, Peterson C. Differences between children and adults in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methyltransferase activity and metabolite formation during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therapy: possible role of concomitant methotrexate.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24</w:t>
      </w:r>
      <w:r>
        <w:rPr>
          <w:rFonts w:ascii="Book Antiqua" w:eastAsia="Book Antiqua" w:hAnsi="Book Antiqua" w:cs="Book Antiqua"/>
          <w:color w:val="000000"/>
        </w:rPr>
        <w:t>: 351-358 [PMID: 12021625 DOI: 10.1097/00007691-200206000-00005]</w:t>
      </w:r>
    </w:p>
    <w:p w14:paraId="4ED52D8F" w14:textId="77777777" w:rsidR="00A77B3E" w:rsidRDefault="005D0E0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Karas-Kuželički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Šmid</w:t>
      </w:r>
      <w:proofErr w:type="spellEnd"/>
      <w:r>
        <w:rPr>
          <w:rFonts w:ascii="Book Antiqua" w:eastAsia="Book Antiqua" w:hAnsi="Book Antiqua" w:cs="Book Antiqua"/>
          <w:color w:val="000000"/>
        </w:rPr>
        <w:t xml:space="preserve"> A, Tamm R, </w:t>
      </w:r>
      <w:proofErr w:type="spellStart"/>
      <w:r>
        <w:rPr>
          <w:rFonts w:ascii="Book Antiqua" w:eastAsia="Book Antiqua" w:hAnsi="Book Antiqua" w:cs="Book Antiqua"/>
          <w:color w:val="000000"/>
        </w:rPr>
        <w:t>Metspalu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Mlinarič-Raščan</w:t>
      </w:r>
      <w:proofErr w:type="spellEnd"/>
      <w:r>
        <w:rPr>
          <w:rFonts w:ascii="Book Antiqua" w:eastAsia="Book Antiqua" w:hAnsi="Book Antiqua" w:cs="Book Antiqua"/>
          <w:color w:val="000000"/>
        </w:rPr>
        <w:t xml:space="preserve"> I. From pharmacogenetics to </w:t>
      </w:r>
      <w:proofErr w:type="spellStart"/>
      <w:r>
        <w:rPr>
          <w:rFonts w:ascii="Book Antiqua" w:eastAsia="Book Antiqua" w:hAnsi="Book Antiqua" w:cs="Book Antiqua"/>
          <w:color w:val="000000"/>
        </w:rPr>
        <w:t>pharmacometabolomics</w:t>
      </w:r>
      <w:proofErr w:type="spellEnd"/>
      <w:r>
        <w:rPr>
          <w:rFonts w:ascii="Book Antiqua" w:eastAsia="Book Antiqua" w:hAnsi="Book Antiqua" w:cs="Book Antiqua"/>
          <w:color w:val="000000"/>
        </w:rPr>
        <w:t xml:space="preserve">: SAM modulates TPMT activity.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1437-1449 [PMID: 25303295 DOI: 10.2217/pgs.14.84]</w:t>
      </w:r>
    </w:p>
    <w:p w14:paraId="6341B252" w14:textId="42A7D6B6" w:rsidR="00A77B3E" w:rsidRPr="00EE7B48" w:rsidRDefault="005D0E0B">
      <w:pPr>
        <w:spacing w:line="360" w:lineRule="auto"/>
        <w:jc w:val="both"/>
        <w:rPr>
          <w:lang w:eastAsia="zh-CN"/>
        </w:rPr>
      </w:pPr>
      <w:r w:rsidRPr="00EE7B48">
        <w:rPr>
          <w:rFonts w:ascii="Book Antiqua" w:eastAsia="Book Antiqua" w:hAnsi="Book Antiqua" w:cs="Book Antiqua"/>
          <w:color w:val="000000"/>
          <w:highlight w:val="yellow"/>
        </w:rPr>
        <w:t xml:space="preserve">37 </w:t>
      </w:r>
      <w:proofErr w:type="spellStart"/>
      <w:r w:rsidR="00854F3E" w:rsidRPr="00854F3E">
        <w:rPr>
          <w:rFonts w:ascii="Book Antiqua" w:eastAsia="Book Antiqua" w:hAnsi="Book Antiqua" w:cs="Book Antiqua"/>
          <w:b/>
          <w:color w:val="000000"/>
          <w:highlight w:val="yellow"/>
        </w:rPr>
        <w:t>GTEx</w:t>
      </w:r>
      <w:proofErr w:type="spellEnd"/>
      <w:r w:rsidR="00854F3E" w:rsidRPr="00854F3E">
        <w:rPr>
          <w:rFonts w:ascii="Book Antiqua" w:eastAsia="Book Antiqua" w:hAnsi="Book Antiqua" w:cs="Book Antiqua"/>
          <w:b/>
          <w:color w:val="000000"/>
          <w:highlight w:val="yellow"/>
        </w:rPr>
        <w:t xml:space="preserve"> Portal</w:t>
      </w:r>
      <w:r w:rsidR="00854F3E">
        <w:rPr>
          <w:rFonts w:ascii="Book Antiqua" w:hAnsi="Book Antiqua" w:cs="Book Antiqua" w:hint="eastAsia"/>
          <w:color w:val="000000"/>
          <w:highlight w:val="yellow"/>
          <w:lang w:eastAsia="zh-CN"/>
        </w:rPr>
        <w:t>.</w:t>
      </w:r>
      <w:r w:rsidR="00854F3E" w:rsidRPr="00EE7B48">
        <w:rPr>
          <w:rFonts w:ascii="Book Antiqua" w:eastAsia="Book Antiqua" w:hAnsi="Book Antiqua" w:cs="Book Antiqua"/>
          <w:color w:val="000000"/>
          <w:highlight w:val="yellow"/>
        </w:rPr>
        <w:t xml:space="preserve"> </w:t>
      </w:r>
      <w:r w:rsidRPr="00EE7B48">
        <w:rPr>
          <w:rFonts w:ascii="Book Antiqua" w:eastAsia="Book Antiqua" w:hAnsi="Book Antiqua" w:cs="Book Antiqua"/>
          <w:color w:val="000000"/>
          <w:highlight w:val="yellow"/>
        </w:rPr>
        <w:t>Genotype-Tissue Expression (</w:t>
      </w:r>
      <w:proofErr w:type="spellStart"/>
      <w:r w:rsidRPr="00EE7B48">
        <w:rPr>
          <w:rFonts w:ascii="Book Antiqua" w:eastAsia="Book Antiqua" w:hAnsi="Book Antiqua" w:cs="Book Antiqua"/>
          <w:color w:val="000000"/>
          <w:highlight w:val="yellow"/>
        </w:rPr>
        <w:t>GTEx</w:t>
      </w:r>
      <w:proofErr w:type="spellEnd"/>
      <w:r w:rsidRPr="00EE7B48">
        <w:rPr>
          <w:rFonts w:ascii="Book Antiqua" w:eastAsia="Book Antiqua" w:hAnsi="Book Antiqua" w:cs="Book Antiqua"/>
          <w:color w:val="000000"/>
          <w:highlight w:val="yellow"/>
        </w:rPr>
        <w:t>) Portal.</w:t>
      </w:r>
      <w:r w:rsidR="00EE7B48" w:rsidRPr="00EE7B48">
        <w:rPr>
          <w:rFonts w:ascii="Book Antiqua" w:hAnsi="Book Antiqua" w:cs="Book Antiqua" w:hint="eastAsia"/>
          <w:color w:val="000000"/>
          <w:highlight w:val="yellow"/>
          <w:lang w:eastAsia="zh-CN"/>
        </w:rPr>
        <w:t xml:space="preserve"> [</w:t>
      </w:r>
      <w:proofErr w:type="gramStart"/>
      <w:r w:rsidR="00EE7B48" w:rsidRPr="00EE7B48">
        <w:rPr>
          <w:rFonts w:ascii="Book Antiqua" w:hAnsi="Book Antiqua" w:cs="Book Antiqua" w:hint="eastAsia"/>
          <w:color w:val="000000"/>
          <w:highlight w:val="yellow"/>
          <w:lang w:eastAsia="zh-CN"/>
        </w:rPr>
        <w:t>cited</w:t>
      </w:r>
      <w:proofErr w:type="gramEnd"/>
      <w:r w:rsidR="00854F3E">
        <w:rPr>
          <w:rFonts w:ascii="Book Antiqua" w:hAnsi="Book Antiqua" w:cs="Book Antiqua" w:hint="eastAsia"/>
          <w:color w:val="000000"/>
          <w:highlight w:val="yellow"/>
          <w:lang w:eastAsia="zh-CN"/>
        </w:rPr>
        <w:t xml:space="preserve"> 30 August </w:t>
      </w:r>
      <w:r w:rsidR="00195BCA">
        <w:rPr>
          <w:rFonts w:ascii="Book Antiqua" w:hAnsi="Book Antiqua" w:cs="Book Antiqua"/>
          <w:color w:val="000000"/>
          <w:highlight w:val="yellow"/>
          <w:lang w:eastAsia="zh-CN"/>
        </w:rPr>
        <w:t>2021</w:t>
      </w:r>
      <w:r w:rsidR="00EE7B48" w:rsidRPr="00EE7B48">
        <w:rPr>
          <w:rFonts w:ascii="Book Antiqua" w:hAnsi="Book Antiqua" w:cs="Book Antiqua" w:hint="eastAsia"/>
          <w:color w:val="000000"/>
          <w:highlight w:val="yellow"/>
          <w:lang w:eastAsia="zh-CN"/>
        </w:rPr>
        <w:t xml:space="preserve">]. </w:t>
      </w:r>
      <w:r w:rsidR="00854F3E">
        <w:rPr>
          <w:rFonts w:ascii="Book Antiqua" w:hAnsi="Book Antiqua" w:cs="Book Antiqua" w:hint="eastAsia"/>
          <w:color w:val="000000"/>
          <w:highlight w:val="yellow"/>
          <w:lang w:eastAsia="zh-CN"/>
        </w:rPr>
        <w:t xml:space="preserve">In: </w:t>
      </w:r>
      <w:proofErr w:type="spellStart"/>
      <w:r w:rsidR="00854F3E" w:rsidRPr="00EE7B48">
        <w:rPr>
          <w:rFonts w:ascii="Book Antiqua" w:eastAsia="Book Antiqua" w:hAnsi="Book Antiqua" w:cs="Book Antiqua"/>
          <w:color w:val="000000"/>
          <w:highlight w:val="yellow"/>
        </w:rPr>
        <w:t>GTEx</w:t>
      </w:r>
      <w:proofErr w:type="spellEnd"/>
      <w:r w:rsidR="00854F3E" w:rsidRPr="00EE7B48">
        <w:rPr>
          <w:rFonts w:ascii="Book Antiqua" w:eastAsia="Book Antiqua" w:hAnsi="Book Antiqua" w:cs="Book Antiqua"/>
          <w:color w:val="000000"/>
          <w:highlight w:val="yellow"/>
        </w:rPr>
        <w:t xml:space="preserve"> Portal</w:t>
      </w:r>
      <w:r w:rsidR="00854F3E" w:rsidRPr="00EE7B48">
        <w:rPr>
          <w:rFonts w:ascii="Book Antiqua" w:hAnsi="Book Antiqua" w:cs="Book Antiqua" w:hint="eastAsia"/>
          <w:color w:val="000000"/>
          <w:highlight w:val="yellow"/>
          <w:lang w:eastAsia="zh-CN"/>
        </w:rPr>
        <w:t xml:space="preserve"> </w:t>
      </w:r>
      <w:r w:rsidR="00854F3E">
        <w:rPr>
          <w:rFonts w:ascii="Book Antiqua" w:hAnsi="Book Antiqua" w:cs="Book Antiqua" w:hint="eastAsia"/>
          <w:color w:val="000000"/>
          <w:highlight w:val="yellow"/>
          <w:lang w:eastAsia="zh-CN"/>
        </w:rPr>
        <w:t xml:space="preserve">[Internet]. </w:t>
      </w:r>
      <w:r w:rsidR="00EE7B48" w:rsidRPr="00EE7B48">
        <w:rPr>
          <w:rFonts w:ascii="Book Antiqua" w:hAnsi="Book Antiqua" w:cs="Book Antiqua" w:hint="eastAsia"/>
          <w:color w:val="000000"/>
          <w:highlight w:val="yellow"/>
          <w:lang w:eastAsia="zh-CN"/>
        </w:rPr>
        <w:t>Available fro</w:t>
      </w:r>
      <w:r w:rsidR="00EE7B48" w:rsidRPr="00854F3E">
        <w:rPr>
          <w:rFonts w:ascii="Book Antiqua" w:hAnsi="Book Antiqua" w:cs="Book Antiqua" w:hint="eastAsia"/>
          <w:color w:val="000000"/>
          <w:highlight w:val="yellow"/>
          <w:lang w:eastAsia="zh-CN"/>
        </w:rPr>
        <w:t>m:</w:t>
      </w:r>
      <w:r w:rsidR="00195BCA" w:rsidRPr="00854F3E">
        <w:rPr>
          <w:rFonts w:ascii="Book Antiqua" w:hAnsi="Book Antiqua" w:cs="Book Antiqua"/>
          <w:color w:val="000000"/>
          <w:highlight w:val="yellow"/>
          <w:lang w:eastAsia="zh-CN"/>
        </w:rPr>
        <w:t xml:space="preserve"> https://gtexportal.org/home/</w:t>
      </w:r>
    </w:p>
    <w:p w14:paraId="6A62D8CA" w14:textId="77777777" w:rsidR="00A77B3E" w:rsidRDefault="005D0E0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Langer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Regensburger</w:t>
      </w:r>
      <w:proofErr w:type="spellEnd"/>
      <w:r>
        <w:rPr>
          <w:rFonts w:ascii="Book Antiqua" w:eastAsia="Book Antiqua" w:hAnsi="Book Antiqua" w:cs="Book Antiqua"/>
          <w:color w:val="000000"/>
        </w:rPr>
        <w:t xml:space="preserve"> D, Winkler TH, Waldner MJ, </w:t>
      </w:r>
      <w:proofErr w:type="spellStart"/>
      <w:r>
        <w:rPr>
          <w:rFonts w:ascii="Book Antiqua" w:eastAsia="Book Antiqua" w:hAnsi="Book Antiqua" w:cs="Book Antiqua"/>
          <w:color w:val="000000"/>
        </w:rPr>
        <w:t>Rath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Skottke</w:t>
      </w:r>
      <w:proofErr w:type="spellEnd"/>
      <w:r>
        <w:rPr>
          <w:rFonts w:ascii="Book Antiqua" w:eastAsia="Book Antiqua" w:hAnsi="Book Antiqua" w:cs="Book Antiqua"/>
          <w:color w:val="000000"/>
        </w:rPr>
        <w:t xml:space="preserve"> L, Lee S, Jeon NL, </w:t>
      </w:r>
      <w:proofErr w:type="spellStart"/>
      <w:r>
        <w:rPr>
          <w:rFonts w:ascii="Book Antiqua" w:eastAsia="Book Antiqua" w:hAnsi="Book Antiqua" w:cs="Book Antiqua"/>
          <w:color w:val="000000"/>
        </w:rPr>
        <w:t>Wohlfahrt</w:t>
      </w:r>
      <w:proofErr w:type="spellEnd"/>
      <w:r>
        <w:rPr>
          <w:rFonts w:ascii="Book Antiqua" w:eastAsia="Book Antiqua" w:hAnsi="Book Antiqua" w:cs="Book Antiqua"/>
          <w:color w:val="000000"/>
        </w:rPr>
        <w:t xml:space="preserve"> T, Kramer V, </w:t>
      </w:r>
      <w:proofErr w:type="spellStart"/>
      <w:r>
        <w:rPr>
          <w:rFonts w:ascii="Book Antiqua" w:eastAsia="Book Antiqua" w:hAnsi="Book Antiqua" w:cs="Book Antiqua"/>
          <w:color w:val="000000"/>
        </w:rPr>
        <w:t>Tripal</w:t>
      </w:r>
      <w:proofErr w:type="spellEnd"/>
      <w:r>
        <w:rPr>
          <w:rFonts w:ascii="Book Antiqua" w:eastAsia="Book Antiqua" w:hAnsi="Book Antiqua" w:cs="Book Antiqua"/>
          <w:color w:val="000000"/>
        </w:rPr>
        <w:t xml:space="preserve"> P, Schumann M, </w:t>
      </w:r>
      <w:proofErr w:type="spellStart"/>
      <w:r>
        <w:rPr>
          <w:rFonts w:ascii="Book Antiqua" w:eastAsia="Book Antiqua" w:hAnsi="Book Antiqua" w:cs="Book Antiqua"/>
          <w:color w:val="000000"/>
        </w:rPr>
        <w:t>Kersting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Handtrack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Geppert</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Suchowski</w:t>
      </w:r>
      <w:proofErr w:type="spellEnd"/>
      <w:r>
        <w:rPr>
          <w:rFonts w:ascii="Book Antiqua" w:eastAsia="Book Antiqua" w:hAnsi="Book Antiqua" w:cs="Book Antiqua"/>
          <w:color w:val="000000"/>
        </w:rPr>
        <w:t xml:space="preserve"> K, Adams RH, Becker C, Ramming A, </w:t>
      </w:r>
      <w:proofErr w:type="spellStart"/>
      <w:r>
        <w:rPr>
          <w:rFonts w:ascii="Book Antiqua" w:eastAsia="Book Antiqua" w:hAnsi="Book Antiqua" w:cs="Book Antiqua"/>
          <w:color w:val="000000"/>
        </w:rPr>
        <w:t>Naschberger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Britzen</w:t>
      </w:r>
      <w:proofErr w:type="spellEnd"/>
      <w:r>
        <w:rPr>
          <w:rFonts w:ascii="Book Antiqua" w:eastAsia="Book Antiqua" w:hAnsi="Book Antiqua" w:cs="Book Antiqua"/>
          <w:color w:val="000000"/>
        </w:rPr>
        <w:t xml:space="preserve">-Laurent N, </w:t>
      </w:r>
      <w:proofErr w:type="spellStart"/>
      <w:r>
        <w:rPr>
          <w:rFonts w:ascii="Book Antiqua" w:eastAsia="Book Antiqua" w:hAnsi="Book Antiqua" w:cs="Book Antiqua"/>
          <w:color w:val="000000"/>
        </w:rPr>
        <w:t>Stürzl</w:t>
      </w:r>
      <w:proofErr w:type="spellEnd"/>
      <w:r>
        <w:rPr>
          <w:rFonts w:ascii="Book Antiqua" w:eastAsia="Book Antiqua" w:hAnsi="Book Antiqua" w:cs="Book Antiqua"/>
          <w:color w:val="000000"/>
        </w:rPr>
        <w:t xml:space="preserve"> M. IFN-γ drives inflammatory bowel disease pathogenesis through VE-cadherin-directed vascular barrier disruption.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4691-4707 [PMID: 31566580 DOI: 10.1172/JCI124884]</w:t>
      </w:r>
    </w:p>
    <w:p w14:paraId="6D23B7E3" w14:textId="77777777" w:rsidR="00A77B3E" w:rsidRDefault="005D0E0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Dorland YL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Malinova</w:t>
      </w:r>
      <w:proofErr w:type="spellEnd"/>
      <w:r>
        <w:rPr>
          <w:rFonts w:ascii="Book Antiqua" w:eastAsia="Book Antiqua" w:hAnsi="Book Antiqua" w:cs="Book Antiqua"/>
          <w:color w:val="000000"/>
        </w:rPr>
        <w:t xml:space="preserve"> TS, van </w:t>
      </w:r>
      <w:proofErr w:type="spellStart"/>
      <w:r>
        <w:rPr>
          <w:rFonts w:ascii="Book Antiqua" w:eastAsia="Book Antiqua" w:hAnsi="Book Antiqua" w:cs="Book Antiqua"/>
          <w:color w:val="000000"/>
        </w:rPr>
        <w:t>Stalborch</w:t>
      </w:r>
      <w:proofErr w:type="spellEnd"/>
      <w:r>
        <w:rPr>
          <w:rFonts w:ascii="Book Antiqua" w:eastAsia="Book Antiqua" w:hAnsi="Book Antiqua" w:cs="Book Antiqua"/>
          <w:color w:val="000000"/>
        </w:rPr>
        <w:t xml:space="preserve"> AM, Grieve AG, van </w:t>
      </w:r>
      <w:proofErr w:type="spellStart"/>
      <w:r>
        <w:rPr>
          <w:rFonts w:ascii="Book Antiqua" w:eastAsia="Book Antiqua" w:hAnsi="Book Antiqua" w:cs="Book Antiqua"/>
          <w:color w:val="000000"/>
        </w:rPr>
        <w:t>Geemen</w:t>
      </w:r>
      <w:proofErr w:type="spellEnd"/>
      <w:r>
        <w:rPr>
          <w:rFonts w:ascii="Book Antiqua" w:eastAsia="Book Antiqua" w:hAnsi="Book Antiqua" w:cs="Book Antiqua"/>
          <w:color w:val="000000"/>
        </w:rPr>
        <w:t xml:space="preserve"> D, Jansen NS, de </w:t>
      </w:r>
      <w:proofErr w:type="spellStart"/>
      <w:r>
        <w:rPr>
          <w:rFonts w:ascii="Book Antiqua" w:eastAsia="Book Antiqua" w:hAnsi="Book Antiqua" w:cs="Book Antiqua"/>
          <w:color w:val="000000"/>
        </w:rPr>
        <w:t>Kreuk</w:t>
      </w:r>
      <w:proofErr w:type="spellEnd"/>
      <w:r>
        <w:rPr>
          <w:rFonts w:ascii="Book Antiqua" w:eastAsia="Book Antiqua" w:hAnsi="Book Antiqua" w:cs="Book Antiqua"/>
          <w:color w:val="000000"/>
        </w:rPr>
        <w:t xml:space="preserve"> BJ, Nawaz K, </w:t>
      </w:r>
      <w:proofErr w:type="spellStart"/>
      <w:r>
        <w:rPr>
          <w:rFonts w:ascii="Book Antiqua" w:eastAsia="Book Antiqua" w:hAnsi="Book Antiqua" w:cs="Book Antiqua"/>
          <w:color w:val="000000"/>
        </w:rPr>
        <w:t>Kole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D, Musters RJ, de </w:t>
      </w:r>
      <w:proofErr w:type="spellStart"/>
      <w:r>
        <w:rPr>
          <w:rFonts w:ascii="Book Antiqua" w:eastAsia="Book Antiqua" w:hAnsi="Book Antiqua" w:cs="Book Antiqua"/>
          <w:color w:val="000000"/>
        </w:rPr>
        <w:t>Rooij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Hordijk</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Huveneers</w:t>
      </w:r>
      <w:proofErr w:type="spellEnd"/>
      <w:r>
        <w:rPr>
          <w:rFonts w:ascii="Book Antiqua" w:eastAsia="Book Antiqua" w:hAnsi="Book Antiqua" w:cs="Book Antiqua"/>
          <w:color w:val="000000"/>
        </w:rPr>
        <w:t xml:space="preserve"> S. The F-BAR protein pacsin2 inhibits asymmetric VE-cadherin internalization from tensile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12210 [PMID: 27417273 DOI: 10.1038/ncomms12210]</w:t>
      </w:r>
    </w:p>
    <w:p w14:paraId="0E527EFF" w14:textId="77777777" w:rsidR="00A77B3E" w:rsidRDefault="005D0E0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Iida T</w:t>
      </w:r>
      <w:r>
        <w:rPr>
          <w:rFonts w:ascii="Book Antiqua" w:eastAsia="Book Antiqua" w:hAnsi="Book Antiqua" w:cs="Book Antiqua"/>
          <w:color w:val="000000"/>
        </w:rPr>
        <w:t xml:space="preserve">, Onodera K, Nakase H. Role of autophagy in the pathogenesis of inflammatory bowel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1944-1953 [PMID: 28373760 DOI: 10.3748/wjg.v23.i11.1944]</w:t>
      </w:r>
    </w:p>
    <w:p w14:paraId="0DDEB61C" w14:textId="77777777" w:rsidR="00A77B3E" w:rsidRDefault="005D0E0B">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Haq</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Grondin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Banskota</w:t>
      </w:r>
      <w:proofErr w:type="spellEnd"/>
      <w:r>
        <w:rPr>
          <w:rFonts w:ascii="Book Antiqua" w:eastAsia="Book Antiqua" w:hAnsi="Book Antiqua" w:cs="Book Antiqua"/>
          <w:color w:val="000000"/>
        </w:rPr>
        <w:t xml:space="preserve"> S, Khan WI. Autophagy: roles in intestinal mucosal homeostasis and inflammation.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19 [PMID: 30764829 DOI: 10.1186/s12929-019-0512-2]</w:t>
      </w:r>
    </w:p>
    <w:p w14:paraId="33FD0FDD" w14:textId="77777777" w:rsidR="00A77B3E" w:rsidRDefault="005D0E0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Uhlén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Fagerberg L, </w:t>
      </w:r>
      <w:proofErr w:type="spellStart"/>
      <w:r>
        <w:rPr>
          <w:rFonts w:ascii="Book Antiqua" w:eastAsia="Book Antiqua" w:hAnsi="Book Antiqua" w:cs="Book Antiqua"/>
          <w:color w:val="000000"/>
        </w:rPr>
        <w:t>Hallström</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Oksvold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Mardinoglu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Sivertsson</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Kampf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Sjöstedt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Asplund</w:t>
      </w:r>
      <w:proofErr w:type="spellEnd"/>
      <w:r>
        <w:rPr>
          <w:rFonts w:ascii="Book Antiqua" w:eastAsia="Book Antiqua" w:hAnsi="Book Antiqua" w:cs="Book Antiqua"/>
          <w:color w:val="000000"/>
        </w:rPr>
        <w:t xml:space="preserve"> A, Olsson I, </w:t>
      </w:r>
      <w:proofErr w:type="spellStart"/>
      <w:r>
        <w:rPr>
          <w:rFonts w:ascii="Book Antiqua" w:eastAsia="Book Antiqua" w:hAnsi="Book Antiqua" w:cs="Book Antiqua"/>
          <w:color w:val="000000"/>
        </w:rPr>
        <w:t>Edlund</w:t>
      </w:r>
      <w:proofErr w:type="spellEnd"/>
      <w:r>
        <w:rPr>
          <w:rFonts w:ascii="Book Antiqua" w:eastAsia="Book Antiqua" w:hAnsi="Book Antiqua" w:cs="Book Antiqua"/>
          <w:color w:val="000000"/>
        </w:rPr>
        <w:t xml:space="preserve"> K, Lundberg E, </w:t>
      </w:r>
      <w:proofErr w:type="spellStart"/>
      <w:r>
        <w:rPr>
          <w:rFonts w:ascii="Book Antiqua" w:eastAsia="Book Antiqua" w:hAnsi="Book Antiqua" w:cs="Book Antiqua"/>
          <w:color w:val="000000"/>
        </w:rPr>
        <w:t>Navani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Szigyarto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Odeberg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Djureinovic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Takanen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Hober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Edqvist</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Berling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Tegel</w:t>
      </w:r>
      <w:proofErr w:type="spellEnd"/>
      <w:r>
        <w:rPr>
          <w:rFonts w:ascii="Book Antiqua" w:eastAsia="Book Antiqua" w:hAnsi="Book Antiqua" w:cs="Book Antiqua"/>
          <w:color w:val="000000"/>
        </w:rPr>
        <w:t xml:space="preserve"> H, Mulder J, </w:t>
      </w:r>
      <w:proofErr w:type="spellStart"/>
      <w:r>
        <w:rPr>
          <w:rFonts w:ascii="Book Antiqua" w:eastAsia="Book Antiqua" w:hAnsi="Book Antiqua" w:cs="Book Antiqua"/>
          <w:color w:val="000000"/>
        </w:rPr>
        <w:t>Rockberg</w:t>
      </w:r>
      <w:proofErr w:type="spellEnd"/>
      <w:r>
        <w:rPr>
          <w:rFonts w:ascii="Book Antiqua" w:eastAsia="Book Antiqua" w:hAnsi="Book Antiqua" w:cs="Book Antiqua"/>
          <w:color w:val="000000"/>
        </w:rPr>
        <w:t xml:space="preserve"> J, Nilsson P,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Hamsten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Feilitzen</w:t>
      </w:r>
      <w:proofErr w:type="spellEnd"/>
      <w:r>
        <w:rPr>
          <w:rFonts w:ascii="Book Antiqua" w:eastAsia="Book Antiqua" w:hAnsi="Book Antiqua" w:cs="Book Antiqua"/>
          <w:color w:val="000000"/>
        </w:rPr>
        <w:t xml:space="preserve"> K, Forsberg M, </w:t>
      </w:r>
      <w:proofErr w:type="spellStart"/>
      <w:r>
        <w:rPr>
          <w:rFonts w:ascii="Book Antiqua" w:eastAsia="Book Antiqua" w:hAnsi="Book Antiqua" w:cs="Book Antiqua"/>
          <w:color w:val="000000"/>
        </w:rPr>
        <w:t>Persson</w:t>
      </w:r>
      <w:proofErr w:type="spellEnd"/>
      <w:r>
        <w:rPr>
          <w:rFonts w:ascii="Book Antiqua" w:eastAsia="Book Antiqua" w:hAnsi="Book Antiqua" w:cs="Book Antiqua"/>
          <w:color w:val="000000"/>
        </w:rPr>
        <w:t xml:space="preserve"> L, Johansson F, </w:t>
      </w:r>
      <w:proofErr w:type="spellStart"/>
      <w:r>
        <w:rPr>
          <w:rFonts w:ascii="Book Antiqua" w:eastAsia="Book Antiqua" w:hAnsi="Book Antiqua" w:cs="Book Antiqua"/>
          <w:color w:val="000000"/>
        </w:rPr>
        <w:t>Zwahlen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Heijne</w:t>
      </w:r>
      <w:proofErr w:type="spellEnd"/>
      <w:r>
        <w:rPr>
          <w:rFonts w:ascii="Book Antiqua" w:eastAsia="Book Antiqua" w:hAnsi="Book Antiqua" w:cs="Book Antiqua"/>
          <w:color w:val="000000"/>
        </w:rPr>
        <w:t xml:space="preserve"> G, Nielsen J, </w:t>
      </w:r>
      <w:proofErr w:type="spellStart"/>
      <w:r>
        <w:rPr>
          <w:rFonts w:ascii="Book Antiqua" w:eastAsia="Book Antiqua" w:hAnsi="Book Antiqua" w:cs="Book Antiqua"/>
          <w:color w:val="000000"/>
        </w:rPr>
        <w:t>Pontén</w:t>
      </w:r>
      <w:proofErr w:type="spellEnd"/>
      <w:r>
        <w:rPr>
          <w:rFonts w:ascii="Book Antiqua" w:eastAsia="Book Antiqua" w:hAnsi="Book Antiqua" w:cs="Book Antiqua"/>
          <w:color w:val="000000"/>
        </w:rPr>
        <w:t xml:space="preserve"> F. Proteomics. Tissue-based map of the human proteome.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1260419 [PMID: 25613900 DOI: 10.1126/science.1260419]</w:t>
      </w:r>
    </w:p>
    <w:p w14:paraId="0E5653E6" w14:textId="77777777" w:rsidR="00A77B3E" w:rsidRDefault="005D0E0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Kreuk</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Nethe</w:t>
      </w:r>
      <w:proofErr w:type="spellEnd"/>
      <w:r>
        <w:rPr>
          <w:rFonts w:ascii="Book Antiqua" w:eastAsia="Book Antiqua" w:hAnsi="Book Antiqua" w:cs="Book Antiqua"/>
          <w:color w:val="000000"/>
        </w:rPr>
        <w:t xml:space="preserve"> M, Fernandez-Borja M, Anthony EC, </w:t>
      </w:r>
      <w:proofErr w:type="spellStart"/>
      <w:r>
        <w:rPr>
          <w:rFonts w:ascii="Book Antiqua" w:eastAsia="Book Antiqua" w:hAnsi="Book Antiqua" w:cs="Book Antiqua"/>
          <w:color w:val="000000"/>
        </w:rPr>
        <w:t>Hensbergen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Deelder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Plomann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Hordijk</w:t>
      </w:r>
      <w:proofErr w:type="spellEnd"/>
      <w:r>
        <w:rPr>
          <w:rFonts w:ascii="Book Antiqua" w:eastAsia="Book Antiqua" w:hAnsi="Book Antiqua" w:cs="Book Antiqua"/>
          <w:color w:val="000000"/>
        </w:rPr>
        <w:t xml:space="preserve"> PL. The F-BAR domain protein PACSIN2 associates with Rac1 and regulates cell spreading and migration.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2375-2388 [PMID: 21693584 DOI: 10.1242/jcs.080630]</w:t>
      </w:r>
    </w:p>
    <w:p w14:paraId="20DD6464" w14:textId="77777777" w:rsidR="00A77B3E" w:rsidRDefault="005D0E0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Bourgine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Allorge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Crunelle</w:t>
      </w:r>
      <w:proofErr w:type="spellEnd"/>
      <w:r>
        <w:rPr>
          <w:rFonts w:ascii="Book Antiqua" w:eastAsia="Book Antiqua" w:hAnsi="Book Antiqua" w:cs="Book Antiqua"/>
          <w:color w:val="000000"/>
        </w:rPr>
        <w:t>-Thibaut A, Lo-</w:t>
      </w:r>
      <w:proofErr w:type="spellStart"/>
      <w:r>
        <w:rPr>
          <w:rFonts w:ascii="Book Antiqua" w:eastAsia="Book Antiqua" w:hAnsi="Book Antiqua" w:cs="Book Antiqua"/>
          <w:color w:val="000000"/>
        </w:rPr>
        <w:t>Guidice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Broly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Billaut</w:t>
      </w:r>
      <w:proofErr w:type="spellEnd"/>
      <w:r>
        <w:rPr>
          <w:rFonts w:ascii="Book Antiqua" w:eastAsia="Book Antiqua" w:hAnsi="Book Antiqua" w:cs="Book Antiqua"/>
          <w:color w:val="000000"/>
        </w:rPr>
        <w:t>-Laden I. Evidence for a functional genetic polymorphism of the Rho-</w:t>
      </w:r>
      <w:proofErr w:type="spellStart"/>
      <w:r>
        <w:rPr>
          <w:rFonts w:ascii="Book Antiqua" w:eastAsia="Book Antiqua" w:hAnsi="Book Antiqua" w:cs="Book Antiqua"/>
          <w:color w:val="000000"/>
        </w:rPr>
        <w:t>GTPase</w:t>
      </w:r>
      <w:proofErr w:type="spellEnd"/>
      <w:r>
        <w:rPr>
          <w:rFonts w:ascii="Book Antiqua" w:eastAsia="Book Antiqua" w:hAnsi="Book Antiqua" w:cs="Book Antiqua"/>
          <w:color w:val="000000"/>
        </w:rPr>
        <w:t xml:space="preserve"> Rac1. Implication in azathioprine response? </w:t>
      </w:r>
      <w:proofErr w:type="spellStart"/>
      <w:r>
        <w:rPr>
          <w:rFonts w:ascii="Book Antiqua" w:eastAsia="Book Antiqua" w:hAnsi="Book Antiqua" w:cs="Book Antiqua"/>
          <w:i/>
          <w:iCs/>
          <w:color w:val="000000"/>
        </w:rPr>
        <w:t>Pharmacogenet</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313-324 [PMID: 21372752 DOI: 10.1097/FPC.0b013e3283449200]</w:t>
      </w:r>
    </w:p>
    <w:p w14:paraId="68610EE4" w14:textId="77777777" w:rsidR="00A77B3E" w:rsidRDefault="005D0E0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Seinen</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Nieuw</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Amerongen</w:t>
      </w:r>
      <w:proofErr w:type="spellEnd"/>
      <w:r>
        <w:rPr>
          <w:rFonts w:ascii="Book Antiqua" w:eastAsia="Book Antiqua" w:hAnsi="Book Antiqua" w:cs="Book Antiqua"/>
          <w:color w:val="000000"/>
        </w:rPr>
        <w:t xml:space="preserve"> GP, de Boer NK, Mulder CJ, van </w:t>
      </w:r>
      <w:proofErr w:type="spellStart"/>
      <w:r>
        <w:rPr>
          <w:rFonts w:ascii="Book Antiqua" w:eastAsia="Book Antiqua" w:hAnsi="Book Antiqua" w:cs="Book Antiqua"/>
          <w:color w:val="000000"/>
        </w:rPr>
        <w:t>Bezu</w:t>
      </w:r>
      <w:proofErr w:type="spellEnd"/>
      <w:r>
        <w:rPr>
          <w:rFonts w:ascii="Book Antiqua" w:eastAsia="Book Antiqua" w:hAnsi="Book Antiqua" w:cs="Book Antiqua"/>
          <w:color w:val="000000"/>
        </w:rPr>
        <w:t xml:space="preserve"> J, </w:t>
      </w:r>
      <w:proofErr w:type="gramStart"/>
      <w:r>
        <w:rPr>
          <w:rFonts w:ascii="Book Antiqua" w:eastAsia="Book Antiqua" w:hAnsi="Book Antiqua" w:cs="Book Antiqua"/>
          <w:color w:val="000000"/>
        </w:rPr>
        <w:t>van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Rac1 as a Potential </w:t>
      </w:r>
      <w:proofErr w:type="spellStart"/>
      <w:r>
        <w:rPr>
          <w:rFonts w:ascii="Book Antiqua" w:eastAsia="Book Antiqua" w:hAnsi="Book Antiqua" w:cs="Book Antiqua"/>
          <w:color w:val="000000"/>
        </w:rPr>
        <w:t>Pharmacodynamic</w:t>
      </w:r>
      <w:proofErr w:type="spellEnd"/>
      <w:r>
        <w:rPr>
          <w:rFonts w:ascii="Book Antiqua" w:eastAsia="Book Antiqua" w:hAnsi="Book Antiqua" w:cs="Book Antiqua"/>
          <w:color w:val="000000"/>
        </w:rPr>
        <w:t xml:space="preserve"> Biomarker for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Therapy in Inflammatory Bowel Disease.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621-627 [PMID: 27465973 DOI: 10.1097/FTD.0000000000000326]</w:t>
      </w:r>
    </w:p>
    <w:p w14:paraId="6E85345D" w14:textId="77777777" w:rsidR="00A77B3E" w:rsidRDefault="005D0E0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Muise AM</w:t>
      </w:r>
      <w:r>
        <w:rPr>
          <w:rFonts w:ascii="Book Antiqua" w:eastAsia="Book Antiqua" w:hAnsi="Book Antiqua" w:cs="Book Antiqua"/>
          <w:color w:val="000000"/>
        </w:rPr>
        <w:t>, Walters T, Xu W, Shen-</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Fattouh</w:t>
      </w:r>
      <w:proofErr w:type="spellEnd"/>
      <w:r>
        <w:rPr>
          <w:rFonts w:ascii="Book Antiqua" w:eastAsia="Book Antiqua" w:hAnsi="Book Antiqua" w:cs="Book Antiqua"/>
          <w:color w:val="000000"/>
        </w:rPr>
        <w:t xml:space="preserve"> R, Lam GY, Wolters VM, </w:t>
      </w:r>
      <w:proofErr w:type="spellStart"/>
      <w:r>
        <w:rPr>
          <w:rFonts w:ascii="Book Antiqua" w:eastAsia="Book Antiqua" w:hAnsi="Book Antiqua" w:cs="Book Antiqua"/>
          <w:color w:val="000000"/>
        </w:rPr>
        <w:t>Bennitz</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Limbergen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Renbaum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Kasirer</w:t>
      </w:r>
      <w:proofErr w:type="spellEnd"/>
      <w:r>
        <w:rPr>
          <w:rFonts w:ascii="Book Antiqua" w:eastAsia="Book Antiqua" w:hAnsi="Book Antiqua" w:cs="Book Antiqua"/>
          <w:color w:val="000000"/>
        </w:rPr>
        <w:t xml:space="preserve"> Y, Ngan BY, Turner D, Denson LA, Sherman PM, </w:t>
      </w:r>
      <w:proofErr w:type="spellStart"/>
      <w:r>
        <w:rPr>
          <w:rFonts w:ascii="Book Antiqua" w:eastAsia="Book Antiqua" w:hAnsi="Book Antiqua" w:cs="Book Antiqua"/>
          <w:color w:val="000000"/>
        </w:rPr>
        <w:t>Duerr</w:t>
      </w:r>
      <w:proofErr w:type="spellEnd"/>
      <w:r>
        <w:rPr>
          <w:rFonts w:ascii="Book Antiqua" w:eastAsia="Book Antiqua" w:hAnsi="Book Antiqua" w:cs="Book Antiqua"/>
          <w:color w:val="000000"/>
        </w:rPr>
        <w:t xml:space="preserve"> RH, Cho J, Lees CW,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Wilson DC, Paterson AD, Griffiths AM, </w:t>
      </w:r>
      <w:proofErr w:type="spellStart"/>
      <w:r>
        <w:rPr>
          <w:rFonts w:ascii="Book Antiqua" w:eastAsia="Book Antiqua" w:hAnsi="Book Antiqua" w:cs="Book Antiqua"/>
          <w:color w:val="000000"/>
        </w:rPr>
        <w:t>Glogauer</w:t>
      </w:r>
      <w:proofErr w:type="spellEnd"/>
      <w:r>
        <w:rPr>
          <w:rFonts w:ascii="Book Antiqua" w:eastAsia="Book Antiqua" w:hAnsi="Book Antiqua" w:cs="Book Antiqua"/>
          <w:color w:val="000000"/>
        </w:rPr>
        <w:t xml:space="preserve"> M, Silverberg MS, </w:t>
      </w:r>
      <w:proofErr w:type="spellStart"/>
      <w:r>
        <w:rPr>
          <w:rFonts w:ascii="Book Antiqua" w:eastAsia="Book Antiqua" w:hAnsi="Book Antiqua" w:cs="Book Antiqua"/>
          <w:color w:val="000000"/>
        </w:rPr>
        <w:t>Brumell</w:t>
      </w:r>
      <w:proofErr w:type="spellEnd"/>
      <w:r>
        <w:rPr>
          <w:rFonts w:ascii="Book Antiqua" w:eastAsia="Book Antiqua" w:hAnsi="Book Antiqua" w:cs="Book Antiqua"/>
          <w:color w:val="000000"/>
        </w:rPr>
        <w:t xml:space="preserve"> JH. Single nucleotide polymorphisms that increase expression of the guanosine </w:t>
      </w:r>
      <w:proofErr w:type="spellStart"/>
      <w:r>
        <w:rPr>
          <w:rFonts w:ascii="Book Antiqua" w:eastAsia="Book Antiqua" w:hAnsi="Book Antiqua" w:cs="Book Antiqua"/>
          <w:color w:val="000000"/>
        </w:rPr>
        <w:t>triphosphatase</w:t>
      </w:r>
      <w:proofErr w:type="spellEnd"/>
      <w:r>
        <w:rPr>
          <w:rFonts w:ascii="Book Antiqua" w:eastAsia="Book Antiqua" w:hAnsi="Book Antiqua" w:cs="Book Antiqua"/>
          <w:color w:val="000000"/>
        </w:rPr>
        <w:t xml:space="preserve"> RAC1 are associated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633-641 [PMID: 21684284 DOI: 10.1053/j.gastro.2011.04.057]</w:t>
      </w:r>
    </w:p>
    <w:p w14:paraId="0736D770" w14:textId="77777777" w:rsidR="00A77B3E" w:rsidRDefault="005D0E0B">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Atreya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Novel signal transduction pathways: analysis of STAT-3 and Rac-1 signaling in inflammatory bowel disease.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1072</w:t>
      </w:r>
      <w:r>
        <w:rPr>
          <w:rFonts w:ascii="Book Antiqua" w:eastAsia="Book Antiqua" w:hAnsi="Book Antiqua" w:cs="Book Antiqua"/>
          <w:color w:val="000000"/>
        </w:rPr>
        <w:t>: 98-113 [PMID: 17057193 DOI: 10.1196/annals.1326.001]</w:t>
      </w:r>
    </w:p>
    <w:p w14:paraId="5DF39CB5" w14:textId="77777777" w:rsidR="00A77B3E" w:rsidRDefault="005D0E0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Sakumi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Abolhassani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Behmanesh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Tsuchimoto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Nakabeppu</w:t>
      </w:r>
      <w:proofErr w:type="spellEnd"/>
      <w:r>
        <w:rPr>
          <w:rFonts w:ascii="Book Antiqua" w:eastAsia="Book Antiqua" w:hAnsi="Book Antiqua" w:cs="Book Antiqua"/>
          <w:color w:val="000000"/>
        </w:rPr>
        <w:t xml:space="preserve"> Y. ITPA protein, an enzyme that eliminates </w:t>
      </w:r>
      <w:proofErr w:type="spellStart"/>
      <w:r>
        <w:rPr>
          <w:rFonts w:ascii="Book Antiqua" w:eastAsia="Book Antiqua" w:hAnsi="Book Antiqua" w:cs="Book Antiqua"/>
          <w:color w:val="000000"/>
        </w:rPr>
        <w:t>deaminated</w:t>
      </w:r>
      <w:proofErr w:type="spellEnd"/>
      <w:r>
        <w:rPr>
          <w:rFonts w:ascii="Book Antiqua" w:eastAsia="Book Antiqua" w:hAnsi="Book Antiqua" w:cs="Book Antiqua"/>
          <w:color w:val="000000"/>
        </w:rPr>
        <w:t xml:space="preserve"> purine nucleoside triphosphates in cells.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703</w:t>
      </w:r>
      <w:r>
        <w:rPr>
          <w:rFonts w:ascii="Book Antiqua" w:eastAsia="Book Antiqua" w:hAnsi="Book Antiqua" w:cs="Book Antiqua"/>
          <w:color w:val="000000"/>
        </w:rPr>
        <w:t>: 43-50 [PMID: 20601097 DOI: 10.1016/j.mrgentox.2010.06.009]</w:t>
      </w:r>
    </w:p>
    <w:p w14:paraId="65CFAE5C" w14:textId="77777777" w:rsidR="00A77B3E" w:rsidRDefault="005D0E0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Shipkova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Lorenz K, </w:t>
      </w:r>
      <w:proofErr w:type="spellStart"/>
      <w:r>
        <w:rPr>
          <w:rFonts w:ascii="Book Antiqua" w:eastAsia="Book Antiqua" w:hAnsi="Book Antiqua" w:cs="Book Antiqua"/>
          <w:color w:val="000000"/>
        </w:rPr>
        <w:t>Oellerich</w:t>
      </w:r>
      <w:proofErr w:type="spellEnd"/>
      <w:r>
        <w:rPr>
          <w:rFonts w:ascii="Book Antiqua" w:eastAsia="Book Antiqua" w:hAnsi="Book Antiqua" w:cs="Book Antiqua"/>
          <w:color w:val="000000"/>
        </w:rPr>
        <w:t xml:space="preserve"> M, Wieland E, von </w:t>
      </w:r>
      <w:proofErr w:type="spellStart"/>
      <w:r>
        <w:rPr>
          <w:rFonts w:ascii="Book Antiqua" w:eastAsia="Book Antiqua" w:hAnsi="Book Antiqua" w:cs="Book Antiqua"/>
          <w:color w:val="000000"/>
        </w:rPr>
        <w:t>Ahsen</w:t>
      </w:r>
      <w:proofErr w:type="spellEnd"/>
      <w:r>
        <w:rPr>
          <w:rFonts w:ascii="Book Antiqua" w:eastAsia="Book Antiqua" w:hAnsi="Book Antiqua" w:cs="Book Antiqua"/>
          <w:color w:val="000000"/>
        </w:rPr>
        <w:t xml:space="preserve"> N. Measurement of erythrocyte inosine triphosphate </w:t>
      </w:r>
      <w:proofErr w:type="spellStart"/>
      <w:r>
        <w:rPr>
          <w:rFonts w:ascii="Book Antiqua" w:eastAsia="Book Antiqua" w:hAnsi="Book Antiqua" w:cs="Book Antiqua"/>
          <w:color w:val="000000"/>
        </w:rPr>
        <w:t>pyrophosphohydrolase</w:t>
      </w:r>
      <w:proofErr w:type="spellEnd"/>
      <w:r>
        <w:rPr>
          <w:rFonts w:ascii="Book Antiqua" w:eastAsia="Book Antiqua" w:hAnsi="Book Antiqua" w:cs="Book Antiqua"/>
          <w:color w:val="000000"/>
        </w:rPr>
        <w:t xml:space="preserve"> (ITPA) activity by HPLC and correlation of ITPA genotype-phenotype in a Caucasian population.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52</w:t>
      </w:r>
      <w:r>
        <w:rPr>
          <w:rFonts w:ascii="Book Antiqua" w:eastAsia="Book Antiqua" w:hAnsi="Book Antiqua" w:cs="Book Antiqua"/>
          <w:color w:val="000000"/>
        </w:rPr>
        <w:t>: 240-247 [PMID: 16384889 DOI: 10.1373/clinchem.2005.059501]</w:t>
      </w:r>
    </w:p>
    <w:p w14:paraId="6B60DAC2" w14:textId="77777777" w:rsidR="00A77B3E" w:rsidRDefault="005D0E0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Arenas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Duley</w:t>
      </w:r>
      <w:proofErr w:type="spellEnd"/>
      <w:r>
        <w:rPr>
          <w:rFonts w:ascii="Book Antiqua" w:eastAsia="Book Antiqua" w:hAnsi="Book Antiqua" w:cs="Book Antiqua"/>
          <w:color w:val="000000"/>
        </w:rPr>
        <w:t xml:space="preserve"> J, Sumi S, Sanderson J,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A. The ITPA c.94C&gt;A and g.IVS2+21A&gt;C sequence variants contribute to </w:t>
      </w:r>
      <w:proofErr w:type="spellStart"/>
      <w:r>
        <w:rPr>
          <w:rFonts w:ascii="Book Antiqua" w:eastAsia="Book Antiqua" w:hAnsi="Book Antiqua" w:cs="Book Antiqua"/>
          <w:color w:val="000000"/>
        </w:rPr>
        <w:t>missplicing</w:t>
      </w:r>
      <w:proofErr w:type="spellEnd"/>
      <w:r>
        <w:rPr>
          <w:rFonts w:ascii="Book Antiqua" w:eastAsia="Book Antiqua" w:hAnsi="Book Antiqua" w:cs="Book Antiqua"/>
          <w:color w:val="000000"/>
        </w:rPr>
        <w:t xml:space="preserve"> of the ITPA gene.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1772</w:t>
      </w:r>
      <w:r>
        <w:rPr>
          <w:rFonts w:ascii="Book Antiqua" w:eastAsia="Book Antiqua" w:hAnsi="Book Antiqua" w:cs="Book Antiqua"/>
          <w:color w:val="000000"/>
        </w:rPr>
        <w:t>: 96-102 [PMID: 17113761 DOI: 10.1016/j.bbadis.2006.10.006]</w:t>
      </w:r>
    </w:p>
    <w:p w14:paraId="7DB52E6C" w14:textId="77777777" w:rsidR="00A77B3E" w:rsidRDefault="005D0E0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Marinaki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Ansari A, </w:t>
      </w:r>
      <w:proofErr w:type="spellStart"/>
      <w:r>
        <w:rPr>
          <w:rFonts w:ascii="Book Antiqua" w:eastAsia="Book Antiqua" w:hAnsi="Book Antiqua" w:cs="Book Antiqua"/>
          <w:color w:val="000000"/>
        </w:rPr>
        <w:t>Duley</w:t>
      </w:r>
      <w:proofErr w:type="spellEnd"/>
      <w:r>
        <w:rPr>
          <w:rFonts w:ascii="Book Antiqua" w:eastAsia="Book Antiqua" w:hAnsi="Book Antiqua" w:cs="Book Antiqua"/>
          <w:color w:val="000000"/>
        </w:rPr>
        <w:t xml:space="preserve"> JA, Arenas M, Sumi S, Lewis CM, </w:t>
      </w:r>
      <w:proofErr w:type="spellStart"/>
      <w:r>
        <w:rPr>
          <w:rFonts w:ascii="Book Antiqua" w:eastAsia="Book Antiqua" w:hAnsi="Book Antiqua" w:cs="Book Antiqua"/>
          <w:color w:val="000000"/>
        </w:rPr>
        <w:t>Shobowale-Bakre</w:t>
      </w:r>
      <w:proofErr w:type="spellEnd"/>
      <w:r>
        <w:rPr>
          <w:rFonts w:ascii="Book Antiqua" w:eastAsia="Book Antiqua" w:hAnsi="Book Antiqua" w:cs="Book Antiqua"/>
          <w:color w:val="000000"/>
        </w:rPr>
        <w:t xml:space="preserve"> el-M, </w:t>
      </w:r>
      <w:proofErr w:type="spellStart"/>
      <w:r>
        <w:rPr>
          <w:rFonts w:ascii="Book Antiqua" w:eastAsia="Book Antiqua" w:hAnsi="Book Antiqua" w:cs="Book Antiqua"/>
          <w:color w:val="000000"/>
        </w:rPr>
        <w:t>Escuredo</w:t>
      </w:r>
      <w:proofErr w:type="spellEnd"/>
      <w:r>
        <w:rPr>
          <w:rFonts w:ascii="Book Antiqua" w:eastAsia="Book Antiqua" w:hAnsi="Book Antiqua" w:cs="Book Antiqua"/>
          <w:color w:val="000000"/>
        </w:rPr>
        <w:t xml:space="preserve"> E, Fairbanks LD, </w:t>
      </w:r>
      <w:proofErr w:type="gramStart"/>
      <w:r>
        <w:rPr>
          <w:rFonts w:ascii="Book Antiqua" w:eastAsia="Book Antiqua" w:hAnsi="Book Antiqua" w:cs="Book Antiqua"/>
          <w:color w:val="000000"/>
        </w:rPr>
        <w:t>Sanderson</w:t>
      </w:r>
      <w:proofErr w:type="gramEnd"/>
      <w:r>
        <w:rPr>
          <w:rFonts w:ascii="Book Antiqua" w:eastAsia="Book Antiqua" w:hAnsi="Book Antiqua" w:cs="Book Antiqua"/>
          <w:color w:val="000000"/>
        </w:rPr>
        <w:t xml:space="preserve"> JD. Adverse drug reactions to azathioprine therapy are associated with polymorphism in the gene encoding inosine triphosphate </w:t>
      </w:r>
      <w:proofErr w:type="spellStart"/>
      <w:r>
        <w:rPr>
          <w:rFonts w:ascii="Book Antiqua" w:eastAsia="Book Antiqua" w:hAnsi="Book Antiqua" w:cs="Book Antiqua"/>
          <w:color w:val="000000"/>
        </w:rPr>
        <w:t>pyrophosphatase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ITPase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14</w:t>
      </w:r>
      <w:r>
        <w:rPr>
          <w:rFonts w:ascii="Book Antiqua" w:eastAsia="Book Antiqua" w:hAnsi="Book Antiqua" w:cs="Book Antiqua"/>
          <w:color w:val="000000"/>
        </w:rPr>
        <w:t>: 181-187 [PMID: 15167706 DOI: 10.1097/00008571-200403000-00006]</w:t>
      </w:r>
    </w:p>
    <w:p w14:paraId="2AC2DF72" w14:textId="77777777" w:rsidR="00A77B3E" w:rsidRDefault="005D0E0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Hareedy</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Desoky</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Woillard</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Thabet</w:t>
      </w:r>
      <w:proofErr w:type="spellEnd"/>
      <w:r>
        <w:rPr>
          <w:rFonts w:ascii="Book Antiqua" w:eastAsia="Book Antiqua" w:hAnsi="Book Antiqua" w:cs="Book Antiqua"/>
          <w:color w:val="000000"/>
        </w:rPr>
        <w:t xml:space="preserve"> RH, Ali AM,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P, Picard N. Genetic variants in 6-mercaptopurine pathway as potential factors of hematological toxicity in acute lymphoblastic leukemia patients.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1119-1134 [PMID: 26237184 DOI: 10.2217/PGS.15.62]</w:t>
      </w:r>
    </w:p>
    <w:p w14:paraId="1102D5C9" w14:textId="77777777" w:rsidR="00A77B3E" w:rsidRDefault="005D0E0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Stocco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Cheok</w:t>
      </w:r>
      <w:proofErr w:type="spellEnd"/>
      <w:r>
        <w:rPr>
          <w:rFonts w:ascii="Book Antiqua" w:eastAsia="Book Antiqua" w:hAnsi="Book Antiqua" w:cs="Book Antiqua"/>
          <w:color w:val="000000"/>
        </w:rPr>
        <w:t xml:space="preserve"> MH, Crews KR, </w:t>
      </w:r>
      <w:proofErr w:type="spellStart"/>
      <w:r>
        <w:rPr>
          <w:rFonts w:ascii="Book Antiqua" w:eastAsia="Book Antiqua" w:hAnsi="Book Antiqua" w:cs="Book Antiqua"/>
          <w:color w:val="000000"/>
        </w:rPr>
        <w:t>Dervieux</w:t>
      </w:r>
      <w:proofErr w:type="spellEnd"/>
      <w:r>
        <w:rPr>
          <w:rFonts w:ascii="Book Antiqua" w:eastAsia="Book Antiqua" w:hAnsi="Book Antiqua" w:cs="Book Antiqua"/>
          <w:color w:val="000000"/>
        </w:rPr>
        <w:t xml:space="preserve"> T, French D, Pei D, Yang W, Cheng C,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Relling</w:t>
      </w:r>
      <w:proofErr w:type="spellEnd"/>
      <w:r>
        <w:rPr>
          <w:rFonts w:ascii="Book Antiqua" w:eastAsia="Book Antiqua" w:hAnsi="Book Antiqua" w:cs="Book Antiqua"/>
          <w:color w:val="000000"/>
        </w:rPr>
        <w:t xml:space="preserve"> MV, Evans WE. Genetic polymorphism of inosine triphosphate </w:t>
      </w:r>
      <w:proofErr w:type="spellStart"/>
      <w:r>
        <w:rPr>
          <w:rFonts w:ascii="Book Antiqua" w:eastAsia="Book Antiqua" w:hAnsi="Book Antiqua" w:cs="Book Antiqua"/>
          <w:color w:val="000000"/>
        </w:rPr>
        <w:t>pyrophosphatase</w:t>
      </w:r>
      <w:proofErr w:type="spellEnd"/>
      <w:r>
        <w:rPr>
          <w:rFonts w:ascii="Book Antiqua" w:eastAsia="Book Antiqua" w:hAnsi="Book Antiqua" w:cs="Book Antiqua"/>
          <w:color w:val="000000"/>
        </w:rPr>
        <w:t xml:space="preserve"> is a determinant of </w:t>
      </w:r>
      <w:proofErr w:type="spellStart"/>
      <w:r>
        <w:rPr>
          <w:rFonts w:ascii="Book Antiqua" w:eastAsia="Book Antiqua" w:hAnsi="Book Antiqua" w:cs="Book Antiqua"/>
          <w:color w:val="000000"/>
        </w:rPr>
        <w:t>mercaptopurine</w:t>
      </w:r>
      <w:proofErr w:type="spellEnd"/>
      <w:r>
        <w:rPr>
          <w:rFonts w:ascii="Book Antiqua" w:eastAsia="Book Antiqua" w:hAnsi="Book Antiqua" w:cs="Book Antiqua"/>
          <w:color w:val="000000"/>
        </w:rPr>
        <w:t xml:space="preserve"> metabolism and toxicity during treatment for acute lymphoblastic leukemia.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85</w:t>
      </w:r>
      <w:r>
        <w:rPr>
          <w:rFonts w:ascii="Book Antiqua" w:eastAsia="Book Antiqua" w:hAnsi="Book Antiqua" w:cs="Book Antiqua"/>
          <w:color w:val="000000"/>
        </w:rPr>
        <w:t>: 164-172 [PMID: 18685564 DOI: 10.1038/clpt.2008.154]</w:t>
      </w:r>
    </w:p>
    <w:p w14:paraId="34D02A6E" w14:textId="77777777" w:rsidR="00A77B3E" w:rsidRDefault="005D0E0B">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Chiengthong</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Ittiwut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Muensri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Sophonphan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Sosothikul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Seksan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Suppipat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Suphapeetiporn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Shotelersuk</w:t>
      </w:r>
      <w:proofErr w:type="spellEnd"/>
      <w:r>
        <w:rPr>
          <w:rFonts w:ascii="Book Antiqua" w:eastAsia="Book Antiqua" w:hAnsi="Book Antiqua" w:cs="Book Antiqua"/>
          <w:color w:val="000000"/>
        </w:rPr>
        <w:t xml:space="preserve"> V. NUDT15 c.415C&gt;T increases risk of 6-</w:t>
      </w:r>
      <w:r>
        <w:rPr>
          <w:rFonts w:ascii="Book Antiqua" w:eastAsia="Book Antiqua" w:hAnsi="Book Antiqua" w:cs="Book Antiqua"/>
          <w:color w:val="000000"/>
        </w:rPr>
        <w:lastRenderedPageBreak/>
        <w:t xml:space="preserve">mercaptopurine induced myelosuppression during maintenance therapy in children with acute lymphoblastic leukemia.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e24-e26 [PMID: 26405151 DOI: 10.3324/haematol.2015.134775]</w:t>
      </w:r>
    </w:p>
    <w:bookmarkEnd w:id="3"/>
    <w:p w14:paraId="30F8907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CAB1D1" w14:textId="77777777" w:rsidR="00A77B3E" w:rsidRDefault="005D0E0B">
      <w:pPr>
        <w:spacing w:line="360" w:lineRule="auto"/>
        <w:jc w:val="both"/>
      </w:pPr>
      <w:r>
        <w:rPr>
          <w:rFonts w:ascii="Book Antiqua" w:eastAsia="Book Antiqua" w:hAnsi="Book Antiqua" w:cs="Book Antiqua"/>
          <w:b/>
          <w:color w:val="000000"/>
        </w:rPr>
        <w:lastRenderedPageBreak/>
        <w:t>Footnotes</w:t>
      </w:r>
    </w:p>
    <w:p w14:paraId="5D148C8B" w14:textId="6EAB545C" w:rsidR="00A77B3E" w:rsidRPr="008F39C2" w:rsidRDefault="005D0E0B">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declare no conflicts o</w:t>
      </w:r>
      <w:r>
        <w:rPr>
          <w:rFonts w:ascii="Book Antiqua" w:eastAsia="Book Antiqua" w:hAnsi="Book Antiqua" w:cs="Book Antiqua"/>
          <w:color w:val="000000"/>
        </w:rPr>
        <w:t>f interest</w:t>
      </w:r>
      <w:r w:rsidR="00624656">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14:paraId="7860A6BB" w14:textId="77777777" w:rsidR="00A77B3E" w:rsidRDefault="00A77B3E">
      <w:pPr>
        <w:spacing w:line="360" w:lineRule="auto"/>
        <w:jc w:val="both"/>
      </w:pPr>
    </w:p>
    <w:p w14:paraId="2EE945E7" w14:textId="77777777" w:rsidR="00A77B3E" w:rsidRDefault="005D0E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2B6D09" w14:textId="77777777" w:rsidR="00A77B3E" w:rsidRDefault="00A77B3E">
      <w:pPr>
        <w:spacing w:line="360" w:lineRule="auto"/>
        <w:jc w:val="both"/>
      </w:pPr>
    </w:p>
    <w:p w14:paraId="0B02BC01" w14:textId="2BF44E71" w:rsidR="00A77B3E" w:rsidRDefault="005D0E0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448D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6720231" w14:textId="77777777" w:rsidR="00C72A13" w:rsidRDefault="00C72A13">
      <w:pPr>
        <w:spacing w:line="360" w:lineRule="auto"/>
        <w:jc w:val="both"/>
      </w:pPr>
    </w:p>
    <w:p w14:paraId="02F31BA7" w14:textId="77777777" w:rsidR="00A77B3E" w:rsidRDefault="005D0E0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 for Clinical</w:t>
      </w:r>
      <w:r w:rsidR="00304560">
        <w:rPr>
          <w:rFonts w:ascii="Book Antiqua" w:eastAsia="Book Antiqua" w:hAnsi="Book Antiqua" w:cs="Book Antiqua"/>
          <w:color w:val="000000"/>
        </w:rPr>
        <w:t xml:space="preserve"> Pharmacology and Therapeutics</w:t>
      </w:r>
      <w:r>
        <w:rPr>
          <w:rFonts w:ascii="Book Antiqua" w:eastAsia="Book Antiqua" w:hAnsi="Book Antiqua" w:cs="Book Antiqua"/>
          <w:color w:val="000000"/>
        </w:rPr>
        <w:t>; Italia</w:t>
      </w:r>
      <w:r w:rsidR="00304560">
        <w:rPr>
          <w:rFonts w:ascii="Book Antiqua" w:eastAsia="Book Antiqua" w:hAnsi="Book Antiqua" w:cs="Book Antiqua"/>
          <w:color w:val="000000"/>
        </w:rPr>
        <w:t>n Society of Pharmacology</w:t>
      </w:r>
      <w:r>
        <w:rPr>
          <w:rFonts w:ascii="Book Antiqua" w:eastAsia="Book Antiqua" w:hAnsi="Book Antiqua" w:cs="Book Antiqua"/>
          <w:color w:val="000000"/>
        </w:rPr>
        <w:t>;</w:t>
      </w:r>
      <w:r w:rsidR="00304560">
        <w:rPr>
          <w:rFonts w:ascii="Book Antiqua" w:eastAsia="Book Antiqua" w:hAnsi="Book Antiqua" w:cs="Book Antiqua"/>
          <w:color w:val="000000"/>
        </w:rPr>
        <w:t xml:space="preserve"> Italian Society of Toxicology</w:t>
      </w:r>
      <w:r>
        <w:rPr>
          <w:rFonts w:ascii="Book Antiqua" w:eastAsia="Book Antiqua" w:hAnsi="Book Antiqua" w:cs="Book Antiqua"/>
          <w:color w:val="000000"/>
        </w:rPr>
        <w:t>.</w:t>
      </w:r>
    </w:p>
    <w:p w14:paraId="43788C5E" w14:textId="77777777" w:rsidR="00A77B3E" w:rsidRDefault="00A77B3E">
      <w:pPr>
        <w:spacing w:line="360" w:lineRule="auto"/>
        <w:jc w:val="both"/>
      </w:pPr>
    </w:p>
    <w:p w14:paraId="02ADBC8F" w14:textId="77777777" w:rsidR="00A77B3E" w:rsidRDefault="005D0E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5E276C39" w14:textId="77777777" w:rsidR="00A77B3E" w:rsidRDefault="005D0E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296FC258" w14:textId="77777777" w:rsidR="00A77B3E" w:rsidRDefault="005D0E0B">
      <w:pPr>
        <w:spacing w:line="360" w:lineRule="auto"/>
        <w:jc w:val="both"/>
      </w:pPr>
      <w:r>
        <w:rPr>
          <w:rFonts w:ascii="Book Antiqua" w:eastAsia="Book Antiqua" w:hAnsi="Book Antiqua" w:cs="Book Antiqua"/>
          <w:b/>
          <w:color w:val="000000"/>
        </w:rPr>
        <w:t xml:space="preserve">Article in press: </w:t>
      </w:r>
    </w:p>
    <w:p w14:paraId="3F7F6935" w14:textId="77777777" w:rsidR="00A77B3E" w:rsidRDefault="00A77B3E">
      <w:pPr>
        <w:spacing w:line="360" w:lineRule="auto"/>
        <w:jc w:val="both"/>
      </w:pPr>
    </w:p>
    <w:p w14:paraId="15F3FBC9" w14:textId="77777777" w:rsidR="00A77B3E" w:rsidRDefault="005D0E0B">
      <w:pPr>
        <w:spacing w:line="360" w:lineRule="auto"/>
        <w:jc w:val="both"/>
      </w:pPr>
      <w:r>
        <w:rPr>
          <w:rFonts w:ascii="Book Antiqua" w:eastAsia="Book Antiqua" w:hAnsi="Book Antiqua" w:cs="Book Antiqua"/>
          <w:b/>
          <w:color w:val="000000"/>
        </w:rPr>
        <w:t xml:space="preserve">Specialty type: </w:t>
      </w:r>
      <w:r w:rsidR="000448D6" w:rsidRPr="00E700C2">
        <w:rPr>
          <w:rFonts w:ascii="Book Antiqua" w:eastAsia="微软雅黑" w:hAnsi="Book Antiqua" w:cs="宋体"/>
        </w:rPr>
        <w:t>Gastroenterology and hepatology</w:t>
      </w:r>
    </w:p>
    <w:p w14:paraId="4C0F0637" w14:textId="77777777" w:rsidR="00A77B3E" w:rsidRDefault="005D0E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76E4EA8" w14:textId="77777777" w:rsidR="00A77B3E" w:rsidRDefault="005D0E0B">
      <w:pPr>
        <w:spacing w:line="360" w:lineRule="auto"/>
        <w:jc w:val="both"/>
      </w:pPr>
      <w:r>
        <w:rPr>
          <w:rFonts w:ascii="Book Antiqua" w:eastAsia="Book Antiqua" w:hAnsi="Book Antiqua" w:cs="Book Antiqua"/>
          <w:b/>
          <w:color w:val="000000"/>
        </w:rPr>
        <w:t>Peer-review report’s scientific quality classification</w:t>
      </w:r>
    </w:p>
    <w:p w14:paraId="5DCC8BB3" w14:textId="77777777" w:rsidR="00A77B3E" w:rsidRDefault="005D0E0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B1837DC" w14:textId="77777777" w:rsidR="00A77B3E" w:rsidRDefault="005D0E0B">
      <w:pPr>
        <w:spacing w:line="360" w:lineRule="auto"/>
        <w:jc w:val="both"/>
      </w:pPr>
      <w:r>
        <w:rPr>
          <w:rFonts w:ascii="Book Antiqua" w:eastAsia="Book Antiqua" w:hAnsi="Book Antiqua" w:cs="Book Antiqua"/>
          <w:color w:val="000000"/>
        </w:rPr>
        <w:t>Grade B (Very good): B</w:t>
      </w:r>
    </w:p>
    <w:p w14:paraId="3B23A0A1" w14:textId="77777777" w:rsidR="00A77B3E" w:rsidRDefault="005D0E0B">
      <w:pPr>
        <w:spacing w:line="360" w:lineRule="auto"/>
        <w:jc w:val="both"/>
      </w:pPr>
      <w:r>
        <w:rPr>
          <w:rFonts w:ascii="Book Antiqua" w:eastAsia="Book Antiqua" w:hAnsi="Book Antiqua" w:cs="Book Antiqua"/>
          <w:color w:val="000000"/>
        </w:rPr>
        <w:t>Grade C (Good): 0</w:t>
      </w:r>
    </w:p>
    <w:p w14:paraId="60D612AF" w14:textId="77777777" w:rsidR="00A77B3E" w:rsidRDefault="005D0E0B">
      <w:pPr>
        <w:spacing w:line="360" w:lineRule="auto"/>
        <w:jc w:val="both"/>
      </w:pPr>
      <w:r>
        <w:rPr>
          <w:rFonts w:ascii="Book Antiqua" w:eastAsia="Book Antiqua" w:hAnsi="Book Antiqua" w:cs="Book Antiqua"/>
          <w:color w:val="000000"/>
        </w:rPr>
        <w:t>Grade D (Fair): 0</w:t>
      </w:r>
    </w:p>
    <w:p w14:paraId="0F97A762" w14:textId="77777777" w:rsidR="00A77B3E" w:rsidRDefault="005D0E0B">
      <w:pPr>
        <w:spacing w:line="360" w:lineRule="auto"/>
        <w:jc w:val="both"/>
      </w:pPr>
      <w:r>
        <w:rPr>
          <w:rFonts w:ascii="Book Antiqua" w:eastAsia="Book Antiqua" w:hAnsi="Book Antiqua" w:cs="Book Antiqua"/>
          <w:color w:val="000000"/>
        </w:rPr>
        <w:t>Grade E (Poor): 0</w:t>
      </w:r>
    </w:p>
    <w:p w14:paraId="47FD0BFB" w14:textId="77777777" w:rsidR="00A77B3E" w:rsidRDefault="00A77B3E">
      <w:pPr>
        <w:spacing w:line="360" w:lineRule="auto"/>
        <w:jc w:val="both"/>
      </w:pPr>
    </w:p>
    <w:p w14:paraId="51C16A8F" w14:textId="3DD0527F" w:rsidR="00A77B3E" w:rsidRDefault="005D0E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Dahiya</w:t>
      </w:r>
      <w:proofErr w:type="spellEnd"/>
      <w:r>
        <w:rPr>
          <w:rFonts w:ascii="Book Antiqua" w:eastAsia="Book Antiqua" w:hAnsi="Book Antiqua" w:cs="Book Antiqua"/>
          <w:color w:val="000000"/>
        </w:rPr>
        <w:t xml:space="preserve"> DS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624656" w:rsidRPr="008C03AA">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421C9A4" w14:textId="77777777" w:rsidR="003A704A" w:rsidRDefault="003A704A">
      <w:pPr>
        <w:spacing w:line="360" w:lineRule="auto"/>
        <w:jc w:val="both"/>
        <w:rPr>
          <w:rFonts w:ascii="Book Antiqua" w:hAnsi="Book Antiqua" w:cs="Book Antiqua"/>
          <w:b/>
          <w:color w:val="000000"/>
          <w:lang w:eastAsia="zh-CN"/>
        </w:rPr>
      </w:pPr>
    </w:p>
    <w:p w14:paraId="1F415C51" w14:textId="77777777" w:rsidR="003A704A" w:rsidRDefault="003A704A">
      <w:pPr>
        <w:spacing w:line="360" w:lineRule="auto"/>
        <w:jc w:val="both"/>
        <w:rPr>
          <w:rFonts w:ascii="Book Antiqua" w:hAnsi="Book Antiqua" w:cs="Book Antiqua"/>
          <w:b/>
          <w:color w:val="000000"/>
          <w:lang w:eastAsia="zh-CN"/>
        </w:rPr>
      </w:pPr>
    </w:p>
    <w:p w14:paraId="297F4AB2" w14:textId="77777777" w:rsidR="00A77B3E" w:rsidRDefault="005D0E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3615C25" w14:textId="77777777" w:rsidR="003A704A" w:rsidRPr="003A704A" w:rsidRDefault="003A704A">
      <w:pPr>
        <w:spacing w:line="360" w:lineRule="auto"/>
        <w:jc w:val="both"/>
        <w:rPr>
          <w:lang w:eastAsia="zh-CN"/>
        </w:rPr>
      </w:pPr>
      <w:r>
        <w:rPr>
          <w:noProof/>
          <w:lang w:eastAsia="zh-CN"/>
        </w:rPr>
        <w:drawing>
          <wp:inline distT="0" distB="0" distL="0" distR="0" wp14:anchorId="61539733" wp14:editId="5EDC5CA9">
            <wp:extent cx="5927271" cy="3386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138" cy="3389121"/>
                    </a:xfrm>
                    <a:prstGeom prst="rect">
                      <a:avLst/>
                    </a:prstGeom>
                    <a:noFill/>
                  </pic:spPr>
                </pic:pic>
              </a:graphicData>
            </a:graphic>
          </wp:inline>
        </w:drawing>
      </w:r>
    </w:p>
    <w:p w14:paraId="1918A3E0" w14:textId="728C0F69" w:rsidR="003A704A" w:rsidRDefault="005D0E0B">
      <w:pPr>
        <w:spacing w:line="360" w:lineRule="auto"/>
        <w:jc w:val="both"/>
        <w:rPr>
          <w:lang w:eastAsia="zh-CN"/>
        </w:rPr>
      </w:pPr>
      <w:r>
        <w:rPr>
          <w:rFonts w:ascii="Book Antiqua" w:eastAsia="Book Antiqua" w:hAnsi="Book Antiqua" w:cs="Book Antiqua"/>
          <w:b/>
          <w:bCs/>
          <w:color w:val="000000"/>
        </w:rPr>
        <w:t>Figure 1</w:t>
      </w:r>
      <w:r w:rsidR="003A704A">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bCs/>
          <w:color w:val="000000"/>
        </w:rPr>
        <w:t>Thiopurine</w:t>
      </w:r>
      <w:proofErr w:type="spellEnd"/>
      <w:r>
        <w:rPr>
          <w:rFonts w:ascii="Book Antiqua" w:eastAsia="Book Antiqua" w:hAnsi="Book Antiqua" w:cs="Book Antiqua"/>
          <w:b/>
          <w:bCs/>
          <w:color w:val="000000"/>
        </w:rPr>
        <w:t xml:space="preserve"> metabolic pathway and possible bio</w:t>
      </w:r>
      <w:bookmarkStart w:id="4" w:name="_GoBack"/>
      <w:r>
        <w:rPr>
          <w:rFonts w:ascii="Book Antiqua" w:eastAsia="Book Antiqua" w:hAnsi="Book Antiqua" w:cs="Book Antiqua"/>
          <w:b/>
          <w:bCs/>
          <w:color w:val="000000"/>
        </w:rPr>
        <w:t xml:space="preserve">markers </w:t>
      </w:r>
      <w:r w:rsidR="00624656">
        <w:rPr>
          <w:rFonts w:ascii="Book Antiqua" w:eastAsia="Book Antiqua" w:hAnsi="Book Antiqua" w:cs="Book Antiqua"/>
          <w:b/>
          <w:bCs/>
          <w:color w:val="000000"/>
        </w:rPr>
        <w:t xml:space="preserve">for </w:t>
      </w:r>
      <w:r>
        <w:rPr>
          <w:rFonts w:ascii="Book Antiqua" w:eastAsia="Book Antiqua" w:hAnsi="Book Antiqua" w:cs="Book Antiqua"/>
          <w:b/>
          <w:bCs/>
          <w:color w:val="000000"/>
        </w:rPr>
        <w:t>drug-r</w:t>
      </w:r>
      <w:bookmarkEnd w:id="4"/>
      <w:r>
        <w:rPr>
          <w:rFonts w:ascii="Book Antiqua" w:eastAsia="Book Antiqua" w:hAnsi="Book Antiqua" w:cs="Book Antiqua"/>
          <w:b/>
          <w:bCs/>
          <w:color w:val="000000"/>
        </w:rPr>
        <w:t xml:space="preserve">elated toxicity. </w:t>
      </w:r>
      <w:r w:rsidR="003A704A">
        <w:rPr>
          <w:rFonts w:ascii="Book Antiqua" w:eastAsia="Book Antiqua" w:hAnsi="Book Antiqua" w:cs="Book Antiqua"/>
          <w:color w:val="000000"/>
        </w:rPr>
        <w:t>Dashed arrows indicate the impact of PACSIN2 on TPMT activity and the interaction between PACSIN2 and Rac-1.</w:t>
      </w:r>
      <w:r w:rsidR="003A7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AZA: </w:t>
      </w:r>
      <w:r w:rsidR="003A704A">
        <w:rPr>
          <w:rFonts w:ascii="Book Antiqua" w:hAnsi="Book Antiqua" w:cs="Book Antiqua" w:hint="eastAsia"/>
          <w:color w:val="000000"/>
          <w:lang w:eastAsia="zh-CN"/>
        </w:rPr>
        <w:t>A</w:t>
      </w:r>
      <w:r>
        <w:rPr>
          <w:rFonts w:ascii="Book Antiqua" w:eastAsia="Book Antiqua" w:hAnsi="Book Antiqua" w:cs="Book Antiqua"/>
          <w:color w:val="000000"/>
        </w:rPr>
        <w:t>zathioprine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ITPA: </w:t>
      </w:r>
      <w:r w:rsidR="003A704A">
        <w:rPr>
          <w:rFonts w:ascii="Book Antiqua" w:hAnsi="Book Antiqua" w:cs="Book Antiqua" w:hint="eastAsia"/>
          <w:color w:val="000000"/>
          <w:lang w:eastAsia="zh-CN"/>
        </w:rPr>
        <w:t>I</w:t>
      </w:r>
      <w:r>
        <w:rPr>
          <w:rFonts w:ascii="Book Antiqua" w:eastAsia="Book Antiqua" w:hAnsi="Book Antiqua" w:cs="Book Antiqua"/>
          <w:color w:val="000000"/>
        </w:rPr>
        <w:t xml:space="preserve">nosine triphosphate </w:t>
      </w:r>
      <w:proofErr w:type="spellStart"/>
      <w:r>
        <w:rPr>
          <w:rFonts w:ascii="Book Antiqua" w:eastAsia="Book Antiqua" w:hAnsi="Book Antiqua" w:cs="Book Antiqua"/>
          <w:color w:val="000000"/>
        </w:rPr>
        <w:t>pyrophosphatase</w:t>
      </w:r>
      <w:proofErr w:type="spellEnd"/>
      <w:r w:rsidR="003A704A">
        <w:rPr>
          <w:rFonts w:ascii="Book Antiqua" w:eastAsia="Book Antiqua" w:hAnsi="Book Antiqua" w:cs="Book Antiqua"/>
          <w:color w:val="000000"/>
        </w:rPr>
        <w:t>;</w:t>
      </w:r>
      <w:r>
        <w:rPr>
          <w:rFonts w:ascii="Book Antiqua" w:eastAsia="Book Antiqua" w:hAnsi="Book Antiqua" w:cs="Book Antiqua"/>
          <w:color w:val="000000"/>
        </w:rPr>
        <w:t xml:space="preserve"> IMPDH: </w:t>
      </w:r>
      <w:r w:rsidR="003A704A">
        <w:rPr>
          <w:rFonts w:ascii="Book Antiqua" w:hAnsi="Book Antiqua" w:cs="Book Antiqua" w:hint="eastAsia"/>
          <w:color w:val="000000"/>
          <w:lang w:eastAsia="zh-CN"/>
        </w:rPr>
        <w:t>I</w:t>
      </w:r>
      <w:r>
        <w:rPr>
          <w:rFonts w:ascii="Book Antiqua" w:eastAsia="Book Antiqua" w:hAnsi="Book Antiqua" w:cs="Book Antiqua"/>
          <w:color w:val="000000"/>
        </w:rPr>
        <w:t>nosine-5′-monophosphate dehydrogenase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GMPS: GMP synthase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GST: </w:t>
      </w:r>
      <w:r w:rsidR="003A704A">
        <w:rPr>
          <w:rFonts w:ascii="Book Antiqua" w:hAnsi="Book Antiqua" w:cs="Book Antiqua" w:hint="eastAsia"/>
          <w:color w:val="000000"/>
          <w:lang w:eastAsia="zh-CN"/>
        </w:rPr>
        <w:t>G</w:t>
      </w:r>
      <w:r>
        <w:rPr>
          <w:rFonts w:ascii="Book Antiqua" w:eastAsia="Book Antiqua" w:hAnsi="Book Antiqua" w:cs="Book Antiqua"/>
          <w:color w:val="000000"/>
        </w:rPr>
        <w:t>lutathione-S-transferase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Me-TIMP: </w:t>
      </w:r>
      <w:r w:rsidR="003A704A">
        <w:rPr>
          <w:rFonts w:ascii="Book Antiqua" w:hAnsi="Book Antiqua" w:cs="Book Antiqua" w:hint="eastAsia"/>
          <w:color w:val="000000"/>
          <w:lang w:eastAsia="zh-CN"/>
        </w:rPr>
        <w:t>M</w:t>
      </w:r>
      <w:r>
        <w:rPr>
          <w:rFonts w:ascii="Book Antiqua" w:eastAsia="Book Antiqua" w:hAnsi="Book Antiqua" w:cs="Book Antiqua"/>
          <w:color w:val="000000"/>
        </w:rPr>
        <w:t>ethyl-</w:t>
      </w:r>
      <w:proofErr w:type="spellStart"/>
      <w:r>
        <w:rPr>
          <w:rFonts w:ascii="Book Antiqua" w:eastAsia="Book Antiqua" w:hAnsi="Book Antiqua" w:cs="Book Antiqua"/>
          <w:color w:val="000000"/>
        </w:rPr>
        <w:t>thioinosine</w:t>
      </w:r>
      <w:proofErr w:type="spellEnd"/>
      <w:r>
        <w:rPr>
          <w:rFonts w:ascii="Book Antiqua" w:eastAsia="Book Antiqua" w:hAnsi="Book Antiqua" w:cs="Book Antiqua"/>
          <w:color w:val="000000"/>
        </w:rPr>
        <w:t xml:space="preserv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Me-TITP: </w:t>
      </w:r>
      <w:r w:rsidR="003A704A">
        <w:rPr>
          <w:rFonts w:ascii="Book Antiqua" w:hAnsi="Book Antiqua" w:cs="Book Antiqua" w:hint="eastAsia"/>
          <w:color w:val="000000"/>
          <w:lang w:eastAsia="zh-CN"/>
        </w:rPr>
        <w:t>M</w:t>
      </w:r>
      <w:r>
        <w:rPr>
          <w:rFonts w:ascii="Book Antiqua" w:eastAsia="Book Antiqua" w:hAnsi="Book Antiqua" w:cs="Book Antiqua"/>
          <w:color w:val="000000"/>
        </w:rPr>
        <w:t>ethyl-</w:t>
      </w:r>
      <w:proofErr w:type="spellStart"/>
      <w:r>
        <w:rPr>
          <w:rFonts w:ascii="Book Antiqua" w:eastAsia="Book Antiqua" w:hAnsi="Book Antiqua" w:cs="Book Antiqua"/>
          <w:color w:val="000000"/>
        </w:rPr>
        <w:t>thioinosinetriphosphate</w:t>
      </w:r>
      <w:proofErr w:type="spellEnd"/>
      <w:r w:rsidR="003A704A">
        <w:rPr>
          <w:rFonts w:ascii="Book Antiqua" w:eastAsia="Book Antiqua" w:hAnsi="Book Antiqua" w:cs="Book Antiqua"/>
          <w:color w:val="000000"/>
        </w:rPr>
        <w:t>;</w:t>
      </w:r>
      <w:r>
        <w:rPr>
          <w:rFonts w:ascii="Book Antiqua" w:eastAsia="Book Antiqua" w:hAnsi="Book Antiqua" w:cs="Book Antiqua"/>
          <w:color w:val="000000"/>
        </w:rPr>
        <w:t xml:space="preserve"> MP: </w:t>
      </w:r>
      <w:proofErr w:type="spellStart"/>
      <w:r w:rsidR="003A704A">
        <w:rPr>
          <w:rFonts w:ascii="Book Antiqua" w:hAnsi="Book Antiqua" w:cs="Book Antiqua" w:hint="eastAsia"/>
          <w:color w:val="000000"/>
          <w:lang w:eastAsia="zh-CN"/>
        </w:rPr>
        <w:t>M</w:t>
      </w:r>
      <w:r>
        <w:rPr>
          <w:rFonts w:ascii="Book Antiqua" w:eastAsia="Book Antiqua" w:hAnsi="Book Antiqua" w:cs="Book Antiqua"/>
          <w:color w:val="000000"/>
        </w:rPr>
        <w:t>ercaptopurine</w:t>
      </w:r>
      <w:proofErr w:type="spellEnd"/>
      <w:r w:rsidR="003A704A">
        <w:rPr>
          <w:rFonts w:ascii="Book Antiqua" w:eastAsia="Book Antiqua" w:hAnsi="Book Antiqua" w:cs="Book Antiqua"/>
          <w:color w:val="000000"/>
        </w:rPr>
        <w:t>;</w:t>
      </w:r>
      <w:r>
        <w:rPr>
          <w:rFonts w:ascii="Book Antiqua" w:eastAsia="Book Antiqua" w:hAnsi="Book Antiqua" w:cs="Book Antiqua"/>
          <w:color w:val="000000"/>
        </w:rPr>
        <w:t xml:space="preserve"> MMP: </w:t>
      </w:r>
      <w:r w:rsidR="003A704A">
        <w:rPr>
          <w:rFonts w:ascii="Book Antiqua" w:hAnsi="Book Antiqua" w:cs="Book Antiqua" w:hint="eastAsia"/>
          <w:color w:val="000000"/>
          <w:lang w:eastAsia="zh-CN"/>
        </w:rPr>
        <w:t>M</w:t>
      </w:r>
      <w:r>
        <w:rPr>
          <w:rFonts w:ascii="Book Antiqua" w:eastAsia="Book Antiqua" w:hAnsi="Book Antiqua" w:cs="Book Antiqua"/>
          <w:color w:val="000000"/>
        </w:rPr>
        <w:t>ethyl-</w:t>
      </w:r>
      <w:proofErr w:type="spellStart"/>
      <w:r>
        <w:rPr>
          <w:rFonts w:ascii="Book Antiqua" w:eastAsia="Book Antiqua" w:hAnsi="Book Antiqua" w:cs="Book Antiqua"/>
          <w:color w:val="000000"/>
        </w:rPr>
        <w:t>mercaptopurine</w:t>
      </w:r>
      <w:proofErr w:type="spellEnd"/>
      <w:r w:rsidR="003A704A">
        <w:rPr>
          <w:rFonts w:ascii="Book Antiqua" w:eastAsia="Book Antiqua" w:hAnsi="Book Antiqua" w:cs="Book Antiqua"/>
          <w:color w:val="000000"/>
        </w:rPr>
        <w:t>;</w:t>
      </w:r>
      <w:r>
        <w:rPr>
          <w:rFonts w:ascii="Book Antiqua" w:eastAsia="Book Antiqua" w:hAnsi="Book Antiqua" w:cs="Book Antiqua"/>
          <w:color w:val="000000"/>
        </w:rPr>
        <w:t xml:space="preserve"> NUDT15: </w:t>
      </w:r>
      <w:proofErr w:type="spellStart"/>
      <w:r w:rsidR="003A704A">
        <w:rPr>
          <w:rFonts w:ascii="Book Antiqua" w:hAnsi="Book Antiqua" w:cs="Book Antiqua" w:hint="eastAsia"/>
          <w:color w:val="000000"/>
          <w:lang w:eastAsia="zh-CN"/>
        </w:rPr>
        <w:t>N</w:t>
      </w:r>
      <w:r>
        <w:rPr>
          <w:rFonts w:ascii="Book Antiqua" w:eastAsia="Book Antiqua" w:hAnsi="Book Antiqua" w:cs="Book Antiqua"/>
          <w:color w:val="000000"/>
        </w:rPr>
        <w:t>udix</w:t>
      </w:r>
      <w:proofErr w:type="spellEnd"/>
      <w:r>
        <w:rPr>
          <w:rFonts w:ascii="Book Antiqua" w:eastAsia="Book Antiqua" w:hAnsi="Book Antiqua" w:cs="Book Antiqua"/>
          <w:color w:val="000000"/>
        </w:rPr>
        <w:t xml:space="preserve"> hydrolase 15</w:t>
      </w:r>
      <w:r w:rsidR="003A704A">
        <w:rPr>
          <w:rFonts w:ascii="Book Antiqua" w:eastAsia="Book Antiqua" w:hAnsi="Book Antiqua" w:cs="Book Antiqua"/>
          <w:color w:val="000000"/>
        </w:rPr>
        <w:t>;</w:t>
      </w:r>
      <w:r>
        <w:rPr>
          <w:rFonts w:ascii="Book Antiqua" w:eastAsia="Book Antiqua" w:hAnsi="Book Antiqua" w:cs="Book Antiqua"/>
          <w:color w:val="000000"/>
        </w:rPr>
        <w:t xml:space="preserve"> PACSIN2: </w:t>
      </w:r>
      <w:r w:rsidR="003A704A">
        <w:rPr>
          <w:rFonts w:ascii="Book Antiqua" w:hAnsi="Book Antiqua" w:cs="Book Antiqua" w:hint="eastAsia"/>
          <w:color w:val="000000"/>
          <w:lang w:eastAsia="zh-CN"/>
        </w:rPr>
        <w:t>P</w:t>
      </w:r>
      <w:r>
        <w:rPr>
          <w:rFonts w:ascii="Book Antiqua" w:eastAsia="Book Antiqua" w:hAnsi="Book Antiqua" w:cs="Book Antiqua"/>
          <w:color w:val="000000"/>
        </w:rPr>
        <w:t>rotein kinase C and casein kinase substrate in neurons protein 2</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TGDP: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hioguanine</w:t>
      </w:r>
      <w:proofErr w:type="spellEnd"/>
      <w:r>
        <w:rPr>
          <w:rFonts w:ascii="Book Antiqua" w:eastAsia="Book Antiqua" w:hAnsi="Book Antiqua" w:cs="Book Antiqua"/>
          <w:color w:val="000000"/>
        </w:rPr>
        <w:t xml:space="preserve"> diphosphate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TGMP: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hioguanine</w:t>
      </w:r>
      <w:proofErr w:type="spellEnd"/>
      <w:r>
        <w:rPr>
          <w:rFonts w:ascii="Book Antiqua" w:eastAsia="Book Antiqua" w:hAnsi="Book Antiqua" w:cs="Book Antiqua"/>
          <w:color w:val="000000"/>
        </w:rPr>
        <w:t xml:space="preserv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TGTP: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hioguanine</w:t>
      </w:r>
      <w:proofErr w:type="spellEnd"/>
      <w:r>
        <w:rPr>
          <w:rFonts w:ascii="Book Antiqua" w:eastAsia="Book Antiqua" w:hAnsi="Book Antiqua" w:cs="Book Antiqua"/>
          <w:color w:val="000000"/>
        </w:rPr>
        <w:t xml:space="preserve"> triphosphate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TIMP: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hioinosine</w:t>
      </w:r>
      <w:proofErr w:type="spellEnd"/>
      <w:r>
        <w:rPr>
          <w:rFonts w:ascii="Book Antiqua" w:eastAsia="Book Antiqua" w:hAnsi="Book Antiqua" w:cs="Book Antiqua"/>
          <w:color w:val="000000"/>
        </w:rPr>
        <w:t xml:space="preserv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TITP: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hioinosine</w:t>
      </w:r>
      <w:proofErr w:type="spellEnd"/>
      <w:r>
        <w:rPr>
          <w:rFonts w:ascii="Book Antiqua" w:eastAsia="Book Antiqua" w:hAnsi="Book Antiqua" w:cs="Book Antiqua"/>
          <w:color w:val="000000"/>
        </w:rPr>
        <w:t xml:space="preserve"> triphosphate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TNG: 6-</w:t>
      </w:r>
      <w:r w:rsidR="003A704A">
        <w:rPr>
          <w:rFonts w:ascii="Book Antiqua" w:hAnsi="Book Antiqua" w:cs="Book Antiqua" w:hint="eastAsia"/>
          <w:color w:val="000000"/>
          <w:lang w:eastAsia="zh-CN"/>
        </w:rPr>
        <w:t>T</w:t>
      </w:r>
      <w:r>
        <w:rPr>
          <w:rFonts w:ascii="Book Antiqua" w:eastAsia="Book Antiqua" w:hAnsi="Book Antiqua" w:cs="Book Antiqua"/>
          <w:color w:val="000000"/>
        </w:rPr>
        <w:t>hioguanine nucleotide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TPMT: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hiopurine</w:t>
      </w:r>
      <w:proofErr w:type="spellEnd"/>
      <w:r>
        <w:rPr>
          <w:rFonts w:ascii="Book Antiqua" w:eastAsia="Book Antiqua" w:hAnsi="Book Antiqua" w:cs="Book Antiqua"/>
          <w:color w:val="000000"/>
        </w:rPr>
        <w:t xml:space="preserve"> S-methyltransferase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TXMP: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hioxanthine</w:t>
      </w:r>
      <w:proofErr w:type="spellEnd"/>
      <w:r>
        <w:rPr>
          <w:rFonts w:ascii="Book Antiqua" w:eastAsia="Book Antiqua" w:hAnsi="Book Antiqua" w:cs="Book Antiqua"/>
          <w:color w:val="000000"/>
        </w:rPr>
        <w:t xml:space="preserv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6-TU acid: </w:t>
      </w:r>
      <w:proofErr w:type="spellStart"/>
      <w:r w:rsidR="003A704A">
        <w:rPr>
          <w:rFonts w:ascii="Book Antiqua" w:hAnsi="Book Antiqua" w:cs="Book Antiqua" w:hint="eastAsia"/>
          <w:color w:val="000000"/>
          <w:lang w:eastAsia="zh-CN"/>
        </w:rPr>
        <w:t>T</w:t>
      </w:r>
      <w:r>
        <w:rPr>
          <w:rFonts w:ascii="Book Antiqua" w:eastAsia="Book Antiqua" w:hAnsi="Book Antiqua" w:cs="Book Antiqua"/>
          <w:color w:val="000000"/>
        </w:rPr>
        <w:t>hiouric</w:t>
      </w:r>
      <w:proofErr w:type="spellEnd"/>
      <w:r>
        <w:rPr>
          <w:rFonts w:ascii="Book Antiqua" w:eastAsia="Book Antiqua" w:hAnsi="Book Antiqua" w:cs="Book Antiqua"/>
          <w:color w:val="000000"/>
        </w:rPr>
        <w:t xml:space="preserve"> acid</w:t>
      </w:r>
      <w:r w:rsidR="003A704A">
        <w:rPr>
          <w:rFonts w:ascii="Book Antiqua" w:eastAsia="Book Antiqua" w:hAnsi="Book Antiqua" w:cs="Book Antiqua"/>
          <w:color w:val="000000"/>
        </w:rPr>
        <w:t>;</w:t>
      </w:r>
      <w:r>
        <w:rPr>
          <w:rFonts w:ascii="Book Antiqua" w:eastAsia="Book Antiqua" w:hAnsi="Book Antiqua" w:cs="Book Antiqua"/>
          <w:color w:val="000000"/>
        </w:rPr>
        <w:t xml:space="preserve"> XO: </w:t>
      </w:r>
      <w:r w:rsidR="003A704A">
        <w:rPr>
          <w:rFonts w:ascii="Book Antiqua" w:hAnsi="Book Antiqua" w:cs="Book Antiqua" w:hint="eastAsia"/>
          <w:color w:val="000000"/>
          <w:lang w:eastAsia="zh-CN"/>
        </w:rPr>
        <w:t>X</w:t>
      </w:r>
      <w:r>
        <w:rPr>
          <w:rFonts w:ascii="Book Antiqua" w:eastAsia="Book Antiqua" w:hAnsi="Book Antiqua" w:cs="Book Antiqua"/>
          <w:color w:val="000000"/>
        </w:rPr>
        <w:t>anthine oxidase.</w:t>
      </w:r>
    </w:p>
    <w:sectPr w:rsidR="003A7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BE002" w14:textId="77777777" w:rsidR="00991F48" w:rsidRDefault="00991F48" w:rsidP="004B2895">
      <w:r>
        <w:separator/>
      </w:r>
    </w:p>
  </w:endnote>
  <w:endnote w:type="continuationSeparator" w:id="0">
    <w:p w14:paraId="11FC82D4" w14:textId="77777777" w:rsidR="00991F48" w:rsidRDefault="00991F48" w:rsidP="004B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0622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62267E8" w14:textId="5312EA50" w:rsidR="004B2895" w:rsidRPr="004B2895" w:rsidRDefault="004B2895" w:rsidP="004B2895">
            <w:pPr>
              <w:pStyle w:val="a8"/>
              <w:jc w:val="right"/>
              <w:rPr>
                <w:rFonts w:ascii="Book Antiqua" w:hAnsi="Book Antiqua"/>
                <w:sz w:val="24"/>
                <w:szCs w:val="24"/>
              </w:rPr>
            </w:pPr>
            <w:r w:rsidRPr="004B2895">
              <w:rPr>
                <w:rFonts w:ascii="Book Antiqua" w:hAnsi="Book Antiqua"/>
                <w:sz w:val="24"/>
                <w:szCs w:val="24"/>
                <w:lang w:val="zh-CN" w:eastAsia="zh-CN"/>
              </w:rPr>
              <w:t xml:space="preserve"> </w:t>
            </w:r>
            <w:r w:rsidRPr="004B2895">
              <w:rPr>
                <w:rFonts w:ascii="Book Antiqua" w:hAnsi="Book Antiqua"/>
                <w:bCs/>
                <w:sz w:val="24"/>
                <w:szCs w:val="24"/>
              </w:rPr>
              <w:fldChar w:fldCharType="begin"/>
            </w:r>
            <w:r w:rsidRPr="004B2895">
              <w:rPr>
                <w:rFonts w:ascii="Book Antiqua" w:hAnsi="Book Antiqua"/>
                <w:bCs/>
                <w:sz w:val="24"/>
                <w:szCs w:val="24"/>
              </w:rPr>
              <w:instrText>PAGE</w:instrText>
            </w:r>
            <w:r w:rsidRPr="004B2895">
              <w:rPr>
                <w:rFonts w:ascii="Book Antiqua" w:hAnsi="Book Antiqua"/>
                <w:bCs/>
                <w:sz w:val="24"/>
                <w:szCs w:val="24"/>
              </w:rPr>
              <w:fldChar w:fldCharType="separate"/>
            </w:r>
            <w:r w:rsidR="008C03AA">
              <w:rPr>
                <w:rFonts w:ascii="Book Antiqua" w:hAnsi="Book Antiqua"/>
                <w:bCs/>
                <w:noProof/>
                <w:sz w:val="24"/>
                <w:szCs w:val="24"/>
              </w:rPr>
              <w:t>20</w:t>
            </w:r>
            <w:r w:rsidRPr="004B2895">
              <w:rPr>
                <w:rFonts w:ascii="Book Antiqua" w:hAnsi="Book Antiqua"/>
                <w:bCs/>
                <w:sz w:val="24"/>
                <w:szCs w:val="24"/>
              </w:rPr>
              <w:fldChar w:fldCharType="end"/>
            </w:r>
            <w:r w:rsidRPr="004B2895">
              <w:rPr>
                <w:rFonts w:ascii="Book Antiqua" w:hAnsi="Book Antiqua"/>
                <w:sz w:val="24"/>
                <w:szCs w:val="24"/>
                <w:lang w:val="zh-CN" w:eastAsia="zh-CN"/>
              </w:rPr>
              <w:t xml:space="preserve"> / </w:t>
            </w:r>
            <w:r w:rsidRPr="004B2895">
              <w:rPr>
                <w:rFonts w:ascii="Book Antiqua" w:hAnsi="Book Antiqua"/>
                <w:bCs/>
                <w:sz w:val="24"/>
                <w:szCs w:val="24"/>
              </w:rPr>
              <w:fldChar w:fldCharType="begin"/>
            </w:r>
            <w:r w:rsidRPr="004B2895">
              <w:rPr>
                <w:rFonts w:ascii="Book Antiqua" w:hAnsi="Book Antiqua"/>
                <w:bCs/>
                <w:sz w:val="24"/>
                <w:szCs w:val="24"/>
              </w:rPr>
              <w:instrText>NUMPAGES</w:instrText>
            </w:r>
            <w:r w:rsidRPr="004B2895">
              <w:rPr>
                <w:rFonts w:ascii="Book Antiqua" w:hAnsi="Book Antiqua"/>
                <w:bCs/>
                <w:sz w:val="24"/>
                <w:szCs w:val="24"/>
              </w:rPr>
              <w:fldChar w:fldCharType="separate"/>
            </w:r>
            <w:r w:rsidR="008C03AA">
              <w:rPr>
                <w:rFonts w:ascii="Book Antiqua" w:hAnsi="Book Antiqua"/>
                <w:bCs/>
                <w:noProof/>
                <w:sz w:val="24"/>
                <w:szCs w:val="24"/>
              </w:rPr>
              <w:t>20</w:t>
            </w:r>
            <w:r w:rsidRPr="004B2895">
              <w:rPr>
                <w:rFonts w:ascii="Book Antiqua" w:hAnsi="Book Antiqua"/>
                <w:bCs/>
                <w:sz w:val="24"/>
                <w:szCs w:val="24"/>
              </w:rPr>
              <w:fldChar w:fldCharType="end"/>
            </w:r>
          </w:p>
        </w:sdtContent>
      </w:sdt>
    </w:sdtContent>
  </w:sdt>
  <w:p w14:paraId="30F8FC3C" w14:textId="77777777" w:rsidR="004B2895" w:rsidRPr="004B2895" w:rsidRDefault="004B2895" w:rsidP="004B2895">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8FAD3" w14:textId="77777777" w:rsidR="00991F48" w:rsidRDefault="00991F48" w:rsidP="004B2895">
      <w:r>
        <w:separator/>
      </w:r>
    </w:p>
  </w:footnote>
  <w:footnote w:type="continuationSeparator" w:id="0">
    <w:p w14:paraId="480C5418" w14:textId="77777777" w:rsidR="00991F48" w:rsidRDefault="00991F48" w:rsidP="004B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48D6"/>
    <w:rsid w:val="000725B1"/>
    <w:rsid w:val="00075D8D"/>
    <w:rsid w:val="00086B5F"/>
    <w:rsid w:val="00097596"/>
    <w:rsid w:val="00183A58"/>
    <w:rsid w:val="00195BCA"/>
    <w:rsid w:val="00304560"/>
    <w:rsid w:val="003463EE"/>
    <w:rsid w:val="00397D88"/>
    <w:rsid w:val="003A704A"/>
    <w:rsid w:val="00421AE3"/>
    <w:rsid w:val="00455888"/>
    <w:rsid w:val="004A1A9F"/>
    <w:rsid w:val="004B2895"/>
    <w:rsid w:val="00574F3D"/>
    <w:rsid w:val="005C314D"/>
    <w:rsid w:val="005D0E0B"/>
    <w:rsid w:val="005D1E5E"/>
    <w:rsid w:val="005E7B3F"/>
    <w:rsid w:val="00624656"/>
    <w:rsid w:val="00756064"/>
    <w:rsid w:val="008407F1"/>
    <w:rsid w:val="00854F3E"/>
    <w:rsid w:val="008C03AA"/>
    <w:rsid w:val="008F39C2"/>
    <w:rsid w:val="00991F48"/>
    <w:rsid w:val="009C62E5"/>
    <w:rsid w:val="009F2330"/>
    <w:rsid w:val="00A77B3E"/>
    <w:rsid w:val="00B36385"/>
    <w:rsid w:val="00C30010"/>
    <w:rsid w:val="00C72A13"/>
    <w:rsid w:val="00CA2A55"/>
    <w:rsid w:val="00CC6E83"/>
    <w:rsid w:val="00D80601"/>
    <w:rsid w:val="00D8747C"/>
    <w:rsid w:val="00DB1E04"/>
    <w:rsid w:val="00DE5E29"/>
    <w:rsid w:val="00EE7B48"/>
    <w:rsid w:val="00FC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F8689"/>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E7B48"/>
    <w:rPr>
      <w:sz w:val="21"/>
      <w:szCs w:val="21"/>
    </w:rPr>
  </w:style>
  <w:style w:type="paragraph" w:styleId="a4">
    <w:name w:val="annotation text"/>
    <w:basedOn w:val="a"/>
    <w:link w:val="Char"/>
    <w:rsid w:val="00EE7B48"/>
  </w:style>
  <w:style w:type="character" w:customStyle="1" w:styleId="Char">
    <w:name w:val="批注文字 Char"/>
    <w:basedOn w:val="a0"/>
    <w:link w:val="a4"/>
    <w:rsid w:val="00EE7B48"/>
    <w:rPr>
      <w:sz w:val="24"/>
      <w:szCs w:val="24"/>
    </w:rPr>
  </w:style>
  <w:style w:type="paragraph" w:styleId="a5">
    <w:name w:val="annotation subject"/>
    <w:basedOn w:val="a4"/>
    <w:next w:val="a4"/>
    <w:link w:val="Char0"/>
    <w:rsid w:val="00EE7B48"/>
    <w:rPr>
      <w:b/>
      <w:bCs/>
    </w:rPr>
  </w:style>
  <w:style w:type="character" w:customStyle="1" w:styleId="Char0">
    <w:name w:val="批注主题 Char"/>
    <w:basedOn w:val="Char"/>
    <w:link w:val="a5"/>
    <w:rsid w:val="00EE7B48"/>
    <w:rPr>
      <w:b/>
      <w:bCs/>
      <w:sz w:val="24"/>
      <w:szCs w:val="24"/>
    </w:rPr>
  </w:style>
  <w:style w:type="paragraph" w:styleId="a6">
    <w:name w:val="Balloon Text"/>
    <w:basedOn w:val="a"/>
    <w:link w:val="Char1"/>
    <w:rsid w:val="00EE7B48"/>
    <w:rPr>
      <w:sz w:val="18"/>
      <w:szCs w:val="18"/>
    </w:rPr>
  </w:style>
  <w:style w:type="character" w:customStyle="1" w:styleId="Char1">
    <w:name w:val="批注框文本 Char"/>
    <w:basedOn w:val="a0"/>
    <w:link w:val="a6"/>
    <w:rsid w:val="00EE7B48"/>
    <w:rPr>
      <w:sz w:val="18"/>
      <w:szCs w:val="18"/>
    </w:rPr>
  </w:style>
  <w:style w:type="paragraph" w:customStyle="1" w:styleId="1">
    <w:name w:val="正文1"/>
    <w:uiPriority w:val="99"/>
    <w:rsid w:val="00075D8D"/>
    <w:pPr>
      <w:spacing w:line="276" w:lineRule="auto"/>
    </w:pPr>
    <w:rPr>
      <w:rFonts w:ascii="Arial" w:eastAsia="宋体" w:hAnsi="Arial" w:cs="Arial"/>
      <w:color w:val="000000"/>
      <w:sz w:val="22"/>
      <w:lang w:val="pl-PL" w:eastAsia="pl-PL"/>
    </w:rPr>
  </w:style>
  <w:style w:type="paragraph" w:styleId="a7">
    <w:name w:val="header"/>
    <w:basedOn w:val="a"/>
    <w:link w:val="Char2"/>
    <w:rsid w:val="004B28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B2895"/>
    <w:rPr>
      <w:sz w:val="18"/>
      <w:szCs w:val="18"/>
    </w:rPr>
  </w:style>
  <w:style w:type="paragraph" w:styleId="a8">
    <w:name w:val="footer"/>
    <w:basedOn w:val="a"/>
    <w:link w:val="Char3"/>
    <w:uiPriority w:val="99"/>
    <w:rsid w:val="004B2895"/>
    <w:pPr>
      <w:tabs>
        <w:tab w:val="center" w:pos="4153"/>
        <w:tab w:val="right" w:pos="8306"/>
      </w:tabs>
      <w:snapToGrid w:val="0"/>
    </w:pPr>
    <w:rPr>
      <w:sz w:val="18"/>
      <w:szCs w:val="18"/>
    </w:rPr>
  </w:style>
  <w:style w:type="character" w:customStyle="1" w:styleId="Char3">
    <w:name w:val="页脚 Char"/>
    <w:basedOn w:val="a0"/>
    <w:link w:val="a8"/>
    <w:uiPriority w:val="99"/>
    <w:rsid w:val="004B2895"/>
    <w:rPr>
      <w:sz w:val="18"/>
      <w:szCs w:val="18"/>
    </w:rPr>
  </w:style>
  <w:style w:type="paragraph" w:styleId="a9">
    <w:name w:val="Revision"/>
    <w:hidden/>
    <w:uiPriority w:val="99"/>
    <w:semiHidden/>
    <w:rsid w:val="00FC3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5701</Words>
  <Characters>32499</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cp:lastPrinted>2021-08-30T07:18:00Z</cp:lastPrinted>
  <dcterms:created xsi:type="dcterms:W3CDTF">2021-09-15T09:38:00Z</dcterms:created>
  <dcterms:modified xsi:type="dcterms:W3CDTF">2021-09-15T10:11:00Z</dcterms:modified>
</cp:coreProperties>
</file>