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F00" w14:textId="77777777" w:rsidR="00A77B3E" w:rsidRDefault="0016570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0049DBF" w14:textId="77777777" w:rsidR="00A77B3E" w:rsidRDefault="0016570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65777</w:t>
      </w:r>
    </w:p>
    <w:p w14:paraId="4C246B72" w14:textId="77777777" w:rsidR="00A77B3E" w:rsidRDefault="0016570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C3AE40F" w14:textId="77777777" w:rsidR="00A77B3E" w:rsidRDefault="00A77B3E">
      <w:pPr>
        <w:spacing w:line="360" w:lineRule="auto"/>
        <w:jc w:val="both"/>
      </w:pPr>
    </w:p>
    <w:p w14:paraId="6A4BED83" w14:textId="77777777" w:rsidR="00A77B3E" w:rsidRDefault="0016570D">
      <w:pPr>
        <w:spacing w:line="360" w:lineRule="auto"/>
        <w:jc w:val="both"/>
      </w:pPr>
      <w:r>
        <w:rPr>
          <w:rFonts w:ascii="Book Antiqua" w:eastAsia="Book Antiqua" w:hAnsi="Book Antiqua" w:cs="Book Antiqua"/>
          <w:b/>
          <w:i/>
          <w:color w:val="000000"/>
        </w:rPr>
        <w:t>Retrospective Study</w:t>
      </w:r>
    </w:p>
    <w:p w14:paraId="7DE3A12A" w14:textId="77777777" w:rsidR="00A77B3E" w:rsidRDefault="0016570D">
      <w:pPr>
        <w:spacing w:line="360" w:lineRule="auto"/>
        <w:jc w:val="both"/>
      </w:pPr>
      <w:r>
        <w:rPr>
          <w:rFonts w:ascii="Book Antiqua" w:eastAsia="Book Antiqua" w:hAnsi="Book Antiqua" w:cs="Book Antiqua"/>
          <w:b/>
          <w:bCs/>
          <w:color w:val="000000"/>
        </w:rPr>
        <w:t>Endoscopic balloon dilation for management of stricturing Crohn’s disease in children</w:t>
      </w:r>
    </w:p>
    <w:p w14:paraId="20AABBA6" w14:textId="77777777" w:rsidR="00A77B3E" w:rsidRDefault="00A77B3E">
      <w:pPr>
        <w:spacing w:line="360" w:lineRule="auto"/>
        <w:jc w:val="both"/>
      </w:pPr>
    </w:p>
    <w:p w14:paraId="50ED9EA7" w14:textId="77777777" w:rsidR="00A77B3E" w:rsidRDefault="0016570D">
      <w:pPr>
        <w:spacing w:line="360" w:lineRule="auto"/>
        <w:jc w:val="both"/>
      </w:pPr>
      <w:r>
        <w:rPr>
          <w:rFonts w:ascii="Book Antiqua" w:eastAsia="Book Antiqua" w:hAnsi="Book Antiqua" w:cs="Book Antiqua"/>
          <w:color w:val="000000"/>
        </w:rPr>
        <w:t xml:space="preserve">McSorley B </w:t>
      </w:r>
      <w:r>
        <w:rPr>
          <w:rFonts w:ascii="Book Antiqua" w:eastAsia="Book Antiqua" w:hAnsi="Book Antiqua" w:cs="Book Antiqua"/>
          <w:i/>
          <w:iCs/>
          <w:color w:val="000000"/>
        </w:rPr>
        <w:t>et al</w:t>
      </w:r>
      <w:r>
        <w:rPr>
          <w:rFonts w:ascii="Book Antiqua" w:eastAsia="Book Antiqua" w:hAnsi="Book Antiqua" w:cs="Book Antiqua"/>
          <w:color w:val="000000"/>
        </w:rPr>
        <w:t>. EBD for stricturing pediatric Crohn's</w:t>
      </w:r>
    </w:p>
    <w:p w14:paraId="46EC5438" w14:textId="77777777" w:rsidR="00A77B3E" w:rsidRDefault="00A77B3E">
      <w:pPr>
        <w:spacing w:line="360" w:lineRule="auto"/>
        <w:jc w:val="both"/>
      </w:pPr>
    </w:p>
    <w:p w14:paraId="7367C33B" w14:textId="77777777" w:rsidR="00A77B3E" w:rsidRDefault="0016570D">
      <w:pPr>
        <w:spacing w:line="360" w:lineRule="auto"/>
        <w:jc w:val="both"/>
      </w:pPr>
      <w:r>
        <w:rPr>
          <w:rFonts w:ascii="Book Antiqua" w:eastAsia="Book Antiqua" w:hAnsi="Book Antiqua" w:cs="Book Antiqua"/>
          <w:color w:val="000000"/>
        </w:rPr>
        <w:t>Brianna McSorley, Robert A Cina, Candi Jump, Johanna Palmadottir, J Antonio Quiros</w:t>
      </w:r>
    </w:p>
    <w:p w14:paraId="6EB994EF" w14:textId="77777777" w:rsidR="00A77B3E" w:rsidRDefault="00A77B3E">
      <w:pPr>
        <w:spacing w:line="360" w:lineRule="auto"/>
        <w:jc w:val="both"/>
      </w:pPr>
    </w:p>
    <w:p w14:paraId="6093813E" w14:textId="77777777" w:rsidR="00A77B3E" w:rsidRDefault="0016570D">
      <w:pPr>
        <w:spacing w:line="360" w:lineRule="auto"/>
        <w:jc w:val="both"/>
      </w:pPr>
      <w:r>
        <w:rPr>
          <w:rFonts w:ascii="Book Antiqua" w:eastAsia="Book Antiqua" w:hAnsi="Book Antiqua" w:cs="Book Antiqua"/>
          <w:b/>
          <w:bCs/>
          <w:color w:val="000000"/>
        </w:rPr>
        <w:t xml:space="preserve">Brianna McSorley, </w:t>
      </w:r>
      <w:r>
        <w:rPr>
          <w:rFonts w:ascii="Book Antiqua" w:eastAsia="Book Antiqua" w:hAnsi="Book Antiqua" w:cs="Book Antiqua"/>
          <w:color w:val="000000"/>
        </w:rPr>
        <w:t>Department of Pediatrics, Medical University of South Carolina, Charleston, SC 29425, United States</w:t>
      </w:r>
    </w:p>
    <w:p w14:paraId="15D2216F" w14:textId="77777777" w:rsidR="00A77B3E" w:rsidRDefault="00A77B3E">
      <w:pPr>
        <w:spacing w:line="360" w:lineRule="auto"/>
        <w:jc w:val="both"/>
      </w:pPr>
    </w:p>
    <w:p w14:paraId="3959671B" w14:textId="77777777" w:rsidR="00A77B3E" w:rsidRDefault="0016570D">
      <w:pPr>
        <w:spacing w:line="360" w:lineRule="auto"/>
        <w:jc w:val="both"/>
      </w:pPr>
      <w:r>
        <w:rPr>
          <w:rFonts w:ascii="Book Antiqua" w:eastAsia="Book Antiqua" w:hAnsi="Book Antiqua" w:cs="Book Antiqua"/>
          <w:b/>
          <w:bCs/>
          <w:color w:val="000000"/>
        </w:rPr>
        <w:t xml:space="preserve">Robert A Cina, </w:t>
      </w:r>
      <w:r>
        <w:rPr>
          <w:rFonts w:ascii="Book Antiqua" w:eastAsia="Book Antiqua" w:hAnsi="Book Antiqua" w:cs="Book Antiqua"/>
          <w:color w:val="000000"/>
        </w:rPr>
        <w:t>Department of Surgery, Medical University of South Carolina, Charleston, SC 29425, United States</w:t>
      </w:r>
    </w:p>
    <w:p w14:paraId="35D55119" w14:textId="77777777" w:rsidR="00A77B3E" w:rsidRDefault="00A77B3E">
      <w:pPr>
        <w:spacing w:line="360" w:lineRule="auto"/>
        <w:jc w:val="both"/>
      </w:pPr>
    </w:p>
    <w:p w14:paraId="53950133" w14:textId="77777777" w:rsidR="00A77B3E" w:rsidRDefault="0016570D">
      <w:pPr>
        <w:spacing w:line="360" w:lineRule="auto"/>
        <w:jc w:val="both"/>
      </w:pPr>
      <w:r>
        <w:rPr>
          <w:rFonts w:ascii="Book Antiqua" w:eastAsia="Book Antiqua" w:hAnsi="Book Antiqua" w:cs="Book Antiqua"/>
          <w:b/>
          <w:bCs/>
          <w:color w:val="000000"/>
        </w:rPr>
        <w:t xml:space="preserve">Candi Jump, </w:t>
      </w:r>
      <w:r>
        <w:rPr>
          <w:rFonts w:ascii="Book Antiqua" w:eastAsia="Book Antiqua" w:hAnsi="Book Antiqua" w:cs="Book Antiqua"/>
          <w:color w:val="000000"/>
        </w:rPr>
        <w:t>Department of Pediatric Gastroenterology, Medical University of South Carolina, Charleston, SC 29425, United States</w:t>
      </w:r>
    </w:p>
    <w:p w14:paraId="165BE88E" w14:textId="77777777" w:rsidR="00A77B3E" w:rsidRDefault="00A77B3E">
      <w:pPr>
        <w:spacing w:line="360" w:lineRule="auto"/>
        <w:jc w:val="both"/>
      </w:pPr>
    </w:p>
    <w:p w14:paraId="5EF5600F" w14:textId="77777777" w:rsidR="00A77B3E" w:rsidRDefault="0016570D">
      <w:pPr>
        <w:spacing w:line="360" w:lineRule="auto"/>
        <w:jc w:val="both"/>
      </w:pPr>
      <w:r>
        <w:rPr>
          <w:rFonts w:ascii="Book Antiqua" w:eastAsia="Book Antiqua" w:hAnsi="Book Antiqua" w:cs="Book Antiqua"/>
          <w:b/>
          <w:bCs/>
          <w:color w:val="000000"/>
        </w:rPr>
        <w:t xml:space="preserve">Johanna Palmadottir, </w:t>
      </w:r>
      <w:r>
        <w:rPr>
          <w:rFonts w:ascii="Book Antiqua" w:eastAsia="Book Antiqua" w:hAnsi="Book Antiqua" w:cs="Book Antiqua"/>
          <w:color w:val="000000"/>
        </w:rPr>
        <w:t>Department of Pediatric Gastroenterol</w:t>
      </w:r>
      <w:r w:rsidR="00B43912">
        <w:rPr>
          <w:rFonts w:ascii="Book Antiqua" w:hAnsi="Book Antiqua" w:cs="Book Antiqua" w:hint="eastAsia"/>
          <w:color w:val="000000"/>
          <w:lang w:eastAsia="zh-CN"/>
        </w:rPr>
        <w:t>o</w:t>
      </w:r>
      <w:r>
        <w:rPr>
          <w:rFonts w:ascii="Book Antiqua" w:eastAsia="Book Antiqua" w:hAnsi="Book Antiqua" w:cs="Book Antiqua"/>
          <w:color w:val="000000"/>
        </w:rPr>
        <w:t>gy, MUSC Children's Hospital, Charleston, SC 29425, United States</w:t>
      </w:r>
    </w:p>
    <w:p w14:paraId="0672FC70" w14:textId="77777777" w:rsidR="00A77B3E" w:rsidRDefault="00A77B3E">
      <w:pPr>
        <w:spacing w:line="360" w:lineRule="auto"/>
        <w:jc w:val="both"/>
      </w:pPr>
    </w:p>
    <w:p w14:paraId="044B1820" w14:textId="77777777" w:rsidR="00A77B3E" w:rsidRDefault="0016570D">
      <w:pPr>
        <w:spacing w:line="360" w:lineRule="auto"/>
        <w:jc w:val="both"/>
      </w:pPr>
      <w:r>
        <w:rPr>
          <w:rFonts w:ascii="Book Antiqua" w:eastAsia="Book Antiqua" w:hAnsi="Book Antiqua" w:cs="Book Antiqua"/>
          <w:b/>
          <w:bCs/>
          <w:color w:val="000000"/>
        </w:rPr>
        <w:t xml:space="preserve">J Antonio Quiros, </w:t>
      </w:r>
      <w:r>
        <w:rPr>
          <w:rFonts w:ascii="Book Antiqua" w:eastAsia="Book Antiqua" w:hAnsi="Book Antiqua" w:cs="Book Antiqua"/>
          <w:color w:val="000000"/>
        </w:rPr>
        <w:t>Department of Pediatric Gastroenterology and Nutrition, Mount Sinai Kravis Children's Hospital, New York, NY 10029, United States</w:t>
      </w:r>
    </w:p>
    <w:p w14:paraId="4FE94962" w14:textId="77777777" w:rsidR="00A77B3E" w:rsidRDefault="00A77B3E">
      <w:pPr>
        <w:spacing w:line="360" w:lineRule="auto"/>
        <w:jc w:val="both"/>
      </w:pPr>
    </w:p>
    <w:p w14:paraId="43B11290" w14:textId="77777777" w:rsidR="00A77B3E" w:rsidRDefault="0016570D">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McSorley B and Quiros JA collaborated in initial study design and performed all the data acquisition, data analysis, drafting of the manuscript and </w:t>
      </w:r>
      <w:r>
        <w:rPr>
          <w:rFonts w:ascii="Book Antiqua" w:eastAsia="Book Antiqua" w:hAnsi="Book Antiqua" w:cs="Book Antiqua"/>
          <w:color w:val="000000"/>
        </w:rPr>
        <w:lastRenderedPageBreak/>
        <w:t>approval of the final submission</w:t>
      </w:r>
      <w:r w:rsidR="00B43912">
        <w:rPr>
          <w:rFonts w:ascii="Book Antiqua" w:hAnsi="Book Antiqua" w:cs="Book Antiqua" w:hint="eastAsia"/>
          <w:color w:val="000000"/>
          <w:lang w:eastAsia="zh-CN"/>
        </w:rPr>
        <w:t xml:space="preserve">; </w:t>
      </w:r>
      <w:r>
        <w:rPr>
          <w:rFonts w:ascii="Book Antiqua" w:eastAsia="Book Antiqua" w:hAnsi="Book Antiqua" w:cs="Book Antiqua"/>
          <w:color w:val="000000"/>
        </w:rPr>
        <w:t>Cina R</w:t>
      </w:r>
      <w:r w:rsidR="00B43912">
        <w:rPr>
          <w:rFonts w:ascii="Book Antiqua" w:hAnsi="Book Antiqua" w:cs="Book Antiqua" w:hint="eastAsia"/>
          <w:color w:val="000000"/>
          <w:lang w:eastAsia="zh-CN"/>
        </w:rPr>
        <w:t>A</w:t>
      </w:r>
      <w:r>
        <w:rPr>
          <w:rFonts w:ascii="Book Antiqua" w:eastAsia="Book Antiqua" w:hAnsi="Book Antiqua" w:cs="Book Antiqua"/>
          <w:color w:val="000000"/>
        </w:rPr>
        <w:t>, Jump C and Palmadottir</w:t>
      </w:r>
      <w:r w:rsidR="00B43912">
        <w:rPr>
          <w:rFonts w:ascii="Book Antiqua" w:hAnsi="Book Antiqua" w:cs="Book Antiqua" w:hint="eastAsia"/>
          <w:color w:val="000000"/>
          <w:lang w:eastAsia="zh-CN"/>
        </w:rPr>
        <w:t xml:space="preserve"> </w:t>
      </w:r>
      <w:r>
        <w:rPr>
          <w:rFonts w:ascii="Book Antiqua" w:eastAsia="Book Antiqua" w:hAnsi="Book Antiqua" w:cs="Book Antiqua"/>
          <w:color w:val="000000"/>
        </w:rPr>
        <w:t>J</w:t>
      </w:r>
      <w:r w:rsidR="00B43912">
        <w:rPr>
          <w:rFonts w:ascii="Book Antiqua" w:hAnsi="Book Antiqua" w:cs="Book Antiqua" w:hint="eastAsia"/>
          <w:color w:val="000000"/>
          <w:lang w:eastAsia="zh-CN"/>
        </w:rPr>
        <w:t xml:space="preserve"> </w:t>
      </w:r>
      <w:r>
        <w:rPr>
          <w:rFonts w:ascii="Book Antiqua" w:eastAsia="Book Antiqua" w:hAnsi="Book Antiqua" w:cs="Book Antiqua"/>
          <w:color w:val="000000"/>
        </w:rPr>
        <w:t>supported initial study conception, data interpretation and approval of final submission.</w:t>
      </w:r>
    </w:p>
    <w:p w14:paraId="7B21EF9B" w14:textId="77777777" w:rsidR="00A77B3E" w:rsidRDefault="00A77B3E">
      <w:pPr>
        <w:spacing w:line="360" w:lineRule="auto"/>
        <w:jc w:val="both"/>
      </w:pPr>
    </w:p>
    <w:p w14:paraId="5FF21095" w14:textId="77777777" w:rsidR="00A77B3E" w:rsidRDefault="0016570D">
      <w:pPr>
        <w:spacing w:line="360" w:lineRule="auto"/>
        <w:jc w:val="both"/>
      </w:pPr>
      <w:r>
        <w:rPr>
          <w:rFonts w:ascii="Book Antiqua" w:eastAsia="Book Antiqua" w:hAnsi="Book Antiqua" w:cs="Book Antiqua"/>
          <w:b/>
          <w:bCs/>
          <w:color w:val="000000"/>
        </w:rPr>
        <w:t xml:space="preserve">Corresponding author: J Antonio Quiros, MD, PhD, Professor, </w:t>
      </w:r>
      <w:r>
        <w:rPr>
          <w:rFonts w:ascii="Book Antiqua" w:eastAsia="Book Antiqua" w:hAnsi="Book Antiqua" w:cs="Book Antiqua"/>
          <w:color w:val="000000"/>
        </w:rPr>
        <w:t>Department of Pediatric Gastroenterology and Nutrition, Mount Sinai Kravis Children's Hospital, One Gustave Levy Place, New York, NY 10029, United States. jose.quiros@mssm.edu</w:t>
      </w:r>
    </w:p>
    <w:p w14:paraId="647306F5" w14:textId="77777777" w:rsidR="00A77B3E" w:rsidRDefault="00A77B3E">
      <w:pPr>
        <w:spacing w:line="360" w:lineRule="auto"/>
        <w:jc w:val="both"/>
      </w:pPr>
    </w:p>
    <w:p w14:paraId="2BDED53F" w14:textId="77777777" w:rsidR="00A77B3E" w:rsidRDefault="0016570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1EA7AF79" w14:textId="77777777" w:rsidR="00A77B3E" w:rsidRDefault="0016570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15, 2021</w:t>
      </w:r>
    </w:p>
    <w:p w14:paraId="220389C7" w14:textId="4085FA0C" w:rsidR="00A77B3E" w:rsidRDefault="0016570D">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1B1DF9">
        <w:rPr>
          <w:rFonts w:ascii="Book Antiqua" w:eastAsia="宋体" w:hAnsi="Book Antiqua" w:hint="eastAsia"/>
          <w:color w:val="000000" w:themeColor="text1"/>
        </w:rPr>
        <w:t>Au</w:t>
      </w:r>
      <w:r w:rsidR="001B1DF9">
        <w:rPr>
          <w:rFonts w:ascii="Book Antiqua" w:eastAsia="宋体" w:hAnsi="Book Antiqua"/>
          <w:color w:val="000000" w:themeColor="text1"/>
        </w:rPr>
        <w:t>gust</w:t>
      </w:r>
      <w:r w:rsidR="001B1DF9" w:rsidRPr="00F06907">
        <w:rPr>
          <w:rFonts w:ascii="Book Antiqua" w:eastAsia="宋体" w:hAnsi="Book Antiqua"/>
          <w:color w:val="000000" w:themeColor="text1"/>
        </w:rPr>
        <w:t xml:space="preserve"> </w:t>
      </w:r>
      <w:r w:rsidR="001B1DF9">
        <w:rPr>
          <w:rFonts w:ascii="Book Antiqua" w:eastAsia="宋体" w:hAnsi="Book Antiqua"/>
          <w:color w:val="000000" w:themeColor="text1"/>
        </w:rPr>
        <w:t>12</w:t>
      </w:r>
      <w:r w:rsidR="001B1DF9" w:rsidRPr="00F06907">
        <w:rPr>
          <w:rFonts w:ascii="Book Antiqua" w:eastAsia="宋体" w:hAnsi="Book Antiqua"/>
          <w:color w:val="000000" w:themeColor="text1"/>
        </w:rPr>
        <w:t>, 2021</w:t>
      </w:r>
      <w:bookmarkEnd w:id="0"/>
      <w:bookmarkEnd w:id="1"/>
      <w:bookmarkEnd w:id="2"/>
    </w:p>
    <w:p w14:paraId="7CC96271" w14:textId="77777777" w:rsidR="00A77B3E" w:rsidRDefault="0016570D">
      <w:pPr>
        <w:spacing w:line="360" w:lineRule="auto"/>
        <w:jc w:val="both"/>
      </w:pPr>
      <w:r>
        <w:rPr>
          <w:rFonts w:ascii="Book Antiqua" w:eastAsia="Book Antiqua" w:hAnsi="Book Antiqua" w:cs="Book Antiqua"/>
          <w:b/>
          <w:bCs/>
          <w:color w:val="000000"/>
        </w:rPr>
        <w:t xml:space="preserve">Published online: </w:t>
      </w:r>
    </w:p>
    <w:p w14:paraId="54D2905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F96827" w14:textId="77777777" w:rsidR="00A77B3E" w:rsidRDefault="0016570D">
      <w:pPr>
        <w:spacing w:line="360" w:lineRule="auto"/>
        <w:jc w:val="both"/>
      </w:pPr>
      <w:r>
        <w:rPr>
          <w:rFonts w:ascii="Book Antiqua" w:eastAsia="Book Antiqua" w:hAnsi="Book Antiqua" w:cs="Book Antiqua"/>
          <w:b/>
          <w:color w:val="000000"/>
        </w:rPr>
        <w:lastRenderedPageBreak/>
        <w:t>Abstract</w:t>
      </w:r>
    </w:p>
    <w:p w14:paraId="771D5943" w14:textId="77777777" w:rsidR="00A77B3E" w:rsidRDefault="0016570D">
      <w:pPr>
        <w:spacing w:line="360" w:lineRule="auto"/>
        <w:jc w:val="both"/>
      </w:pPr>
      <w:r>
        <w:rPr>
          <w:rFonts w:ascii="Book Antiqua" w:eastAsia="Book Antiqua" w:hAnsi="Book Antiqua" w:cs="Book Antiqua"/>
          <w:color w:val="000000"/>
        </w:rPr>
        <w:t>BACKGROUND</w:t>
      </w:r>
    </w:p>
    <w:p w14:paraId="3BF648EA" w14:textId="77777777" w:rsidR="00A77B3E" w:rsidRDefault="0016570D">
      <w:pPr>
        <w:spacing w:line="360" w:lineRule="auto"/>
        <w:jc w:val="both"/>
      </w:pPr>
      <w:r>
        <w:rPr>
          <w:rFonts w:ascii="Book Antiqua" w:eastAsia="Book Antiqua" w:hAnsi="Book Antiqua" w:cs="Book Antiqua"/>
          <w:color w:val="000000"/>
        </w:rPr>
        <w:t xml:space="preserve">Crohn’s </w:t>
      </w:r>
      <w:r w:rsidR="00076EE0">
        <w:rPr>
          <w:rFonts w:ascii="Book Antiqua" w:hAnsi="Book Antiqua" w:cs="Book Antiqua" w:hint="eastAsia"/>
          <w:color w:val="000000"/>
          <w:lang w:eastAsia="zh-CN"/>
        </w:rPr>
        <w:t>d</w:t>
      </w:r>
      <w:r>
        <w:rPr>
          <w:rFonts w:ascii="Book Antiqua" w:eastAsia="Book Antiqua" w:hAnsi="Book Antiqua" w:cs="Book Antiqua"/>
          <w:color w:val="000000"/>
        </w:rPr>
        <w:t xml:space="preserve">isease </w:t>
      </w:r>
      <w:r w:rsidR="00076EE0">
        <w:rPr>
          <w:rFonts w:ascii="Book Antiqua" w:eastAsia="Book Antiqua" w:hAnsi="Book Antiqua" w:cs="Book Antiqua"/>
          <w:color w:val="000000"/>
        </w:rPr>
        <w:t>(CD)</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has a multitude of complications including intestinal strictures from fibrostenotic disease. Fibrostenotic disease has been reported in 10</w:t>
      </w:r>
      <w:r w:rsidR="00076EE0">
        <w:rPr>
          <w:rFonts w:ascii="Book Antiqua" w:hAnsi="Book Antiqua" w:cs="Book Antiqua" w:hint="eastAsia"/>
          <w:color w:val="000000"/>
          <w:lang w:eastAsia="zh-CN"/>
        </w:rPr>
        <w:t>%</w:t>
      </w:r>
      <w:r>
        <w:rPr>
          <w:rFonts w:ascii="Book Antiqua" w:eastAsia="Book Antiqua" w:hAnsi="Book Antiqua" w:cs="Book Antiqua"/>
          <w:color w:val="000000"/>
        </w:rPr>
        <w:t>-17% of children at presentation and leads to surgery in 20</w:t>
      </w:r>
      <w:r w:rsidR="00076EE0">
        <w:rPr>
          <w:rFonts w:ascii="Book Antiqua" w:hAnsi="Book Antiqua" w:cs="Book Antiqua" w:hint="eastAsia"/>
          <w:color w:val="000000"/>
          <w:lang w:eastAsia="zh-CN"/>
        </w:rPr>
        <w:t>%</w:t>
      </w:r>
      <w:r>
        <w:rPr>
          <w:rFonts w:ascii="Book Antiqua" w:eastAsia="Book Antiqua" w:hAnsi="Book Antiqua" w:cs="Book Antiqua"/>
          <w:color w:val="000000"/>
        </w:rPr>
        <w:t>-50% of cases within ten years of diagnosis. When symptoms develop from these strictures, the treatment in children has primarily been surgical resection. Endoscop</w:t>
      </w:r>
      <w:r w:rsidR="00076EE0">
        <w:rPr>
          <w:rFonts w:ascii="Book Antiqua" w:eastAsia="Book Antiqua" w:hAnsi="Book Antiqua" w:cs="Book Antiqua"/>
          <w:color w:val="000000"/>
        </w:rPr>
        <w:t>ic balloon dila</w:t>
      </w:r>
      <w:r>
        <w:rPr>
          <w:rFonts w:ascii="Book Antiqua" w:eastAsia="Book Antiqua" w:hAnsi="Book Antiqua" w:cs="Book Antiqua"/>
          <w:color w:val="000000"/>
        </w:rPr>
        <w:t>tion (EBD) has been shown to be a safe and efficacious alternative to surgery in adults, but evidence is poor in the literature regarding its safety and efficacy in children.</w:t>
      </w:r>
    </w:p>
    <w:p w14:paraId="7258104C" w14:textId="77777777" w:rsidR="00A77B3E" w:rsidRDefault="00A77B3E">
      <w:pPr>
        <w:spacing w:line="360" w:lineRule="auto"/>
        <w:jc w:val="both"/>
      </w:pPr>
    </w:p>
    <w:p w14:paraId="377624E7" w14:textId="77777777" w:rsidR="00A77B3E" w:rsidRDefault="0016570D">
      <w:pPr>
        <w:spacing w:line="360" w:lineRule="auto"/>
        <w:jc w:val="both"/>
      </w:pPr>
      <w:r>
        <w:rPr>
          <w:rFonts w:ascii="Book Antiqua" w:eastAsia="Book Antiqua" w:hAnsi="Book Antiqua" w:cs="Book Antiqua"/>
          <w:color w:val="000000"/>
        </w:rPr>
        <w:t>AIM</w:t>
      </w:r>
    </w:p>
    <w:p w14:paraId="4A727DF8" w14:textId="77777777" w:rsidR="00A77B3E" w:rsidRPr="00076EE0" w:rsidRDefault="00076EE0">
      <w:pPr>
        <w:spacing w:line="360" w:lineRule="auto"/>
        <w:jc w:val="both"/>
        <w:rPr>
          <w:lang w:eastAsia="zh-CN"/>
        </w:rPr>
      </w:pPr>
      <w:r>
        <w:rPr>
          <w:rFonts w:ascii="Book Antiqua" w:hAnsi="Book Antiqua" w:cs="Book Antiqua" w:hint="eastAsia"/>
          <w:color w:val="000000"/>
          <w:lang w:eastAsia="zh-CN"/>
        </w:rPr>
        <w:t>To e</w:t>
      </w:r>
      <w:r w:rsidR="0016570D">
        <w:rPr>
          <w:rFonts w:ascii="Book Antiqua" w:eastAsia="Book Antiqua" w:hAnsi="Book Antiqua" w:cs="Book Antiqua"/>
          <w:color w:val="000000"/>
        </w:rPr>
        <w:t xml:space="preserve">valuate the outcomes of children with fibrostenosing </w:t>
      </w:r>
      <w:r>
        <w:rPr>
          <w:rFonts w:ascii="Book Antiqua" w:eastAsia="Book Antiqua" w:hAnsi="Book Antiqua" w:cs="Book Antiqua"/>
          <w:color w:val="000000"/>
        </w:rPr>
        <w:t>CD</w:t>
      </w:r>
      <w:r w:rsidR="0016570D">
        <w:rPr>
          <w:rFonts w:ascii="Book Antiqua" w:eastAsia="Book Antiqua" w:hAnsi="Book Antiqua" w:cs="Book Antiqua"/>
          <w:color w:val="000000"/>
        </w:rPr>
        <w:t xml:space="preserve"> who underwent </w:t>
      </w:r>
      <w:r>
        <w:rPr>
          <w:rFonts w:ascii="Book Antiqua" w:eastAsia="Book Antiqua" w:hAnsi="Book Antiqua" w:cs="Book Antiqua"/>
          <w:color w:val="000000"/>
        </w:rPr>
        <w:t>EBD</w:t>
      </w:r>
      <w:r w:rsidR="0016570D">
        <w:rPr>
          <w:rFonts w:ascii="Book Antiqua" w:eastAsia="Book Antiqua" w:hAnsi="Book Antiqua" w:cs="Book Antiqua"/>
          <w:color w:val="000000"/>
        </w:rPr>
        <w:t xml:space="preserve"> </w:t>
      </w:r>
      <w:r w:rsidR="0016570D">
        <w:rPr>
          <w:rFonts w:ascii="Book Antiqua" w:eastAsia="Book Antiqua" w:hAnsi="Book Antiqua" w:cs="Book Antiqua"/>
          <w:i/>
          <w:iCs/>
          <w:color w:val="000000"/>
        </w:rPr>
        <w:t>vs</w:t>
      </w:r>
      <w:r w:rsidR="0016570D">
        <w:rPr>
          <w:rFonts w:ascii="Book Antiqua" w:eastAsia="Book Antiqua" w:hAnsi="Book Antiqua" w:cs="Book Antiqua"/>
          <w:color w:val="000000"/>
        </w:rPr>
        <w:t xml:space="preserve"> surgery as a treatment.</w:t>
      </w:r>
    </w:p>
    <w:p w14:paraId="25577AF2" w14:textId="77777777" w:rsidR="00A77B3E" w:rsidRDefault="00A77B3E">
      <w:pPr>
        <w:spacing w:line="360" w:lineRule="auto"/>
        <w:jc w:val="both"/>
      </w:pPr>
    </w:p>
    <w:p w14:paraId="28146650" w14:textId="77777777" w:rsidR="00A77B3E" w:rsidRDefault="0016570D">
      <w:pPr>
        <w:spacing w:line="360" w:lineRule="auto"/>
        <w:jc w:val="both"/>
      </w:pPr>
      <w:r>
        <w:rPr>
          <w:rFonts w:ascii="Book Antiqua" w:eastAsia="Book Antiqua" w:hAnsi="Book Antiqua" w:cs="Book Antiqua"/>
          <w:color w:val="000000"/>
        </w:rPr>
        <w:t>METHODS</w:t>
      </w:r>
    </w:p>
    <w:p w14:paraId="31A5E115" w14:textId="77777777" w:rsidR="00A77B3E" w:rsidRPr="00076EE0" w:rsidRDefault="0016570D">
      <w:pPr>
        <w:spacing w:line="360" w:lineRule="auto"/>
        <w:jc w:val="both"/>
        <w:rPr>
          <w:lang w:eastAsia="zh-CN"/>
        </w:rPr>
      </w:pPr>
      <w:r>
        <w:rPr>
          <w:rFonts w:ascii="Book Antiqua" w:eastAsia="Book Antiqua" w:hAnsi="Book Antiqua" w:cs="Book Antiqua"/>
          <w:color w:val="000000"/>
        </w:rPr>
        <w:t xml:space="preserve">In a single-center retrospective study, we looked at pediatric patients (ages 0-18) who carry the diagnosis of CD, who were diagnosed after opening a dedicated Inflammatory Bowel Disease clinic on July 1, 2012 through May 1, 2019. We used diagnostic codes through our electronic medical record to identify patients with CD with a stricturing phenotype. The type of intervention for patients’ strictures was then identified through procedural and surgical billing codes. We evaluated their demographics, clinical variables, whether they underwent EBD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or both, and their clinical outcomes.</w:t>
      </w:r>
    </w:p>
    <w:p w14:paraId="43B8AA2F" w14:textId="77777777" w:rsidR="00A77B3E" w:rsidRDefault="00A77B3E">
      <w:pPr>
        <w:spacing w:line="360" w:lineRule="auto"/>
        <w:jc w:val="both"/>
      </w:pPr>
    </w:p>
    <w:p w14:paraId="1E65B8D3" w14:textId="77777777" w:rsidR="00A77B3E" w:rsidRDefault="0016570D">
      <w:pPr>
        <w:spacing w:line="360" w:lineRule="auto"/>
        <w:jc w:val="both"/>
      </w:pPr>
      <w:r>
        <w:rPr>
          <w:rFonts w:ascii="Book Antiqua" w:eastAsia="Book Antiqua" w:hAnsi="Book Antiqua" w:cs="Book Antiqua"/>
          <w:color w:val="000000"/>
        </w:rPr>
        <w:t>RESULTS</w:t>
      </w:r>
    </w:p>
    <w:p w14:paraId="3F7031C5" w14:textId="77777777" w:rsidR="00A77B3E" w:rsidRPr="00076EE0" w:rsidRDefault="0016570D">
      <w:pPr>
        <w:spacing w:line="360" w:lineRule="auto"/>
        <w:jc w:val="both"/>
        <w:rPr>
          <w:lang w:eastAsia="zh-CN"/>
        </w:rPr>
      </w:pPr>
      <w:r>
        <w:rPr>
          <w:rFonts w:ascii="Book Antiqua" w:eastAsia="Book Antiqua" w:hAnsi="Book Antiqua" w:cs="Book Antiqua"/>
          <w:color w:val="000000"/>
        </w:rPr>
        <w:t>Of the 139 patients with CD, 25 (18%) developed strictures. The initial intervention for a stricture was surgical resection in 12 patients (48%) and EBD in 13 patients (52%).</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However, 4 (33%) patients whom initially had surgical resection required follow up EBD</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and thus 17 total patients (68%) underwent EBD at some point in their treatment process. For those 8 patients who underwent successful surgical resection alone, 4 of </w:t>
      </w:r>
      <w:r>
        <w:rPr>
          <w:rFonts w:ascii="Book Antiqua" w:eastAsia="Book Antiqua" w:hAnsi="Book Antiqua" w:cs="Book Antiqua"/>
          <w:color w:val="000000"/>
        </w:rPr>
        <w:lastRenderedPageBreak/>
        <w:t xml:space="preserve">these patients (50%) had a fistula present near the stricture site and 4 (50%) had strictures greater than 5 cm in length. All patients who underwent EBD had no procedural complications, such as a perforation. </w:t>
      </w:r>
      <w:r w:rsidR="00076EE0">
        <w:rPr>
          <w:rFonts w:ascii="Book Antiqua" w:hAnsi="Book Antiqua" w:cs="Book Antiqua" w:hint="eastAsia"/>
          <w:color w:val="000000"/>
          <w:lang w:eastAsia="zh-CN"/>
        </w:rPr>
        <w:t>Twenty-two</w:t>
      </w:r>
      <w:r>
        <w:rPr>
          <w:rFonts w:ascii="Book Antiqua" w:eastAsia="Book Antiqua" w:hAnsi="Book Antiqua" w:cs="Book Antiqua"/>
          <w:color w:val="000000"/>
        </w:rPr>
        <w:t xml:space="preserve"> (88%) of the treated strictures were successfully managed by EBD and did not require any further surgical intervention during our follow up period.</w:t>
      </w:r>
    </w:p>
    <w:p w14:paraId="4E323878" w14:textId="77777777" w:rsidR="00A77B3E" w:rsidRDefault="00A77B3E">
      <w:pPr>
        <w:spacing w:line="360" w:lineRule="auto"/>
        <w:jc w:val="both"/>
      </w:pPr>
    </w:p>
    <w:p w14:paraId="77AD2EA1" w14:textId="77777777" w:rsidR="00A77B3E" w:rsidRDefault="0016570D">
      <w:pPr>
        <w:spacing w:line="360" w:lineRule="auto"/>
        <w:jc w:val="both"/>
      </w:pPr>
      <w:r>
        <w:rPr>
          <w:rFonts w:ascii="Book Antiqua" w:eastAsia="Book Antiqua" w:hAnsi="Book Antiqua" w:cs="Book Antiqua"/>
          <w:color w:val="000000"/>
        </w:rPr>
        <w:t>CONCLUSION</w:t>
      </w:r>
    </w:p>
    <w:p w14:paraId="49E2CAED" w14:textId="77777777" w:rsidR="00A77B3E" w:rsidRPr="00076EE0" w:rsidRDefault="0016570D">
      <w:pPr>
        <w:spacing w:line="360" w:lineRule="auto"/>
        <w:jc w:val="both"/>
        <w:rPr>
          <w:lang w:eastAsia="zh-CN"/>
        </w:rPr>
      </w:pPr>
      <w:r>
        <w:rPr>
          <w:rFonts w:ascii="Book Antiqua" w:eastAsia="Book Antiqua" w:hAnsi="Book Antiqua" w:cs="Book Antiqua"/>
          <w:color w:val="000000"/>
        </w:rPr>
        <w:t>EBD is safe and efficacious as an alternative to surgery for palliative management of strictures in selected pediatric patients with CD.</w:t>
      </w:r>
    </w:p>
    <w:p w14:paraId="1C8FCA6E" w14:textId="77777777" w:rsidR="00A77B3E" w:rsidRDefault="00A77B3E">
      <w:pPr>
        <w:spacing w:line="360" w:lineRule="auto"/>
        <w:jc w:val="both"/>
      </w:pPr>
    </w:p>
    <w:p w14:paraId="535599C1" w14:textId="77777777" w:rsidR="00A77B3E" w:rsidRPr="00076EE0" w:rsidRDefault="0016570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Crohn’s disease; Intestinal strictures; Endoscopic dilation; Pediatrics</w:t>
      </w:r>
      <w:r w:rsidR="00076EE0">
        <w:rPr>
          <w:rFonts w:ascii="Book Antiqua" w:hAnsi="Book Antiqua" w:cs="Book Antiqua" w:hint="eastAsia"/>
          <w:color w:val="000000"/>
          <w:lang w:eastAsia="zh-CN"/>
        </w:rPr>
        <w:t xml:space="preserve">; </w:t>
      </w:r>
      <w:r w:rsidR="00076EE0">
        <w:rPr>
          <w:rFonts w:ascii="Book Antiqua" w:eastAsia="Book Antiqua" w:hAnsi="Book Antiqua" w:cs="Book Antiqua"/>
          <w:color w:val="000000"/>
        </w:rPr>
        <w:t>Endoscopic balloon dilation</w:t>
      </w:r>
    </w:p>
    <w:p w14:paraId="15F85902" w14:textId="77777777" w:rsidR="00A77B3E" w:rsidRDefault="00A77B3E">
      <w:pPr>
        <w:spacing w:line="360" w:lineRule="auto"/>
        <w:jc w:val="both"/>
      </w:pPr>
    </w:p>
    <w:p w14:paraId="737B57AC" w14:textId="77777777" w:rsidR="00A77B3E" w:rsidRDefault="0016570D">
      <w:pPr>
        <w:spacing w:line="360" w:lineRule="auto"/>
        <w:jc w:val="both"/>
      </w:pPr>
      <w:r>
        <w:rPr>
          <w:rFonts w:ascii="Book Antiqua" w:eastAsia="Book Antiqua" w:hAnsi="Book Antiqua" w:cs="Book Antiqua"/>
          <w:color w:val="000000"/>
        </w:rPr>
        <w:t xml:space="preserve">McSorley B, Cina RA, Jump C, Palmadottir J, Quiros JA. Endoscopic balloon dilation for management of stricturing Crohn’s disease in children.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5DDF594B" w14:textId="77777777" w:rsidR="00A77B3E" w:rsidRDefault="00A77B3E">
      <w:pPr>
        <w:spacing w:line="360" w:lineRule="auto"/>
        <w:jc w:val="both"/>
      </w:pPr>
    </w:p>
    <w:p w14:paraId="5C717D2B" w14:textId="77777777" w:rsidR="00A77B3E" w:rsidRDefault="0016570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Endoscopic </w:t>
      </w:r>
      <w:r w:rsidR="00076EE0">
        <w:rPr>
          <w:rFonts w:ascii="Book Antiqua" w:eastAsia="Book Antiqua" w:hAnsi="Book Antiqua" w:cs="Book Antiqua"/>
          <w:color w:val="000000"/>
        </w:rPr>
        <w:t>balloon dil</w:t>
      </w:r>
      <w:r>
        <w:rPr>
          <w:rFonts w:ascii="Book Antiqua" w:eastAsia="Book Antiqua" w:hAnsi="Book Antiqua" w:cs="Book Antiqua"/>
          <w:color w:val="000000"/>
        </w:rPr>
        <w:t xml:space="preserve">ation (EBD) has been shown to be a safe and efficacious alternative to surgery in adults, but evidence is poor in the literature regarding its safety and efficacy in children. In our retrospective cohort, 22 of the 25 (88%) treated strictures were successfully managed by EBD and did not require any further surgical intervention during our follow up period. All patients who underwent EBD had no procedural complications, such as a perforation, showing that EBD is safe and efficacious as an alternative to surgery for palliative management of strictures in selected pediatric patients with </w:t>
      </w:r>
      <w:r w:rsidR="00076EE0">
        <w:rPr>
          <w:rFonts w:ascii="Book Antiqua" w:eastAsia="Book Antiqua" w:hAnsi="Book Antiqua" w:cs="Book Antiqua"/>
          <w:color w:val="000000"/>
        </w:rPr>
        <w:t>Crohn’s disease</w:t>
      </w:r>
      <w:r>
        <w:rPr>
          <w:rFonts w:ascii="Book Antiqua" w:eastAsia="Book Antiqua" w:hAnsi="Book Antiqua" w:cs="Book Antiqua"/>
          <w:color w:val="000000"/>
        </w:rPr>
        <w:t>.</w:t>
      </w:r>
    </w:p>
    <w:p w14:paraId="08DBBC2E" w14:textId="77777777" w:rsidR="00A77B3E" w:rsidRDefault="00076EE0">
      <w:pPr>
        <w:spacing w:line="360" w:lineRule="auto"/>
        <w:jc w:val="both"/>
      </w:pPr>
      <w:r>
        <w:br w:type="page"/>
      </w:r>
      <w:r w:rsidR="0016570D">
        <w:rPr>
          <w:rFonts w:ascii="Book Antiqua" w:eastAsia="Book Antiqua" w:hAnsi="Book Antiqua" w:cs="Book Antiqua"/>
          <w:b/>
          <w:caps/>
          <w:color w:val="000000"/>
          <w:u w:val="single"/>
        </w:rPr>
        <w:lastRenderedPageBreak/>
        <w:t>INTRODUCTION</w:t>
      </w:r>
    </w:p>
    <w:p w14:paraId="70CEF737" w14:textId="77777777" w:rsidR="00A77B3E" w:rsidRPr="00076EE0" w:rsidRDefault="0016570D" w:rsidP="00076EE0">
      <w:pPr>
        <w:spacing w:line="360" w:lineRule="auto"/>
        <w:jc w:val="both"/>
        <w:rPr>
          <w:lang w:eastAsia="zh-CN"/>
        </w:rPr>
      </w:pPr>
      <w:r>
        <w:rPr>
          <w:rFonts w:ascii="Book Antiqua" w:eastAsia="Book Antiqua" w:hAnsi="Book Antiqua" w:cs="Book Antiqua"/>
          <w:color w:val="000000"/>
        </w:rPr>
        <w:t>In pediatric Crohn’s disease (CD), intestinal strictures are a major cause of morbidity and one of leading causes for surgery with cumulative incidence of 20</w:t>
      </w:r>
      <w:r w:rsidR="00076EE0">
        <w:rPr>
          <w:rFonts w:ascii="Book Antiqua" w:hAnsi="Book Antiqua" w:cs="Book Antiqua" w:hint="eastAsia"/>
          <w:color w:val="000000"/>
          <w:lang w:eastAsia="zh-CN"/>
        </w:rPr>
        <w:t>%</w:t>
      </w:r>
      <w:r>
        <w:rPr>
          <w:rFonts w:ascii="Book Antiqua" w:eastAsia="Book Antiqua" w:hAnsi="Book Antiqua" w:cs="Book Antiqua"/>
          <w:color w:val="000000"/>
        </w:rPr>
        <w:t>-50% after 10 years of diagnosis</w:t>
      </w:r>
      <w:r w:rsidRPr="00076EE0">
        <w:rPr>
          <w:rFonts w:ascii="Book Antiqua" w:eastAsia="Book Antiqua" w:hAnsi="Book Antiqua" w:cs="Book Antiqua"/>
          <w:color w:val="000000"/>
          <w:vertAlign w:val="superscript"/>
        </w:rPr>
        <w:t>[</w:t>
      </w:r>
      <w:r w:rsidRPr="00076EE0">
        <w:rPr>
          <w:rFonts w:ascii="Book Antiqua" w:eastAsia="Book Antiqua" w:hAnsi="Book Antiqua" w:cs="Book Antiqua"/>
          <w:color w:val="000000"/>
          <w:szCs w:val="30"/>
          <w:vertAlign w:val="superscript"/>
        </w:rPr>
        <w:t>1</w:t>
      </w:r>
      <w:r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estimated that strictures, defined by a luminal narrowing and thickening of </w:t>
      </w:r>
      <w:r w:rsidR="0076040C">
        <w:rPr>
          <w:rFonts w:ascii="Book Antiqua" w:hAnsi="Book Antiqua" w:cs="Book Antiqua" w:hint="eastAsia"/>
          <w:color w:val="000000"/>
          <w:lang w:eastAsia="zh-CN"/>
        </w:rPr>
        <w:t xml:space="preserve">the </w:t>
      </w:r>
      <w:r>
        <w:rPr>
          <w:rFonts w:ascii="Book Antiqua" w:eastAsia="Book Antiqua" w:hAnsi="Book Antiqua" w:cs="Book Antiqua"/>
          <w:color w:val="000000"/>
        </w:rPr>
        <w:t>intestinal wall that results in obstructive clinical symptoms, are present in approximately 10</w:t>
      </w:r>
      <w:r w:rsidR="00076EE0">
        <w:rPr>
          <w:rFonts w:ascii="Book Antiqua" w:hAnsi="Book Antiqua" w:cs="Book Antiqua" w:hint="eastAsia"/>
          <w:color w:val="000000"/>
          <w:lang w:eastAsia="zh-CN"/>
        </w:rPr>
        <w:t>%</w:t>
      </w:r>
      <w:r>
        <w:rPr>
          <w:rFonts w:ascii="Book Antiqua" w:eastAsia="Book Antiqua" w:hAnsi="Book Antiqua" w:cs="Book Antiqua"/>
          <w:color w:val="000000"/>
        </w:rPr>
        <w:t>-17% of children at the time of diagnosis</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2</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Strictures can appear at any point in the gastrointestinal tract, but most commonly appear in the ileocecal region and can cause symptoms, such as abdominal pain, bloating, emesis, decreased energy, and growth failure</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3</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Surgery has been a mainstay treatment for intestinal strictures in pediatric CD with resection for longer strictures ( &gt; 5 cm in length) or strictureplasty for simple, shorter strictures</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4</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Strictureplasty is a surgical procedure that repairs a stricture by widening the narrowed area with intestinal conservation</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5,6</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Post-operative complications from surgical resection include fistulas, leaks, short bowel syndrome, and recurrence of the stricture at the anastomosis site</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7</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One study shows that clinical recurrence of strictures occurs in 55% of patients in the first two years after initial surgery, which leads to the need for subsequent surgical interventions</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6</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Overall, 75% of CD patients undergo surgery for disease related complications at least once in the course of their disease</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8</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EEF643" w14:textId="77777777" w:rsidR="00A77B3E" w:rsidRPr="00076EE0" w:rsidRDefault="0016570D" w:rsidP="00076EE0">
      <w:pPr>
        <w:spacing w:line="360" w:lineRule="auto"/>
        <w:ind w:firstLineChars="100" w:firstLine="240"/>
        <w:jc w:val="both"/>
        <w:rPr>
          <w:lang w:eastAsia="zh-CN"/>
        </w:rPr>
      </w:pPr>
      <w:r>
        <w:rPr>
          <w:rFonts w:ascii="Book Antiqua" w:eastAsia="Book Antiqua" w:hAnsi="Book Antiqua" w:cs="Book Antiqua"/>
          <w:color w:val="000000"/>
        </w:rPr>
        <w:t>Given the high likelihood of surgery in a CD patient, attempts should be made to find alternatives to surgery in these patients. One such alternative is endoscopic balloon dilation (EBD), through which an endoscopist traverses the stricture with a balloon device that is then inflated in an effort to increase the diameter of the intestinal lumen. EBD has been demonstrated to be a safe and efficacious alternative to surgery in adults with CD, but there was a paucity of evidence regarding use in children until our initial publication in 2008</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3,7</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Evolution of our knowledge regarding outcomes from fibrostenosing CD and anti-inflammatory effects of biologic therapy suggested stenosing disease evolves independently, which is propelled by local myofibroblast activity</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soluble chemokines</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and growth factors</w:t>
      </w:r>
      <w:r w:rsidR="00076EE0" w:rsidRPr="00076EE0">
        <w:rPr>
          <w:rFonts w:ascii="Book Antiqua" w:eastAsia="Book Antiqua" w:hAnsi="Book Antiqua" w:cs="Book Antiqua"/>
          <w:color w:val="000000"/>
          <w:vertAlign w:val="superscript"/>
        </w:rPr>
        <w:t>[</w:t>
      </w:r>
      <w:r w:rsidR="00076EE0">
        <w:rPr>
          <w:rFonts w:ascii="Book Antiqua" w:hAnsi="Book Antiqua" w:cs="Book Antiqua" w:hint="eastAsia"/>
          <w:color w:val="000000"/>
          <w:szCs w:val="30"/>
          <w:vertAlign w:val="superscript"/>
          <w:lang w:eastAsia="zh-CN"/>
        </w:rPr>
        <w:t>9</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accumulation of this understanding led to the eventual guidelines published by the European Crohn’s and </w:t>
      </w:r>
      <w:r>
        <w:rPr>
          <w:rFonts w:ascii="Book Antiqua" w:eastAsia="Book Antiqua" w:hAnsi="Book Antiqua" w:cs="Book Antiqua"/>
          <w:color w:val="000000"/>
        </w:rPr>
        <w:lastRenderedPageBreak/>
        <w:t>Colitis Organization in 2016</w:t>
      </w:r>
      <w:r w:rsidR="00076EE0" w:rsidRPr="00076EE0">
        <w:rPr>
          <w:rFonts w:ascii="Book Antiqua" w:eastAsia="Book Antiqua" w:hAnsi="Book Antiqua" w:cs="Book Antiqua"/>
          <w:color w:val="000000"/>
          <w:vertAlign w:val="superscript"/>
        </w:rPr>
        <w:t>[</w:t>
      </w:r>
      <w:r w:rsidR="00076EE0" w:rsidRPr="00076EE0">
        <w:rPr>
          <w:rFonts w:ascii="Book Antiqua" w:eastAsia="Book Antiqua" w:hAnsi="Book Antiqua" w:cs="Book Antiqua"/>
          <w:color w:val="000000"/>
          <w:szCs w:val="30"/>
          <w:vertAlign w:val="superscript"/>
        </w:rPr>
        <w:t>1</w:t>
      </w:r>
      <w:r w:rsidR="00076EE0">
        <w:rPr>
          <w:rFonts w:ascii="Book Antiqua" w:hAnsi="Book Antiqua" w:cs="Book Antiqua" w:hint="eastAsia"/>
          <w:color w:val="000000"/>
          <w:szCs w:val="30"/>
          <w:vertAlign w:val="superscript"/>
          <w:lang w:eastAsia="zh-CN"/>
        </w:rPr>
        <w:t>0</w:t>
      </w:r>
      <w:r w:rsidR="00076EE0" w:rsidRPr="00076E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aim of our study is to evaluate the longitudinal outcomes of children with CD who underwent EBD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as a treatment of their strictures in order to show that EBD is efficacious as an alternative to surgery for management of simple strictures in pediatric fibrostenosing CD.</w:t>
      </w:r>
    </w:p>
    <w:p w14:paraId="406A36CA" w14:textId="77777777" w:rsidR="00A77B3E" w:rsidRDefault="00A77B3E" w:rsidP="00076EE0">
      <w:pPr>
        <w:spacing w:line="360" w:lineRule="auto"/>
        <w:jc w:val="both"/>
        <w:rPr>
          <w:lang w:eastAsia="zh-CN"/>
        </w:rPr>
      </w:pPr>
    </w:p>
    <w:p w14:paraId="45C4C40A" w14:textId="77777777" w:rsidR="00A77B3E" w:rsidRDefault="0016570D">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MATERIALS AND METHODS</w:t>
      </w:r>
    </w:p>
    <w:p w14:paraId="28A1999D" w14:textId="77777777" w:rsidR="0076040C" w:rsidRPr="0076040C" w:rsidRDefault="0076040C">
      <w:pPr>
        <w:spacing w:line="360" w:lineRule="auto"/>
        <w:jc w:val="both"/>
        <w:rPr>
          <w:rFonts w:ascii="Book Antiqua" w:eastAsia="Book Antiqua" w:hAnsi="Book Antiqua" w:cs="Book Antiqua"/>
          <w:b/>
          <w:i/>
          <w:color w:val="000000"/>
        </w:rPr>
      </w:pPr>
      <w:r w:rsidRPr="0076040C">
        <w:rPr>
          <w:rFonts w:ascii="Book Antiqua" w:eastAsia="Book Antiqua" w:hAnsi="Book Antiqua" w:cs="Book Antiqua"/>
          <w:b/>
          <w:i/>
          <w:color w:val="000000"/>
        </w:rPr>
        <w:t xml:space="preserve">Study </w:t>
      </w:r>
      <w:r w:rsidRPr="0076040C">
        <w:rPr>
          <w:rFonts w:ascii="Book Antiqua" w:hAnsi="Book Antiqua" w:cs="Book Antiqua" w:hint="eastAsia"/>
          <w:b/>
          <w:i/>
          <w:color w:val="000000"/>
          <w:lang w:eastAsia="zh-CN"/>
        </w:rPr>
        <w:t>d</w:t>
      </w:r>
      <w:r w:rsidRPr="0076040C">
        <w:rPr>
          <w:rFonts w:ascii="Book Antiqua" w:eastAsia="Book Antiqua" w:hAnsi="Book Antiqua" w:cs="Book Antiqua"/>
          <w:b/>
          <w:i/>
          <w:color w:val="000000"/>
        </w:rPr>
        <w:t>esign</w:t>
      </w:r>
    </w:p>
    <w:p w14:paraId="5A8ED7AD" w14:textId="77777777" w:rsidR="00A77B3E" w:rsidRDefault="0016570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 single-center retrospective study, we looked at pediatric patients (ages 0-18) who carry the diagnosis of CD who were diagnosed after opening a dedicated Inflammatory Bowel Disease clinic on July 1, 2012 through May 1, 2019. We used diagnostic codes through our electronic medical record to identify patients with CD with a stricturing phenotype. The type of intervention for patients’ strictures was then identified through procedural and surgical billing codes. Patient demographics, disease characteristics and longitudinal clinical outcomes were obtained through review of the electronic medical record. Demographic data included: age at diagnosis of CD, age at time of procedure, </w:t>
      </w:r>
      <w:r w:rsidR="00CC4B9B">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CC4B9B">
        <w:rPr>
          <w:rFonts w:ascii="Book Antiqua" w:hAnsi="Book Antiqua" w:cs="Book Antiqua" w:hint="eastAsia"/>
          <w:color w:val="000000"/>
          <w:lang w:eastAsia="zh-CN"/>
        </w:rPr>
        <w:t>)</w:t>
      </w:r>
      <w:r>
        <w:rPr>
          <w:rFonts w:ascii="Book Antiqua" w:eastAsia="Book Antiqua" w:hAnsi="Book Antiqua" w:cs="Book Antiqua"/>
          <w:color w:val="000000"/>
        </w:rPr>
        <w:t xml:space="preserve"> at time of procedure, and race. Disease characteristics included: modality of CD diagnosis, time (years) from diagnosis of CD until the development of symptomatic strictures, the Paris classification of disease, and medicatio</w:t>
      </w:r>
      <w:r w:rsidR="00076EE0">
        <w:rPr>
          <w:rFonts w:ascii="Book Antiqua" w:eastAsia="Book Antiqua" w:hAnsi="Book Antiqua" w:cs="Book Antiqua"/>
          <w:color w:val="000000"/>
        </w:rPr>
        <w:t>n at the time of the procedure.</w:t>
      </w:r>
      <w:r>
        <w:rPr>
          <w:rFonts w:ascii="Book Antiqua" w:eastAsia="Book Antiqua" w:hAnsi="Book Antiqua" w:cs="Book Antiqua"/>
          <w:color w:val="000000"/>
        </w:rPr>
        <w:t xml:space="preserve"> Symptomatic strictures were defined as new onset or worsening of baseline abdominal pain, post-prandial bloating, and/or emesis. Information obtained about the intestinal stricture and procedure(s) included the location, length, number of strictures, the presence of penetrating disease near the stricture site, the type of stricture intervention (EBD, surgery, or both), and if any medication was injected into the stricture at the time of EBD. Strictures were classified as simple, which were defined as single and &lt;</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5 cm, or complex, which were defined by multiple, &gt;</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5 cm or associated with a fistula.</w:t>
      </w:r>
    </w:p>
    <w:p w14:paraId="34F4F82B" w14:textId="77777777" w:rsidR="0076040C" w:rsidRDefault="0076040C">
      <w:pPr>
        <w:spacing w:line="360" w:lineRule="auto"/>
        <w:jc w:val="both"/>
        <w:rPr>
          <w:rFonts w:ascii="Book Antiqua" w:hAnsi="Book Antiqua" w:cs="Book Antiqua"/>
          <w:color w:val="000000"/>
          <w:lang w:eastAsia="zh-CN"/>
        </w:rPr>
      </w:pPr>
    </w:p>
    <w:p w14:paraId="34E147D0" w14:textId="77777777" w:rsidR="0076040C" w:rsidRPr="00130D11" w:rsidRDefault="0076040C">
      <w:pPr>
        <w:spacing w:line="360" w:lineRule="auto"/>
        <w:jc w:val="both"/>
        <w:rPr>
          <w:rFonts w:ascii="Book Antiqua" w:hAnsi="Book Antiqua" w:cs="Book Antiqua"/>
          <w:b/>
          <w:i/>
          <w:color w:val="000000"/>
          <w:lang w:eastAsia="zh-CN"/>
        </w:rPr>
      </w:pPr>
      <w:r w:rsidRPr="0076040C">
        <w:rPr>
          <w:rFonts w:ascii="Book Antiqua" w:eastAsia="Book Antiqua" w:hAnsi="Book Antiqua" w:cs="Book Antiqua"/>
          <w:b/>
          <w:i/>
          <w:color w:val="000000"/>
        </w:rPr>
        <w:t>E</w:t>
      </w:r>
      <w:r w:rsidR="00130D11">
        <w:rPr>
          <w:rFonts w:ascii="Book Antiqua" w:hAnsi="Book Antiqua" w:cs="Book Antiqua" w:hint="eastAsia"/>
          <w:b/>
          <w:i/>
          <w:color w:val="000000"/>
          <w:lang w:eastAsia="zh-CN"/>
        </w:rPr>
        <w:t>BD</w:t>
      </w:r>
    </w:p>
    <w:p w14:paraId="418CC743" w14:textId="77777777" w:rsidR="00A77B3E" w:rsidRPr="00076EE0" w:rsidRDefault="0016570D" w:rsidP="0076040C">
      <w:pPr>
        <w:spacing w:line="360" w:lineRule="auto"/>
        <w:jc w:val="both"/>
        <w:rPr>
          <w:lang w:eastAsia="zh-CN"/>
        </w:rPr>
      </w:pPr>
      <w:r>
        <w:rPr>
          <w:rFonts w:ascii="Book Antiqua" w:eastAsia="Book Antiqua" w:hAnsi="Book Antiqua" w:cs="Book Antiqua"/>
          <w:color w:val="000000"/>
        </w:rPr>
        <w:lastRenderedPageBreak/>
        <w:t>All patients with complex strictures underwent surgical resection of their stricture sites rather than strictureplasty. All EBDs were done by a single provider, using the same technique (JAQ).</w:t>
      </w:r>
      <w:r w:rsidR="00076E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First, a 0.25 mm soft tip guidewire was passed through the stricture. In the case of medication injected at the stricture site, 2 mg/kg up to 80 mg of triamcinolone was diluted in 5 mL of saline and was then injected into all four quadrants of the stricture area prior to dilation. A single patient received an injection of </w:t>
      </w:r>
      <w:r w:rsidR="0076040C">
        <w:rPr>
          <w:rFonts w:ascii="Book Antiqua" w:hAnsi="Book Antiqua" w:cs="Book Antiqua" w:hint="eastAsia"/>
          <w:color w:val="000000"/>
          <w:lang w:eastAsia="zh-CN"/>
        </w:rPr>
        <w:t xml:space="preserve">an </w:t>
      </w:r>
      <w:r>
        <w:rPr>
          <w:rFonts w:ascii="Book Antiqua" w:eastAsia="Book Antiqua" w:hAnsi="Book Antiqua" w:cs="Book Antiqua"/>
          <w:color w:val="000000"/>
        </w:rPr>
        <w:t xml:space="preserve">infliximab biosimilar (0.5 mg/kg) diluted in 25 mL of saline at the </w:t>
      </w:r>
      <w:r w:rsidR="00076EE0">
        <w:rPr>
          <w:rFonts w:ascii="Book Antiqua" w:eastAsia="Book Antiqua" w:hAnsi="Book Antiqua" w:cs="Book Antiqua"/>
          <w:color w:val="000000"/>
        </w:rPr>
        <w:t>stricture site before dilation.</w:t>
      </w:r>
      <w:r>
        <w:rPr>
          <w:rFonts w:ascii="Book Antiqua" w:eastAsia="Book Antiqua" w:hAnsi="Book Antiqua" w:cs="Book Antiqua"/>
          <w:color w:val="000000"/>
        </w:rPr>
        <w:t xml:space="preserve"> After the injection of the stricture, a through the scope controlled radial release (CRR) colonic balloon dilator was placed over the guidewire and serial dilations were done until </w:t>
      </w:r>
      <w:r w:rsidR="0076040C">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desired diameter was achieved to allow </w:t>
      </w:r>
      <w:r w:rsidR="0076040C" w:rsidRPr="0076040C">
        <w:rPr>
          <w:rFonts w:ascii="Book Antiqua" w:eastAsia="Book Antiqua" w:hAnsi="Book Antiqua" w:cs="Book Antiqua"/>
          <w:color w:val="000000"/>
        </w:rPr>
        <w:t>endoscope</w:t>
      </w:r>
      <w:r>
        <w:rPr>
          <w:rFonts w:ascii="Book Antiqua" w:eastAsia="Book Antiqua" w:hAnsi="Book Antiqua" w:cs="Book Antiqua"/>
          <w:color w:val="000000"/>
        </w:rPr>
        <w:t xml:space="preserve"> passage for inspection of the proximal bowel (Figure </w:t>
      </w:r>
      <w:r w:rsidR="00076EE0">
        <w:rPr>
          <w:rFonts w:ascii="Book Antiqua" w:hAnsi="Book Antiqua" w:cs="Book Antiqua" w:hint="eastAsia"/>
          <w:color w:val="000000"/>
          <w:lang w:eastAsia="zh-CN"/>
        </w:rPr>
        <w:t>1</w:t>
      </w:r>
      <w:r>
        <w:rPr>
          <w:rFonts w:ascii="Book Antiqua" w:eastAsia="Book Antiqua" w:hAnsi="Book Antiqua" w:cs="Book Antiqua"/>
          <w:color w:val="000000"/>
        </w:rPr>
        <w:t>).</w:t>
      </w:r>
    </w:p>
    <w:p w14:paraId="50C520DE" w14:textId="77777777" w:rsidR="00A77B3E" w:rsidRDefault="00A77B3E" w:rsidP="00076EE0">
      <w:pPr>
        <w:spacing w:line="360" w:lineRule="auto"/>
        <w:jc w:val="both"/>
        <w:rPr>
          <w:lang w:eastAsia="zh-CN"/>
        </w:rPr>
      </w:pPr>
    </w:p>
    <w:p w14:paraId="358AC216" w14:textId="77777777" w:rsidR="00A77B3E" w:rsidRDefault="0016570D">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RESULTS</w:t>
      </w:r>
    </w:p>
    <w:p w14:paraId="27448CE0" w14:textId="77777777" w:rsidR="0076040C" w:rsidRPr="0076040C" w:rsidRDefault="0076040C">
      <w:pPr>
        <w:spacing w:line="360" w:lineRule="auto"/>
        <w:jc w:val="both"/>
        <w:rPr>
          <w:rFonts w:ascii="Book Antiqua" w:eastAsia="Book Antiqua" w:hAnsi="Book Antiqua" w:cs="Book Antiqua"/>
          <w:b/>
          <w:i/>
          <w:color w:val="000000"/>
        </w:rPr>
      </w:pPr>
      <w:r w:rsidRPr="0076040C">
        <w:rPr>
          <w:rFonts w:ascii="Book Antiqua" w:eastAsia="Book Antiqua" w:hAnsi="Book Antiqua" w:cs="Book Antiqua"/>
          <w:b/>
          <w:i/>
          <w:color w:val="000000"/>
        </w:rPr>
        <w:t>Stricturing CD</w:t>
      </w:r>
    </w:p>
    <w:p w14:paraId="0BDD40C6" w14:textId="77777777" w:rsidR="00A77B3E" w:rsidRPr="00076EE0" w:rsidRDefault="0016570D" w:rsidP="00076EE0">
      <w:pPr>
        <w:spacing w:line="360" w:lineRule="auto"/>
        <w:jc w:val="both"/>
        <w:rPr>
          <w:lang w:eastAsia="zh-CN"/>
        </w:rPr>
      </w:pPr>
      <w:r>
        <w:rPr>
          <w:rFonts w:ascii="Book Antiqua" w:eastAsia="Book Antiqua" w:hAnsi="Book Antiqua" w:cs="Book Antiqua"/>
          <w:color w:val="000000"/>
        </w:rPr>
        <w:t>Of the 139 active patients diagnosed with CD in the study period, 25 (18%) developed intestinal strictures; 13 patients (52%) were male and 22 patients (88%) were Caucasian (Table 1). BMI was recorded in the 25 patients and nine (36%) were in the overweight BMI category (BMI &gt; 85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&lt;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percentiles). Six of those patients had complex strictures and went directly to surgical resection. The mean age at diagnosis of CD was 13 years. In 23 of the 25 patients, diagnosis was made </w:t>
      </w:r>
      <w:r>
        <w:rPr>
          <w:rFonts w:ascii="Book Antiqua" w:eastAsia="Book Antiqua" w:hAnsi="Book Antiqua" w:cs="Book Antiqua"/>
          <w:i/>
          <w:iCs/>
          <w:color w:val="000000"/>
        </w:rPr>
        <w:t>via</w:t>
      </w:r>
      <w:r>
        <w:rPr>
          <w:rFonts w:ascii="Book Antiqua" w:eastAsia="Book Antiqua" w:hAnsi="Book Antiqua" w:cs="Book Antiqua"/>
          <w:color w:val="000000"/>
        </w:rPr>
        <w:t xml:space="preserve"> upper and lower endoscopy with biopsies confirming CD, and the other two patients had stricturing and penetrating disease at the time of diagnosis</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and CD was confirmed on histologic review of the surgically-resected specimen. Using the Paris Classification, CD location was classified as: ileocolonic (</w:t>
      </w:r>
      <w:r>
        <w:rPr>
          <w:rFonts w:ascii="Book Antiqua" w:eastAsia="Book Antiqua" w:hAnsi="Book Antiqua" w:cs="Book Antiqua"/>
          <w:i/>
          <w:iCs/>
          <w:color w:val="000000"/>
        </w:rPr>
        <w:t>n</w:t>
      </w:r>
      <w:r>
        <w:rPr>
          <w:rFonts w:ascii="Book Antiqua" w:eastAsia="Book Antiqua" w:hAnsi="Book Antiqua" w:cs="Book Antiqua"/>
          <w:color w:val="000000"/>
        </w:rPr>
        <w:t xml:space="preserve"> = 20, 80%), distal 1/3 of </w:t>
      </w:r>
      <w:r w:rsidR="0076040C">
        <w:rPr>
          <w:rFonts w:ascii="Book Antiqua" w:hAnsi="Book Antiqua" w:cs="Book Antiqua" w:hint="eastAsia"/>
          <w:color w:val="000000"/>
          <w:lang w:eastAsia="zh-CN"/>
        </w:rPr>
        <w:t xml:space="preserve">the </w:t>
      </w:r>
      <w:r>
        <w:rPr>
          <w:rFonts w:ascii="Book Antiqua" w:eastAsia="Book Antiqua" w:hAnsi="Book Antiqua" w:cs="Book Antiqua"/>
          <w:color w:val="000000"/>
        </w:rPr>
        <w:t>ileum with limited cecal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3, 12%), colonic (</w:t>
      </w:r>
      <w:r>
        <w:rPr>
          <w:rFonts w:ascii="Book Antiqua" w:eastAsia="Book Antiqua" w:hAnsi="Book Antiqua" w:cs="Book Antiqua"/>
          <w:i/>
          <w:iCs/>
          <w:color w:val="000000"/>
        </w:rPr>
        <w:t>n</w:t>
      </w:r>
      <w:r>
        <w:rPr>
          <w:rFonts w:ascii="Book Antiqua" w:eastAsia="Book Antiqua" w:hAnsi="Book Antiqua" w:cs="Book Antiqua"/>
          <w:color w:val="000000"/>
        </w:rPr>
        <w:t xml:space="preserve"> = 1, 4%), or upper disease proximal to the ligament of Treitz and ileocolonic (</w:t>
      </w:r>
      <w:r>
        <w:rPr>
          <w:rFonts w:ascii="Book Antiqua" w:eastAsia="Book Antiqua" w:hAnsi="Book Antiqua" w:cs="Book Antiqua"/>
          <w:i/>
          <w:iCs/>
          <w:color w:val="000000"/>
        </w:rPr>
        <w:t>n</w:t>
      </w:r>
      <w:r>
        <w:rPr>
          <w:rFonts w:ascii="Book Antiqua" w:eastAsia="Book Antiqua" w:hAnsi="Book Antiqua" w:cs="Book Antiqua"/>
          <w:color w:val="000000"/>
        </w:rPr>
        <w:t xml:space="preserve"> = 1, 4%). CD behavior was classified as: stricturing (</w:t>
      </w:r>
      <w:r>
        <w:rPr>
          <w:rFonts w:ascii="Book Antiqua" w:eastAsia="Book Antiqua" w:hAnsi="Book Antiqua" w:cs="Book Antiqua"/>
          <w:i/>
          <w:iCs/>
          <w:color w:val="000000"/>
        </w:rPr>
        <w:t>n</w:t>
      </w:r>
      <w:r>
        <w:rPr>
          <w:rFonts w:ascii="Book Antiqua" w:eastAsia="Book Antiqua" w:hAnsi="Book Antiqua" w:cs="Book Antiqua"/>
          <w:color w:val="000000"/>
        </w:rPr>
        <w:t xml:space="preserve"> = 11, 44%), stricturing and penetrating (</w:t>
      </w:r>
      <w:r>
        <w:rPr>
          <w:rFonts w:ascii="Book Antiqua" w:eastAsia="Book Antiqua" w:hAnsi="Book Antiqua" w:cs="Book Antiqua"/>
          <w:i/>
          <w:iCs/>
          <w:color w:val="000000"/>
        </w:rPr>
        <w:t>n</w:t>
      </w:r>
      <w:r>
        <w:rPr>
          <w:rFonts w:ascii="Book Antiqua" w:eastAsia="Book Antiqua" w:hAnsi="Book Antiqua" w:cs="Book Antiqua"/>
          <w:color w:val="000000"/>
        </w:rPr>
        <w:t xml:space="preserve"> = 9, 36%), stricturing and perianal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3, 12%), or stricturing, penetrating and perianal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2, 8%). The mean time of development of symptomatic strictures from time of diagnosis was 1.5 years. Twenty </w:t>
      </w:r>
      <w:r>
        <w:rPr>
          <w:rFonts w:ascii="Book Antiqua" w:eastAsia="Book Antiqua" w:hAnsi="Book Antiqua" w:cs="Book Antiqua"/>
          <w:color w:val="000000"/>
        </w:rPr>
        <w:lastRenderedPageBreak/>
        <w:t xml:space="preserve">(80%) of these strictures were located in the terminal ileum, 3 (12%) in the rectum, 1 (4%) in the duodenum, and 1 (4%) in the ascending colon (Figure </w:t>
      </w:r>
      <w:r w:rsidR="00076EE0">
        <w:rPr>
          <w:rFonts w:ascii="Book Antiqua" w:hAnsi="Book Antiqua" w:cs="Book Antiqua" w:hint="eastAsia"/>
          <w:color w:val="000000"/>
          <w:lang w:eastAsia="zh-CN"/>
        </w:rPr>
        <w:t>1</w:t>
      </w:r>
      <w:r>
        <w:rPr>
          <w:rFonts w:ascii="Book Antiqua" w:eastAsia="Book Antiqua" w:hAnsi="Book Antiqua" w:cs="Book Antiqua"/>
          <w:color w:val="000000"/>
        </w:rPr>
        <w:t>).</w:t>
      </w:r>
    </w:p>
    <w:p w14:paraId="420AA5C6" w14:textId="77777777" w:rsidR="00A77B3E" w:rsidRDefault="0016570D" w:rsidP="00076EE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At the time of intervention, most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21, 84%) were on biologic therapy; 11 patients were on infliximab or an infliximab biosimilar, 9 patients were on adalimumab, and one patient was on vedolizumab. Of the four patients not receiving biologic therapy, three patients were managed with azathioprine and one was managed with mesalamine alone. Three patients (12%) were on low-dose corticosteroids in addition to biologic therapy.</w:t>
      </w:r>
    </w:p>
    <w:p w14:paraId="2D867F76" w14:textId="77777777" w:rsidR="0076040C" w:rsidRDefault="0076040C" w:rsidP="0076040C">
      <w:pPr>
        <w:spacing w:line="360" w:lineRule="auto"/>
        <w:jc w:val="both"/>
        <w:rPr>
          <w:rFonts w:ascii="Book Antiqua" w:hAnsi="Book Antiqua" w:cs="Book Antiqua"/>
          <w:color w:val="000000"/>
          <w:lang w:eastAsia="zh-CN"/>
        </w:rPr>
      </w:pPr>
    </w:p>
    <w:p w14:paraId="1BD4A63D" w14:textId="77777777" w:rsidR="0076040C" w:rsidRPr="0076040C" w:rsidRDefault="0076040C" w:rsidP="0076040C">
      <w:pPr>
        <w:spacing w:line="360" w:lineRule="auto"/>
        <w:jc w:val="both"/>
        <w:rPr>
          <w:rFonts w:ascii="Book Antiqua" w:eastAsia="Book Antiqua" w:hAnsi="Book Antiqua" w:cs="Book Antiqua"/>
          <w:b/>
          <w:i/>
          <w:color w:val="000000"/>
        </w:rPr>
      </w:pPr>
      <w:r w:rsidRPr="0076040C">
        <w:rPr>
          <w:rFonts w:ascii="Book Antiqua" w:eastAsia="Book Antiqua" w:hAnsi="Book Antiqua" w:cs="Book Antiqua"/>
          <w:b/>
          <w:i/>
          <w:color w:val="000000"/>
        </w:rPr>
        <w:t xml:space="preserve">EBD </w:t>
      </w:r>
      <w:r w:rsidRPr="0076040C">
        <w:rPr>
          <w:rFonts w:ascii="Book Antiqua" w:hAnsi="Book Antiqua" w:cs="Book Antiqua" w:hint="eastAsia"/>
          <w:b/>
          <w:i/>
          <w:color w:val="000000"/>
          <w:lang w:eastAsia="zh-CN"/>
        </w:rPr>
        <w:t>o</w:t>
      </w:r>
      <w:r w:rsidRPr="0076040C">
        <w:rPr>
          <w:rFonts w:ascii="Book Antiqua" w:eastAsia="Book Antiqua" w:hAnsi="Book Antiqua" w:cs="Book Antiqua"/>
          <w:b/>
          <w:i/>
          <w:color w:val="000000"/>
        </w:rPr>
        <w:t>utcomes</w:t>
      </w:r>
    </w:p>
    <w:p w14:paraId="47FA39DE" w14:textId="77777777" w:rsidR="00A77B3E" w:rsidRPr="00CC4B9B" w:rsidRDefault="0016570D" w:rsidP="0076040C">
      <w:pPr>
        <w:spacing w:line="360" w:lineRule="auto"/>
        <w:jc w:val="both"/>
        <w:rPr>
          <w:lang w:eastAsia="zh-CN"/>
        </w:rPr>
      </w:pPr>
      <w:r>
        <w:rPr>
          <w:rFonts w:ascii="Book Antiqua" w:eastAsia="Book Antiqua" w:hAnsi="Book Antiqua" w:cs="Book Antiqua"/>
          <w:color w:val="000000"/>
        </w:rPr>
        <w:t>The initial intervention for a stricture was surgical resection in 12 patients (48%) and EBD in 13 patients (52%). However, 4 (33%) patients whom initially had surgical resection required follow-up EBD</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and thus 17 total patients (68%) underwent EBD at some point in their treatment process. The frequency of EBD procedures performed on an individual patient was: one EBD (</w:t>
      </w:r>
      <w:r>
        <w:rPr>
          <w:rFonts w:ascii="Book Antiqua" w:eastAsia="Book Antiqua" w:hAnsi="Book Antiqua" w:cs="Book Antiqua"/>
          <w:i/>
          <w:iCs/>
          <w:color w:val="000000"/>
        </w:rPr>
        <w:t>n</w:t>
      </w:r>
      <w:r>
        <w:rPr>
          <w:rFonts w:ascii="Book Antiqua" w:eastAsia="Book Antiqua" w:hAnsi="Book Antiqua" w:cs="Book Antiqua"/>
          <w:color w:val="000000"/>
        </w:rPr>
        <w:t xml:space="preserve"> = 7, 41%), 2-3 EBD (</w:t>
      </w:r>
      <w:r>
        <w:rPr>
          <w:rFonts w:ascii="Book Antiqua" w:eastAsia="Book Antiqua" w:hAnsi="Book Antiqua" w:cs="Book Antiqua"/>
          <w:i/>
          <w:iCs/>
          <w:color w:val="000000"/>
        </w:rPr>
        <w:t>n</w:t>
      </w:r>
      <w:r>
        <w:rPr>
          <w:rFonts w:ascii="Book Antiqua" w:eastAsia="Book Antiqua" w:hAnsi="Book Antiqua" w:cs="Book Antiqua"/>
          <w:color w:val="000000"/>
        </w:rPr>
        <w:t xml:space="preserve"> = 8, 47%), 4 or more EBD (</w:t>
      </w:r>
      <w:r>
        <w:rPr>
          <w:rFonts w:ascii="Book Antiqua" w:eastAsia="Book Antiqua" w:hAnsi="Book Antiqua" w:cs="Book Antiqua"/>
          <w:i/>
          <w:iCs/>
          <w:color w:val="000000"/>
        </w:rPr>
        <w:t>n</w:t>
      </w:r>
      <w:r>
        <w:rPr>
          <w:rFonts w:ascii="Book Antiqua" w:eastAsia="Book Antiqua" w:hAnsi="Book Antiqua" w:cs="Book Antiqua"/>
          <w:color w:val="000000"/>
        </w:rPr>
        <w:t xml:space="preserve"> = 2, 12%) (Figure </w:t>
      </w:r>
      <w:r w:rsidR="00076EE0">
        <w:rPr>
          <w:rFonts w:ascii="Book Antiqua" w:hAnsi="Book Antiqua" w:cs="Book Antiqua" w:hint="eastAsia"/>
          <w:color w:val="000000"/>
          <w:lang w:eastAsia="zh-CN"/>
        </w:rPr>
        <w:t>2</w:t>
      </w:r>
      <w:r>
        <w:rPr>
          <w:rFonts w:ascii="Book Antiqua" w:eastAsia="Book Antiqua" w:hAnsi="Book Antiqua" w:cs="Book Antiqua"/>
          <w:color w:val="000000"/>
        </w:rPr>
        <w:t>). All patients that underwent EBD had strictures with a length less than or equal to 5 cm in length and inflammation was controlled with medications prior to EBD. Fifteen patients received a triamcinolone injection into the stricture site and one patient received an infliximab biosimilar injection at the stricture site. There were no post-EBD perforations, bleeding requiring intervention, or infections. Of the 8 patients who underwent successful surgical resection alone, 4 patients (50%) had a fistula present near the stricture site and 4 (50%) had strictures greater than 5 cm in length. Overall, 88% (15/17) with stricturing disease treated endoscopically did not require any further surgical interventions.</w:t>
      </w:r>
    </w:p>
    <w:p w14:paraId="658ACCF7" w14:textId="77777777" w:rsidR="00A77B3E" w:rsidRDefault="00A77B3E" w:rsidP="00CC4B9B">
      <w:pPr>
        <w:spacing w:line="360" w:lineRule="auto"/>
        <w:jc w:val="both"/>
        <w:rPr>
          <w:lang w:eastAsia="zh-CN"/>
        </w:rPr>
      </w:pPr>
    </w:p>
    <w:p w14:paraId="18E61F56" w14:textId="77777777" w:rsidR="00A77B3E" w:rsidRDefault="0016570D">
      <w:pPr>
        <w:spacing w:line="360" w:lineRule="auto"/>
        <w:jc w:val="both"/>
      </w:pPr>
      <w:r>
        <w:rPr>
          <w:rFonts w:ascii="Book Antiqua" w:eastAsia="Book Antiqua" w:hAnsi="Book Antiqua" w:cs="Book Antiqua"/>
          <w:b/>
          <w:caps/>
          <w:color w:val="000000"/>
          <w:u w:val="single"/>
        </w:rPr>
        <w:t>DISCUSSION</w:t>
      </w:r>
    </w:p>
    <w:p w14:paraId="4F4CE688" w14:textId="77777777" w:rsidR="00A77B3E" w:rsidRPr="00CC4B9B" w:rsidRDefault="0016570D" w:rsidP="00CC4B9B">
      <w:pPr>
        <w:spacing w:line="360" w:lineRule="auto"/>
        <w:jc w:val="both"/>
        <w:rPr>
          <w:lang w:eastAsia="zh-CN"/>
        </w:rPr>
      </w:pPr>
      <w:r>
        <w:rPr>
          <w:rFonts w:ascii="Book Antiqua" w:eastAsia="Book Antiqua" w:hAnsi="Book Antiqua" w:cs="Book Antiqua"/>
          <w:color w:val="000000"/>
        </w:rPr>
        <w:t>The natural history of CD in children suggests that most children present with inflammatory disease but a proportion will develop more complicated stricturing or penetrating disease</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11</w:t>
      </w:r>
      <w:r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high overall rate of surgery in CD, the rate of </w:t>
      </w:r>
      <w:r>
        <w:rPr>
          <w:rFonts w:ascii="Book Antiqua" w:eastAsia="Book Antiqua" w:hAnsi="Book Antiqua" w:cs="Book Antiqua"/>
          <w:color w:val="000000"/>
        </w:rPr>
        <w:lastRenderedPageBreak/>
        <w:t>recurrence of strictures post-surgery, and the risk of complications post-surgery, there exists the need for alternative interventions</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szCs w:val="30"/>
          <w:vertAlign w:val="superscript"/>
          <w:lang w:eastAsia="zh-CN"/>
        </w:rPr>
        <w:t>6,7,12</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EBD offers a minimally invasive, therapeutic approach that can reduce or obviate the need for surgical intervention</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3</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It has been shown to be efficacious in adult stricturing CD with overall reported technical success rate of 89.1% to 94.9% and associated clinical efficacy of 80.8%-82.3</w:t>
      </w:r>
      <w:r w:rsidR="00CC4B9B">
        <w:rPr>
          <w:rFonts w:ascii="Book Antiqua" w:hAnsi="Book Antiqua" w:cs="Book Antiqua" w:hint="eastAsia"/>
          <w:color w:val="000000"/>
          <w:lang w:eastAsia="zh-CN"/>
        </w:rPr>
        <w:t>%</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4,15</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Complications are also minimal in EBD compared to surgery with a complication rate averaging around 2% overall</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6</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Here, we aim to demonstrate similar efficacy and safety in our pediatric CD cohort.</w:t>
      </w:r>
    </w:p>
    <w:p w14:paraId="5434C366" w14:textId="77777777" w:rsidR="00A77B3E" w:rsidRPr="00CC4B9B" w:rsidRDefault="0016570D" w:rsidP="00CC4B9B">
      <w:pPr>
        <w:spacing w:line="360" w:lineRule="auto"/>
        <w:ind w:firstLineChars="100" w:firstLine="240"/>
        <w:jc w:val="both"/>
        <w:rPr>
          <w:lang w:eastAsia="zh-CN"/>
        </w:rPr>
      </w:pPr>
      <w:r>
        <w:rPr>
          <w:rFonts w:ascii="Book Antiqua" w:eastAsia="Book Antiqua" w:hAnsi="Book Antiqua" w:cs="Book Antiqua"/>
          <w:color w:val="000000"/>
        </w:rPr>
        <w:t xml:space="preserve">In our single-center cohort, 88% (15/17) of patients with stricturing CD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EBD did not require any further surgical interventions. This is a higher success rate than the adult literature where a meta-analysis of 33 studies showed that surgical intervention was avoided in 57% of adult patients who had undergone EBD</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4</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In our cohort, there was a need for repeat EBD in 6/17 (35%) patients whom had initial EBD and a need for EBD after surgical resection in 4/12 (33%) patients. The adult literature cites that need for repeat EBD as 73.5% in a meta-analysis and 47% in another study, and the need for EBD after surgical resection at 62%</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4,17</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It is difficult to compare our rates of success and need for repeat dilations to adult studies given the small number of patients in our study and a different range in follow up time. In our study, follow up ranged from 6 mo to 2 years compared to the two years used in adult literature</w:t>
      </w:r>
      <w:r w:rsidR="00CC4B9B" w:rsidRPr="00CC4B9B">
        <w:rPr>
          <w:rFonts w:ascii="Book Antiqua" w:eastAsia="Book Antiqua" w:hAnsi="Book Antiqua" w:cs="Book Antiqua"/>
          <w:color w:val="000000"/>
          <w:vertAlign w:val="superscript"/>
        </w:rPr>
        <w:t>[</w:t>
      </w:r>
      <w:r w:rsidR="00CC4B9B" w:rsidRPr="00CC4B9B">
        <w:rPr>
          <w:rFonts w:ascii="Book Antiqua" w:eastAsia="Book Antiqua" w:hAnsi="Book Antiqua" w:cs="Book Antiqua"/>
          <w:color w:val="000000"/>
          <w:szCs w:val="30"/>
          <w:vertAlign w:val="superscript"/>
        </w:rPr>
        <w:t>1</w:t>
      </w:r>
      <w:r w:rsidR="00CC4B9B">
        <w:rPr>
          <w:rFonts w:ascii="Book Antiqua" w:hAnsi="Book Antiqua" w:cs="Book Antiqua" w:hint="eastAsia"/>
          <w:color w:val="000000"/>
          <w:szCs w:val="30"/>
          <w:vertAlign w:val="superscript"/>
          <w:lang w:eastAsia="zh-CN"/>
        </w:rPr>
        <w:t>4,17</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3911A6" w14:textId="77777777" w:rsidR="00A77B3E" w:rsidRPr="00CC4B9B" w:rsidRDefault="0016570D" w:rsidP="00CC4B9B">
      <w:pPr>
        <w:spacing w:line="360" w:lineRule="auto"/>
        <w:ind w:firstLineChars="100" w:firstLine="240"/>
        <w:jc w:val="both"/>
        <w:rPr>
          <w:lang w:eastAsia="zh-CN"/>
        </w:rPr>
      </w:pPr>
      <w:r>
        <w:rPr>
          <w:rFonts w:ascii="Book Antiqua" w:eastAsia="Book Antiqua" w:hAnsi="Book Antiqua" w:cs="Book Antiqua"/>
          <w:color w:val="000000"/>
        </w:rPr>
        <w:t>In our population, there were no complications of perforation, bleeding, or infection for any patient who underwent EBD. Although this is reassuring, our study is again limited by the small number of patients making it difficult to compare to the rate of complications in the literature which is around 2%</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szCs w:val="30"/>
          <w:vertAlign w:val="superscript"/>
          <w:lang w:eastAsia="zh-CN"/>
        </w:rPr>
        <w:t>8</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In addition, patients who were deemed high risk by the adult literature, those with longer strictu</w:t>
      </w:r>
      <w:r w:rsidR="00CC4B9B">
        <w:rPr>
          <w:rFonts w:ascii="Book Antiqua" w:eastAsia="Book Antiqua" w:hAnsi="Book Antiqua" w:cs="Book Antiqua"/>
          <w:color w:val="000000"/>
        </w:rPr>
        <w:t>res (</w:t>
      </w:r>
      <w:bookmarkStart w:id="3" w:name="_Hlk52799984"/>
      <w:r w:rsidR="00CC4B9B" w:rsidRPr="00736AB0">
        <w:rPr>
          <w:rFonts w:ascii="Book Antiqua" w:eastAsia="宋体" w:hAnsi="Book Antiqua"/>
          <w:bCs/>
        </w:rPr>
        <w:t>≥</w:t>
      </w:r>
      <w:bookmarkEnd w:id="3"/>
      <w:r>
        <w:rPr>
          <w:rFonts w:ascii="Book Antiqua" w:eastAsia="Book Antiqua" w:hAnsi="Book Antiqua" w:cs="Book Antiqua"/>
          <w:color w:val="000000"/>
        </w:rPr>
        <w:t xml:space="preserve"> 5 cm) and the presence of a nearby abscess or fistula, were not candidates for EBD and underwent primary surgical resection instead</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vertAlign w:val="superscript"/>
          <w:lang w:eastAsia="zh-CN"/>
        </w:rPr>
        <w:t>14,17,1</w:t>
      </w:r>
      <w:r w:rsidR="00CC4B9B">
        <w:rPr>
          <w:rFonts w:ascii="Book Antiqua" w:hAnsi="Book Antiqua" w:cs="Book Antiqua" w:hint="eastAsia"/>
          <w:color w:val="000000"/>
          <w:szCs w:val="30"/>
          <w:vertAlign w:val="superscript"/>
          <w:lang w:eastAsia="zh-CN"/>
        </w:rPr>
        <w:t>8</w:t>
      </w:r>
      <w:r w:rsidR="00CC4B9B" w:rsidRPr="00CC4B9B">
        <w:rPr>
          <w:rFonts w:ascii="Book Antiqua" w:eastAsia="Book Antiqua" w:hAnsi="Book Antiqua" w:cs="Book Antiqua"/>
          <w:color w:val="000000"/>
          <w:vertAlign w:val="superscript"/>
        </w:rPr>
        <w:t>]</w:t>
      </w:r>
      <w:r w:rsidR="00CC4B9B">
        <w:rPr>
          <w:rFonts w:ascii="Book Antiqua" w:eastAsia="Book Antiqua" w:hAnsi="Book Antiqua" w:cs="Book Antiqua"/>
          <w:color w:val="000000"/>
        </w:rPr>
        <w:t>.</w:t>
      </w:r>
      <w:r>
        <w:rPr>
          <w:rFonts w:ascii="Book Antiqua" w:eastAsia="Book Antiqua" w:hAnsi="Book Antiqua" w:cs="Book Antiqua"/>
          <w:color w:val="000000"/>
        </w:rPr>
        <w:t xml:space="preserve"> Our data does support previous literature about the safety of EBD in patients with uncomplicated, fibrostenotic, non-inflammatory and short segment strictures (&lt; 5 cm in length)</w:t>
      </w:r>
      <w:r w:rsidR="00CC4B9B">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vertAlign w:val="superscript"/>
          <w:lang w:eastAsia="zh-CN"/>
        </w:rPr>
        <w:t>1</w:t>
      </w:r>
      <w:r w:rsidR="00CC4B9B">
        <w:rPr>
          <w:rFonts w:ascii="Book Antiqua" w:hAnsi="Book Antiqua" w:cs="Book Antiqua" w:hint="eastAsia"/>
          <w:color w:val="000000"/>
          <w:szCs w:val="30"/>
          <w:vertAlign w:val="superscript"/>
          <w:lang w:eastAsia="zh-CN"/>
        </w:rPr>
        <w:t>8</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66CEDE" w14:textId="77777777" w:rsidR="00A77B3E" w:rsidRPr="00CC4B9B" w:rsidRDefault="0016570D" w:rsidP="00CC4B9B">
      <w:pPr>
        <w:spacing w:line="360" w:lineRule="auto"/>
        <w:ind w:firstLineChars="100" w:firstLine="240"/>
        <w:jc w:val="both"/>
        <w:rPr>
          <w:lang w:eastAsia="zh-CN"/>
        </w:rPr>
      </w:pPr>
      <w:r>
        <w:rPr>
          <w:rFonts w:ascii="Book Antiqua" w:eastAsia="Book Antiqua" w:hAnsi="Book Antiqua" w:cs="Book Antiqua"/>
          <w:color w:val="000000"/>
        </w:rPr>
        <w:lastRenderedPageBreak/>
        <w:t>The majority of our patients (15/17) also received intralesional steroid injection into the stricture site. This has been documented as effective by showing the reduction in the need for further endoscopic dilations and surgical interventions in a double-blinded controlled trial in pediatric patients</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szCs w:val="30"/>
          <w:vertAlign w:val="superscript"/>
          <w:lang w:eastAsia="zh-CN"/>
        </w:rPr>
        <w:t>5</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One patient in our study received an injection of an infliximab biosimilar at the stricture site prior to dilation. This patient had a high-grade duodenal stricture at presentation of her disease which did not allow for tolerance of enteral nutrition. Due to severity of her clinical condition, surgical risk and after internal discussion and family approval, the suitability of this approach was felt to be acceptable. One study in the adult literature showed that injection of 40 mg of infliximab into strictures in six patients was successful</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szCs w:val="30"/>
          <w:vertAlign w:val="superscript"/>
          <w:lang w:eastAsia="zh-CN"/>
        </w:rPr>
        <w:t>19</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All six patients at the final follow-up at six months described relief of obstructive symptoms and no patients were referred to surgery during the follow-up period</w:t>
      </w:r>
      <w:r w:rsidR="00CC4B9B" w:rsidRPr="00CC4B9B">
        <w:rPr>
          <w:rFonts w:ascii="Book Antiqua" w:eastAsia="Book Antiqua" w:hAnsi="Book Antiqua" w:cs="Book Antiqua"/>
          <w:color w:val="000000"/>
          <w:vertAlign w:val="superscript"/>
        </w:rPr>
        <w:t>[</w:t>
      </w:r>
      <w:r w:rsidR="00CC4B9B">
        <w:rPr>
          <w:rFonts w:ascii="Book Antiqua" w:hAnsi="Book Antiqua" w:cs="Book Antiqua" w:hint="eastAsia"/>
          <w:color w:val="000000"/>
          <w:szCs w:val="30"/>
          <w:vertAlign w:val="superscript"/>
          <w:lang w:eastAsia="zh-CN"/>
        </w:rPr>
        <w:t>19</w:t>
      </w:r>
      <w:r w:rsidR="00CC4B9B"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patient did require two dilations with infliximab biosimilar injection, and she eventually had resolution of her symptoms and was able to advance to a regular diet. Although there are some smaller studies describing success of injection of biologics into strictures, this has not been proven to be fully efficacious due to the small number of patients that have received a biologic injection into their stricture site. In contrast, a multicenter study from the </w:t>
      </w:r>
      <w:r w:rsidR="00CC4B9B">
        <w:rPr>
          <w:rFonts w:ascii="Book Antiqua" w:eastAsia="Book Antiqua" w:hAnsi="Book Antiqua" w:cs="Book Antiqua"/>
          <w:color w:val="000000"/>
        </w:rPr>
        <w:t>U</w:t>
      </w:r>
      <w:r w:rsidR="00CC4B9B">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did not show that intra-lesional steroids or biologics lower the risk of further interventions or surgery</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20</w:t>
      </w:r>
      <w:r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1AF205" w14:textId="77777777" w:rsidR="00A77B3E" w:rsidRPr="00CC4B9B" w:rsidRDefault="0016570D" w:rsidP="00CC4B9B">
      <w:pPr>
        <w:spacing w:line="360" w:lineRule="auto"/>
        <w:ind w:firstLineChars="100" w:firstLine="240"/>
        <w:jc w:val="both"/>
        <w:rPr>
          <w:lang w:eastAsia="zh-CN"/>
        </w:rPr>
      </w:pPr>
      <w:r>
        <w:rPr>
          <w:rFonts w:ascii="Book Antiqua" w:eastAsia="Book Antiqua" w:hAnsi="Book Antiqua" w:cs="Book Antiqua"/>
          <w:color w:val="000000"/>
        </w:rPr>
        <w:t>In addition, our data suggests that there seems to be an interesting correlation with higher BMI and worsening disease. Six patients (66%) in the overweight BMI category (BMI &gt; 85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&lt; 95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percentiles) were those patients with complex strictures that went directly to surgical resection. This correlates with a study that was published in the journal of Biomolecules in 2019 which showed that increased visceral adipose tissue, “creeping fat</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can worsen intestinal inflammation through increased altered adipocyte function </w:t>
      </w:r>
      <w:r w:rsidR="0076040C">
        <w:rPr>
          <w:rFonts w:ascii="Book Antiqua" w:hAnsi="Book Antiqua" w:cs="Book Antiqua" w:hint="eastAsia"/>
          <w:color w:val="000000"/>
          <w:lang w:eastAsia="zh-CN"/>
        </w:rPr>
        <w:t xml:space="preserve">and </w:t>
      </w:r>
      <w:r>
        <w:rPr>
          <w:rFonts w:ascii="Book Antiqua" w:eastAsia="Book Antiqua" w:hAnsi="Book Antiqua" w:cs="Book Antiqua"/>
          <w:color w:val="000000"/>
        </w:rPr>
        <w:t>through deregulated leptin and adiponectin production</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21</w:t>
      </w:r>
      <w:r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recent prospective study from Australia suggested that visceral adipose tissue to subcutaneous adipose tissue ratio was positively associated with risk of stricturing disease behavior and elevated fecal calprotectin in patients with ileocolonic disease; however, these </w:t>
      </w:r>
      <w:r>
        <w:rPr>
          <w:rFonts w:ascii="Book Antiqua" w:eastAsia="Book Antiqua" w:hAnsi="Book Antiqua" w:cs="Book Antiqua"/>
          <w:color w:val="000000"/>
        </w:rPr>
        <w:lastRenderedPageBreak/>
        <w:t>findings are controversial and ongoing research is required to better classify this correlation</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22</w:t>
      </w:r>
      <w:r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C3555A" w14:textId="77777777" w:rsidR="00A77B3E" w:rsidRPr="00CC4B9B" w:rsidRDefault="0016570D" w:rsidP="00CC4B9B">
      <w:pPr>
        <w:spacing w:line="360" w:lineRule="auto"/>
        <w:ind w:firstLineChars="100" w:firstLine="240"/>
        <w:jc w:val="both"/>
        <w:rPr>
          <w:lang w:eastAsia="zh-CN"/>
        </w:rPr>
      </w:pPr>
      <w:r>
        <w:rPr>
          <w:rFonts w:ascii="Book Antiqua" w:eastAsia="Book Antiqua" w:hAnsi="Book Antiqua" w:cs="Book Antiqua"/>
          <w:color w:val="000000"/>
        </w:rPr>
        <w:t>Though EBD is shown to be safe and efficacious based on our initial data and the data in the literature, it does have limitations. Surgical resection is still recommended as initial management in longer strictures or for complicated strictures due to an increase</w:t>
      </w:r>
      <w:r w:rsidR="0076040C">
        <w:rPr>
          <w:rFonts w:ascii="Book Antiqua" w:hAnsi="Book Antiqua" w:cs="Book Antiqua" w:hint="eastAsia"/>
          <w:color w:val="000000"/>
          <w:lang w:eastAsia="zh-CN"/>
        </w:rPr>
        <w:t>d</w:t>
      </w:r>
      <w:r>
        <w:rPr>
          <w:rFonts w:ascii="Book Antiqua" w:eastAsia="Book Antiqua" w:hAnsi="Book Antiqua" w:cs="Book Antiqua"/>
          <w:color w:val="000000"/>
        </w:rPr>
        <w:t xml:space="preserve"> risk for perforation</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18</w:t>
      </w:r>
      <w:r w:rsidRPr="00CC4B9B">
        <w:rPr>
          <w:rFonts w:ascii="Book Antiqua" w:eastAsia="Book Antiqua" w:hAnsi="Book Antiqua" w:cs="Book Antiqua"/>
          <w:color w:val="000000"/>
          <w:vertAlign w:val="superscript"/>
        </w:rPr>
        <w:t>]</w:t>
      </w:r>
      <w:r w:rsidR="00CC4B9B">
        <w:rPr>
          <w:rFonts w:ascii="Book Antiqua" w:eastAsia="Book Antiqua" w:hAnsi="Book Antiqua" w:cs="Book Antiqua"/>
          <w:color w:val="000000"/>
        </w:rPr>
        <w:t>.</w:t>
      </w:r>
      <w:r>
        <w:rPr>
          <w:rFonts w:ascii="Book Antiqua" w:eastAsia="Book Antiqua" w:hAnsi="Book Antiqua" w:cs="Book Antiqua"/>
          <w:color w:val="000000"/>
        </w:rPr>
        <w:t xml:space="preserve"> Before EBD is performed, it is recommended to characterize the number, nature and length of the stricture using magnetic resonance enterography or small intestine contrast ultrasonography</w:t>
      </w:r>
      <w:r w:rsidRPr="00CC4B9B">
        <w:rPr>
          <w:rFonts w:ascii="Book Antiqua" w:eastAsia="Book Antiqua" w:hAnsi="Book Antiqua" w:cs="Book Antiqua"/>
          <w:color w:val="000000"/>
          <w:vertAlign w:val="superscript"/>
        </w:rPr>
        <w:t>[</w:t>
      </w:r>
      <w:r w:rsidRPr="00CC4B9B">
        <w:rPr>
          <w:rFonts w:ascii="Book Antiqua" w:eastAsia="Book Antiqua" w:hAnsi="Book Antiqua" w:cs="Book Antiqua"/>
          <w:color w:val="000000"/>
          <w:szCs w:val="30"/>
          <w:vertAlign w:val="superscript"/>
        </w:rPr>
        <w:t>18</w:t>
      </w:r>
      <w:r w:rsidRPr="00CC4B9B">
        <w:rPr>
          <w:rFonts w:ascii="Book Antiqua" w:eastAsia="Book Antiqua" w:hAnsi="Book Antiqua" w:cs="Book Antiqua"/>
          <w:color w:val="000000"/>
          <w:vertAlign w:val="superscript"/>
        </w:rPr>
        <w:t>]</w:t>
      </w:r>
      <w:r>
        <w:rPr>
          <w:rFonts w:ascii="Book Antiqua" w:eastAsia="Book Antiqua" w:hAnsi="Book Antiqua" w:cs="Book Antiqua"/>
          <w:color w:val="000000"/>
        </w:rPr>
        <w:t>. Furthermore, EBD requires a skilled endoscopist who is comfortable performing these procedures</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and this may not be available at all pediatric centers.</w:t>
      </w:r>
    </w:p>
    <w:p w14:paraId="4EAE25A0" w14:textId="77777777" w:rsidR="00A77B3E" w:rsidRDefault="0016570D" w:rsidP="00CC4B9B">
      <w:pPr>
        <w:spacing w:line="360" w:lineRule="auto"/>
        <w:ind w:firstLineChars="100" w:firstLine="240"/>
        <w:jc w:val="both"/>
      </w:pPr>
      <w:r>
        <w:rPr>
          <w:rFonts w:ascii="Book Antiqua" w:eastAsia="Book Antiqua" w:hAnsi="Book Antiqua" w:cs="Book Antiqua"/>
          <w:color w:val="000000"/>
        </w:rPr>
        <w:t>There has been a small amount of published data on EBD in pediatric fibrostenosing CD since our first publication in 2008. Our initial experience suggested that EBD was safe and efficacious in children with short and uncomplicated strictures secondary to fibrostenosing CD which we proceeded to implement in our active day to day care of pediatric CD with these results. Our study is limited by a modest follow-up interval and relatively small number of patients. Further research is most definitely needed in order to find the ideal role for EBD in the management of fibrostenosing CD in children and to further assess the long-term efficacy of the procedure when comparing to surgical intervention in children. We also need to determine if biologic injection at the site of a stricture is a superior option in prevention of stricture recurrence at the dilation site and need to develop ideal tools and techniques to reproducibly manage patients with CD-related intestinal strictures.</w:t>
      </w:r>
    </w:p>
    <w:p w14:paraId="09E6535B" w14:textId="77777777" w:rsidR="00A77B3E" w:rsidRDefault="00A77B3E" w:rsidP="00CC4B9B">
      <w:pPr>
        <w:spacing w:line="360" w:lineRule="auto"/>
        <w:jc w:val="both"/>
        <w:rPr>
          <w:lang w:eastAsia="zh-CN"/>
        </w:rPr>
      </w:pPr>
    </w:p>
    <w:p w14:paraId="64187092" w14:textId="77777777" w:rsidR="00A77B3E" w:rsidRDefault="0016570D">
      <w:pPr>
        <w:spacing w:line="360" w:lineRule="auto"/>
        <w:jc w:val="both"/>
      </w:pPr>
      <w:r>
        <w:rPr>
          <w:rFonts w:ascii="Book Antiqua" w:eastAsia="Book Antiqua" w:hAnsi="Book Antiqua" w:cs="Book Antiqua"/>
          <w:b/>
          <w:caps/>
          <w:color w:val="000000"/>
          <w:u w:val="single"/>
        </w:rPr>
        <w:t>CONCLUSION</w:t>
      </w:r>
    </w:p>
    <w:p w14:paraId="18A378D1" w14:textId="77777777" w:rsidR="00A77B3E" w:rsidRPr="00CC4B9B" w:rsidRDefault="0016570D">
      <w:pPr>
        <w:spacing w:line="360" w:lineRule="auto"/>
        <w:jc w:val="both"/>
        <w:rPr>
          <w:lang w:eastAsia="zh-CN"/>
        </w:rPr>
      </w:pPr>
      <w:r>
        <w:rPr>
          <w:rFonts w:ascii="Book Antiqua" w:eastAsia="Book Antiqua" w:hAnsi="Book Antiqua" w:cs="Book Antiqua"/>
          <w:color w:val="000000"/>
        </w:rPr>
        <w:t>EBD is safe and efficacious as an alternative to surgery for palliative management of strictures in selected pediatric patients with CD with a high response rate and low complication rate directly related to the procedure.</w:t>
      </w:r>
    </w:p>
    <w:p w14:paraId="525EB35B" w14:textId="77777777" w:rsidR="00A77B3E" w:rsidRDefault="00A77B3E">
      <w:pPr>
        <w:spacing w:line="360" w:lineRule="auto"/>
        <w:jc w:val="both"/>
      </w:pPr>
    </w:p>
    <w:p w14:paraId="16138433" w14:textId="77777777" w:rsidR="00A77B3E" w:rsidRDefault="0016570D">
      <w:pPr>
        <w:spacing w:line="360" w:lineRule="auto"/>
        <w:jc w:val="both"/>
      </w:pPr>
      <w:r>
        <w:rPr>
          <w:rFonts w:ascii="Book Antiqua" w:eastAsia="Book Antiqua" w:hAnsi="Book Antiqua" w:cs="Book Antiqua"/>
          <w:b/>
          <w:caps/>
          <w:color w:val="000000"/>
          <w:u w:val="single"/>
        </w:rPr>
        <w:t>ARTICLE HIGHLIGHTS</w:t>
      </w:r>
    </w:p>
    <w:p w14:paraId="05C35FB7" w14:textId="77777777" w:rsidR="00A77B3E" w:rsidRDefault="0016570D">
      <w:pPr>
        <w:spacing w:line="360" w:lineRule="auto"/>
        <w:jc w:val="both"/>
      </w:pPr>
      <w:r>
        <w:rPr>
          <w:rFonts w:ascii="Book Antiqua" w:eastAsia="Book Antiqua" w:hAnsi="Book Antiqua" w:cs="Book Antiqua"/>
          <w:b/>
          <w:i/>
          <w:color w:val="000000"/>
        </w:rPr>
        <w:lastRenderedPageBreak/>
        <w:t>Research background</w:t>
      </w:r>
    </w:p>
    <w:p w14:paraId="333B9206" w14:textId="77777777" w:rsidR="00A77B3E" w:rsidRPr="00CC4B9B" w:rsidRDefault="0016570D">
      <w:pPr>
        <w:spacing w:line="360" w:lineRule="auto"/>
        <w:jc w:val="both"/>
        <w:rPr>
          <w:lang w:eastAsia="zh-CN"/>
        </w:rPr>
      </w:pPr>
      <w:r>
        <w:rPr>
          <w:rFonts w:ascii="Book Antiqua" w:eastAsia="Book Antiqua" w:hAnsi="Book Antiqua" w:cs="Book Antiqua"/>
          <w:color w:val="000000"/>
        </w:rPr>
        <w:t xml:space="preserve">Currently up to 75% of patients with Crohn's disease </w:t>
      </w:r>
      <w:r w:rsidR="00076EE0">
        <w:rPr>
          <w:rFonts w:ascii="Book Antiqua" w:hAnsi="Book Antiqua" w:cs="Book Antiqua" w:hint="eastAsia"/>
          <w:color w:val="000000"/>
          <w:lang w:eastAsia="zh-CN"/>
        </w:rPr>
        <w:t>(</w:t>
      </w:r>
      <w:r w:rsidR="00076EE0">
        <w:rPr>
          <w:rFonts w:ascii="Book Antiqua" w:eastAsia="Book Antiqua" w:hAnsi="Book Antiqua" w:cs="Book Antiqua"/>
          <w:color w:val="000000"/>
        </w:rPr>
        <w:t>CD</w:t>
      </w:r>
      <w:r w:rsidR="00076EE0">
        <w:rPr>
          <w:rFonts w:ascii="Book Antiqua" w:hAnsi="Book Antiqua" w:cs="Book Antiqua" w:hint="eastAsia"/>
          <w:color w:val="000000"/>
          <w:lang w:eastAsia="zh-CN"/>
        </w:rPr>
        <w:t>)</w:t>
      </w:r>
      <w:r w:rsidR="00076EE0">
        <w:rPr>
          <w:rFonts w:ascii="Book Antiqua" w:eastAsia="Book Antiqua" w:hAnsi="Book Antiqua" w:cs="Book Antiqua"/>
          <w:color w:val="000000"/>
        </w:rPr>
        <w:t xml:space="preserve"> </w:t>
      </w:r>
      <w:r>
        <w:rPr>
          <w:rFonts w:ascii="Book Antiqua" w:eastAsia="Book Antiqua" w:hAnsi="Book Antiqua" w:cs="Book Antiqua"/>
          <w:color w:val="000000"/>
        </w:rPr>
        <w:t xml:space="preserve">are expected to need surgery due to disease related complications. </w:t>
      </w:r>
      <w:r w:rsidR="0076040C">
        <w:rPr>
          <w:rFonts w:ascii="Book Antiqua" w:hAnsi="Book Antiqua" w:cs="Book Antiqua" w:hint="eastAsia"/>
          <w:color w:val="000000"/>
          <w:lang w:eastAsia="zh-CN"/>
        </w:rPr>
        <w:t>I</w:t>
      </w:r>
      <w:r>
        <w:rPr>
          <w:rFonts w:ascii="Book Antiqua" w:eastAsia="Book Antiqua" w:hAnsi="Book Antiqua" w:cs="Book Antiqua"/>
          <w:color w:val="000000"/>
        </w:rPr>
        <w:t xml:space="preserve">ntestinal fibrostenosing disease is a common complication and biologic therapy has not limited its appearance even with much improved clinical response rates. Due to </w:t>
      </w:r>
      <w:r w:rsidR="0076040C">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high risk for surgery, attempts to find alternatives to surgery </w:t>
      </w:r>
      <w:r w:rsidR="0076040C" w:rsidRPr="0076040C">
        <w:rPr>
          <w:rFonts w:ascii="Book Antiqua" w:eastAsia="Book Antiqua" w:hAnsi="Book Antiqua" w:cs="Book Antiqua"/>
          <w:color w:val="000000"/>
        </w:rPr>
        <w:t>need to be made. Endoscopic</w:t>
      </w:r>
      <w:r>
        <w:rPr>
          <w:rFonts w:ascii="Book Antiqua" w:eastAsia="Book Antiqua" w:hAnsi="Book Antiqua" w:cs="Book Antiqua"/>
          <w:color w:val="000000"/>
        </w:rPr>
        <w:t xml:space="preserve"> balloon dilation with adequate technique promises to have an important role in his area.</w:t>
      </w:r>
    </w:p>
    <w:p w14:paraId="0F5DBFE8" w14:textId="77777777" w:rsidR="00A77B3E" w:rsidRDefault="00A77B3E">
      <w:pPr>
        <w:spacing w:line="360" w:lineRule="auto"/>
        <w:jc w:val="both"/>
      </w:pPr>
    </w:p>
    <w:p w14:paraId="1A97E4F3" w14:textId="77777777" w:rsidR="00A77B3E" w:rsidRDefault="0016570D">
      <w:pPr>
        <w:spacing w:line="360" w:lineRule="auto"/>
        <w:jc w:val="both"/>
      </w:pPr>
      <w:r>
        <w:rPr>
          <w:rFonts w:ascii="Book Antiqua" w:eastAsia="Book Antiqua" w:hAnsi="Book Antiqua" w:cs="Book Antiqua"/>
          <w:b/>
          <w:i/>
          <w:color w:val="000000"/>
        </w:rPr>
        <w:t>Research motivation</w:t>
      </w:r>
    </w:p>
    <w:p w14:paraId="5037048F" w14:textId="77777777" w:rsidR="00A77B3E" w:rsidRPr="00130D11" w:rsidRDefault="0076040C">
      <w:pPr>
        <w:spacing w:line="360" w:lineRule="auto"/>
        <w:jc w:val="both"/>
        <w:rPr>
          <w:lang w:eastAsia="zh-CN"/>
        </w:rPr>
      </w:pPr>
      <w:r>
        <w:rPr>
          <w:rFonts w:ascii="Book Antiqua" w:eastAsia="Book Antiqua" w:hAnsi="Book Antiqua" w:cs="Book Antiqua"/>
          <w:color w:val="000000"/>
        </w:rPr>
        <w:t>Endoscopic balloon dilation</w:t>
      </w:r>
      <w:r w:rsidR="0016570D">
        <w:rPr>
          <w:rFonts w:ascii="Book Antiqua" w:eastAsia="Book Antiqua" w:hAnsi="Book Antiqua" w:cs="Book Antiqua"/>
          <w:color w:val="000000"/>
        </w:rPr>
        <w:t xml:space="preserve"> has already been shown to be efficacious in adults but no large case series involving pediatric patients exists currently in literature.</w:t>
      </w:r>
    </w:p>
    <w:p w14:paraId="69B6CA52" w14:textId="77777777" w:rsidR="00A77B3E" w:rsidRDefault="00A77B3E">
      <w:pPr>
        <w:spacing w:line="360" w:lineRule="auto"/>
        <w:jc w:val="both"/>
      </w:pPr>
    </w:p>
    <w:p w14:paraId="247CACF8" w14:textId="77777777" w:rsidR="00A77B3E" w:rsidRDefault="0016570D">
      <w:pPr>
        <w:spacing w:line="360" w:lineRule="auto"/>
        <w:jc w:val="both"/>
      </w:pPr>
      <w:r>
        <w:rPr>
          <w:rFonts w:ascii="Book Antiqua" w:eastAsia="Book Antiqua" w:hAnsi="Book Antiqua" w:cs="Book Antiqua"/>
          <w:b/>
          <w:i/>
          <w:color w:val="000000"/>
        </w:rPr>
        <w:t>Research objectives</w:t>
      </w:r>
    </w:p>
    <w:p w14:paraId="5E045F43" w14:textId="77777777" w:rsidR="00A77B3E" w:rsidRPr="00CC4B9B" w:rsidRDefault="0016570D">
      <w:pPr>
        <w:spacing w:line="360" w:lineRule="auto"/>
        <w:jc w:val="both"/>
        <w:rPr>
          <w:lang w:eastAsia="zh-CN"/>
        </w:rPr>
      </w:pPr>
      <w:r>
        <w:rPr>
          <w:rFonts w:ascii="Book Antiqua" w:eastAsia="Book Antiqua" w:hAnsi="Book Antiqua" w:cs="Book Antiqua"/>
          <w:color w:val="000000"/>
        </w:rPr>
        <w:t xml:space="preserve">We aimed to evaluate the short and long term outcomes of </w:t>
      </w:r>
      <w:r w:rsidR="00076EE0">
        <w:rPr>
          <w:rFonts w:ascii="Book Antiqua" w:eastAsia="Book Antiqua" w:hAnsi="Book Antiqua" w:cs="Book Antiqua"/>
          <w:color w:val="000000"/>
        </w:rPr>
        <w:t>CD</w:t>
      </w:r>
      <w:r>
        <w:rPr>
          <w:rFonts w:ascii="Book Antiqua" w:eastAsia="Book Antiqua" w:hAnsi="Book Antiqua" w:cs="Book Antiqua"/>
          <w:color w:val="000000"/>
        </w:rPr>
        <w:t xml:space="preserve"> who developed fibrostenosing disease and underwent </w:t>
      </w:r>
      <w:r w:rsidR="0076040C">
        <w:rPr>
          <w:rFonts w:ascii="Book Antiqua" w:eastAsia="Book Antiqua" w:hAnsi="Book Antiqua" w:cs="Book Antiqua"/>
          <w:color w:val="000000"/>
        </w:rPr>
        <w:t>endoscopic</w:t>
      </w:r>
      <w:r>
        <w:rPr>
          <w:rFonts w:ascii="Book Antiqua" w:eastAsia="Book Antiqua" w:hAnsi="Book Antiqua" w:cs="Book Antiqua"/>
          <w:color w:val="000000"/>
        </w:rPr>
        <w:t xml:space="preserve"> balloon dilation as primary or secondary therapy.</w:t>
      </w:r>
    </w:p>
    <w:p w14:paraId="68C77DE1" w14:textId="77777777" w:rsidR="00A77B3E" w:rsidRDefault="00A77B3E">
      <w:pPr>
        <w:spacing w:line="360" w:lineRule="auto"/>
        <w:jc w:val="both"/>
      </w:pPr>
    </w:p>
    <w:p w14:paraId="48351A32" w14:textId="77777777" w:rsidR="00A77B3E" w:rsidRDefault="0016570D">
      <w:pPr>
        <w:spacing w:line="360" w:lineRule="auto"/>
        <w:jc w:val="both"/>
      </w:pPr>
      <w:r>
        <w:rPr>
          <w:rFonts w:ascii="Book Antiqua" w:eastAsia="Book Antiqua" w:hAnsi="Book Antiqua" w:cs="Book Antiqua"/>
          <w:b/>
          <w:i/>
          <w:color w:val="000000"/>
        </w:rPr>
        <w:t>Research methods</w:t>
      </w:r>
    </w:p>
    <w:p w14:paraId="383ADADD" w14:textId="77777777" w:rsidR="00A77B3E" w:rsidRPr="00CC4B9B" w:rsidRDefault="0016570D">
      <w:pPr>
        <w:spacing w:line="360" w:lineRule="auto"/>
        <w:jc w:val="both"/>
        <w:rPr>
          <w:lang w:eastAsia="zh-CN"/>
        </w:rPr>
      </w:pPr>
      <w:r>
        <w:rPr>
          <w:rFonts w:ascii="Book Antiqua" w:eastAsia="Book Antiqua" w:hAnsi="Book Antiqua" w:cs="Book Antiqua"/>
          <w:color w:val="000000"/>
          <w:lang w:val="en" w:eastAsia="en"/>
        </w:rPr>
        <w:t>This is a single-center case series</w:t>
      </w:r>
      <w:r w:rsidR="0076040C">
        <w:rPr>
          <w:rFonts w:ascii="Book Antiqua" w:hAnsi="Book Antiqua" w:cs="Book Antiqua" w:hint="eastAsia"/>
          <w:color w:val="000000"/>
          <w:lang w:val="en" w:eastAsia="zh-CN"/>
        </w:rPr>
        <w:t xml:space="preserve"> </w:t>
      </w:r>
      <w:r w:rsidR="0076040C">
        <w:rPr>
          <w:rFonts w:ascii="Book Antiqua" w:eastAsia="Book Antiqua" w:hAnsi="Book Antiqua" w:cs="Book Antiqua"/>
          <w:color w:val="000000"/>
          <w:lang w:val="en" w:eastAsia="en"/>
        </w:rPr>
        <w:t>in which</w:t>
      </w:r>
      <w:r>
        <w:rPr>
          <w:rFonts w:ascii="Book Antiqua" w:eastAsia="Book Antiqua" w:hAnsi="Book Antiqua" w:cs="Book Antiqua"/>
          <w:color w:val="000000"/>
          <w:lang w:val="en" w:eastAsia="en"/>
        </w:rPr>
        <w:t xml:space="preserve"> all subjects who were diagnosed with diagnosed between 2012 and 2019 were included in </w:t>
      </w:r>
      <w:r w:rsidR="0076040C">
        <w:rPr>
          <w:rFonts w:ascii="Book Antiqua" w:hAnsi="Book Antiqua" w:cs="Book Antiqua" w:hint="eastAsia"/>
          <w:color w:val="000000"/>
          <w:lang w:val="en" w:eastAsia="zh-CN"/>
        </w:rPr>
        <w:t xml:space="preserve">the </w:t>
      </w:r>
      <w:r>
        <w:rPr>
          <w:rFonts w:ascii="Book Antiqua" w:eastAsia="Book Antiqua" w:hAnsi="Book Antiqua" w:cs="Book Antiqua"/>
          <w:color w:val="000000"/>
          <w:lang w:val="en" w:eastAsia="en"/>
        </w:rPr>
        <w:t>study</w:t>
      </w:r>
      <w:r w:rsidR="0076040C">
        <w:rPr>
          <w:rFonts w:ascii="Book Antiqua" w:hAnsi="Book Antiqua" w:cs="Book Antiqua" w:hint="eastAsia"/>
          <w:color w:val="000000"/>
          <w:lang w:val="en" w:eastAsia="zh-CN"/>
        </w:rPr>
        <w:t>,</w:t>
      </w:r>
      <w:r>
        <w:rPr>
          <w:rFonts w:ascii="Book Antiqua" w:eastAsia="Book Antiqua" w:hAnsi="Book Antiqua" w:cs="Book Antiqua"/>
          <w:color w:val="000000"/>
          <w:lang w:val="en" w:eastAsia="en"/>
        </w:rPr>
        <w:t xml:space="preserve"> and those that developed fibrostenosing disease</w:t>
      </w:r>
      <w:r w:rsidR="0076040C">
        <w:rPr>
          <w:rFonts w:ascii="Book Antiqua" w:hAnsi="Book Antiqua" w:cs="Book Antiqua" w:hint="eastAsia"/>
          <w:color w:val="000000"/>
          <w:lang w:val="en" w:eastAsia="zh-CN"/>
        </w:rPr>
        <w:t xml:space="preserve"> were</w:t>
      </w:r>
      <w:r>
        <w:rPr>
          <w:rFonts w:ascii="Book Antiqua" w:eastAsia="Book Antiqua" w:hAnsi="Book Antiqua" w:cs="Book Antiqua"/>
          <w:color w:val="000000"/>
          <w:lang w:val="en" w:eastAsia="en"/>
        </w:rPr>
        <w:t xml:space="preserve"> identified</w:t>
      </w:r>
      <w:r w:rsidR="0076040C">
        <w:rPr>
          <w:rFonts w:ascii="Book Antiqua" w:hAnsi="Book Antiqua" w:cs="Book Antiqua" w:hint="eastAsia"/>
          <w:color w:val="000000"/>
          <w:lang w:val="en" w:eastAsia="zh-CN"/>
        </w:rPr>
        <w:t>.</w:t>
      </w:r>
      <w:r>
        <w:rPr>
          <w:rFonts w:ascii="Book Antiqua" w:eastAsia="Book Antiqua" w:hAnsi="Book Antiqua" w:cs="Book Antiqua"/>
          <w:color w:val="000000"/>
          <w:lang w:val="en" w:eastAsia="en"/>
        </w:rPr>
        <w:t xml:space="preserve"> </w:t>
      </w:r>
      <w:r w:rsidR="0076040C">
        <w:rPr>
          <w:rFonts w:ascii="Book Antiqua" w:hAnsi="Book Antiqua" w:cs="Book Antiqua" w:hint="eastAsia"/>
          <w:color w:val="000000"/>
          <w:lang w:val="en" w:eastAsia="zh-CN"/>
        </w:rPr>
        <w:t>T</w:t>
      </w:r>
      <w:r>
        <w:rPr>
          <w:rFonts w:ascii="Book Antiqua" w:eastAsia="Book Antiqua" w:hAnsi="Book Antiqua" w:cs="Book Antiqua"/>
          <w:color w:val="000000"/>
          <w:lang w:val="en" w:eastAsia="en"/>
        </w:rPr>
        <w:t xml:space="preserve">heir records </w:t>
      </w:r>
      <w:r w:rsidR="0076040C">
        <w:rPr>
          <w:rFonts w:ascii="Book Antiqua" w:eastAsia="Book Antiqua" w:hAnsi="Book Antiqua" w:cs="Book Antiqua"/>
          <w:color w:val="000000"/>
          <w:lang w:val="en" w:eastAsia="en"/>
        </w:rPr>
        <w:t xml:space="preserve">were then </w:t>
      </w:r>
      <w:r>
        <w:rPr>
          <w:rFonts w:ascii="Book Antiqua" w:eastAsia="Book Antiqua" w:hAnsi="Book Antiqua" w:cs="Book Antiqua"/>
          <w:color w:val="000000"/>
          <w:lang w:val="en" w:eastAsia="en"/>
        </w:rPr>
        <w:t>reviewed for types of interventions performed and outcomes. Patients were classified into primary surgical or endoscopy</w:t>
      </w:r>
      <w:r w:rsidR="0076040C">
        <w:rPr>
          <w:rFonts w:ascii="Book Antiqua" w:hAnsi="Book Antiqua" w:cs="Book Antiqua" w:hint="eastAsia"/>
          <w:color w:val="000000"/>
          <w:lang w:val="en" w:eastAsia="zh-CN"/>
        </w:rPr>
        <w:t>-</w:t>
      </w:r>
      <w:r>
        <w:rPr>
          <w:rFonts w:ascii="Book Antiqua" w:eastAsia="Book Antiqua" w:hAnsi="Book Antiqua" w:cs="Book Antiqua"/>
          <w:color w:val="000000"/>
          <w:lang w:val="en" w:eastAsia="en"/>
        </w:rPr>
        <w:t xml:space="preserve">treated subjects and those that subsequently required surgery or endoscopy were thus classified. Demographic data included: age at diagnosis of CD, age at time of procedure, </w:t>
      </w:r>
      <w:r w:rsidR="00CC4B9B">
        <w:rPr>
          <w:rFonts w:ascii="Book Antiqua" w:hAnsi="Book Antiqua" w:cs="Book Antiqua" w:hint="eastAsia"/>
          <w:color w:val="000000"/>
          <w:lang w:eastAsia="zh-CN"/>
        </w:rPr>
        <w:t>body mass index (</w:t>
      </w:r>
      <w:r w:rsidR="00CC4B9B">
        <w:rPr>
          <w:rFonts w:ascii="Book Antiqua" w:eastAsia="Book Antiqua" w:hAnsi="Book Antiqua" w:cs="Book Antiqua"/>
          <w:color w:val="000000"/>
        </w:rPr>
        <w:t>BMI</w:t>
      </w:r>
      <w:r w:rsidR="00CC4B9B">
        <w:rPr>
          <w:rFonts w:ascii="Book Antiqua" w:hAnsi="Book Antiqua" w:cs="Book Antiqua" w:hint="eastAsia"/>
          <w:color w:val="000000"/>
          <w:lang w:eastAsia="zh-CN"/>
        </w:rPr>
        <w:t>)</w:t>
      </w:r>
      <w:r>
        <w:rPr>
          <w:rFonts w:ascii="Book Antiqua" w:eastAsia="Book Antiqua" w:hAnsi="Book Antiqua" w:cs="Book Antiqua"/>
          <w:color w:val="000000"/>
          <w:lang w:val="en" w:eastAsia="en"/>
        </w:rPr>
        <w:t xml:space="preserve"> at time of procedure, and race. Disease characteristics included: modality of CD diagnosis, time (years) from diagnosis of CD until the development of symptomatic strictures, the Paris classification of disease, and medication at the time of the procedure.</w:t>
      </w:r>
    </w:p>
    <w:p w14:paraId="44EB1CF0" w14:textId="77777777" w:rsidR="00A77B3E" w:rsidRDefault="00A77B3E">
      <w:pPr>
        <w:spacing w:line="360" w:lineRule="auto"/>
        <w:jc w:val="both"/>
      </w:pPr>
    </w:p>
    <w:p w14:paraId="0AC1F610" w14:textId="77777777" w:rsidR="00A77B3E" w:rsidRDefault="0016570D">
      <w:pPr>
        <w:spacing w:line="360" w:lineRule="auto"/>
        <w:jc w:val="both"/>
      </w:pPr>
      <w:r>
        <w:rPr>
          <w:rFonts w:ascii="Book Antiqua" w:eastAsia="Book Antiqua" w:hAnsi="Book Antiqua" w:cs="Book Antiqua"/>
          <w:b/>
          <w:i/>
          <w:color w:val="000000"/>
        </w:rPr>
        <w:lastRenderedPageBreak/>
        <w:t>Research results</w:t>
      </w:r>
    </w:p>
    <w:p w14:paraId="4E09733E" w14:textId="77777777" w:rsidR="00A77B3E" w:rsidRPr="00CC4B9B" w:rsidRDefault="0016570D">
      <w:pPr>
        <w:spacing w:line="360" w:lineRule="auto"/>
        <w:jc w:val="both"/>
        <w:rPr>
          <w:lang w:eastAsia="zh-CN"/>
        </w:rPr>
      </w:pPr>
      <w:r>
        <w:rPr>
          <w:rFonts w:ascii="Book Antiqua" w:eastAsia="Book Antiqua" w:hAnsi="Book Antiqua" w:cs="Book Antiqua"/>
          <w:color w:val="000000"/>
        </w:rPr>
        <w:t xml:space="preserve">We identified 139 subjects diagnosed with </w:t>
      </w:r>
      <w:r w:rsidR="00076EE0">
        <w:rPr>
          <w:rFonts w:ascii="Book Antiqua" w:eastAsia="Book Antiqua" w:hAnsi="Book Antiqua" w:cs="Book Antiqua"/>
          <w:color w:val="000000"/>
        </w:rPr>
        <w:t>CD</w:t>
      </w:r>
      <w:r>
        <w:rPr>
          <w:rFonts w:ascii="Book Antiqua" w:eastAsia="Book Antiqua" w:hAnsi="Book Antiqua" w:cs="Book Antiqua"/>
          <w:color w:val="000000"/>
        </w:rPr>
        <w:t xml:space="preserve"> in this </w:t>
      </w:r>
      <w:r w:rsidR="00CC4B9B">
        <w:rPr>
          <w:rFonts w:ascii="Book Antiqua" w:eastAsia="Book Antiqua" w:hAnsi="Book Antiqua" w:cs="Book Antiqua"/>
          <w:color w:val="000000"/>
        </w:rPr>
        <w:t xml:space="preserve">study period. Of these </w:t>
      </w:r>
      <w:r w:rsidR="0076040C">
        <w:rPr>
          <w:rFonts w:ascii="Book Antiqua" w:eastAsia="Book Antiqua" w:hAnsi="Book Antiqua" w:cs="Book Antiqua"/>
          <w:color w:val="000000"/>
        </w:rPr>
        <w:t>patients,</w:t>
      </w:r>
      <w:r w:rsidR="0076040C">
        <w:rPr>
          <w:rFonts w:ascii="Book Antiqua" w:hAnsi="Book Antiqua" w:cs="Book Antiqua" w:hint="eastAsia"/>
          <w:color w:val="000000"/>
          <w:lang w:eastAsia="zh-CN"/>
        </w:rPr>
        <w:t xml:space="preserve"> </w:t>
      </w:r>
      <w:r w:rsidR="00CC4B9B">
        <w:rPr>
          <w:rFonts w:ascii="Book Antiqua" w:eastAsia="Book Antiqua" w:hAnsi="Book Antiqua" w:cs="Book Antiqua"/>
          <w:color w:val="000000"/>
        </w:rPr>
        <w:t>25 (17%)</w:t>
      </w:r>
      <w:r>
        <w:rPr>
          <w:rFonts w:ascii="Book Antiqua" w:eastAsia="Book Antiqua" w:hAnsi="Book Antiqua" w:cs="Book Antiqua"/>
          <w:color w:val="000000"/>
        </w:rPr>
        <w:t xml:space="preserve"> were noted to have a fibrostenotic lesion anywhere in the small and large bowel. 13 (52%) underwent primary endoscopic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12 (48%) who </w:t>
      </w:r>
      <w:r w:rsidR="0076040C">
        <w:rPr>
          <w:rFonts w:ascii="Book Antiqua" w:eastAsia="Book Antiqua" w:hAnsi="Book Antiqua" w:cs="Book Antiqua"/>
          <w:color w:val="000000"/>
        </w:rPr>
        <w:t>underwent</w:t>
      </w:r>
      <w:r>
        <w:rPr>
          <w:rFonts w:ascii="Book Antiqua" w:eastAsia="Book Antiqua" w:hAnsi="Book Antiqua" w:cs="Book Antiqua"/>
          <w:color w:val="000000"/>
        </w:rPr>
        <w:t xml:space="preserve"> surgical management. Of the patients who went to surgery</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4 (16%) had to have further endoscopic treatment after surgery</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compared to just 2 (8%) of those who had endoscopy as primary therapy. Of note</w:t>
      </w:r>
      <w:r w:rsidR="0076040C">
        <w:rPr>
          <w:rFonts w:ascii="Book Antiqua" w:hAnsi="Book Antiqua" w:cs="Book Antiqua" w:hint="eastAsia"/>
          <w:color w:val="000000"/>
          <w:lang w:eastAsia="zh-CN"/>
        </w:rPr>
        <w:t>,</w:t>
      </w:r>
      <w:r>
        <w:rPr>
          <w:rFonts w:ascii="Book Antiqua" w:eastAsia="Book Antiqua" w:hAnsi="Book Antiqua" w:cs="Book Antiqua"/>
          <w:color w:val="000000"/>
        </w:rPr>
        <w:t xml:space="preserve"> 5 (20%) required just one endoscopic therapy session for resolution of their stricture.</w:t>
      </w:r>
    </w:p>
    <w:p w14:paraId="5B96EA89" w14:textId="77777777" w:rsidR="00A77B3E" w:rsidRDefault="00A77B3E">
      <w:pPr>
        <w:spacing w:line="360" w:lineRule="auto"/>
        <w:jc w:val="both"/>
      </w:pPr>
    </w:p>
    <w:p w14:paraId="47B081E1" w14:textId="77777777" w:rsidR="00A77B3E" w:rsidRDefault="0016570D">
      <w:pPr>
        <w:spacing w:line="360" w:lineRule="auto"/>
        <w:jc w:val="both"/>
      </w:pPr>
      <w:r>
        <w:rPr>
          <w:rFonts w:ascii="Book Antiqua" w:eastAsia="Book Antiqua" w:hAnsi="Book Antiqua" w:cs="Book Antiqua"/>
          <w:b/>
          <w:i/>
          <w:color w:val="000000"/>
        </w:rPr>
        <w:t>Research conclusions</w:t>
      </w:r>
    </w:p>
    <w:p w14:paraId="59737518" w14:textId="77777777" w:rsidR="00A77B3E" w:rsidRPr="00CC4B9B" w:rsidRDefault="0016570D">
      <w:pPr>
        <w:spacing w:line="360" w:lineRule="auto"/>
        <w:jc w:val="both"/>
        <w:rPr>
          <w:lang w:eastAsia="zh-CN"/>
        </w:rPr>
      </w:pPr>
      <w:r>
        <w:rPr>
          <w:rFonts w:ascii="Book Antiqua" w:eastAsia="Book Antiqua" w:hAnsi="Book Antiqua" w:cs="Book Antiqua"/>
          <w:color w:val="000000"/>
        </w:rPr>
        <w:t xml:space="preserve">Endoscopic balloon dilation is a safe and effective treatment in children with </w:t>
      </w:r>
      <w:r w:rsidR="00076EE0">
        <w:rPr>
          <w:rFonts w:ascii="Book Antiqua" w:eastAsia="Book Antiqua" w:hAnsi="Book Antiqua" w:cs="Book Antiqua"/>
          <w:color w:val="000000"/>
        </w:rPr>
        <w:t>CD</w:t>
      </w:r>
      <w:r w:rsidR="0076040C">
        <w:rPr>
          <w:rFonts w:ascii="Book Antiqua" w:hAnsi="Book Antiqua" w:cs="Book Antiqua" w:hint="eastAsia"/>
          <w:color w:val="000000"/>
          <w:lang w:eastAsia="zh-CN"/>
        </w:rPr>
        <w:t>-</w:t>
      </w:r>
      <w:r w:rsidR="00CC4B9B">
        <w:rPr>
          <w:rFonts w:ascii="Book Antiqua" w:eastAsia="Book Antiqua" w:hAnsi="Book Antiqua" w:cs="Book Antiqua"/>
          <w:color w:val="000000"/>
        </w:rPr>
        <w:t>related fibrostenosing disease.</w:t>
      </w:r>
      <w:r>
        <w:rPr>
          <w:rFonts w:ascii="Book Antiqua" w:eastAsia="Book Antiqua" w:hAnsi="Book Antiqua" w:cs="Book Antiqua"/>
          <w:color w:val="000000"/>
        </w:rPr>
        <w:t xml:space="preserve"> Adequate patient selection is key to ensure </w:t>
      </w:r>
      <w:r w:rsidR="0076040C">
        <w:rPr>
          <w:rFonts w:ascii="Book Antiqua" w:hAnsi="Book Antiqua" w:cs="Book Antiqua" w:hint="eastAsia"/>
          <w:color w:val="000000"/>
          <w:lang w:eastAsia="zh-CN"/>
        </w:rPr>
        <w:t xml:space="preserve">a </w:t>
      </w:r>
      <w:r>
        <w:rPr>
          <w:rFonts w:ascii="Book Antiqua" w:eastAsia="Book Antiqua" w:hAnsi="Book Antiqua" w:cs="Book Antiqua"/>
          <w:color w:val="000000"/>
        </w:rPr>
        <w:t>high success rate. Pediatric patients undergoing surgery for fibrostenosing disease should be cautioned that a 1</w:t>
      </w:r>
      <w:r w:rsidR="0076040C">
        <w:rPr>
          <w:rFonts w:ascii="Book Antiqua" w:hAnsi="Book Antiqua" w:cs="Book Antiqua" w:hint="eastAsia"/>
          <w:color w:val="000000"/>
          <w:lang w:eastAsia="zh-CN"/>
        </w:rPr>
        <w:t xml:space="preserve"> in </w:t>
      </w:r>
      <w:r>
        <w:rPr>
          <w:rFonts w:ascii="Book Antiqua" w:eastAsia="Book Antiqua" w:hAnsi="Book Antiqua" w:cs="Book Antiqua"/>
          <w:color w:val="000000"/>
        </w:rPr>
        <w:t>5 risk o</w:t>
      </w:r>
      <w:r w:rsidR="0076040C">
        <w:rPr>
          <w:rFonts w:ascii="Book Antiqua" w:hAnsi="Book Antiqua" w:cs="Book Antiqua" w:hint="eastAsia"/>
          <w:color w:val="000000"/>
          <w:lang w:eastAsia="zh-CN"/>
        </w:rPr>
        <w:t>f</w:t>
      </w:r>
      <w:r>
        <w:rPr>
          <w:rFonts w:ascii="Book Antiqua" w:eastAsia="Book Antiqua" w:hAnsi="Book Antiqua" w:cs="Book Antiqua"/>
          <w:color w:val="000000"/>
        </w:rPr>
        <w:t xml:space="preserve"> requiring further endoscopic th</w:t>
      </w:r>
      <w:r w:rsidR="00CC4B9B">
        <w:rPr>
          <w:rFonts w:ascii="Book Antiqua" w:eastAsia="Book Antiqua" w:hAnsi="Book Antiqua" w:cs="Book Antiqua"/>
          <w:color w:val="000000"/>
        </w:rPr>
        <w:t>erapy is a distinct possibility</w:t>
      </w:r>
      <w:r>
        <w:rPr>
          <w:rFonts w:ascii="Book Antiqua" w:eastAsia="Book Antiqua" w:hAnsi="Book Antiqua" w:cs="Book Antiqua"/>
          <w:color w:val="000000"/>
        </w:rPr>
        <w:t>.</w:t>
      </w:r>
    </w:p>
    <w:p w14:paraId="3D600A30" w14:textId="77777777" w:rsidR="00A77B3E" w:rsidRDefault="00A77B3E">
      <w:pPr>
        <w:spacing w:line="360" w:lineRule="auto"/>
        <w:jc w:val="both"/>
      </w:pPr>
    </w:p>
    <w:p w14:paraId="28739F91" w14:textId="77777777" w:rsidR="00A77B3E" w:rsidRDefault="0016570D">
      <w:pPr>
        <w:spacing w:line="360" w:lineRule="auto"/>
        <w:jc w:val="both"/>
      </w:pPr>
      <w:r>
        <w:rPr>
          <w:rFonts w:ascii="Book Antiqua" w:eastAsia="Book Antiqua" w:hAnsi="Book Antiqua" w:cs="Book Antiqua"/>
          <w:b/>
          <w:i/>
          <w:color w:val="000000"/>
        </w:rPr>
        <w:t>Research perspectives</w:t>
      </w:r>
    </w:p>
    <w:p w14:paraId="76BD4621" w14:textId="77777777" w:rsidR="00A77B3E" w:rsidRPr="00CC4B9B" w:rsidRDefault="0016570D">
      <w:pPr>
        <w:spacing w:line="360" w:lineRule="auto"/>
        <w:jc w:val="both"/>
        <w:rPr>
          <w:lang w:eastAsia="zh-CN"/>
        </w:rPr>
      </w:pPr>
      <w:r>
        <w:rPr>
          <w:rFonts w:ascii="Book Antiqua" w:eastAsia="Book Antiqua" w:hAnsi="Book Antiqua" w:cs="Book Antiqua"/>
          <w:color w:val="000000"/>
        </w:rPr>
        <w:t>Our data suggested an interesting correlation between higher BMI and risk of stricturing disease. Pediatric patients with BMI &gt;</w:t>
      </w:r>
      <w:r w:rsidR="00CC4B9B">
        <w:rPr>
          <w:rFonts w:ascii="Book Antiqua" w:hAnsi="Book Antiqua" w:cs="Book Antiqua" w:hint="eastAsia"/>
          <w:color w:val="000000"/>
          <w:lang w:eastAsia="zh-CN"/>
        </w:rPr>
        <w:t xml:space="preserve"> </w:t>
      </w:r>
      <w:r>
        <w:rPr>
          <w:rFonts w:ascii="Book Antiqua" w:eastAsia="Book Antiqua" w:hAnsi="Book Antiqua" w:cs="Book Antiqua"/>
          <w:color w:val="000000"/>
        </w:rPr>
        <w:t>85%</w:t>
      </w:r>
      <w:r w:rsidR="0076040C">
        <w:rPr>
          <w:rFonts w:ascii="Book Antiqua" w:hAnsi="Book Antiqua" w:cs="Book Antiqua" w:hint="eastAsia"/>
          <w:color w:val="000000"/>
          <w:lang w:eastAsia="zh-CN"/>
        </w:rPr>
        <w:t xml:space="preserve"> </w:t>
      </w:r>
      <w:r w:rsidR="0076040C">
        <w:rPr>
          <w:rFonts w:ascii="Book Antiqua" w:eastAsia="Book Antiqua" w:hAnsi="Book Antiqua" w:cs="Book Antiqua"/>
          <w:color w:val="000000"/>
        </w:rPr>
        <w:t>and &lt; 95%</w:t>
      </w:r>
      <w:r w:rsidR="007604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had a higher risk of complex strictures requiring surgery. This brings into new light publications associating </w:t>
      </w:r>
      <w:r w:rsidR="0076040C">
        <w:rPr>
          <w:rFonts w:ascii="Book Antiqua" w:hAnsi="Book Antiqua" w:cs="Book Antiqua" w:hint="eastAsia"/>
          <w:color w:val="000000"/>
          <w:lang w:eastAsia="zh-CN"/>
        </w:rPr>
        <w:t xml:space="preserve">an </w:t>
      </w:r>
      <w:r>
        <w:rPr>
          <w:rFonts w:ascii="Book Antiqua" w:eastAsia="Book Antiqua" w:hAnsi="Book Antiqua" w:cs="Book Antiqua"/>
          <w:color w:val="000000"/>
        </w:rPr>
        <w:t xml:space="preserve">increase </w:t>
      </w:r>
      <w:r w:rsidR="0076040C">
        <w:rPr>
          <w:rFonts w:ascii="Book Antiqua" w:hAnsi="Book Antiqua" w:cs="Book Antiqua" w:hint="eastAsia"/>
          <w:color w:val="000000"/>
          <w:lang w:eastAsia="zh-CN"/>
        </w:rPr>
        <w:t xml:space="preserve">in </w:t>
      </w:r>
      <w:r>
        <w:rPr>
          <w:rFonts w:ascii="Book Antiqua" w:eastAsia="Book Antiqua" w:hAnsi="Book Antiqua" w:cs="Book Antiqua"/>
          <w:color w:val="000000"/>
        </w:rPr>
        <w:t xml:space="preserve">visceral adipose tissue with intestinal inflammation through </w:t>
      </w:r>
      <w:r w:rsidR="0076040C">
        <w:rPr>
          <w:rFonts w:ascii="Book Antiqua" w:eastAsia="Book Antiqua" w:hAnsi="Book Antiqua" w:cs="Book Antiqua"/>
          <w:color w:val="000000"/>
        </w:rPr>
        <w:t>dysregulated</w:t>
      </w:r>
      <w:r>
        <w:rPr>
          <w:rFonts w:ascii="Book Antiqua" w:eastAsia="Book Antiqua" w:hAnsi="Book Antiqua" w:cs="Book Antiqua"/>
          <w:color w:val="000000"/>
        </w:rPr>
        <w:t xml:space="preserve"> leptin and adiponectin production.</w:t>
      </w:r>
    </w:p>
    <w:p w14:paraId="563852A1" w14:textId="77777777" w:rsidR="00A77B3E" w:rsidRDefault="00A77B3E">
      <w:pPr>
        <w:spacing w:line="360" w:lineRule="auto"/>
        <w:jc w:val="both"/>
      </w:pPr>
    </w:p>
    <w:p w14:paraId="49C6C108" w14:textId="77777777" w:rsidR="00A77B3E" w:rsidRDefault="0016570D">
      <w:pPr>
        <w:spacing w:line="360" w:lineRule="auto"/>
        <w:jc w:val="both"/>
      </w:pPr>
      <w:r>
        <w:rPr>
          <w:rFonts w:ascii="Book Antiqua" w:eastAsia="Book Antiqua" w:hAnsi="Book Antiqua" w:cs="Book Antiqua"/>
          <w:b/>
          <w:color w:val="000000"/>
        </w:rPr>
        <w:t>REFERENCES</w:t>
      </w:r>
    </w:p>
    <w:p w14:paraId="68E821E0" w14:textId="77777777" w:rsidR="00A77B3E" w:rsidRDefault="0016570D">
      <w:pPr>
        <w:spacing w:line="360" w:lineRule="auto"/>
        <w:jc w:val="both"/>
      </w:pPr>
      <w:bookmarkStart w:id="4" w:name="OLE_LINK17"/>
      <w:r>
        <w:rPr>
          <w:rFonts w:ascii="Book Antiqua" w:eastAsia="Book Antiqua" w:hAnsi="Book Antiqua" w:cs="Book Antiqua"/>
          <w:color w:val="000000"/>
        </w:rPr>
        <w:t xml:space="preserve">1 </w:t>
      </w:r>
      <w:r>
        <w:rPr>
          <w:rFonts w:ascii="Book Antiqua" w:eastAsia="Book Antiqua" w:hAnsi="Book Antiqua" w:cs="Book Antiqua"/>
          <w:b/>
          <w:bCs/>
          <w:color w:val="000000"/>
        </w:rPr>
        <w:t>Bernell O</w:t>
      </w:r>
      <w:r>
        <w:rPr>
          <w:rFonts w:ascii="Book Antiqua" w:eastAsia="Book Antiqua" w:hAnsi="Book Antiqua" w:cs="Book Antiqua"/>
          <w:color w:val="000000"/>
        </w:rPr>
        <w:t xml:space="preserve">, Lapidus A, Hellers G. Risk factors for surgery and recurrence in 907 patients with primary ileocaecal Crohn's disease.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87</w:t>
      </w:r>
      <w:r>
        <w:rPr>
          <w:rFonts w:ascii="Book Antiqua" w:eastAsia="Book Antiqua" w:hAnsi="Book Antiqua" w:cs="Book Antiqua"/>
          <w:color w:val="000000"/>
        </w:rPr>
        <w:t>: 1697-1701 [PMID: 11122187 DOI: 10.1046/j.1365-2168.2000.01589.x]</w:t>
      </w:r>
    </w:p>
    <w:p w14:paraId="2C6883A4" w14:textId="77777777" w:rsidR="00A77B3E" w:rsidRDefault="0016570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Shaoul R</w:t>
      </w:r>
      <w:r>
        <w:rPr>
          <w:rFonts w:ascii="Book Antiqua" w:eastAsia="Book Antiqua" w:hAnsi="Book Antiqua" w:cs="Book Antiqua"/>
          <w:color w:val="000000"/>
        </w:rPr>
        <w:t xml:space="preserve">, Karban A, Reif S, Weiss B, Shamir R, Tamir A, Davidovich O, Halevi J, Silver EL, Levine A. Disease behavior in children with Crohn's disease: the effect of </w:t>
      </w:r>
      <w:r>
        <w:rPr>
          <w:rFonts w:ascii="Book Antiqua" w:eastAsia="Book Antiqua" w:hAnsi="Book Antiqua" w:cs="Book Antiqua"/>
          <w:color w:val="000000"/>
        </w:rPr>
        <w:lastRenderedPageBreak/>
        <w:t xml:space="preserve">disease duration, ethnicity, genotype, and phenotype.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142-150 [PMID: 18594982 DOI: 10.1007/s10620-008-0326-7]</w:t>
      </w:r>
    </w:p>
    <w:p w14:paraId="408EE852" w14:textId="77777777" w:rsidR="00A77B3E" w:rsidRDefault="0016570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Thienpont C</w:t>
      </w:r>
      <w:r>
        <w:rPr>
          <w:rFonts w:ascii="Book Antiqua" w:eastAsia="Book Antiqua" w:hAnsi="Book Antiqua" w:cs="Book Antiqua"/>
          <w:color w:val="000000"/>
        </w:rPr>
        <w:t xml:space="preserve">, D'Hoore A, Vermeire S, Demedts I, Bisschops R, Coremans G, Rutgeerts P, Van Assche G. Long-term outcome of endoscopic dilatation in patients with Crohn's disease is not affected by disease activity or medical therapy.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320-324 [PMID: 19840991 DOI: 10.1136/gut.2009.180182]</w:t>
      </w:r>
    </w:p>
    <w:p w14:paraId="45735F0A" w14:textId="77777777" w:rsidR="00A77B3E" w:rsidRDefault="0016570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Stenke E</w:t>
      </w:r>
      <w:r>
        <w:rPr>
          <w:rFonts w:ascii="Book Antiqua" w:eastAsia="Book Antiqua" w:hAnsi="Book Antiqua" w:cs="Book Antiqua"/>
          <w:color w:val="000000"/>
        </w:rPr>
        <w:t xml:space="preserve">, Bourke B, Knaus U. Crohn's Strictures-Moving Away from the Knife. </w:t>
      </w:r>
      <w:r>
        <w:rPr>
          <w:rFonts w:ascii="Book Antiqua" w:eastAsia="Book Antiqua" w:hAnsi="Book Antiqua" w:cs="Book Antiqua"/>
          <w:i/>
          <w:iCs/>
          <w:color w:val="000000"/>
        </w:rPr>
        <w:t>Front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141 [PMID: 28670577 DOI: 10.3389/fped.2017.00141]</w:t>
      </w:r>
    </w:p>
    <w:p w14:paraId="7611E6E2" w14:textId="77777777" w:rsidR="00A77B3E" w:rsidRDefault="0016570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 Nardo G</w:t>
      </w:r>
      <w:r>
        <w:rPr>
          <w:rFonts w:ascii="Book Antiqua" w:eastAsia="Book Antiqua" w:hAnsi="Book Antiqua" w:cs="Book Antiqua"/>
          <w:color w:val="000000"/>
        </w:rPr>
        <w:t xml:space="preserve">, Oliva S, Passariello M, Pallotta N, Civitelli F, Frediani S, Gualdi G, Gandullia P, Mallardo S, Cucchiara S. Intralesional steroid injection after endoscopic balloon dilation in pediatric Crohn's disease with stricture: a prospective, randomized, double-blind, controlled trial.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72</w:t>
      </w:r>
      <w:r>
        <w:rPr>
          <w:rFonts w:ascii="Book Antiqua" w:eastAsia="Book Antiqua" w:hAnsi="Book Antiqua" w:cs="Book Antiqua"/>
          <w:color w:val="000000"/>
        </w:rPr>
        <w:t>: 1201-1208 [PMID: 20951986 DOI: 10.1016/j.gie.2010.08.003]</w:t>
      </w:r>
    </w:p>
    <w:p w14:paraId="27D36DA8" w14:textId="77777777" w:rsidR="00A77B3E" w:rsidRDefault="0016570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Splawski JB</w:t>
      </w:r>
      <w:r>
        <w:rPr>
          <w:rFonts w:ascii="Book Antiqua" w:eastAsia="Book Antiqua" w:hAnsi="Book Antiqua" w:cs="Book Antiqua"/>
          <w:color w:val="000000"/>
        </w:rPr>
        <w:t xml:space="preserve">, Pffefferkorn MD, Schaefer ME, Day AS, Soldes OS, Ponsky TA, Stein P, Kaplan JL, Saeed SA. NASPGHAN Clinical Report on Postoperative Recurrence in Pediatric Crohn Disease.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475-486 [PMID: 28937552 DOI: 10.1097/MPG.0000000000001606]</w:t>
      </w:r>
    </w:p>
    <w:p w14:paraId="75227BC0" w14:textId="77777777" w:rsidR="00A77B3E" w:rsidRDefault="0016570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Foster EN</w:t>
      </w:r>
      <w:r>
        <w:rPr>
          <w:rFonts w:ascii="Book Antiqua" w:eastAsia="Book Antiqua" w:hAnsi="Book Antiqua" w:cs="Book Antiqua"/>
          <w:color w:val="000000"/>
        </w:rPr>
        <w:t xml:space="preserve">, Quiros JA, Prindiville TP. Long-term follow-up of the endoscopic treatment of strictures in pediatric and adult patients with inflammatory bowel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42</w:t>
      </w:r>
      <w:r>
        <w:rPr>
          <w:rFonts w:ascii="Book Antiqua" w:eastAsia="Book Antiqua" w:hAnsi="Book Antiqua" w:cs="Book Antiqua"/>
          <w:color w:val="000000"/>
        </w:rPr>
        <w:t>: 880-885 [PMID: 18645528 DOI: 10.1097/MCG.0b013e3181354440]</w:t>
      </w:r>
    </w:p>
    <w:p w14:paraId="46F27E05" w14:textId="77777777" w:rsidR="00A77B3E" w:rsidRDefault="0016570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Agrawal N, Kurada S, Lopez R, Kessler H, Philpott J, Shen B, Lashner B, Rieder F. Efficacy, Safety, and Long-term Outcome of Serial Endoscopic Balloon Dilation for Upper Gastrointestinal Crohn's Disease-associated Strictures-A Cohort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1044-1051 [PMID: 28881875 DOI: 10.1093/ecco-jcc/jjx078]</w:t>
      </w:r>
    </w:p>
    <w:p w14:paraId="5FD956AA" w14:textId="77777777" w:rsidR="00A77B3E" w:rsidRDefault="0016570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Speca S</w:t>
      </w:r>
      <w:r>
        <w:rPr>
          <w:rFonts w:ascii="Book Antiqua" w:eastAsia="Book Antiqua" w:hAnsi="Book Antiqua" w:cs="Book Antiqua"/>
          <w:color w:val="000000"/>
        </w:rPr>
        <w:t xml:space="preserve">, Giusti I, Rieder F, Latella G. Cellular and molecular mechanisms of intestinal fibrosis.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3635-3661 [PMID: 22851857 DOI: 10.3748/wjg.v18.i28.3635]</w:t>
      </w:r>
    </w:p>
    <w:p w14:paraId="2FDE9139" w14:textId="77777777" w:rsidR="00A77B3E" w:rsidRDefault="0016570D">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Rieder F</w:t>
      </w:r>
      <w:r>
        <w:rPr>
          <w:rFonts w:ascii="Book Antiqua" w:eastAsia="Book Antiqua" w:hAnsi="Book Antiqua" w:cs="Book Antiqua"/>
          <w:color w:val="000000"/>
        </w:rPr>
        <w:t xml:space="preserve">, Latella G, Magro F, Yuksel ES, Higgins PD, Di Sabatino A, de Bruyn JR, Rimola J, Brito J, Bettenworth D, van Assche G, Bemelman W, d'Hoore A, Pellino G, Dignass AU. European Crohn's and Colitis Organisation Topical Review on Prediction, Diagnosis and Management of Fibrostenosing Crohn's Disease.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873-885 [PMID: 26928961 DOI: 10.1093/ecco-jcc/jjw055]</w:t>
      </w:r>
    </w:p>
    <w:p w14:paraId="08760CE7" w14:textId="77777777" w:rsidR="00A77B3E" w:rsidRDefault="0016570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Vernier-Massouille G</w:t>
      </w:r>
      <w:r>
        <w:rPr>
          <w:rFonts w:ascii="Book Antiqua" w:eastAsia="Book Antiqua" w:hAnsi="Book Antiqua" w:cs="Book Antiqua"/>
          <w:color w:val="000000"/>
        </w:rPr>
        <w:t xml:space="preserve">, Balde M, Salleron J, Turck D, Dupas JL, Mouterde O, Merle V, Salomez JL, Branche J, Marti R, Lerebours E, Cortot A, Gower-Rousseau C, Colombel JF. Natural history of pediatric Crohn's disease: a population-based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135</w:t>
      </w:r>
      <w:r>
        <w:rPr>
          <w:rFonts w:ascii="Book Antiqua" w:eastAsia="Book Antiqua" w:hAnsi="Book Antiqua" w:cs="Book Antiqua"/>
          <w:color w:val="000000"/>
        </w:rPr>
        <w:t>: 1106-1113 [PMID: 18692056 DOI: 10.1053/j.gastro.2008.06.079]</w:t>
      </w:r>
    </w:p>
    <w:p w14:paraId="33D9C18D" w14:textId="77777777" w:rsidR="00A77B3E" w:rsidRDefault="0016570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Singh VV</w:t>
      </w:r>
      <w:r>
        <w:rPr>
          <w:rFonts w:ascii="Book Antiqua" w:eastAsia="Book Antiqua" w:hAnsi="Book Antiqua" w:cs="Book Antiqua"/>
          <w:color w:val="000000"/>
        </w:rPr>
        <w:t xml:space="preserve">, Draganov P, Valentine J. Efficacy and safety of endoscopic balloon dilation of symptomatic upper and lower gastrointestinal Crohn's disease strictures.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284-290 [PMID: 15758621 DOI: 10.1097/01.mcg.0000155128.31208.44]</w:t>
      </w:r>
    </w:p>
    <w:p w14:paraId="43E30A93" w14:textId="77777777" w:rsidR="00A77B3E" w:rsidRDefault="0016570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de'Angelis N</w:t>
      </w:r>
      <w:r>
        <w:rPr>
          <w:rFonts w:ascii="Book Antiqua" w:eastAsia="Book Antiqua" w:hAnsi="Book Antiqua" w:cs="Book Antiqua"/>
          <w:color w:val="000000"/>
        </w:rPr>
        <w:t xml:space="preserve">, Carra MC, Borrelli O, Bizzarri B, Vincenzi F, Fornaroli F, De Caro G, de'Angelis GL. Short- and long-term efficacy of endoscopic balloon dilation in Crohn's disease strictures.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2660-2667 [PMID: 23674873 DOI: 10.3748/wjg.v19.i17.2660]</w:t>
      </w:r>
    </w:p>
    <w:p w14:paraId="781986C3" w14:textId="77777777" w:rsidR="00A77B3E" w:rsidRDefault="0016570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Bettenworth D</w:t>
      </w:r>
      <w:r>
        <w:rPr>
          <w:rFonts w:ascii="Book Antiqua" w:eastAsia="Book Antiqua" w:hAnsi="Book Antiqua" w:cs="Book Antiqua"/>
          <w:color w:val="000000"/>
        </w:rPr>
        <w:t xml:space="preserve">, Gustavsson A, Atreja A, Lopez R, Tysk C, van Assche G, Rieder F. A Pooled Analysis of Efficacy, Safety, and Long-term Outcome of Endoscopic Balloon Dilation Therapy for Patients with Stricturing Crohn's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133-142 [PMID: 28002130 DOI: 10.1097/MIB.0000000000000988]</w:t>
      </w:r>
    </w:p>
    <w:p w14:paraId="0653CD1F" w14:textId="77777777" w:rsidR="00A77B3E" w:rsidRDefault="0016570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Bettenworth D</w:t>
      </w:r>
      <w:r>
        <w:rPr>
          <w:rFonts w:ascii="Book Antiqua" w:eastAsia="Book Antiqua" w:hAnsi="Book Antiqua" w:cs="Book Antiqua"/>
          <w:color w:val="000000"/>
        </w:rPr>
        <w:t xml:space="preserve">, Bokemeyer A, Kou L, Lopez R, Bena JF, El Ouali S, Mao R, Kurada S, Bhatt A, Beyna T, Halloran B, Reeson M, Hosomi S, Kishi M, Hirai F, Ohmiya N, Rieder F. Systematic review with meta-analysis: efficacy of balloon-assisted enteroscopy for dilation of small bowel Crohn's disease strictures.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1104-1116 [PMID: 32813282 DOI: 10.1111/apt.16049]</w:t>
      </w:r>
    </w:p>
    <w:p w14:paraId="57F0CF7D" w14:textId="77777777" w:rsidR="00A77B3E" w:rsidRDefault="0016570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Gustavsson A</w:t>
      </w:r>
      <w:r>
        <w:rPr>
          <w:rFonts w:ascii="Book Antiqua" w:eastAsia="Book Antiqua" w:hAnsi="Book Antiqua" w:cs="Book Antiqua"/>
          <w:color w:val="000000"/>
        </w:rPr>
        <w:t xml:space="preserve">, Magnuson A, Blomberg B, Andersson M, Halfvarson J, Tysk C. Endoscopic dilation is an efficacious and safe treatment of intestinal strictures in </w:t>
      </w:r>
      <w:r>
        <w:rPr>
          <w:rFonts w:ascii="Book Antiqua" w:eastAsia="Book Antiqua" w:hAnsi="Book Antiqua" w:cs="Book Antiqua"/>
          <w:color w:val="000000"/>
        </w:rPr>
        <w:lastRenderedPageBreak/>
        <w:t xml:space="preserve">Crohn's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151-158 [PMID: 22612326 DOI: 10.1111/j.1365-2036.2012.05146.x]</w:t>
      </w:r>
    </w:p>
    <w:p w14:paraId="4C54D536" w14:textId="77777777" w:rsidR="00A77B3E" w:rsidRDefault="0016570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Winder O</w:t>
      </w:r>
      <w:r>
        <w:rPr>
          <w:rFonts w:ascii="Book Antiqua" w:eastAsia="Book Antiqua" w:hAnsi="Book Antiqua" w:cs="Book Antiqua"/>
          <w:color w:val="000000"/>
        </w:rPr>
        <w:t xml:space="preserve">, Fliss-Isakov N, Winder G, Scapa E, Yanai H, Barnes S, Dekel R, Dotan I, Maharshak N. Clinical outcomes of endoscopic balloon dilatation of intestinal strictures in patients with Crohn's disease.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e16864 [PMID: 31464914 DOI: 10.1097/MD.0000000000016864]</w:t>
      </w:r>
    </w:p>
    <w:p w14:paraId="6D845A8C" w14:textId="77777777" w:rsidR="00A77B3E" w:rsidRDefault="0016570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Oliva S</w:t>
      </w:r>
      <w:r>
        <w:rPr>
          <w:rFonts w:ascii="Book Antiqua" w:eastAsia="Book Antiqua" w:hAnsi="Book Antiqua" w:cs="Book Antiqua"/>
          <w:color w:val="000000"/>
        </w:rPr>
        <w:t xml:space="preserve">, Thomson M, de Ridder L, Martín-de-Carpi J, Van Biervliet S, Braegger C, Dias JA, Kolacek S, Miele E, Buderus S, Bronsky J, Winter H, Navas-López VM, Assa A, Chong SKF, Afzal NA, Smets F, Shaoul R, Hussey S, Turner D, Cucchiara S. Endoscopy in Pediatric Inflammatory Bowel Disease: A Position Paper on Behalf of the Porto IBD Group of the European Society for Pediatric Gastroenterology, Hepatology and Nutrition.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414-430 [PMID: 30130311 DOI: 10.1097/MPG.0000000000002092]</w:t>
      </w:r>
    </w:p>
    <w:p w14:paraId="09929636" w14:textId="77777777" w:rsidR="00A77B3E" w:rsidRDefault="0016570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Hendel J</w:t>
      </w:r>
      <w:r>
        <w:rPr>
          <w:rFonts w:ascii="Book Antiqua" w:eastAsia="Book Antiqua" w:hAnsi="Book Antiqua" w:cs="Book Antiqua"/>
          <w:color w:val="000000"/>
        </w:rPr>
        <w:t xml:space="preserve">, Karstensen JG, Vilmann P. Serial intralesional injections of infliximab in small bowel Crohn's strictures are feasible and might lower inflammation.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406-412 [PMID: 25360319 DOI: 10.1177/2050640614547805]</w:t>
      </w:r>
    </w:p>
    <w:p w14:paraId="57995814" w14:textId="77777777" w:rsidR="00A77B3E" w:rsidRDefault="0016570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Atreja A</w:t>
      </w:r>
      <w:r>
        <w:rPr>
          <w:rFonts w:ascii="Book Antiqua" w:eastAsia="Book Antiqua" w:hAnsi="Book Antiqua" w:cs="Book Antiqua"/>
          <w:color w:val="000000"/>
        </w:rPr>
        <w:t xml:space="preserve">, Aggarwal A, Dwivedi S, Rieder F, Lopez R, Lashner BA, Brzezinski A, Vargo JJ, Shen B. Safety and efficacy of endoscopic dilation for primary and anastomotic Crohn's disease strictures.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392-400 [PMID: 24189349 DOI: 10.1016/j.crohns.2013.10.001]</w:t>
      </w:r>
    </w:p>
    <w:p w14:paraId="30D4D587" w14:textId="77777777" w:rsidR="00A77B3E" w:rsidRDefault="0016570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Bilski J</w:t>
      </w:r>
      <w:r>
        <w:rPr>
          <w:rFonts w:ascii="Book Antiqua" w:eastAsia="Book Antiqua" w:hAnsi="Book Antiqua" w:cs="Book Antiqua"/>
          <w:color w:val="000000"/>
        </w:rPr>
        <w:t xml:space="preserve">, Mazur-Bialy A, Wojcik D, Surmiak M, Magierowski M, Sliwowski Z, Pajdo R, Kwiecien S, Danielak A, Ptak-Belowska A, Brzozowski T. Role of Obesity, Mesenteric Adipose Tissue, and Adipokines in Inflammatory Bowel Diseases.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31779136 DOI: 10.3390/biom9120780]</w:t>
      </w:r>
    </w:p>
    <w:p w14:paraId="701062D9" w14:textId="77777777" w:rsidR="00A77B3E" w:rsidRDefault="0016570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Bryant RV</w:t>
      </w:r>
      <w:r>
        <w:rPr>
          <w:rFonts w:ascii="Book Antiqua" w:eastAsia="Book Antiqua" w:hAnsi="Book Antiqua" w:cs="Book Antiqua"/>
          <w:color w:val="000000"/>
        </w:rPr>
        <w:t xml:space="preserve">, Schultz CG, Ooi S, Goess C, Costello SP, Vincent AD, Schoeman S, Lim A, Bartholomeusz FD, Travis SPL, Andrews JM. Visceral Adipose Tissue Is Associated With Stricturing Crohn's Disease Behavior, Fecal Calprotectin, and Quality of Life.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592-600 [PMID: 30215805 DOI: 10.1093/ibd/izy278]</w:t>
      </w:r>
    </w:p>
    <w:bookmarkEnd w:id="4"/>
    <w:p w14:paraId="3FAD119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D89E517" w14:textId="77777777" w:rsidR="00A77B3E" w:rsidRDefault="0016570D">
      <w:pPr>
        <w:spacing w:line="360" w:lineRule="auto"/>
        <w:jc w:val="both"/>
      </w:pPr>
      <w:r>
        <w:rPr>
          <w:rFonts w:ascii="Book Antiqua" w:eastAsia="Book Antiqua" w:hAnsi="Book Antiqua" w:cs="Book Antiqua"/>
          <w:b/>
          <w:color w:val="000000"/>
        </w:rPr>
        <w:lastRenderedPageBreak/>
        <w:t>Footnotes</w:t>
      </w:r>
    </w:p>
    <w:p w14:paraId="5E268583" w14:textId="77777777" w:rsidR="00A77B3E" w:rsidRDefault="0016570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Study was approved by the Institutional Review Board at the Medical University of South Carolina, IRB# Pro00081854.</w:t>
      </w:r>
    </w:p>
    <w:p w14:paraId="06DCCAA2" w14:textId="77777777" w:rsidR="00A77B3E" w:rsidRDefault="00A77B3E">
      <w:pPr>
        <w:spacing w:line="360" w:lineRule="auto"/>
        <w:jc w:val="both"/>
      </w:pPr>
    </w:p>
    <w:p w14:paraId="5F566CBC" w14:textId="77777777" w:rsidR="00A77B3E" w:rsidRDefault="0016570D">
      <w:pPr>
        <w:spacing w:line="360" w:lineRule="auto"/>
        <w:jc w:val="both"/>
      </w:pPr>
      <w:r>
        <w:rPr>
          <w:rFonts w:ascii="Book Antiqua" w:eastAsia="Book Antiqua" w:hAnsi="Book Antiqua" w:cs="Book Antiqua"/>
          <w:b/>
          <w:bCs/>
          <w:color w:val="000000"/>
        </w:rPr>
        <w:t xml:space="preserve">Informed consent statement: </w:t>
      </w:r>
      <w:r w:rsidR="0076040C">
        <w:rPr>
          <w:rFonts w:ascii="Book Antiqua" w:eastAsia="Book Antiqua" w:hAnsi="Book Antiqua" w:cs="Book Antiqua"/>
          <w:color w:val="000000"/>
        </w:rPr>
        <w:t>The need for informed consent was waived by the Institutional Review Board at the Medical University of South Carolina due to the study being a retrospective chart review and causing no more than minimal risk to the patients.</w:t>
      </w:r>
    </w:p>
    <w:p w14:paraId="119657DE" w14:textId="77777777" w:rsidR="00A77B3E" w:rsidRDefault="00A77B3E">
      <w:pPr>
        <w:spacing w:line="360" w:lineRule="auto"/>
        <w:jc w:val="both"/>
      </w:pPr>
    </w:p>
    <w:p w14:paraId="4FB5A4E2" w14:textId="77777777" w:rsidR="00A77B3E" w:rsidRPr="00CC4B9B" w:rsidRDefault="0016570D">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existing conflict of interest.</w:t>
      </w:r>
    </w:p>
    <w:p w14:paraId="068345A7" w14:textId="77777777" w:rsidR="00A77B3E" w:rsidRDefault="00A77B3E">
      <w:pPr>
        <w:spacing w:line="360" w:lineRule="auto"/>
        <w:jc w:val="both"/>
      </w:pPr>
    </w:p>
    <w:p w14:paraId="7513B915" w14:textId="77777777" w:rsidR="00A77B3E" w:rsidRDefault="0016570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No additional data </w:t>
      </w:r>
      <w:r w:rsidR="00CC4B9B">
        <w:rPr>
          <w:rFonts w:ascii="Book Antiqua" w:hAnsi="Book Antiqua" w:cs="Book Antiqua" w:hint="eastAsia"/>
          <w:color w:val="000000"/>
          <w:lang w:eastAsia="zh-CN"/>
        </w:rPr>
        <w:t>are</w:t>
      </w:r>
      <w:r>
        <w:rPr>
          <w:rFonts w:ascii="Book Antiqua" w:eastAsia="Book Antiqua" w:hAnsi="Book Antiqua" w:cs="Book Antiqua"/>
          <w:color w:val="000000"/>
        </w:rPr>
        <w:t xml:space="preserve"> available.</w:t>
      </w:r>
    </w:p>
    <w:p w14:paraId="10B05B49" w14:textId="77777777" w:rsidR="00A77B3E" w:rsidRDefault="00A77B3E">
      <w:pPr>
        <w:spacing w:line="360" w:lineRule="auto"/>
        <w:jc w:val="both"/>
      </w:pPr>
    </w:p>
    <w:p w14:paraId="58AAAE59" w14:textId="77777777" w:rsidR="00A77B3E" w:rsidRDefault="0016570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F7A54" w14:textId="77777777" w:rsidR="00A77B3E" w:rsidRDefault="00A77B3E">
      <w:pPr>
        <w:spacing w:line="360" w:lineRule="auto"/>
        <w:jc w:val="both"/>
      </w:pPr>
    </w:p>
    <w:p w14:paraId="4C34B4DE" w14:textId="72A01846" w:rsidR="00A77B3E" w:rsidRDefault="0016570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74E3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2D02E85" w14:textId="77777777" w:rsidR="001B1DF9" w:rsidRDefault="001B1DF9">
      <w:pPr>
        <w:spacing w:line="360" w:lineRule="auto"/>
        <w:jc w:val="both"/>
      </w:pPr>
    </w:p>
    <w:p w14:paraId="1D0B8603" w14:textId="77777777" w:rsidR="00A77B3E" w:rsidRDefault="0016570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Society</w:t>
      </w:r>
      <w:r w:rsidR="00574E3F">
        <w:rPr>
          <w:rFonts w:ascii="Book Antiqua" w:eastAsia="Book Antiqua" w:hAnsi="Book Antiqua" w:cs="Book Antiqua"/>
          <w:color w:val="000000"/>
        </w:rPr>
        <w:t xml:space="preserve"> for Gastrointestinal Endoscopy</w:t>
      </w:r>
      <w:r>
        <w:rPr>
          <w:rFonts w:ascii="Book Antiqua" w:eastAsia="Book Antiqua" w:hAnsi="Book Antiqua" w:cs="Book Antiqua"/>
          <w:color w:val="000000"/>
        </w:rPr>
        <w:t>; Americ</w:t>
      </w:r>
      <w:r w:rsidR="00574E3F">
        <w:rPr>
          <w:rFonts w:ascii="Book Antiqua" w:eastAsia="Book Antiqua" w:hAnsi="Book Antiqua" w:cs="Book Antiqua"/>
          <w:color w:val="000000"/>
        </w:rPr>
        <w:t>an College of Gastroenterology</w:t>
      </w:r>
      <w:r>
        <w:rPr>
          <w:rFonts w:ascii="Book Antiqua" w:eastAsia="Book Antiqua" w:hAnsi="Book Antiqua" w:cs="Book Antiqua"/>
          <w:color w:val="000000"/>
        </w:rPr>
        <w:t>.</w:t>
      </w:r>
    </w:p>
    <w:p w14:paraId="5E20E101" w14:textId="77777777" w:rsidR="00A77B3E" w:rsidRDefault="00A77B3E">
      <w:pPr>
        <w:spacing w:line="360" w:lineRule="auto"/>
        <w:jc w:val="both"/>
      </w:pPr>
    </w:p>
    <w:p w14:paraId="2E64BAE2" w14:textId="77777777" w:rsidR="00A77B3E" w:rsidRDefault="0016570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24, 2021</w:t>
      </w:r>
    </w:p>
    <w:p w14:paraId="69622992" w14:textId="77777777" w:rsidR="00A77B3E" w:rsidRDefault="0016570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3, 2021</w:t>
      </w:r>
    </w:p>
    <w:p w14:paraId="75E1AC17" w14:textId="77777777" w:rsidR="00A77B3E" w:rsidRDefault="0016570D">
      <w:pPr>
        <w:spacing w:line="360" w:lineRule="auto"/>
        <w:jc w:val="both"/>
      </w:pPr>
      <w:r>
        <w:rPr>
          <w:rFonts w:ascii="Book Antiqua" w:eastAsia="Book Antiqua" w:hAnsi="Book Antiqua" w:cs="Book Antiqua"/>
          <w:b/>
          <w:color w:val="000000"/>
        </w:rPr>
        <w:t xml:space="preserve">Article in press: </w:t>
      </w:r>
    </w:p>
    <w:p w14:paraId="6D93D754" w14:textId="77777777" w:rsidR="00A77B3E" w:rsidRDefault="00A77B3E">
      <w:pPr>
        <w:spacing w:line="360" w:lineRule="auto"/>
        <w:jc w:val="both"/>
      </w:pPr>
    </w:p>
    <w:p w14:paraId="5BB89DC9" w14:textId="77777777" w:rsidR="00A77B3E" w:rsidRDefault="0016570D">
      <w:pPr>
        <w:spacing w:line="360" w:lineRule="auto"/>
        <w:jc w:val="both"/>
      </w:pPr>
      <w:r>
        <w:rPr>
          <w:rFonts w:ascii="Book Antiqua" w:eastAsia="Book Antiqua" w:hAnsi="Book Antiqua" w:cs="Book Antiqua"/>
          <w:b/>
          <w:color w:val="000000"/>
        </w:rPr>
        <w:t xml:space="preserve">Specialty type: </w:t>
      </w:r>
      <w:r w:rsidR="00574E3F" w:rsidRPr="00E700C2">
        <w:rPr>
          <w:rFonts w:ascii="Book Antiqua" w:eastAsia="微软雅黑" w:hAnsi="Book Antiqua" w:cs="宋体"/>
        </w:rPr>
        <w:t>Gastroenterology and hepatology</w:t>
      </w:r>
    </w:p>
    <w:p w14:paraId="548A13FE" w14:textId="77777777" w:rsidR="00A77B3E" w:rsidRDefault="0016570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02DC74C" w14:textId="77777777" w:rsidR="00A77B3E" w:rsidRDefault="0016570D">
      <w:pPr>
        <w:spacing w:line="360" w:lineRule="auto"/>
        <w:jc w:val="both"/>
      </w:pPr>
      <w:r>
        <w:rPr>
          <w:rFonts w:ascii="Book Antiqua" w:eastAsia="Book Antiqua" w:hAnsi="Book Antiqua" w:cs="Book Antiqua"/>
          <w:b/>
          <w:color w:val="000000"/>
        </w:rPr>
        <w:t>Peer-review report’s scientific quality classification</w:t>
      </w:r>
    </w:p>
    <w:p w14:paraId="07438827" w14:textId="77777777" w:rsidR="00A77B3E" w:rsidRDefault="0016570D">
      <w:pPr>
        <w:spacing w:line="360" w:lineRule="auto"/>
        <w:jc w:val="both"/>
      </w:pPr>
      <w:r>
        <w:rPr>
          <w:rFonts w:ascii="Book Antiqua" w:eastAsia="Book Antiqua" w:hAnsi="Book Antiqua" w:cs="Book Antiqua"/>
          <w:color w:val="000000"/>
        </w:rPr>
        <w:t>Grade A (Excellent): 0</w:t>
      </w:r>
    </w:p>
    <w:p w14:paraId="44CAF5F7" w14:textId="77777777" w:rsidR="00A77B3E" w:rsidRDefault="0016570D">
      <w:pPr>
        <w:spacing w:line="360" w:lineRule="auto"/>
        <w:jc w:val="both"/>
      </w:pPr>
      <w:r>
        <w:rPr>
          <w:rFonts w:ascii="Book Antiqua" w:eastAsia="Book Antiqua" w:hAnsi="Book Antiqua" w:cs="Book Antiqua"/>
          <w:color w:val="000000"/>
        </w:rPr>
        <w:t>Grade B (Very good): 0</w:t>
      </w:r>
    </w:p>
    <w:p w14:paraId="394AEE9B" w14:textId="77777777" w:rsidR="00A77B3E" w:rsidRDefault="0016570D">
      <w:pPr>
        <w:spacing w:line="360" w:lineRule="auto"/>
        <w:jc w:val="both"/>
      </w:pPr>
      <w:r>
        <w:rPr>
          <w:rFonts w:ascii="Book Antiqua" w:eastAsia="Book Antiqua" w:hAnsi="Book Antiqua" w:cs="Book Antiqua"/>
          <w:color w:val="000000"/>
        </w:rPr>
        <w:t>Grade C (Good): 0</w:t>
      </w:r>
    </w:p>
    <w:p w14:paraId="0AB07D0A" w14:textId="77777777" w:rsidR="00A77B3E" w:rsidRDefault="0016570D">
      <w:pPr>
        <w:spacing w:line="360" w:lineRule="auto"/>
        <w:jc w:val="both"/>
      </w:pPr>
      <w:r>
        <w:rPr>
          <w:rFonts w:ascii="Book Antiqua" w:eastAsia="Book Antiqua" w:hAnsi="Book Antiqua" w:cs="Book Antiqua"/>
          <w:color w:val="000000"/>
        </w:rPr>
        <w:t>Grade D (Fair): D</w:t>
      </w:r>
    </w:p>
    <w:p w14:paraId="2FB99C1C" w14:textId="77777777" w:rsidR="00A77B3E" w:rsidRDefault="0016570D">
      <w:pPr>
        <w:spacing w:line="360" w:lineRule="auto"/>
        <w:jc w:val="both"/>
      </w:pPr>
      <w:r>
        <w:rPr>
          <w:rFonts w:ascii="Book Antiqua" w:eastAsia="Book Antiqua" w:hAnsi="Book Antiqua" w:cs="Book Antiqua"/>
          <w:color w:val="000000"/>
        </w:rPr>
        <w:t>Grade E (Poor): 0</w:t>
      </w:r>
    </w:p>
    <w:p w14:paraId="7EA6AFD7" w14:textId="77777777" w:rsidR="00A77B3E" w:rsidRDefault="00A77B3E">
      <w:pPr>
        <w:spacing w:line="360" w:lineRule="auto"/>
        <w:jc w:val="both"/>
      </w:pPr>
    </w:p>
    <w:p w14:paraId="5BB4CADB" w14:textId="77777777" w:rsidR="00A77B3E" w:rsidRDefault="0016570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Salkic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1D72839" w14:textId="77777777" w:rsidR="00A77B3E" w:rsidRDefault="0016570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2EE56D" w14:textId="77777777" w:rsidR="00CC4B9B" w:rsidRPr="00CC4B9B" w:rsidRDefault="00CC4B9B">
      <w:pPr>
        <w:spacing w:line="360" w:lineRule="auto"/>
        <w:jc w:val="both"/>
        <w:rPr>
          <w:lang w:eastAsia="zh-CN"/>
        </w:rPr>
      </w:pPr>
      <w:r>
        <w:rPr>
          <w:noProof/>
          <w:lang w:eastAsia="zh-CN"/>
        </w:rPr>
        <w:drawing>
          <wp:inline distT="0" distB="0" distL="0" distR="0" wp14:anchorId="0F31BE6B" wp14:editId="0262B7DC">
            <wp:extent cx="5486400" cy="13569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356995"/>
                    </a:xfrm>
                    <a:prstGeom prst="rect">
                      <a:avLst/>
                    </a:prstGeom>
                  </pic:spPr>
                </pic:pic>
              </a:graphicData>
            </a:graphic>
          </wp:inline>
        </w:drawing>
      </w:r>
    </w:p>
    <w:p w14:paraId="002474D2" w14:textId="77777777" w:rsidR="00CC4B9B" w:rsidRDefault="0016570D">
      <w:pPr>
        <w:spacing w:line="360" w:lineRule="auto"/>
        <w:jc w:val="both"/>
        <w:rPr>
          <w:rFonts w:ascii="Book Antiqua" w:eastAsia="Book Antiqua" w:hAnsi="Book Antiqua" w:cs="Book Antiqua"/>
          <w:color w:val="000000"/>
        </w:rPr>
      </w:pPr>
      <w:r w:rsidRPr="00CC4B9B">
        <w:rPr>
          <w:rFonts w:ascii="Book Antiqua" w:eastAsia="Book Antiqua" w:hAnsi="Book Antiqua" w:cs="Book Antiqua"/>
          <w:b/>
          <w:color w:val="000000"/>
        </w:rPr>
        <w:t xml:space="preserve">Figure </w:t>
      </w:r>
      <w:r w:rsidR="00076EE0" w:rsidRPr="00CC4B9B">
        <w:rPr>
          <w:rFonts w:ascii="Book Antiqua" w:hAnsi="Book Antiqua" w:cs="Book Antiqua" w:hint="eastAsia"/>
          <w:b/>
          <w:color w:val="000000"/>
          <w:lang w:eastAsia="zh-CN"/>
        </w:rPr>
        <w:t>1</w:t>
      </w:r>
      <w:r w:rsidRPr="00CC4B9B">
        <w:rPr>
          <w:rFonts w:ascii="Book Antiqua" w:eastAsia="Book Antiqua" w:hAnsi="Book Antiqua" w:cs="Book Antiqua"/>
          <w:b/>
          <w:color w:val="000000"/>
        </w:rPr>
        <w:t xml:space="preserve"> </w:t>
      </w:r>
      <w:r w:rsidR="00CC4B9B" w:rsidRPr="00CC4B9B">
        <w:rPr>
          <w:rFonts w:ascii="Book Antiqua" w:eastAsia="Book Antiqua" w:hAnsi="Book Antiqua" w:cs="Book Antiqua"/>
          <w:b/>
          <w:color w:val="000000"/>
        </w:rPr>
        <w:t>Endoscopic appearance</w:t>
      </w:r>
      <w:r w:rsidR="00CC4B9B" w:rsidRPr="00CC4B9B">
        <w:rPr>
          <w:rFonts w:ascii="Book Antiqua" w:hAnsi="Book Antiqua" w:cs="Book Antiqua" w:hint="eastAsia"/>
          <w:b/>
          <w:color w:val="000000"/>
          <w:lang w:eastAsia="zh-CN"/>
        </w:rPr>
        <w:t>.</w:t>
      </w:r>
      <w:r w:rsidR="00CC4B9B">
        <w:rPr>
          <w:rFonts w:ascii="Book Antiqua" w:eastAsia="Book Antiqua" w:hAnsi="Book Antiqua" w:cs="Book Antiqua"/>
          <w:color w:val="000000"/>
        </w:rPr>
        <w:t xml:space="preserve"> </w:t>
      </w:r>
      <w:r w:rsidR="00CC4B9B">
        <w:rPr>
          <w:rFonts w:ascii="Book Antiqua" w:hAnsi="Book Antiqua" w:cs="Book Antiqua" w:hint="eastAsia"/>
          <w:color w:val="000000"/>
          <w:lang w:eastAsia="zh-CN"/>
        </w:rPr>
        <w:t xml:space="preserve">A: </w:t>
      </w:r>
      <w:r>
        <w:rPr>
          <w:rFonts w:ascii="Book Antiqua" w:eastAsia="Book Antiqua" w:hAnsi="Book Antiqua" w:cs="Book Antiqua"/>
          <w:color w:val="000000"/>
        </w:rPr>
        <w:t xml:space="preserve">Endoscopic appearance of </w:t>
      </w:r>
      <w:r w:rsidR="0076040C">
        <w:rPr>
          <w:rFonts w:ascii="Book Antiqua" w:eastAsia="Book Antiqua" w:hAnsi="Book Antiqua" w:cs="Book Antiqua"/>
          <w:color w:val="000000"/>
        </w:rPr>
        <w:t>a Crohn’s disease</w:t>
      </w:r>
      <w:r>
        <w:rPr>
          <w:rFonts w:ascii="Book Antiqua" w:eastAsia="Book Antiqua" w:hAnsi="Book Antiqua" w:cs="Book Antiqua"/>
          <w:color w:val="000000"/>
        </w:rPr>
        <w:t xml:space="preserve"> fibrostenotic lesion in </w:t>
      </w:r>
      <w:r w:rsidR="0076040C">
        <w:rPr>
          <w:rFonts w:ascii="Book Antiqua" w:hAnsi="Book Antiqua" w:cs="Book Antiqua" w:hint="eastAsia"/>
          <w:color w:val="000000"/>
          <w:lang w:eastAsia="zh-CN"/>
        </w:rPr>
        <w:t xml:space="preserve">the </w:t>
      </w:r>
      <w:r>
        <w:rPr>
          <w:rFonts w:ascii="Book Antiqua" w:eastAsia="Book Antiqua" w:hAnsi="Book Antiqua" w:cs="Book Antiqua"/>
          <w:color w:val="000000"/>
        </w:rPr>
        <w:t>ileocecal valve</w:t>
      </w:r>
      <w:r w:rsidR="00C0668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06687">
        <w:rPr>
          <w:rFonts w:ascii="Book Antiqua" w:hAnsi="Book Antiqua" w:cs="Book Antiqua" w:hint="eastAsia"/>
          <w:color w:val="000000"/>
          <w:lang w:eastAsia="zh-CN"/>
        </w:rPr>
        <w:t>B: W</w:t>
      </w:r>
      <w:r>
        <w:rPr>
          <w:rFonts w:ascii="Book Antiqua" w:eastAsia="Book Antiqua" w:hAnsi="Book Antiqua" w:cs="Book Antiqua"/>
          <w:color w:val="000000"/>
        </w:rPr>
        <w:t>ire-guided 18</w:t>
      </w:r>
      <w:r w:rsidR="0076040C">
        <w:rPr>
          <w:rFonts w:ascii="Book Antiqua" w:hAnsi="Book Antiqua" w:cs="Book Antiqua" w:hint="eastAsia"/>
          <w:color w:val="000000"/>
          <w:lang w:eastAsia="zh-CN"/>
        </w:rPr>
        <w:t xml:space="preserve"> </w:t>
      </w:r>
      <w:r>
        <w:rPr>
          <w:rFonts w:ascii="Book Antiqua" w:eastAsia="Book Antiqua" w:hAnsi="Book Antiqua" w:cs="Book Antiqua"/>
          <w:color w:val="000000"/>
        </w:rPr>
        <w:t>mm balloon dilation catheter (CRE PRO, Boston Scientific, Marlborough, MA</w:t>
      </w:r>
      <w:r w:rsidR="00CC4B9B">
        <w:rPr>
          <w:rFonts w:ascii="Book Antiqua" w:hAnsi="Book Antiqua" w:cs="Book Antiqua" w:hint="eastAsia"/>
          <w:color w:val="000000"/>
          <w:lang w:eastAsia="zh-CN"/>
        </w:rPr>
        <w:t>,</w:t>
      </w:r>
      <w:r>
        <w:rPr>
          <w:rFonts w:ascii="Book Antiqua" w:eastAsia="Book Antiqua" w:hAnsi="Book Antiqua" w:cs="Book Antiqua"/>
          <w:color w:val="000000"/>
        </w:rPr>
        <w:t xml:space="preserve"> U</w:t>
      </w:r>
      <w:r w:rsidR="00CC4B9B">
        <w:rPr>
          <w:rFonts w:ascii="Book Antiqua" w:hAnsi="Book Antiqua" w:cs="Book Antiqua" w:hint="eastAsia"/>
          <w:color w:val="000000"/>
          <w:lang w:eastAsia="zh-CN"/>
        </w:rPr>
        <w:t>nited States</w:t>
      </w:r>
      <w:r>
        <w:rPr>
          <w:rFonts w:ascii="Book Antiqua" w:eastAsia="Book Antiqua" w:hAnsi="Book Antiqua" w:cs="Book Antiqua"/>
          <w:color w:val="000000"/>
        </w:rPr>
        <w:t>)</w:t>
      </w:r>
      <w:r w:rsidR="00C06687">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06687">
        <w:rPr>
          <w:rFonts w:ascii="Book Antiqua" w:hAnsi="Book Antiqua" w:cs="Book Antiqua" w:hint="eastAsia"/>
          <w:color w:val="000000"/>
          <w:lang w:eastAsia="zh-CN"/>
        </w:rPr>
        <w:t>C:</w:t>
      </w:r>
      <w:r>
        <w:rPr>
          <w:rFonts w:ascii="Book Antiqua" w:eastAsia="Book Antiqua" w:hAnsi="Book Antiqua" w:cs="Book Antiqua"/>
          <w:color w:val="000000"/>
        </w:rPr>
        <w:t xml:space="preserve"> </w:t>
      </w:r>
      <w:r w:rsidR="00C06687">
        <w:rPr>
          <w:rFonts w:ascii="Book Antiqua" w:hAnsi="Book Antiqua" w:cs="Book Antiqua" w:hint="eastAsia"/>
          <w:color w:val="000000"/>
          <w:lang w:eastAsia="zh-CN"/>
        </w:rPr>
        <w:t>A</w:t>
      </w:r>
      <w:r>
        <w:rPr>
          <w:rFonts w:ascii="Book Antiqua" w:eastAsia="Book Antiqua" w:hAnsi="Book Antiqua" w:cs="Book Antiqua"/>
          <w:color w:val="000000"/>
        </w:rPr>
        <w:t>ppearance after dilation.</w:t>
      </w:r>
    </w:p>
    <w:p w14:paraId="11A25743" w14:textId="77777777" w:rsidR="00A77B3E" w:rsidRDefault="00CC4B9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2034341D" wp14:editId="0DBFF111">
            <wp:extent cx="5486400" cy="436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363720"/>
                    </a:xfrm>
                    <a:prstGeom prst="rect">
                      <a:avLst/>
                    </a:prstGeom>
                  </pic:spPr>
                </pic:pic>
              </a:graphicData>
            </a:graphic>
          </wp:inline>
        </w:drawing>
      </w:r>
    </w:p>
    <w:p w14:paraId="1BFA56F2" w14:textId="77777777" w:rsidR="00CC4B9B" w:rsidRPr="00CC4B9B" w:rsidRDefault="00CC4B9B" w:rsidP="00CC4B9B">
      <w:pPr>
        <w:spacing w:line="360" w:lineRule="auto"/>
        <w:jc w:val="both"/>
        <w:rPr>
          <w:lang w:eastAsia="zh-CN"/>
        </w:rPr>
      </w:pPr>
      <w:r>
        <w:rPr>
          <w:rFonts w:ascii="Book Antiqua" w:eastAsia="Book Antiqua" w:hAnsi="Book Antiqua" w:cs="Book Antiqua"/>
          <w:b/>
          <w:bCs/>
          <w:color w:val="000000"/>
        </w:rPr>
        <w:t xml:space="preserve">Figure </w:t>
      </w:r>
      <w:r>
        <w:rPr>
          <w:rFonts w:ascii="Book Antiqua" w:hAnsi="Book Antiqua" w:cs="Book Antiqua" w:hint="eastAsia"/>
          <w:b/>
          <w:bCs/>
          <w:color w:val="000000"/>
          <w:lang w:eastAsia="zh-CN"/>
        </w:rPr>
        <w:t xml:space="preserve">2 </w:t>
      </w:r>
      <w:r>
        <w:rPr>
          <w:rFonts w:ascii="Book Antiqua" w:eastAsia="Book Antiqua" w:hAnsi="Book Antiqua" w:cs="Book Antiqua"/>
          <w:b/>
          <w:bCs/>
          <w:color w:val="000000"/>
        </w:rPr>
        <w:t xml:space="preserve">Management of patients with stricturing </w:t>
      </w:r>
      <w:r w:rsidRPr="00CC4B9B">
        <w:rPr>
          <w:rFonts w:ascii="Book Antiqua" w:eastAsia="Book Antiqua" w:hAnsi="Book Antiqua" w:cs="Book Antiqua"/>
          <w:b/>
          <w:bCs/>
          <w:color w:val="000000"/>
        </w:rPr>
        <w:t>Crohn’s disease</w:t>
      </w:r>
      <w:r>
        <w:rPr>
          <w:rFonts w:ascii="Book Antiqua" w:eastAsia="Book Antiqua" w:hAnsi="Book Antiqua" w:cs="Book Antiqua"/>
          <w:b/>
          <w:bCs/>
          <w:color w:val="000000"/>
        </w:rPr>
        <w:t xml:space="preserv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surgery or </w:t>
      </w:r>
      <w:r>
        <w:rPr>
          <w:rFonts w:ascii="Book Antiqua" w:hAnsi="Book Antiqua" w:cs="Book Antiqua" w:hint="eastAsia"/>
          <w:b/>
          <w:bCs/>
          <w:color w:val="000000"/>
          <w:lang w:eastAsia="zh-CN"/>
        </w:rPr>
        <w:t>e</w:t>
      </w:r>
      <w:r w:rsidRPr="00CC4B9B">
        <w:rPr>
          <w:rFonts w:ascii="Book Antiqua" w:eastAsia="Book Antiqua" w:hAnsi="Book Antiqua" w:cs="Book Antiqua"/>
          <w:b/>
          <w:bCs/>
          <w:color w:val="000000"/>
        </w:rPr>
        <w:t>ndoscopic balloon dilation</w:t>
      </w:r>
      <w:r>
        <w:rPr>
          <w:rFonts w:ascii="Book Antiqua" w:hAnsi="Book Antiqua" w:cs="Book Antiqua" w:hint="eastAsia"/>
          <w:b/>
          <w:bCs/>
          <w:color w:val="000000"/>
          <w:lang w:eastAsia="zh-CN"/>
        </w:rPr>
        <w:t xml:space="preserve">. </w:t>
      </w:r>
      <w:r w:rsidRPr="00CC4B9B">
        <w:rPr>
          <w:rFonts w:ascii="Book Antiqua" w:hAnsi="Book Antiqua" w:cs="Book Antiqua" w:hint="eastAsia"/>
          <w:bCs/>
          <w:color w:val="000000"/>
          <w:lang w:eastAsia="zh-CN"/>
        </w:rPr>
        <w:t xml:space="preserve">EBD: </w:t>
      </w:r>
      <w:r>
        <w:rPr>
          <w:rFonts w:ascii="Book Antiqua" w:eastAsia="Book Antiqua" w:hAnsi="Book Antiqua" w:cs="Book Antiqua"/>
          <w:color w:val="000000"/>
        </w:rPr>
        <w:t>Endoscopic balloon dilation</w:t>
      </w:r>
      <w:r>
        <w:rPr>
          <w:rFonts w:ascii="Book Antiqua" w:hAnsi="Book Antiqua" w:cs="Book Antiqua" w:hint="eastAsia"/>
          <w:color w:val="000000"/>
          <w:lang w:eastAsia="zh-CN"/>
        </w:rPr>
        <w:t>.</w:t>
      </w:r>
    </w:p>
    <w:p w14:paraId="6DE64D32" w14:textId="77777777" w:rsidR="00CC4B9B" w:rsidRPr="00CC4B9B" w:rsidRDefault="00CC4B9B">
      <w:pPr>
        <w:spacing w:line="360" w:lineRule="auto"/>
        <w:jc w:val="both"/>
        <w:rPr>
          <w:lang w:eastAsia="zh-CN"/>
        </w:rPr>
      </w:pPr>
      <w:r>
        <w:rPr>
          <w:lang w:eastAsia="zh-CN"/>
        </w:rPr>
        <w:br w:type="page"/>
      </w:r>
      <w:r>
        <w:rPr>
          <w:noProof/>
          <w:lang w:eastAsia="zh-CN"/>
        </w:rPr>
        <w:lastRenderedPageBreak/>
        <w:drawing>
          <wp:inline distT="0" distB="0" distL="0" distR="0" wp14:anchorId="178FC9F5" wp14:editId="02437900">
            <wp:extent cx="4435224" cy="237002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5224" cy="2370025"/>
                    </a:xfrm>
                    <a:prstGeom prst="rect">
                      <a:avLst/>
                    </a:prstGeom>
                  </pic:spPr>
                </pic:pic>
              </a:graphicData>
            </a:graphic>
          </wp:inline>
        </w:drawing>
      </w:r>
    </w:p>
    <w:p w14:paraId="372C6DED" w14:textId="77777777" w:rsidR="005D365C" w:rsidRDefault="0016570D">
      <w:pPr>
        <w:spacing w:line="360" w:lineRule="auto"/>
        <w:jc w:val="both"/>
        <w:rPr>
          <w:rFonts w:ascii="Book Antiqua" w:eastAsia="Book Antiqua" w:hAnsi="Book Antiqua" w:cs="Book Antiqua"/>
          <w:color w:val="000000"/>
        </w:rPr>
      </w:pPr>
      <w:r w:rsidRPr="00C06687">
        <w:rPr>
          <w:rFonts w:ascii="Book Antiqua" w:eastAsia="Book Antiqua" w:hAnsi="Book Antiqua" w:cs="Book Antiqua"/>
          <w:b/>
          <w:color w:val="000000"/>
        </w:rPr>
        <w:t>Figure 3</w:t>
      </w:r>
      <w:r w:rsidR="00CC4B9B" w:rsidRPr="00C06687">
        <w:rPr>
          <w:rFonts w:ascii="Book Antiqua" w:hAnsi="Book Antiqua" w:cs="Book Antiqua" w:hint="eastAsia"/>
          <w:b/>
          <w:color w:val="000000"/>
          <w:lang w:eastAsia="zh-CN"/>
        </w:rPr>
        <w:t xml:space="preserve"> M</w:t>
      </w:r>
      <w:r w:rsidR="00CC4B9B" w:rsidRPr="00C06687">
        <w:rPr>
          <w:rFonts w:ascii="Book Antiqua" w:eastAsia="Book Antiqua" w:hAnsi="Book Antiqua" w:cs="Book Antiqua"/>
          <w:b/>
          <w:color w:val="000000"/>
        </w:rPr>
        <w:t>agnetic resonance</w:t>
      </w:r>
      <w:r w:rsidRPr="00C06687">
        <w:rPr>
          <w:rFonts w:ascii="Book Antiqua" w:eastAsia="Book Antiqua" w:hAnsi="Book Antiqua" w:cs="Book Antiqua"/>
          <w:b/>
          <w:color w:val="000000"/>
        </w:rPr>
        <w:t xml:space="preserve"> imaging of </w:t>
      </w:r>
      <w:r w:rsidR="00CC4B9B" w:rsidRPr="00C06687">
        <w:rPr>
          <w:rFonts w:ascii="Book Antiqua" w:hAnsi="Book Antiqua" w:cs="Book Antiqua" w:hint="eastAsia"/>
          <w:b/>
          <w:color w:val="000000"/>
          <w:lang w:eastAsia="zh-CN"/>
        </w:rPr>
        <w:t>f</w:t>
      </w:r>
      <w:r w:rsidRPr="00C06687">
        <w:rPr>
          <w:rFonts w:ascii="Book Antiqua" w:eastAsia="Book Antiqua" w:hAnsi="Book Antiqua" w:cs="Book Antiqua"/>
          <w:b/>
          <w:color w:val="000000"/>
        </w:rPr>
        <w:t>ibrostenosing Crohn’s disease.</w:t>
      </w:r>
      <w:r>
        <w:rPr>
          <w:rFonts w:ascii="Book Antiqua" w:eastAsia="Book Antiqua" w:hAnsi="Book Antiqua" w:cs="Book Antiqua"/>
          <w:color w:val="000000"/>
        </w:rPr>
        <w:t xml:space="preserve"> A: Cross sectional </w:t>
      </w:r>
      <w:r w:rsidR="00C06687" w:rsidRPr="00FC58BB">
        <w:rPr>
          <w:rFonts w:ascii="Book Antiqua" w:eastAsia="Book Antiqua" w:hAnsi="Book Antiqua" w:cs="Book Antiqua"/>
          <w:color w:val="000000"/>
        </w:rPr>
        <w:t>magnetic resonance</w:t>
      </w:r>
      <w:r>
        <w:rPr>
          <w:rFonts w:ascii="Book Antiqua" w:eastAsia="Book Antiqua" w:hAnsi="Book Antiqua" w:cs="Book Antiqua"/>
          <w:color w:val="000000"/>
        </w:rPr>
        <w:t xml:space="preserve"> imaging showing </w:t>
      </w:r>
      <w:r w:rsidR="0076040C">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lesion in </w:t>
      </w:r>
      <w:r w:rsidR="0076040C">
        <w:rPr>
          <w:rFonts w:ascii="Book Antiqua" w:hAnsi="Book Antiqua" w:cs="Book Antiqua" w:hint="eastAsia"/>
          <w:color w:val="000000"/>
          <w:lang w:eastAsia="zh-CN"/>
        </w:rPr>
        <w:t xml:space="preserve">the </w:t>
      </w:r>
      <w:r w:rsidR="00C06687">
        <w:rPr>
          <w:rFonts w:ascii="Book Antiqua" w:hAnsi="Book Antiqua" w:cs="Book Antiqua" w:hint="eastAsia"/>
          <w:color w:val="000000"/>
          <w:lang w:eastAsia="zh-CN"/>
        </w:rPr>
        <w:t>d</w:t>
      </w:r>
      <w:r>
        <w:rPr>
          <w:rFonts w:ascii="Book Antiqua" w:eastAsia="Book Antiqua" w:hAnsi="Book Antiqua" w:cs="Book Antiqua"/>
          <w:color w:val="000000"/>
        </w:rPr>
        <w:t>istal ileum</w:t>
      </w:r>
      <w:r w:rsidR="00C06687">
        <w:rPr>
          <w:rFonts w:ascii="Book Antiqua" w:hAnsi="Book Antiqua" w:cs="Book Antiqua" w:hint="eastAsia"/>
          <w:color w:val="000000"/>
          <w:lang w:eastAsia="zh-CN"/>
        </w:rPr>
        <w:t>;</w:t>
      </w:r>
      <w:r>
        <w:rPr>
          <w:rFonts w:ascii="Book Antiqua" w:eastAsia="Book Antiqua" w:hAnsi="Book Antiqua" w:cs="Book Antiqua"/>
          <w:color w:val="000000"/>
        </w:rPr>
        <w:t xml:space="preserve"> B: Coronal cut on </w:t>
      </w:r>
      <w:r w:rsidR="00C06687" w:rsidRPr="00FC58BB">
        <w:rPr>
          <w:rFonts w:ascii="Book Antiqua" w:eastAsia="Book Antiqua" w:hAnsi="Book Antiqua" w:cs="Book Antiqua"/>
          <w:color w:val="000000"/>
        </w:rPr>
        <w:t>magnetic resonance</w:t>
      </w:r>
      <w:r w:rsidR="00C06687">
        <w:rPr>
          <w:rFonts w:ascii="Book Antiqua" w:eastAsia="Book Antiqua" w:hAnsi="Book Antiqua" w:cs="Book Antiqua"/>
          <w:color w:val="000000"/>
        </w:rPr>
        <w:t xml:space="preserve"> imaging </w:t>
      </w:r>
      <w:r>
        <w:rPr>
          <w:rFonts w:ascii="Book Antiqua" w:eastAsia="Book Antiqua" w:hAnsi="Book Antiqua" w:cs="Book Antiqua"/>
          <w:color w:val="000000"/>
        </w:rPr>
        <w:t>of fibrostenosing Crohn’s disease with proximal dilation.</w:t>
      </w:r>
    </w:p>
    <w:p w14:paraId="3E81F331" w14:textId="77777777" w:rsidR="00A77B3E" w:rsidRDefault="005D365C">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5D365C">
        <w:rPr>
          <w:rFonts w:ascii="Book Antiqua" w:eastAsia="Book Antiqua" w:hAnsi="Book Antiqua" w:cs="Book Antiqua"/>
          <w:b/>
          <w:color w:val="000000"/>
        </w:rPr>
        <w:lastRenderedPageBreak/>
        <w:t>Table 1</w:t>
      </w:r>
      <w:r w:rsidRPr="005D365C">
        <w:rPr>
          <w:rFonts w:ascii="Book Antiqua" w:hAnsi="Book Antiqua" w:cs="Book Antiqua" w:hint="eastAsia"/>
          <w:b/>
          <w:color w:val="000000"/>
          <w:lang w:eastAsia="zh-CN"/>
        </w:rPr>
        <w:t xml:space="preserve"> </w:t>
      </w:r>
      <w:r w:rsidRPr="005D365C">
        <w:rPr>
          <w:rFonts w:ascii="Book Antiqua" w:eastAsia="Book Antiqua" w:hAnsi="Book Antiqua" w:cs="Book Antiqua"/>
          <w:b/>
          <w:color w:val="000000"/>
        </w:rPr>
        <w:t>Patient demographics and clinical variables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7"/>
        <w:gridCol w:w="1452"/>
        <w:gridCol w:w="1913"/>
        <w:gridCol w:w="1754"/>
      </w:tblGrid>
      <w:tr w:rsidR="005D365C" w:rsidRPr="005D365C" w14:paraId="502CBFDF" w14:textId="77777777" w:rsidTr="00CB4F9F">
        <w:tc>
          <w:tcPr>
            <w:tcW w:w="4457" w:type="dxa"/>
            <w:tcBorders>
              <w:top w:val="single" w:sz="4" w:space="0" w:color="auto"/>
              <w:bottom w:val="single" w:sz="4" w:space="0" w:color="auto"/>
            </w:tcBorders>
            <w:shd w:val="clear" w:color="auto" w:fill="auto"/>
          </w:tcPr>
          <w:p w14:paraId="1A5B6D54" w14:textId="77777777" w:rsidR="005D365C" w:rsidRPr="005D365C" w:rsidRDefault="005D365C" w:rsidP="005D365C">
            <w:pPr>
              <w:spacing w:line="360" w:lineRule="auto"/>
              <w:jc w:val="both"/>
              <w:rPr>
                <w:rFonts w:ascii="Book Antiqua" w:hAnsi="Book Antiqua" w:cs="Times New Roman"/>
                <w:b/>
                <w:color w:val="000000" w:themeColor="text1"/>
              </w:rPr>
            </w:pPr>
          </w:p>
        </w:tc>
        <w:tc>
          <w:tcPr>
            <w:tcW w:w="1452" w:type="dxa"/>
            <w:tcBorders>
              <w:top w:val="single" w:sz="4" w:space="0" w:color="auto"/>
              <w:bottom w:val="single" w:sz="4" w:space="0" w:color="auto"/>
            </w:tcBorders>
            <w:shd w:val="clear" w:color="auto" w:fill="auto"/>
          </w:tcPr>
          <w:p w14:paraId="407DF0C7" w14:textId="77777777" w:rsidR="005D365C" w:rsidRPr="005D365C" w:rsidRDefault="005D365C" w:rsidP="005D365C">
            <w:pPr>
              <w:spacing w:line="360" w:lineRule="auto"/>
              <w:jc w:val="both"/>
              <w:rPr>
                <w:rFonts w:ascii="Book Antiqua" w:hAnsi="Book Antiqua" w:cs="Times New Roman"/>
                <w:b/>
                <w:color w:val="000000" w:themeColor="text1"/>
              </w:rPr>
            </w:pPr>
            <w:r w:rsidRPr="005D365C">
              <w:rPr>
                <w:rFonts w:ascii="Book Antiqua" w:hAnsi="Book Antiqua" w:cs="Times New Roman"/>
                <w:b/>
                <w:color w:val="000000" w:themeColor="text1"/>
              </w:rPr>
              <w:t xml:space="preserve">Surgery </w:t>
            </w:r>
            <w:r>
              <w:rPr>
                <w:rFonts w:ascii="Book Antiqua" w:hAnsi="Book Antiqua" w:cs="Times New Roman" w:hint="eastAsia"/>
                <w:b/>
                <w:color w:val="000000" w:themeColor="text1"/>
                <w:lang w:eastAsia="zh-CN"/>
              </w:rPr>
              <w:t>o</w:t>
            </w:r>
            <w:r w:rsidRPr="005D365C">
              <w:rPr>
                <w:rFonts w:ascii="Book Antiqua" w:hAnsi="Book Antiqua" w:cs="Times New Roman"/>
                <w:b/>
                <w:color w:val="000000" w:themeColor="text1"/>
              </w:rPr>
              <w:t>nly</w:t>
            </w:r>
            <w:r>
              <w:rPr>
                <w:rFonts w:ascii="Book Antiqua" w:hAnsi="Book Antiqua" w:cs="Times New Roman" w:hint="eastAsia"/>
                <w:b/>
                <w:color w:val="000000" w:themeColor="text1"/>
                <w:lang w:eastAsia="zh-CN"/>
              </w:rPr>
              <w:t xml:space="preserve">, </w:t>
            </w:r>
            <w:r w:rsidRPr="005D365C">
              <w:rPr>
                <w:rFonts w:ascii="Book Antiqua" w:hAnsi="Book Antiqua" w:cs="Times New Roman"/>
                <w:b/>
                <w:i/>
                <w:color w:val="000000" w:themeColor="text1"/>
              </w:rPr>
              <w:t>n</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8</w:t>
            </w:r>
          </w:p>
        </w:tc>
        <w:tc>
          <w:tcPr>
            <w:tcW w:w="1913" w:type="dxa"/>
            <w:tcBorders>
              <w:top w:val="single" w:sz="4" w:space="0" w:color="auto"/>
              <w:bottom w:val="single" w:sz="4" w:space="0" w:color="auto"/>
            </w:tcBorders>
            <w:shd w:val="clear" w:color="auto" w:fill="auto"/>
          </w:tcPr>
          <w:p w14:paraId="3A8AE426" w14:textId="77777777" w:rsidR="005D365C" w:rsidRPr="005D365C" w:rsidRDefault="005D365C" w:rsidP="005D365C">
            <w:pPr>
              <w:spacing w:line="360" w:lineRule="auto"/>
              <w:jc w:val="both"/>
              <w:rPr>
                <w:rFonts w:ascii="Book Antiqua" w:hAnsi="Book Antiqua" w:cs="Times New Roman"/>
                <w:b/>
                <w:color w:val="000000" w:themeColor="text1"/>
              </w:rPr>
            </w:pPr>
            <w:r w:rsidRPr="005D365C">
              <w:rPr>
                <w:rFonts w:ascii="Book Antiqua" w:hAnsi="Book Antiqua" w:cs="Times New Roman"/>
                <w:b/>
                <w:color w:val="000000" w:themeColor="text1"/>
              </w:rPr>
              <w:t>EBD only</w:t>
            </w:r>
            <w:r>
              <w:rPr>
                <w:rFonts w:ascii="Book Antiqua" w:hAnsi="Book Antiqua" w:cs="Times New Roman" w:hint="eastAsia"/>
                <w:b/>
                <w:color w:val="000000" w:themeColor="text1"/>
                <w:lang w:eastAsia="zh-CN"/>
              </w:rPr>
              <w:t xml:space="preserve">, </w:t>
            </w:r>
            <w:r w:rsidRPr="005D365C">
              <w:rPr>
                <w:rFonts w:ascii="Book Antiqua" w:hAnsi="Book Antiqua" w:cs="Times New Roman"/>
                <w:b/>
                <w:i/>
                <w:color w:val="000000" w:themeColor="text1"/>
              </w:rPr>
              <w:t>n</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 xml:space="preserve"> 11</w:t>
            </w:r>
          </w:p>
        </w:tc>
        <w:tc>
          <w:tcPr>
            <w:tcW w:w="1754" w:type="dxa"/>
            <w:tcBorders>
              <w:top w:val="single" w:sz="4" w:space="0" w:color="auto"/>
              <w:bottom w:val="single" w:sz="4" w:space="0" w:color="auto"/>
            </w:tcBorders>
            <w:shd w:val="clear" w:color="auto" w:fill="auto"/>
          </w:tcPr>
          <w:p w14:paraId="7D5F682F" w14:textId="77777777" w:rsidR="005D365C" w:rsidRPr="005D365C" w:rsidRDefault="005D365C" w:rsidP="005D365C">
            <w:pPr>
              <w:spacing w:line="360" w:lineRule="auto"/>
              <w:jc w:val="both"/>
              <w:rPr>
                <w:rFonts w:ascii="Book Antiqua" w:hAnsi="Book Antiqua" w:cs="Times New Roman"/>
                <w:b/>
                <w:color w:val="000000" w:themeColor="text1"/>
              </w:rPr>
            </w:pPr>
            <w:r w:rsidRPr="005D365C">
              <w:rPr>
                <w:rFonts w:ascii="Book Antiqua" w:hAnsi="Book Antiqua" w:cs="Times New Roman"/>
                <w:b/>
                <w:color w:val="000000" w:themeColor="text1"/>
              </w:rPr>
              <w:t>Surgery and EBD</w:t>
            </w:r>
            <w:r>
              <w:rPr>
                <w:rFonts w:ascii="Book Antiqua" w:hAnsi="Book Antiqua" w:cs="Times New Roman" w:hint="eastAsia"/>
                <w:b/>
                <w:color w:val="000000" w:themeColor="text1"/>
                <w:lang w:eastAsia="zh-CN"/>
              </w:rPr>
              <w:t xml:space="preserve">, </w:t>
            </w:r>
            <w:r w:rsidRPr="005D365C">
              <w:rPr>
                <w:rFonts w:ascii="Book Antiqua" w:hAnsi="Book Antiqua" w:cs="Times New Roman"/>
                <w:b/>
                <w:i/>
                <w:color w:val="000000" w:themeColor="text1"/>
              </w:rPr>
              <w:t>n</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w:t>
            </w:r>
            <w:r>
              <w:rPr>
                <w:rFonts w:ascii="Book Antiqua" w:hAnsi="Book Antiqua" w:cs="Times New Roman" w:hint="eastAsia"/>
                <w:b/>
                <w:color w:val="000000" w:themeColor="text1"/>
                <w:lang w:eastAsia="zh-CN"/>
              </w:rPr>
              <w:t xml:space="preserve"> </w:t>
            </w:r>
            <w:r w:rsidRPr="005D365C">
              <w:rPr>
                <w:rFonts w:ascii="Book Antiqua" w:hAnsi="Book Antiqua" w:cs="Times New Roman"/>
                <w:b/>
                <w:color w:val="000000" w:themeColor="text1"/>
              </w:rPr>
              <w:t>6</w:t>
            </w:r>
          </w:p>
        </w:tc>
      </w:tr>
      <w:tr w:rsidR="005D365C" w:rsidRPr="005D365C" w14:paraId="63D000F7" w14:textId="77777777" w:rsidTr="00CB4F9F">
        <w:tc>
          <w:tcPr>
            <w:tcW w:w="4457" w:type="dxa"/>
            <w:tcBorders>
              <w:top w:val="single" w:sz="4" w:space="0" w:color="auto"/>
            </w:tcBorders>
            <w:shd w:val="clear" w:color="auto" w:fill="auto"/>
          </w:tcPr>
          <w:p w14:paraId="5FC99DF5" w14:textId="0A4D96AE"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Sex</w:t>
            </w:r>
            <w:r w:rsidR="001B1DF9">
              <w:rPr>
                <w:rFonts w:ascii="Book Antiqua" w:hAnsi="Book Antiqua" w:cs="Times New Roman"/>
                <w:color w:val="000000" w:themeColor="text1"/>
              </w:rPr>
              <w:t>,</w:t>
            </w:r>
            <w:r w:rsidRPr="005D365C">
              <w:rPr>
                <w:rFonts w:ascii="Book Antiqua" w:hAnsi="Book Antiqua" w:cs="Times New Roman"/>
                <w:color w:val="000000" w:themeColor="text1"/>
              </w:rPr>
              <w:t xml:space="preserve"> </w:t>
            </w:r>
            <w:r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Pr="005D365C">
              <w:rPr>
                <w:rFonts w:ascii="Book Antiqua" w:hAnsi="Book Antiqua" w:cs="Times New Roman"/>
                <w:color w:val="000000" w:themeColor="text1"/>
              </w:rPr>
              <w:t>%)</w:t>
            </w:r>
          </w:p>
        </w:tc>
        <w:tc>
          <w:tcPr>
            <w:tcW w:w="1452" w:type="dxa"/>
            <w:tcBorders>
              <w:top w:val="single" w:sz="4" w:space="0" w:color="auto"/>
            </w:tcBorders>
            <w:shd w:val="clear" w:color="auto" w:fill="auto"/>
          </w:tcPr>
          <w:p w14:paraId="54BDB8F0" w14:textId="77777777" w:rsidR="005D365C" w:rsidRPr="005D365C" w:rsidRDefault="005D365C" w:rsidP="005D365C">
            <w:pPr>
              <w:spacing w:line="360" w:lineRule="auto"/>
              <w:jc w:val="both"/>
              <w:rPr>
                <w:rFonts w:ascii="Book Antiqua" w:hAnsi="Book Antiqua" w:cs="Times New Roman"/>
                <w:color w:val="000000" w:themeColor="text1"/>
              </w:rPr>
            </w:pPr>
          </w:p>
        </w:tc>
        <w:tc>
          <w:tcPr>
            <w:tcW w:w="1913" w:type="dxa"/>
            <w:tcBorders>
              <w:top w:val="single" w:sz="4" w:space="0" w:color="auto"/>
            </w:tcBorders>
            <w:shd w:val="clear" w:color="auto" w:fill="auto"/>
          </w:tcPr>
          <w:p w14:paraId="0D6CAF79" w14:textId="77777777" w:rsidR="005D365C" w:rsidRPr="005D365C" w:rsidRDefault="005D365C" w:rsidP="005D365C">
            <w:pPr>
              <w:spacing w:line="360" w:lineRule="auto"/>
              <w:jc w:val="both"/>
              <w:rPr>
                <w:rFonts w:ascii="Book Antiqua" w:hAnsi="Book Antiqua" w:cs="Times New Roman"/>
                <w:color w:val="000000" w:themeColor="text1"/>
              </w:rPr>
            </w:pPr>
          </w:p>
        </w:tc>
        <w:tc>
          <w:tcPr>
            <w:tcW w:w="1754" w:type="dxa"/>
            <w:tcBorders>
              <w:top w:val="single" w:sz="4" w:space="0" w:color="auto"/>
            </w:tcBorders>
            <w:shd w:val="clear" w:color="auto" w:fill="auto"/>
          </w:tcPr>
          <w:p w14:paraId="1D947818" w14:textId="77777777" w:rsidR="005D365C" w:rsidRPr="005D365C" w:rsidRDefault="005D365C" w:rsidP="005D365C">
            <w:pPr>
              <w:spacing w:line="360" w:lineRule="auto"/>
              <w:jc w:val="both"/>
              <w:rPr>
                <w:rFonts w:ascii="Book Antiqua" w:hAnsi="Book Antiqua" w:cs="Times New Roman"/>
                <w:color w:val="000000" w:themeColor="text1"/>
              </w:rPr>
            </w:pPr>
          </w:p>
        </w:tc>
      </w:tr>
      <w:tr w:rsidR="005D365C" w:rsidRPr="005D365C" w14:paraId="55C74B5E" w14:textId="77777777" w:rsidTr="00CB4F9F">
        <w:tc>
          <w:tcPr>
            <w:tcW w:w="4457" w:type="dxa"/>
            <w:shd w:val="clear" w:color="auto" w:fill="auto"/>
          </w:tcPr>
          <w:p w14:paraId="3DC1F22D"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Male</w:t>
            </w:r>
          </w:p>
        </w:tc>
        <w:tc>
          <w:tcPr>
            <w:tcW w:w="1452" w:type="dxa"/>
            <w:shd w:val="clear" w:color="auto" w:fill="auto"/>
          </w:tcPr>
          <w:p w14:paraId="54747825"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4 (50)</w:t>
            </w:r>
          </w:p>
        </w:tc>
        <w:tc>
          <w:tcPr>
            <w:tcW w:w="1913" w:type="dxa"/>
            <w:shd w:val="clear" w:color="auto" w:fill="auto"/>
          </w:tcPr>
          <w:p w14:paraId="13320E71"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6 (55)</w:t>
            </w:r>
          </w:p>
        </w:tc>
        <w:tc>
          <w:tcPr>
            <w:tcW w:w="1754" w:type="dxa"/>
            <w:shd w:val="clear" w:color="auto" w:fill="auto"/>
          </w:tcPr>
          <w:p w14:paraId="0260C737"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3 (50)</w:t>
            </w:r>
          </w:p>
        </w:tc>
      </w:tr>
      <w:tr w:rsidR="005D365C" w:rsidRPr="005D365C" w14:paraId="1FBD09F4" w14:textId="77777777" w:rsidTr="00CB4F9F">
        <w:tc>
          <w:tcPr>
            <w:tcW w:w="4457" w:type="dxa"/>
            <w:shd w:val="clear" w:color="auto" w:fill="auto"/>
          </w:tcPr>
          <w:p w14:paraId="59A32C71"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Female</w:t>
            </w:r>
          </w:p>
        </w:tc>
        <w:tc>
          <w:tcPr>
            <w:tcW w:w="1452" w:type="dxa"/>
            <w:shd w:val="clear" w:color="auto" w:fill="auto"/>
          </w:tcPr>
          <w:p w14:paraId="63ECCCF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4 (50)</w:t>
            </w:r>
          </w:p>
        </w:tc>
        <w:tc>
          <w:tcPr>
            <w:tcW w:w="1913" w:type="dxa"/>
            <w:shd w:val="clear" w:color="auto" w:fill="auto"/>
          </w:tcPr>
          <w:p w14:paraId="0E80A289"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5 (45)</w:t>
            </w:r>
          </w:p>
        </w:tc>
        <w:tc>
          <w:tcPr>
            <w:tcW w:w="1754" w:type="dxa"/>
            <w:shd w:val="clear" w:color="auto" w:fill="auto"/>
          </w:tcPr>
          <w:p w14:paraId="77E82414"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3 (50)</w:t>
            </w:r>
          </w:p>
        </w:tc>
      </w:tr>
      <w:tr w:rsidR="005D365C" w:rsidRPr="005D365C" w14:paraId="628800FB" w14:textId="77777777" w:rsidTr="00CB4F9F">
        <w:tc>
          <w:tcPr>
            <w:tcW w:w="4457" w:type="dxa"/>
            <w:shd w:val="clear" w:color="auto" w:fill="auto"/>
          </w:tcPr>
          <w:p w14:paraId="3233A4B1" w14:textId="7B2C1235"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 xml:space="preserve">Age at </w:t>
            </w:r>
            <w:r>
              <w:rPr>
                <w:rFonts w:ascii="Book Antiqua" w:hAnsi="Book Antiqua" w:cs="Times New Roman" w:hint="eastAsia"/>
                <w:color w:val="000000" w:themeColor="text1"/>
                <w:lang w:eastAsia="zh-CN"/>
              </w:rPr>
              <w:t>d</w:t>
            </w:r>
            <w:r w:rsidRPr="005D365C">
              <w:rPr>
                <w:rFonts w:ascii="Book Antiqua" w:hAnsi="Book Antiqua" w:cs="Times New Roman"/>
                <w:color w:val="000000" w:themeColor="text1"/>
              </w:rPr>
              <w:t>iagnosis</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0241E5FC" w14:textId="77777777" w:rsidR="005D365C" w:rsidRPr="005D365C" w:rsidRDefault="005D365C" w:rsidP="005D365C">
            <w:pPr>
              <w:spacing w:line="360" w:lineRule="auto"/>
              <w:jc w:val="both"/>
              <w:rPr>
                <w:rFonts w:ascii="Book Antiqua" w:hAnsi="Book Antiqua" w:cs="Times New Roman"/>
                <w:color w:val="000000" w:themeColor="text1"/>
              </w:rPr>
            </w:pPr>
          </w:p>
        </w:tc>
        <w:tc>
          <w:tcPr>
            <w:tcW w:w="1913" w:type="dxa"/>
            <w:shd w:val="clear" w:color="auto" w:fill="auto"/>
          </w:tcPr>
          <w:p w14:paraId="35209332" w14:textId="77777777" w:rsidR="005D365C" w:rsidRPr="005D365C" w:rsidRDefault="005D365C" w:rsidP="005D365C">
            <w:pPr>
              <w:spacing w:line="360" w:lineRule="auto"/>
              <w:jc w:val="both"/>
              <w:rPr>
                <w:rFonts w:ascii="Book Antiqua" w:hAnsi="Book Antiqua" w:cs="Times New Roman"/>
                <w:color w:val="000000" w:themeColor="text1"/>
              </w:rPr>
            </w:pPr>
          </w:p>
        </w:tc>
        <w:tc>
          <w:tcPr>
            <w:tcW w:w="1754" w:type="dxa"/>
            <w:shd w:val="clear" w:color="auto" w:fill="auto"/>
          </w:tcPr>
          <w:p w14:paraId="3DBBA3CF" w14:textId="77777777" w:rsidR="005D365C" w:rsidRPr="005D365C" w:rsidRDefault="005D365C" w:rsidP="005D365C">
            <w:pPr>
              <w:spacing w:line="360" w:lineRule="auto"/>
              <w:jc w:val="both"/>
              <w:rPr>
                <w:rFonts w:ascii="Book Antiqua" w:hAnsi="Book Antiqua" w:cs="Times New Roman"/>
                <w:color w:val="000000" w:themeColor="text1"/>
              </w:rPr>
            </w:pPr>
          </w:p>
        </w:tc>
      </w:tr>
      <w:tr w:rsidR="005D365C" w:rsidRPr="005D365C" w14:paraId="1214438E" w14:textId="77777777" w:rsidTr="00CB4F9F">
        <w:tc>
          <w:tcPr>
            <w:tcW w:w="4457" w:type="dxa"/>
            <w:shd w:val="clear" w:color="auto" w:fill="auto"/>
          </w:tcPr>
          <w:p w14:paraId="169A93A6"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0-10</w:t>
            </w:r>
          </w:p>
        </w:tc>
        <w:tc>
          <w:tcPr>
            <w:tcW w:w="1452" w:type="dxa"/>
            <w:shd w:val="clear" w:color="auto" w:fill="auto"/>
          </w:tcPr>
          <w:p w14:paraId="431F0173"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(12)</w:t>
            </w:r>
          </w:p>
        </w:tc>
        <w:tc>
          <w:tcPr>
            <w:tcW w:w="1913" w:type="dxa"/>
            <w:shd w:val="clear" w:color="auto" w:fill="auto"/>
          </w:tcPr>
          <w:p w14:paraId="178770D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(9)</w:t>
            </w:r>
          </w:p>
        </w:tc>
        <w:tc>
          <w:tcPr>
            <w:tcW w:w="1754" w:type="dxa"/>
            <w:shd w:val="clear" w:color="auto" w:fill="auto"/>
          </w:tcPr>
          <w:p w14:paraId="41FFEC2D"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(17)</w:t>
            </w:r>
          </w:p>
        </w:tc>
      </w:tr>
      <w:tr w:rsidR="005D365C" w:rsidRPr="005D365C" w14:paraId="27F32037" w14:textId="77777777" w:rsidTr="00CB4F9F">
        <w:tc>
          <w:tcPr>
            <w:tcW w:w="4457" w:type="dxa"/>
            <w:shd w:val="clear" w:color="auto" w:fill="auto"/>
          </w:tcPr>
          <w:p w14:paraId="2E7063D2"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11-18</w:t>
            </w:r>
          </w:p>
        </w:tc>
        <w:tc>
          <w:tcPr>
            <w:tcW w:w="1452" w:type="dxa"/>
            <w:shd w:val="clear" w:color="auto" w:fill="auto"/>
          </w:tcPr>
          <w:p w14:paraId="28B242D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7 (88)</w:t>
            </w:r>
          </w:p>
        </w:tc>
        <w:tc>
          <w:tcPr>
            <w:tcW w:w="1913" w:type="dxa"/>
            <w:shd w:val="clear" w:color="auto" w:fill="auto"/>
          </w:tcPr>
          <w:p w14:paraId="59BAD38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10 (91)</w:t>
            </w:r>
          </w:p>
        </w:tc>
        <w:tc>
          <w:tcPr>
            <w:tcW w:w="1754" w:type="dxa"/>
            <w:shd w:val="clear" w:color="auto" w:fill="auto"/>
          </w:tcPr>
          <w:p w14:paraId="6F5195F7"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5 (83)</w:t>
            </w:r>
          </w:p>
        </w:tc>
      </w:tr>
      <w:tr w:rsidR="005D365C" w:rsidRPr="005D365C" w14:paraId="60DC3329" w14:textId="77777777" w:rsidTr="00CB4F9F">
        <w:trPr>
          <w:trHeight w:val="314"/>
        </w:trPr>
        <w:tc>
          <w:tcPr>
            <w:tcW w:w="4457" w:type="dxa"/>
            <w:shd w:val="clear" w:color="auto" w:fill="auto"/>
          </w:tcPr>
          <w:p w14:paraId="35279EA5" w14:textId="37D056E5"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Race</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4BFDF06A" w14:textId="77777777" w:rsidR="005D365C" w:rsidRPr="005D365C" w:rsidRDefault="005D365C" w:rsidP="005D365C">
            <w:pPr>
              <w:spacing w:line="360" w:lineRule="auto"/>
              <w:jc w:val="both"/>
              <w:rPr>
                <w:rFonts w:ascii="Book Antiqua" w:hAnsi="Book Antiqua" w:cs="Times New Roman"/>
                <w:color w:val="000000" w:themeColor="text1"/>
              </w:rPr>
            </w:pPr>
          </w:p>
        </w:tc>
        <w:tc>
          <w:tcPr>
            <w:tcW w:w="1913" w:type="dxa"/>
            <w:shd w:val="clear" w:color="auto" w:fill="auto"/>
          </w:tcPr>
          <w:p w14:paraId="67FCEF7E" w14:textId="77777777" w:rsidR="005D365C" w:rsidRPr="005D365C" w:rsidRDefault="005D365C" w:rsidP="005D365C">
            <w:pPr>
              <w:spacing w:line="360" w:lineRule="auto"/>
              <w:jc w:val="both"/>
              <w:rPr>
                <w:rFonts w:ascii="Book Antiqua" w:hAnsi="Book Antiqua" w:cs="Times New Roman"/>
                <w:color w:val="000000" w:themeColor="text1"/>
              </w:rPr>
            </w:pPr>
          </w:p>
        </w:tc>
        <w:tc>
          <w:tcPr>
            <w:tcW w:w="1754" w:type="dxa"/>
            <w:shd w:val="clear" w:color="auto" w:fill="auto"/>
          </w:tcPr>
          <w:p w14:paraId="6D7C9E92" w14:textId="77777777" w:rsidR="005D365C" w:rsidRPr="005D365C" w:rsidRDefault="005D365C" w:rsidP="005D365C">
            <w:pPr>
              <w:spacing w:line="360" w:lineRule="auto"/>
              <w:jc w:val="both"/>
              <w:rPr>
                <w:rFonts w:ascii="Book Antiqua" w:hAnsi="Book Antiqua" w:cs="Times New Roman"/>
                <w:color w:val="000000" w:themeColor="text1"/>
              </w:rPr>
            </w:pPr>
          </w:p>
        </w:tc>
      </w:tr>
      <w:tr w:rsidR="005D365C" w:rsidRPr="005D365C" w14:paraId="0FE1F193" w14:textId="77777777" w:rsidTr="00CB4F9F">
        <w:tc>
          <w:tcPr>
            <w:tcW w:w="4457" w:type="dxa"/>
            <w:shd w:val="clear" w:color="auto" w:fill="auto"/>
          </w:tcPr>
          <w:p w14:paraId="7AA389ED"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Caucasian</w:t>
            </w:r>
          </w:p>
        </w:tc>
        <w:tc>
          <w:tcPr>
            <w:tcW w:w="1452" w:type="dxa"/>
            <w:shd w:val="clear" w:color="auto" w:fill="auto"/>
          </w:tcPr>
          <w:p w14:paraId="6EEF47B9"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7 (88)</w:t>
            </w:r>
          </w:p>
        </w:tc>
        <w:tc>
          <w:tcPr>
            <w:tcW w:w="1913" w:type="dxa"/>
            <w:shd w:val="clear" w:color="auto" w:fill="auto"/>
          </w:tcPr>
          <w:p w14:paraId="6C9F838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11 (100)</w:t>
            </w:r>
          </w:p>
        </w:tc>
        <w:tc>
          <w:tcPr>
            <w:tcW w:w="1754" w:type="dxa"/>
            <w:shd w:val="clear" w:color="auto" w:fill="auto"/>
          </w:tcPr>
          <w:p w14:paraId="3E85037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4 (67)</w:t>
            </w:r>
          </w:p>
        </w:tc>
      </w:tr>
      <w:tr w:rsidR="005D365C" w:rsidRPr="005D365C" w14:paraId="41215901" w14:textId="77777777" w:rsidTr="00CB4F9F">
        <w:tc>
          <w:tcPr>
            <w:tcW w:w="4457" w:type="dxa"/>
            <w:shd w:val="clear" w:color="auto" w:fill="auto"/>
          </w:tcPr>
          <w:p w14:paraId="69FD60FA"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African-American</w:t>
            </w:r>
          </w:p>
        </w:tc>
        <w:tc>
          <w:tcPr>
            <w:tcW w:w="1452" w:type="dxa"/>
            <w:shd w:val="clear" w:color="auto" w:fill="auto"/>
          </w:tcPr>
          <w:p w14:paraId="387E491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(12)</w:t>
            </w:r>
          </w:p>
        </w:tc>
        <w:tc>
          <w:tcPr>
            <w:tcW w:w="1913" w:type="dxa"/>
            <w:shd w:val="clear" w:color="auto" w:fill="auto"/>
          </w:tcPr>
          <w:p w14:paraId="5FC6AAE8"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 xml:space="preserve">0 </w:t>
            </w:r>
          </w:p>
        </w:tc>
        <w:tc>
          <w:tcPr>
            <w:tcW w:w="1754" w:type="dxa"/>
            <w:shd w:val="clear" w:color="auto" w:fill="auto"/>
          </w:tcPr>
          <w:p w14:paraId="63975EE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(33)</w:t>
            </w:r>
          </w:p>
        </w:tc>
      </w:tr>
      <w:tr w:rsidR="005D365C" w:rsidRPr="005D365C" w14:paraId="568398CD" w14:textId="77777777" w:rsidTr="00CB4F9F">
        <w:tc>
          <w:tcPr>
            <w:tcW w:w="4457" w:type="dxa"/>
            <w:shd w:val="clear" w:color="auto" w:fill="auto"/>
          </w:tcPr>
          <w:p w14:paraId="376049F7" w14:textId="461A5B4C"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BMI</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040250F7" w14:textId="77777777" w:rsidR="005D365C" w:rsidRPr="005D365C" w:rsidRDefault="005D365C" w:rsidP="005D365C">
            <w:pPr>
              <w:spacing w:line="360" w:lineRule="auto"/>
              <w:jc w:val="both"/>
              <w:rPr>
                <w:rFonts w:ascii="Book Antiqua" w:hAnsi="Book Antiqua" w:cs="Times New Roman"/>
                <w:color w:val="000000" w:themeColor="text1"/>
              </w:rPr>
            </w:pPr>
          </w:p>
        </w:tc>
        <w:tc>
          <w:tcPr>
            <w:tcW w:w="1913" w:type="dxa"/>
            <w:shd w:val="clear" w:color="auto" w:fill="auto"/>
          </w:tcPr>
          <w:p w14:paraId="67E8CB1A" w14:textId="77777777" w:rsidR="005D365C" w:rsidRPr="005D365C" w:rsidRDefault="005D365C" w:rsidP="005D365C">
            <w:pPr>
              <w:spacing w:line="360" w:lineRule="auto"/>
              <w:jc w:val="both"/>
              <w:rPr>
                <w:rFonts w:ascii="Book Antiqua" w:hAnsi="Book Antiqua" w:cs="Times New Roman"/>
                <w:color w:val="000000" w:themeColor="text1"/>
              </w:rPr>
            </w:pPr>
          </w:p>
        </w:tc>
        <w:tc>
          <w:tcPr>
            <w:tcW w:w="1754" w:type="dxa"/>
            <w:shd w:val="clear" w:color="auto" w:fill="auto"/>
          </w:tcPr>
          <w:p w14:paraId="68C48733" w14:textId="77777777" w:rsidR="005D365C" w:rsidRPr="005D365C" w:rsidRDefault="005D365C" w:rsidP="005D365C">
            <w:pPr>
              <w:spacing w:line="360" w:lineRule="auto"/>
              <w:jc w:val="both"/>
              <w:rPr>
                <w:rFonts w:ascii="Book Antiqua" w:hAnsi="Book Antiqua" w:cs="Times New Roman"/>
                <w:color w:val="000000" w:themeColor="text1"/>
              </w:rPr>
            </w:pPr>
          </w:p>
        </w:tc>
      </w:tr>
      <w:tr w:rsidR="005D365C" w:rsidRPr="005D365C" w14:paraId="0C36BF80" w14:textId="77777777" w:rsidTr="00CB4F9F">
        <w:tc>
          <w:tcPr>
            <w:tcW w:w="4457" w:type="dxa"/>
            <w:shd w:val="clear" w:color="auto" w:fill="auto"/>
          </w:tcPr>
          <w:p w14:paraId="1189D22F"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Underweight</w:t>
            </w:r>
          </w:p>
        </w:tc>
        <w:tc>
          <w:tcPr>
            <w:tcW w:w="1452" w:type="dxa"/>
            <w:shd w:val="clear" w:color="auto" w:fill="auto"/>
          </w:tcPr>
          <w:p w14:paraId="6F510327"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(25)</w:t>
            </w:r>
          </w:p>
        </w:tc>
        <w:tc>
          <w:tcPr>
            <w:tcW w:w="1913" w:type="dxa"/>
            <w:shd w:val="clear" w:color="auto" w:fill="auto"/>
          </w:tcPr>
          <w:p w14:paraId="11F2E43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(18)</w:t>
            </w:r>
          </w:p>
        </w:tc>
        <w:tc>
          <w:tcPr>
            <w:tcW w:w="1754" w:type="dxa"/>
            <w:shd w:val="clear" w:color="auto" w:fill="auto"/>
          </w:tcPr>
          <w:p w14:paraId="2E29949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 (0)</w:t>
            </w:r>
          </w:p>
        </w:tc>
      </w:tr>
      <w:tr w:rsidR="005D365C" w:rsidRPr="005D365C" w14:paraId="7745FBF6" w14:textId="77777777" w:rsidTr="00CB4F9F">
        <w:tc>
          <w:tcPr>
            <w:tcW w:w="4457" w:type="dxa"/>
            <w:shd w:val="clear" w:color="auto" w:fill="auto"/>
          </w:tcPr>
          <w:p w14:paraId="2B5D4607"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Normal</w:t>
            </w:r>
          </w:p>
        </w:tc>
        <w:tc>
          <w:tcPr>
            <w:tcW w:w="1452" w:type="dxa"/>
            <w:shd w:val="clear" w:color="auto" w:fill="auto"/>
          </w:tcPr>
          <w:p w14:paraId="34543AAF" w14:textId="77777777" w:rsidR="005D365C" w:rsidRPr="005D365C" w:rsidRDefault="005D365C" w:rsidP="005D365C">
            <w:pPr>
              <w:spacing w:line="360" w:lineRule="auto"/>
              <w:jc w:val="both"/>
              <w:rPr>
                <w:rFonts w:ascii="Book Antiqua" w:hAnsi="Book Antiqua" w:cs="Times New Roman"/>
                <w:color w:val="000000" w:themeColor="text1"/>
                <w:lang w:eastAsia="zh-CN"/>
              </w:rPr>
            </w:pPr>
            <w:r w:rsidRPr="005D365C">
              <w:rPr>
                <w:rFonts w:ascii="Book Antiqua" w:hAnsi="Book Antiqua" w:cs="Times New Roman"/>
                <w:color w:val="000000" w:themeColor="text1"/>
              </w:rPr>
              <w:t>0</w:t>
            </w:r>
          </w:p>
        </w:tc>
        <w:tc>
          <w:tcPr>
            <w:tcW w:w="1913" w:type="dxa"/>
            <w:shd w:val="clear" w:color="auto" w:fill="auto"/>
          </w:tcPr>
          <w:p w14:paraId="1E5C11A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7 (64)</w:t>
            </w:r>
          </w:p>
        </w:tc>
        <w:tc>
          <w:tcPr>
            <w:tcW w:w="1754" w:type="dxa"/>
            <w:shd w:val="clear" w:color="auto" w:fill="auto"/>
          </w:tcPr>
          <w:p w14:paraId="4D1D475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5 (83)</w:t>
            </w:r>
          </w:p>
        </w:tc>
      </w:tr>
      <w:tr w:rsidR="005D365C" w:rsidRPr="005D365C" w14:paraId="0DE66126" w14:textId="77777777" w:rsidTr="00CB4F9F">
        <w:tc>
          <w:tcPr>
            <w:tcW w:w="4457" w:type="dxa"/>
            <w:shd w:val="clear" w:color="auto" w:fill="auto"/>
          </w:tcPr>
          <w:p w14:paraId="52E01124"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Overweight</w:t>
            </w:r>
          </w:p>
        </w:tc>
        <w:tc>
          <w:tcPr>
            <w:tcW w:w="1452" w:type="dxa"/>
            <w:shd w:val="clear" w:color="auto" w:fill="auto"/>
          </w:tcPr>
          <w:p w14:paraId="78FE66D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6 (75)</w:t>
            </w:r>
          </w:p>
        </w:tc>
        <w:tc>
          <w:tcPr>
            <w:tcW w:w="1913" w:type="dxa"/>
            <w:shd w:val="clear" w:color="auto" w:fill="auto"/>
          </w:tcPr>
          <w:p w14:paraId="52BB70D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(18)</w:t>
            </w:r>
          </w:p>
        </w:tc>
        <w:tc>
          <w:tcPr>
            <w:tcW w:w="1754" w:type="dxa"/>
            <w:shd w:val="clear" w:color="auto" w:fill="auto"/>
          </w:tcPr>
          <w:p w14:paraId="7BE4A6F8"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(17)</w:t>
            </w:r>
          </w:p>
        </w:tc>
      </w:tr>
      <w:tr w:rsidR="005D365C" w:rsidRPr="005D365C" w14:paraId="358C1003" w14:textId="77777777" w:rsidTr="00CB4F9F">
        <w:tc>
          <w:tcPr>
            <w:tcW w:w="4457" w:type="dxa"/>
            <w:shd w:val="clear" w:color="auto" w:fill="auto"/>
          </w:tcPr>
          <w:p w14:paraId="5A299564" w14:textId="6F289CFA"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 xml:space="preserve">On </w:t>
            </w:r>
            <w:r>
              <w:rPr>
                <w:rFonts w:ascii="Book Antiqua" w:hAnsi="Book Antiqua" w:cs="Times New Roman" w:hint="eastAsia"/>
                <w:color w:val="000000" w:themeColor="text1"/>
                <w:lang w:eastAsia="zh-CN"/>
              </w:rPr>
              <w:t>b</w:t>
            </w:r>
            <w:r w:rsidRPr="005D365C">
              <w:rPr>
                <w:rFonts w:ascii="Book Antiqua" w:hAnsi="Book Antiqua" w:cs="Times New Roman"/>
                <w:color w:val="000000" w:themeColor="text1"/>
              </w:rPr>
              <w:t>iologic</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08550C13"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6 (75)</w:t>
            </w:r>
          </w:p>
        </w:tc>
        <w:tc>
          <w:tcPr>
            <w:tcW w:w="1913" w:type="dxa"/>
            <w:shd w:val="clear" w:color="auto" w:fill="auto"/>
          </w:tcPr>
          <w:p w14:paraId="41BCFA3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10 (91)</w:t>
            </w:r>
          </w:p>
        </w:tc>
        <w:tc>
          <w:tcPr>
            <w:tcW w:w="1754" w:type="dxa"/>
            <w:shd w:val="clear" w:color="auto" w:fill="auto"/>
          </w:tcPr>
          <w:p w14:paraId="09D7C42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5 (83)</w:t>
            </w:r>
          </w:p>
        </w:tc>
      </w:tr>
      <w:tr w:rsidR="005D365C" w:rsidRPr="005D365C" w14:paraId="0C37F011" w14:textId="77777777" w:rsidTr="00CB4F9F">
        <w:tc>
          <w:tcPr>
            <w:tcW w:w="4457" w:type="dxa"/>
            <w:shd w:val="clear" w:color="auto" w:fill="auto"/>
          </w:tcPr>
          <w:p w14:paraId="594F1DC0" w14:textId="1B92232D"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 xml:space="preserve">On </w:t>
            </w:r>
            <w:r>
              <w:rPr>
                <w:rFonts w:ascii="Book Antiqua" w:hAnsi="Book Antiqua" w:cs="Times New Roman" w:hint="eastAsia"/>
                <w:color w:val="000000" w:themeColor="text1"/>
                <w:lang w:eastAsia="zh-CN"/>
              </w:rPr>
              <w:t>s</w:t>
            </w:r>
            <w:r w:rsidRPr="005D365C">
              <w:rPr>
                <w:rFonts w:ascii="Book Antiqua" w:hAnsi="Book Antiqua" w:cs="Times New Roman"/>
                <w:color w:val="000000" w:themeColor="text1"/>
              </w:rPr>
              <w:t>teroids</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4B3546B6" w14:textId="77777777" w:rsidR="005D365C" w:rsidRPr="005D365C" w:rsidRDefault="005D365C" w:rsidP="005D365C">
            <w:pPr>
              <w:spacing w:line="360" w:lineRule="auto"/>
              <w:jc w:val="both"/>
              <w:rPr>
                <w:rFonts w:ascii="Book Antiqua" w:hAnsi="Book Antiqua" w:cs="Times New Roman"/>
                <w:color w:val="000000" w:themeColor="text1"/>
                <w:lang w:eastAsia="zh-CN"/>
              </w:rPr>
            </w:pPr>
            <w:r w:rsidRPr="005D365C">
              <w:rPr>
                <w:rFonts w:ascii="Book Antiqua" w:hAnsi="Book Antiqua" w:cs="Times New Roman"/>
                <w:color w:val="000000" w:themeColor="text1"/>
              </w:rPr>
              <w:t>0</w:t>
            </w:r>
          </w:p>
        </w:tc>
        <w:tc>
          <w:tcPr>
            <w:tcW w:w="1913" w:type="dxa"/>
            <w:shd w:val="clear" w:color="auto" w:fill="auto"/>
          </w:tcPr>
          <w:p w14:paraId="55E6868A"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(18)</w:t>
            </w:r>
          </w:p>
        </w:tc>
        <w:tc>
          <w:tcPr>
            <w:tcW w:w="1754" w:type="dxa"/>
            <w:shd w:val="clear" w:color="auto" w:fill="auto"/>
          </w:tcPr>
          <w:p w14:paraId="07C42E7C"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(17)</w:t>
            </w:r>
          </w:p>
        </w:tc>
      </w:tr>
      <w:tr w:rsidR="005D365C" w:rsidRPr="005D365C" w14:paraId="3C188E1E" w14:textId="77777777" w:rsidTr="00CB4F9F">
        <w:tc>
          <w:tcPr>
            <w:tcW w:w="4457" w:type="dxa"/>
            <w:shd w:val="clear" w:color="auto" w:fill="auto"/>
          </w:tcPr>
          <w:p w14:paraId="5901654F" w14:textId="7DDB72B0"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 xml:space="preserve">Location of </w:t>
            </w:r>
            <w:r>
              <w:rPr>
                <w:rFonts w:ascii="Book Antiqua" w:hAnsi="Book Antiqua" w:cs="Times New Roman" w:hint="eastAsia"/>
                <w:color w:val="000000" w:themeColor="text1"/>
                <w:lang w:eastAsia="zh-CN"/>
              </w:rPr>
              <w:t>s</w:t>
            </w:r>
            <w:r w:rsidRPr="005D365C">
              <w:rPr>
                <w:rFonts w:ascii="Book Antiqua" w:hAnsi="Book Antiqua" w:cs="Times New Roman"/>
                <w:color w:val="000000" w:themeColor="text1"/>
              </w:rPr>
              <w:t>tricture</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25987D30" w14:textId="77777777" w:rsidR="005D365C" w:rsidRPr="005D365C" w:rsidRDefault="005D365C" w:rsidP="005D365C">
            <w:pPr>
              <w:spacing w:line="360" w:lineRule="auto"/>
              <w:jc w:val="both"/>
              <w:rPr>
                <w:rFonts w:ascii="Book Antiqua" w:hAnsi="Book Antiqua" w:cs="Times New Roman"/>
                <w:color w:val="000000" w:themeColor="text1"/>
              </w:rPr>
            </w:pPr>
          </w:p>
        </w:tc>
        <w:tc>
          <w:tcPr>
            <w:tcW w:w="1913" w:type="dxa"/>
            <w:shd w:val="clear" w:color="auto" w:fill="auto"/>
          </w:tcPr>
          <w:p w14:paraId="66076D15" w14:textId="77777777" w:rsidR="005D365C" w:rsidRPr="005D365C" w:rsidRDefault="005D365C" w:rsidP="005D365C">
            <w:pPr>
              <w:spacing w:line="360" w:lineRule="auto"/>
              <w:jc w:val="both"/>
              <w:rPr>
                <w:rFonts w:ascii="Book Antiqua" w:hAnsi="Book Antiqua" w:cs="Times New Roman"/>
                <w:color w:val="000000" w:themeColor="text1"/>
              </w:rPr>
            </w:pPr>
          </w:p>
        </w:tc>
        <w:tc>
          <w:tcPr>
            <w:tcW w:w="1754" w:type="dxa"/>
            <w:shd w:val="clear" w:color="auto" w:fill="auto"/>
          </w:tcPr>
          <w:p w14:paraId="45F0A5E1" w14:textId="77777777" w:rsidR="005D365C" w:rsidRPr="005D365C" w:rsidRDefault="005D365C" w:rsidP="005D365C">
            <w:pPr>
              <w:spacing w:line="360" w:lineRule="auto"/>
              <w:jc w:val="both"/>
              <w:rPr>
                <w:rFonts w:ascii="Book Antiqua" w:hAnsi="Book Antiqua" w:cs="Times New Roman"/>
                <w:color w:val="000000" w:themeColor="text1"/>
              </w:rPr>
            </w:pPr>
          </w:p>
        </w:tc>
      </w:tr>
      <w:tr w:rsidR="005D365C" w:rsidRPr="005D365C" w14:paraId="620DC79C" w14:textId="77777777" w:rsidTr="00CB4F9F">
        <w:tc>
          <w:tcPr>
            <w:tcW w:w="4457" w:type="dxa"/>
            <w:shd w:val="clear" w:color="auto" w:fill="auto"/>
          </w:tcPr>
          <w:p w14:paraId="1510E586"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Terminal ileum</w:t>
            </w:r>
          </w:p>
        </w:tc>
        <w:tc>
          <w:tcPr>
            <w:tcW w:w="1452" w:type="dxa"/>
            <w:shd w:val="clear" w:color="auto" w:fill="auto"/>
          </w:tcPr>
          <w:p w14:paraId="44420A3D"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6 (75)</w:t>
            </w:r>
          </w:p>
        </w:tc>
        <w:tc>
          <w:tcPr>
            <w:tcW w:w="1913" w:type="dxa"/>
            <w:shd w:val="clear" w:color="auto" w:fill="auto"/>
          </w:tcPr>
          <w:p w14:paraId="348FA7B8"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(18)</w:t>
            </w:r>
          </w:p>
        </w:tc>
        <w:tc>
          <w:tcPr>
            <w:tcW w:w="1754" w:type="dxa"/>
            <w:shd w:val="clear" w:color="auto" w:fill="auto"/>
          </w:tcPr>
          <w:p w14:paraId="0622045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4 (66)</w:t>
            </w:r>
          </w:p>
        </w:tc>
      </w:tr>
      <w:tr w:rsidR="005D365C" w:rsidRPr="005D365C" w14:paraId="2F69C05C" w14:textId="77777777" w:rsidTr="00CB4F9F">
        <w:tc>
          <w:tcPr>
            <w:tcW w:w="4457" w:type="dxa"/>
            <w:shd w:val="clear" w:color="auto" w:fill="auto"/>
          </w:tcPr>
          <w:p w14:paraId="45AFA07C"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Ileocecal valve</w:t>
            </w:r>
          </w:p>
        </w:tc>
        <w:tc>
          <w:tcPr>
            <w:tcW w:w="1452" w:type="dxa"/>
            <w:shd w:val="clear" w:color="auto" w:fill="auto"/>
          </w:tcPr>
          <w:p w14:paraId="7DAC95B3"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(25)</w:t>
            </w:r>
          </w:p>
        </w:tc>
        <w:tc>
          <w:tcPr>
            <w:tcW w:w="1913" w:type="dxa"/>
            <w:shd w:val="clear" w:color="auto" w:fill="auto"/>
          </w:tcPr>
          <w:p w14:paraId="60F8005E"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5 (46)</w:t>
            </w:r>
          </w:p>
        </w:tc>
        <w:tc>
          <w:tcPr>
            <w:tcW w:w="1754" w:type="dxa"/>
            <w:shd w:val="clear" w:color="auto" w:fill="auto"/>
          </w:tcPr>
          <w:p w14:paraId="2532F83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(17)</w:t>
            </w:r>
          </w:p>
        </w:tc>
      </w:tr>
      <w:tr w:rsidR="005D365C" w:rsidRPr="005D365C" w14:paraId="5E2878D0" w14:textId="77777777" w:rsidTr="00CB4F9F">
        <w:tc>
          <w:tcPr>
            <w:tcW w:w="4457" w:type="dxa"/>
            <w:shd w:val="clear" w:color="auto" w:fill="auto"/>
          </w:tcPr>
          <w:p w14:paraId="0705437F"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Colon</w:t>
            </w:r>
          </w:p>
        </w:tc>
        <w:tc>
          <w:tcPr>
            <w:tcW w:w="1452" w:type="dxa"/>
            <w:shd w:val="clear" w:color="auto" w:fill="auto"/>
          </w:tcPr>
          <w:p w14:paraId="6FFB09D8"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w:t>
            </w:r>
          </w:p>
        </w:tc>
        <w:tc>
          <w:tcPr>
            <w:tcW w:w="1913" w:type="dxa"/>
            <w:shd w:val="clear" w:color="auto" w:fill="auto"/>
          </w:tcPr>
          <w:p w14:paraId="0CB591D7"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(9)</w:t>
            </w:r>
          </w:p>
        </w:tc>
        <w:tc>
          <w:tcPr>
            <w:tcW w:w="1754" w:type="dxa"/>
            <w:shd w:val="clear" w:color="auto" w:fill="auto"/>
          </w:tcPr>
          <w:p w14:paraId="2CA8AE03"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w:t>
            </w:r>
          </w:p>
        </w:tc>
      </w:tr>
      <w:tr w:rsidR="005D365C" w:rsidRPr="005D365C" w14:paraId="06DAAAFA" w14:textId="77777777" w:rsidTr="00CB4F9F">
        <w:tc>
          <w:tcPr>
            <w:tcW w:w="4457" w:type="dxa"/>
            <w:shd w:val="clear" w:color="auto" w:fill="auto"/>
          </w:tcPr>
          <w:p w14:paraId="51AFA797"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sidRPr="005D365C">
              <w:rPr>
                <w:rFonts w:ascii="Book Antiqua" w:hAnsi="Book Antiqua" w:cs="Times New Roman"/>
                <w:color w:val="000000" w:themeColor="text1"/>
              </w:rPr>
              <w:t>Duodenum</w:t>
            </w:r>
          </w:p>
        </w:tc>
        <w:tc>
          <w:tcPr>
            <w:tcW w:w="1452" w:type="dxa"/>
            <w:shd w:val="clear" w:color="auto" w:fill="auto"/>
          </w:tcPr>
          <w:p w14:paraId="5ABD3880"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w:t>
            </w:r>
          </w:p>
        </w:tc>
        <w:tc>
          <w:tcPr>
            <w:tcW w:w="1913" w:type="dxa"/>
            <w:shd w:val="clear" w:color="auto" w:fill="auto"/>
          </w:tcPr>
          <w:p w14:paraId="282D6EE0"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(9)</w:t>
            </w:r>
          </w:p>
        </w:tc>
        <w:tc>
          <w:tcPr>
            <w:tcW w:w="1754" w:type="dxa"/>
            <w:shd w:val="clear" w:color="auto" w:fill="auto"/>
          </w:tcPr>
          <w:p w14:paraId="7203622F"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w:t>
            </w:r>
          </w:p>
        </w:tc>
      </w:tr>
      <w:tr w:rsidR="005D365C" w:rsidRPr="005D365C" w14:paraId="2965CFFF" w14:textId="77777777" w:rsidTr="00CB4F9F">
        <w:tc>
          <w:tcPr>
            <w:tcW w:w="4457" w:type="dxa"/>
            <w:shd w:val="clear" w:color="auto" w:fill="auto"/>
          </w:tcPr>
          <w:p w14:paraId="0DDDDCB7" w14:textId="77777777" w:rsidR="005D365C" w:rsidRPr="005D365C" w:rsidRDefault="005D365C" w:rsidP="005D365C">
            <w:pPr>
              <w:spacing w:line="360" w:lineRule="auto"/>
              <w:ind w:firstLineChars="100" w:firstLine="240"/>
              <w:jc w:val="both"/>
              <w:rPr>
                <w:rFonts w:ascii="Book Antiqua" w:hAnsi="Book Antiqua" w:cs="Times New Roman"/>
                <w:color w:val="000000" w:themeColor="text1"/>
              </w:rPr>
            </w:pPr>
            <w:r>
              <w:rPr>
                <w:rFonts w:ascii="Book Antiqua" w:hAnsi="Book Antiqua" w:cs="Times New Roman"/>
                <w:color w:val="000000" w:themeColor="text1"/>
              </w:rPr>
              <w:t>Rectum/</w:t>
            </w:r>
            <w:r>
              <w:rPr>
                <w:rFonts w:ascii="Book Antiqua" w:hAnsi="Book Antiqua" w:cs="Times New Roman" w:hint="eastAsia"/>
                <w:color w:val="000000" w:themeColor="text1"/>
                <w:lang w:eastAsia="zh-CN"/>
              </w:rPr>
              <w:t>a</w:t>
            </w:r>
            <w:r w:rsidRPr="005D365C">
              <w:rPr>
                <w:rFonts w:ascii="Book Antiqua" w:hAnsi="Book Antiqua" w:cs="Times New Roman"/>
                <w:color w:val="000000" w:themeColor="text1"/>
              </w:rPr>
              <w:t>nus</w:t>
            </w:r>
          </w:p>
        </w:tc>
        <w:tc>
          <w:tcPr>
            <w:tcW w:w="1452" w:type="dxa"/>
            <w:shd w:val="clear" w:color="auto" w:fill="auto"/>
          </w:tcPr>
          <w:p w14:paraId="13690C2F"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0</w:t>
            </w:r>
          </w:p>
        </w:tc>
        <w:tc>
          <w:tcPr>
            <w:tcW w:w="1913" w:type="dxa"/>
            <w:shd w:val="clear" w:color="auto" w:fill="auto"/>
          </w:tcPr>
          <w:p w14:paraId="4005274A"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(18)</w:t>
            </w:r>
          </w:p>
        </w:tc>
        <w:tc>
          <w:tcPr>
            <w:tcW w:w="1754" w:type="dxa"/>
            <w:shd w:val="clear" w:color="auto" w:fill="auto"/>
          </w:tcPr>
          <w:p w14:paraId="20C10EE9"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 (17)</w:t>
            </w:r>
          </w:p>
        </w:tc>
      </w:tr>
      <w:tr w:rsidR="005D365C" w:rsidRPr="005D365C" w14:paraId="6175B2E6" w14:textId="77777777" w:rsidTr="00CB4F9F">
        <w:tc>
          <w:tcPr>
            <w:tcW w:w="4457" w:type="dxa"/>
            <w:shd w:val="clear" w:color="auto" w:fill="auto"/>
          </w:tcPr>
          <w:p w14:paraId="41E92AD3" w14:textId="77777777" w:rsidR="005D365C" w:rsidRPr="005D365C" w:rsidRDefault="005D365C" w:rsidP="005D365C">
            <w:pPr>
              <w:spacing w:line="360" w:lineRule="auto"/>
              <w:jc w:val="both"/>
              <w:rPr>
                <w:rFonts w:ascii="Book Antiqua" w:hAnsi="Book Antiqua" w:cs="Times New Roman"/>
                <w:color w:val="000000" w:themeColor="text1"/>
                <w:lang w:eastAsia="zh-CN"/>
              </w:rPr>
            </w:pPr>
            <w:r w:rsidRPr="005D365C">
              <w:rPr>
                <w:rFonts w:ascii="Book Antiqua" w:hAnsi="Book Antiqua" w:cs="Times New Roman"/>
                <w:color w:val="000000" w:themeColor="text1"/>
              </w:rPr>
              <w:t>Average years of disease until development of stricture</w:t>
            </w:r>
          </w:p>
        </w:tc>
        <w:tc>
          <w:tcPr>
            <w:tcW w:w="1452" w:type="dxa"/>
            <w:shd w:val="clear" w:color="auto" w:fill="auto"/>
          </w:tcPr>
          <w:p w14:paraId="291CBB8B"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2.1</w:t>
            </w:r>
          </w:p>
        </w:tc>
        <w:tc>
          <w:tcPr>
            <w:tcW w:w="1913" w:type="dxa"/>
            <w:shd w:val="clear" w:color="auto" w:fill="auto"/>
          </w:tcPr>
          <w:p w14:paraId="4E5383A2"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1.9</w:t>
            </w:r>
          </w:p>
        </w:tc>
        <w:tc>
          <w:tcPr>
            <w:tcW w:w="1754" w:type="dxa"/>
            <w:shd w:val="clear" w:color="auto" w:fill="auto"/>
          </w:tcPr>
          <w:p w14:paraId="74EDCA45"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1</w:t>
            </w:r>
          </w:p>
        </w:tc>
      </w:tr>
      <w:tr w:rsidR="005D365C" w:rsidRPr="005D365C" w14:paraId="5D27715B" w14:textId="77777777" w:rsidTr="00CB4F9F">
        <w:tc>
          <w:tcPr>
            <w:tcW w:w="4457" w:type="dxa"/>
            <w:shd w:val="clear" w:color="auto" w:fill="auto"/>
          </w:tcPr>
          <w:p w14:paraId="7B5D08E1" w14:textId="31870ABA"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Stricturing disease only</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sidRPr="005D365C">
              <w:rPr>
                <w:rFonts w:ascii="Book Antiqua" w:hAnsi="Book Antiqua" w:cs="Times New Roman"/>
                <w:color w:val="000000" w:themeColor="text1"/>
              </w:rPr>
              <w:t>%)</w:t>
            </w:r>
          </w:p>
        </w:tc>
        <w:tc>
          <w:tcPr>
            <w:tcW w:w="1452" w:type="dxa"/>
            <w:shd w:val="clear" w:color="auto" w:fill="auto"/>
          </w:tcPr>
          <w:p w14:paraId="3B2A8C16"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4 (50)</w:t>
            </w:r>
          </w:p>
        </w:tc>
        <w:tc>
          <w:tcPr>
            <w:tcW w:w="1913" w:type="dxa"/>
            <w:shd w:val="clear" w:color="auto" w:fill="auto"/>
          </w:tcPr>
          <w:p w14:paraId="6A4CF4A4"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8 (73)</w:t>
            </w:r>
          </w:p>
        </w:tc>
        <w:tc>
          <w:tcPr>
            <w:tcW w:w="1754" w:type="dxa"/>
            <w:shd w:val="clear" w:color="auto" w:fill="auto"/>
          </w:tcPr>
          <w:p w14:paraId="255230D0"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2 (33)</w:t>
            </w:r>
          </w:p>
        </w:tc>
      </w:tr>
      <w:tr w:rsidR="005D365C" w:rsidRPr="005D365C" w14:paraId="4290EC27" w14:textId="77777777" w:rsidTr="00CB4F9F">
        <w:tc>
          <w:tcPr>
            <w:tcW w:w="4457" w:type="dxa"/>
            <w:tcBorders>
              <w:bottom w:val="single" w:sz="4" w:space="0" w:color="auto"/>
            </w:tcBorders>
            <w:shd w:val="clear" w:color="auto" w:fill="auto"/>
          </w:tcPr>
          <w:p w14:paraId="4D348913" w14:textId="2833E1CD"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Stricturing and penetrating disease</w:t>
            </w:r>
            <w:r w:rsidR="001B1DF9">
              <w:rPr>
                <w:rFonts w:ascii="Book Antiqua" w:hAnsi="Book Antiqua" w:cs="Times New Roman"/>
                <w:color w:val="000000" w:themeColor="text1"/>
              </w:rPr>
              <w:t>,</w:t>
            </w:r>
            <w:r w:rsidR="001B1DF9" w:rsidRPr="005D365C">
              <w:rPr>
                <w:rFonts w:ascii="Book Antiqua" w:hAnsi="Book Antiqua" w:cs="Times New Roman"/>
                <w:color w:val="000000" w:themeColor="text1"/>
              </w:rPr>
              <w:t xml:space="preserve"> </w:t>
            </w:r>
            <w:r w:rsidR="001B1DF9" w:rsidRPr="005D365C">
              <w:rPr>
                <w:rFonts w:ascii="Book Antiqua" w:hAnsi="Book Antiqua" w:cs="Times New Roman"/>
                <w:i/>
                <w:color w:val="000000" w:themeColor="text1"/>
              </w:rPr>
              <w:t>n</w:t>
            </w:r>
            <w:r w:rsidR="001B1DF9">
              <w:rPr>
                <w:rFonts w:ascii="Book Antiqua" w:hAnsi="Book Antiqua" w:cs="Times New Roman"/>
                <w:color w:val="000000" w:themeColor="text1"/>
              </w:rPr>
              <w:t xml:space="preserve"> </w:t>
            </w:r>
            <w:r w:rsidR="001B1DF9">
              <w:rPr>
                <w:rFonts w:ascii="Book Antiqua" w:hAnsi="Book Antiqua" w:cs="Times New Roman"/>
                <w:color w:val="000000" w:themeColor="text1"/>
              </w:rPr>
              <w:lastRenderedPageBreak/>
              <w:t>(</w:t>
            </w:r>
            <w:r w:rsidR="001B1DF9" w:rsidRPr="005D365C">
              <w:rPr>
                <w:rFonts w:ascii="Book Antiqua" w:hAnsi="Book Antiqua" w:cs="Times New Roman"/>
                <w:color w:val="000000" w:themeColor="text1"/>
              </w:rPr>
              <w:t>%)</w:t>
            </w:r>
          </w:p>
        </w:tc>
        <w:tc>
          <w:tcPr>
            <w:tcW w:w="1452" w:type="dxa"/>
            <w:tcBorders>
              <w:bottom w:val="single" w:sz="4" w:space="0" w:color="auto"/>
            </w:tcBorders>
            <w:shd w:val="clear" w:color="auto" w:fill="auto"/>
          </w:tcPr>
          <w:p w14:paraId="737B6FA5"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lastRenderedPageBreak/>
              <w:t>4 (50)</w:t>
            </w:r>
          </w:p>
        </w:tc>
        <w:tc>
          <w:tcPr>
            <w:tcW w:w="1913" w:type="dxa"/>
            <w:tcBorders>
              <w:bottom w:val="single" w:sz="4" w:space="0" w:color="auto"/>
            </w:tcBorders>
            <w:shd w:val="clear" w:color="auto" w:fill="auto"/>
          </w:tcPr>
          <w:p w14:paraId="617713A9" w14:textId="77777777" w:rsidR="005D365C" w:rsidRPr="005D365C" w:rsidRDefault="005D365C" w:rsidP="005D365C">
            <w:pPr>
              <w:spacing w:line="360" w:lineRule="auto"/>
              <w:jc w:val="both"/>
              <w:rPr>
                <w:rFonts w:ascii="Book Antiqua" w:hAnsi="Book Antiqua" w:cs="Times New Roman"/>
                <w:color w:val="000000" w:themeColor="text1"/>
              </w:rPr>
            </w:pPr>
            <w:r w:rsidRPr="005D365C">
              <w:rPr>
                <w:rFonts w:ascii="Book Antiqua" w:hAnsi="Book Antiqua" w:cs="Times New Roman"/>
                <w:color w:val="000000" w:themeColor="text1"/>
              </w:rPr>
              <w:t>3 (27)</w:t>
            </w:r>
          </w:p>
        </w:tc>
        <w:tc>
          <w:tcPr>
            <w:tcW w:w="1754" w:type="dxa"/>
            <w:tcBorders>
              <w:bottom w:val="single" w:sz="4" w:space="0" w:color="auto"/>
            </w:tcBorders>
            <w:shd w:val="clear" w:color="auto" w:fill="auto"/>
          </w:tcPr>
          <w:p w14:paraId="303A2B03" w14:textId="77777777" w:rsidR="005D365C" w:rsidRPr="005D365C" w:rsidRDefault="005D365C" w:rsidP="005D365C">
            <w:pPr>
              <w:spacing w:line="360" w:lineRule="auto"/>
              <w:jc w:val="both"/>
              <w:rPr>
                <w:rFonts w:ascii="Book Antiqua" w:hAnsi="Book Antiqua" w:cs="Times New Roman"/>
                <w:color w:val="000000" w:themeColor="text1"/>
                <w:lang w:eastAsia="zh-CN"/>
              </w:rPr>
            </w:pPr>
            <w:r w:rsidRPr="005D365C">
              <w:rPr>
                <w:rFonts w:ascii="Book Antiqua" w:hAnsi="Book Antiqua" w:cs="Times New Roman"/>
                <w:color w:val="000000" w:themeColor="text1"/>
              </w:rPr>
              <w:t>4 (67)</w:t>
            </w:r>
          </w:p>
        </w:tc>
      </w:tr>
    </w:tbl>
    <w:p w14:paraId="4CC07ABF" w14:textId="77777777" w:rsidR="005D365C" w:rsidRPr="005D365C" w:rsidRDefault="005D365C" w:rsidP="005D365C">
      <w:pPr>
        <w:spacing w:line="360" w:lineRule="auto"/>
        <w:jc w:val="both"/>
        <w:rPr>
          <w:b/>
          <w:lang w:eastAsia="zh-CN"/>
        </w:rPr>
      </w:pPr>
      <w:r w:rsidRPr="00CC4B9B">
        <w:rPr>
          <w:rFonts w:ascii="Book Antiqua" w:hAnsi="Book Antiqua" w:cs="Book Antiqua" w:hint="eastAsia"/>
          <w:bCs/>
          <w:color w:val="000000"/>
          <w:lang w:eastAsia="zh-CN"/>
        </w:rPr>
        <w:t xml:space="preserve">EBD: </w:t>
      </w:r>
      <w:r>
        <w:rPr>
          <w:rFonts w:ascii="Book Antiqua" w:eastAsia="Book Antiqua" w:hAnsi="Book Antiqua" w:cs="Book Antiqua"/>
          <w:color w:val="000000"/>
        </w:rPr>
        <w:t>Endoscopic balloon dilation</w:t>
      </w:r>
      <w:r>
        <w:rPr>
          <w:rFonts w:ascii="Book Antiqua" w:hAnsi="Book Antiqua" w:cs="Book Antiqua" w:hint="eastAsia"/>
          <w:color w:val="000000"/>
          <w:lang w:eastAsia="zh-CN"/>
        </w:rPr>
        <w:t xml:space="preserve">; BMI: </w:t>
      </w:r>
      <w:r w:rsidRPr="00313B45">
        <w:rPr>
          <w:rFonts w:ascii="Book Antiqua" w:eastAsia="Book Antiqua" w:hAnsi="Book Antiqua" w:cs="Book Antiqua"/>
          <w:color w:val="000000"/>
        </w:rPr>
        <w:t>Body mass index</w:t>
      </w:r>
      <w:r>
        <w:rPr>
          <w:rFonts w:ascii="Book Antiqua" w:hAnsi="Book Antiqua" w:cs="Book Antiqua" w:hint="eastAsia"/>
          <w:color w:val="000000"/>
          <w:lang w:eastAsia="zh-CN"/>
        </w:rPr>
        <w:t>.</w:t>
      </w:r>
    </w:p>
    <w:sectPr w:rsidR="005D365C" w:rsidRPr="005D3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8D90" w14:textId="77777777" w:rsidR="003B33E6" w:rsidRDefault="003B33E6" w:rsidP="003625E3">
      <w:r>
        <w:separator/>
      </w:r>
    </w:p>
  </w:endnote>
  <w:endnote w:type="continuationSeparator" w:id="0">
    <w:p w14:paraId="32DFA0AB" w14:textId="77777777" w:rsidR="003B33E6" w:rsidRDefault="003B33E6" w:rsidP="0036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67105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BC76BD5" w14:textId="77777777" w:rsidR="003625E3" w:rsidRPr="003625E3" w:rsidRDefault="003625E3" w:rsidP="003625E3">
            <w:pPr>
              <w:pStyle w:val="ad"/>
              <w:jc w:val="right"/>
              <w:rPr>
                <w:rFonts w:ascii="Book Antiqua" w:hAnsi="Book Antiqua"/>
                <w:sz w:val="24"/>
                <w:szCs w:val="24"/>
              </w:rPr>
            </w:pPr>
            <w:r w:rsidRPr="003625E3">
              <w:rPr>
                <w:rFonts w:ascii="Book Antiqua" w:hAnsi="Book Antiqua"/>
                <w:sz w:val="24"/>
                <w:szCs w:val="24"/>
                <w:lang w:val="zh-CN" w:eastAsia="zh-CN"/>
              </w:rPr>
              <w:t xml:space="preserve"> </w:t>
            </w:r>
            <w:r w:rsidRPr="003625E3">
              <w:rPr>
                <w:rFonts w:ascii="Book Antiqua" w:hAnsi="Book Antiqua"/>
                <w:bCs/>
                <w:sz w:val="24"/>
                <w:szCs w:val="24"/>
              </w:rPr>
              <w:fldChar w:fldCharType="begin"/>
            </w:r>
            <w:r w:rsidRPr="003625E3">
              <w:rPr>
                <w:rFonts w:ascii="Book Antiqua" w:hAnsi="Book Antiqua"/>
                <w:bCs/>
                <w:sz w:val="24"/>
                <w:szCs w:val="24"/>
              </w:rPr>
              <w:instrText>PAGE</w:instrText>
            </w:r>
            <w:r w:rsidRPr="003625E3">
              <w:rPr>
                <w:rFonts w:ascii="Book Antiqua" w:hAnsi="Book Antiqua"/>
                <w:bCs/>
                <w:sz w:val="24"/>
                <w:szCs w:val="24"/>
              </w:rPr>
              <w:fldChar w:fldCharType="separate"/>
            </w:r>
            <w:r w:rsidR="00130D11">
              <w:rPr>
                <w:rFonts w:ascii="Book Antiqua" w:hAnsi="Book Antiqua"/>
                <w:bCs/>
                <w:noProof/>
                <w:sz w:val="24"/>
                <w:szCs w:val="24"/>
              </w:rPr>
              <w:t>17</w:t>
            </w:r>
            <w:r w:rsidRPr="003625E3">
              <w:rPr>
                <w:rFonts w:ascii="Book Antiqua" w:hAnsi="Book Antiqua"/>
                <w:bCs/>
                <w:sz w:val="24"/>
                <w:szCs w:val="24"/>
              </w:rPr>
              <w:fldChar w:fldCharType="end"/>
            </w:r>
            <w:r w:rsidRPr="003625E3">
              <w:rPr>
                <w:rFonts w:ascii="Book Antiqua" w:hAnsi="Book Antiqua"/>
                <w:sz w:val="24"/>
                <w:szCs w:val="24"/>
                <w:lang w:val="zh-CN" w:eastAsia="zh-CN"/>
              </w:rPr>
              <w:t xml:space="preserve"> / </w:t>
            </w:r>
            <w:r w:rsidRPr="003625E3">
              <w:rPr>
                <w:rFonts w:ascii="Book Antiqua" w:hAnsi="Book Antiqua"/>
                <w:bCs/>
                <w:sz w:val="24"/>
                <w:szCs w:val="24"/>
              </w:rPr>
              <w:fldChar w:fldCharType="begin"/>
            </w:r>
            <w:r w:rsidRPr="003625E3">
              <w:rPr>
                <w:rFonts w:ascii="Book Antiqua" w:hAnsi="Book Antiqua"/>
                <w:bCs/>
                <w:sz w:val="24"/>
                <w:szCs w:val="24"/>
              </w:rPr>
              <w:instrText>NUMPAGES</w:instrText>
            </w:r>
            <w:r w:rsidRPr="003625E3">
              <w:rPr>
                <w:rFonts w:ascii="Book Antiqua" w:hAnsi="Book Antiqua"/>
                <w:bCs/>
                <w:sz w:val="24"/>
                <w:szCs w:val="24"/>
              </w:rPr>
              <w:fldChar w:fldCharType="separate"/>
            </w:r>
            <w:r w:rsidR="00130D11">
              <w:rPr>
                <w:rFonts w:ascii="Book Antiqua" w:hAnsi="Book Antiqua"/>
                <w:bCs/>
                <w:noProof/>
                <w:sz w:val="24"/>
                <w:szCs w:val="24"/>
              </w:rPr>
              <w:t>23</w:t>
            </w:r>
            <w:r w:rsidRPr="003625E3">
              <w:rPr>
                <w:rFonts w:ascii="Book Antiqua" w:hAnsi="Book Antiqua"/>
                <w:bCs/>
                <w:sz w:val="24"/>
                <w:szCs w:val="24"/>
              </w:rPr>
              <w:fldChar w:fldCharType="end"/>
            </w:r>
          </w:p>
        </w:sdtContent>
      </w:sdt>
    </w:sdtContent>
  </w:sdt>
  <w:p w14:paraId="2C80B920" w14:textId="77777777" w:rsidR="003625E3" w:rsidRPr="003625E3" w:rsidRDefault="003625E3" w:rsidP="003625E3">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B8BE" w14:textId="77777777" w:rsidR="003B33E6" w:rsidRDefault="003B33E6" w:rsidP="003625E3">
      <w:r>
        <w:separator/>
      </w:r>
    </w:p>
  </w:footnote>
  <w:footnote w:type="continuationSeparator" w:id="0">
    <w:p w14:paraId="63B6785D" w14:textId="77777777" w:rsidR="003B33E6" w:rsidRDefault="003B33E6" w:rsidP="0036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6EE0"/>
    <w:rsid w:val="00130D11"/>
    <w:rsid w:val="0016570D"/>
    <w:rsid w:val="001B1DF9"/>
    <w:rsid w:val="003625E3"/>
    <w:rsid w:val="003B33E6"/>
    <w:rsid w:val="004360CD"/>
    <w:rsid w:val="00574E3F"/>
    <w:rsid w:val="005D365C"/>
    <w:rsid w:val="0076040C"/>
    <w:rsid w:val="00A77B3E"/>
    <w:rsid w:val="00B43912"/>
    <w:rsid w:val="00C06687"/>
    <w:rsid w:val="00C80412"/>
    <w:rsid w:val="00CA2A55"/>
    <w:rsid w:val="00CB4F9F"/>
    <w:rsid w:val="00CC4B9B"/>
    <w:rsid w:val="00DF4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040C5"/>
  <w15:docId w15:val="{3C136B3E-DAF7-4383-A38E-BA35CE45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76EE0"/>
    <w:rPr>
      <w:sz w:val="21"/>
      <w:szCs w:val="21"/>
    </w:rPr>
  </w:style>
  <w:style w:type="paragraph" w:styleId="a4">
    <w:name w:val="annotation text"/>
    <w:basedOn w:val="a"/>
    <w:link w:val="a5"/>
    <w:rsid w:val="00076EE0"/>
  </w:style>
  <w:style w:type="character" w:customStyle="1" w:styleId="a5">
    <w:name w:val="批注文字 字符"/>
    <w:basedOn w:val="a0"/>
    <w:link w:val="a4"/>
    <w:rsid w:val="00076EE0"/>
    <w:rPr>
      <w:sz w:val="24"/>
      <w:szCs w:val="24"/>
    </w:rPr>
  </w:style>
  <w:style w:type="paragraph" w:styleId="a6">
    <w:name w:val="annotation subject"/>
    <w:basedOn w:val="a4"/>
    <w:next w:val="a4"/>
    <w:link w:val="a7"/>
    <w:rsid w:val="00076EE0"/>
    <w:rPr>
      <w:b/>
      <w:bCs/>
    </w:rPr>
  </w:style>
  <w:style w:type="character" w:customStyle="1" w:styleId="a7">
    <w:name w:val="批注主题 字符"/>
    <w:basedOn w:val="a5"/>
    <w:link w:val="a6"/>
    <w:rsid w:val="00076EE0"/>
    <w:rPr>
      <w:b/>
      <w:bCs/>
      <w:sz w:val="24"/>
      <w:szCs w:val="24"/>
    </w:rPr>
  </w:style>
  <w:style w:type="paragraph" w:styleId="a8">
    <w:name w:val="Balloon Text"/>
    <w:basedOn w:val="a"/>
    <w:link w:val="a9"/>
    <w:rsid w:val="00076EE0"/>
    <w:rPr>
      <w:sz w:val="18"/>
      <w:szCs w:val="18"/>
    </w:rPr>
  </w:style>
  <w:style w:type="character" w:customStyle="1" w:styleId="a9">
    <w:name w:val="批注框文本 字符"/>
    <w:basedOn w:val="a0"/>
    <w:link w:val="a8"/>
    <w:rsid w:val="00076EE0"/>
    <w:rPr>
      <w:sz w:val="18"/>
      <w:szCs w:val="18"/>
    </w:rPr>
  </w:style>
  <w:style w:type="table" w:styleId="aa">
    <w:name w:val="Table Grid"/>
    <w:basedOn w:val="a1"/>
    <w:uiPriority w:val="39"/>
    <w:rsid w:val="005D365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3625E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625E3"/>
    <w:rPr>
      <w:sz w:val="18"/>
      <w:szCs w:val="18"/>
    </w:rPr>
  </w:style>
  <w:style w:type="paragraph" w:styleId="ad">
    <w:name w:val="footer"/>
    <w:basedOn w:val="a"/>
    <w:link w:val="ae"/>
    <w:uiPriority w:val="99"/>
    <w:rsid w:val="003625E3"/>
    <w:pPr>
      <w:tabs>
        <w:tab w:val="center" w:pos="4153"/>
        <w:tab w:val="right" w:pos="8306"/>
      </w:tabs>
      <w:snapToGrid w:val="0"/>
    </w:pPr>
    <w:rPr>
      <w:sz w:val="18"/>
      <w:szCs w:val="18"/>
    </w:rPr>
  </w:style>
  <w:style w:type="character" w:customStyle="1" w:styleId="ae">
    <w:name w:val="页脚 字符"/>
    <w:basedOn w:val="a0"/>
    <w:link w:val="ad"/>
    <w:uiPriority w:val="99"/>
    <w:rsid w:val="00362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7</cp:revision>
  <dcterms:created xsi:type="dcterms:W3CDTF">2021-08-06T08:24:00Z</dcterms:created>
  <dcterms:modified xsi:type="dcterms:W3CDTF">2021-08-12T07:43:00Z</dcterms:modified>
</cp:coreProperties>
</file>